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tabs>
          <w:tab w:val="left" w:pos="0"/>
        </w:tabs>
        <w:spacing w:before="0" w:after="0" w:line="240" w:lineRule="atLeast"/>
        <w:rPr>
          <w:rFonts w:hint="eastAsia" w:eastAsia="仿宋_GB2312"/>
          <w:sz w:val="36"/>
          <w:szCs w:val="21"/>
        </w:rPr>
      </w:pPr>
    </w:p>
    <w:p>
      <w:pPr>
        <w:spacing w:line="360" w:lineRule="auto"/>
        <w:rPr>
          <w:rFonts w:hint="eastAsia"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一、项目概况</w:t>
      </w:r>
    </w:p>
    <w:p>
      <w:pPr>
        <w:spacing w:line="360" w:lineRule="auto"/>
        <w:ind w:firstLine="480" w:firstLineChars="200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喀什、阿图什地处欧亚大陆中部，邻近吉尔吉斯斯坦、乌兹别克斯坦、巴基斯坦等中亚、南亚8个国家，具有“五口通八国，一路连欧亚”的独特区位优势，是我国向西开放和沿边开放的“西大门”和国际大通道。独特区位使喀什、阿图什成为我国交通发展战略的重要支撑点。</w:t>
      </w:r>
    </w:p>
    <w:p>
      <w:pPr>
        <w:spacing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随着国家中长期路网规划中的格尔木至成都铁路、新藏铁路项目的推进，尤其是中吉乌铁路的加快推进，逐渐形成了从粤港澳大湾区、经成渝经济圈至喀什，经喀什地区经中亚至欧洲、北非的第三亚欧大陆桥通道。喀什、阿图什将第三亚欧大陆桥黄金通道上最重要的节点，国内可以连接了粤港澳大湾区、成渝经济圈两个热点的经济发展区，同时也借助国内发达的铁路网，可以兼顾华东、华中地区；对外具有连接中亚、北非、欧洲最便捷的陆路通道，将来也是中巴、中吉塔阿伊的节点。</w:t>
      </w:r>
    </w:p>
    <w:p>
      <w:pPr>
        <w:spacing w:line="360" w:lineRule="auto"/>
        <w:ind w:firstLine="480" w:firstLineChars="200"/>
        <w:rPr>
          <w:rFonts w:hint="eastAsia" w:ascii="宋体" w:hAnsi="宋体"/>
          <w:bCs/>
        </w:rPr>
      </w:pPr>
      <w:r>
        <w:rPr>
          <w:rFonts w:hint="eastAsia" w:ascii="宋体" w:hAnsi="宋体"/>
          <w:bCs/>
          <w:sz w:val="24"/>
        </w:rPr>
        <w:t>喀什、阿图什国际枢纽港建成后，将形成以喀什铁路北站为核心，集铁铁、公铁、空铁为一体的多式联运物流枢纽中心，进一步优化国际组织中枢、开放型产业基地、现代贸易流通、班列集结、综合保税、跨境电商、指定监管场地、铁路编组及货运包机等功能。</w:t>
      </w:r>
    </w:p>
    <w:p>
      <w:pPr>
        <w:spacing w:line="360" w:lineRule="auto"/>
        <w:rPr>
          <w:rFonts w:hint="eastAsia"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二、服务方案</w:t>
      </w:r>
    </w:p>
    <w:p>
      <w:pPr>
        <w:spacing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规划包含产业规划和总体规划，内容包括但不限于以下内容：</w:t>
      </w:r>
    </w:p>
    <w:p>
      <w:pPr>
        <w:snapToGrid w:val="0"/>
        <w:spacing w:line="520" w:lineRule="exact"/>
        <w:ind w:firstLine="480" w:firstLineChars="200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1、产业规划主要内容</w:t>
      </w:r>
    </w:p>
    <w:p>
      <w:pPr>
        <w:numPr>
          <w:ilvl w:val="0"/>
          <w:numId w:val="1"/>
        </w:numPr>
        <w:snapToGrid w:val="0"/>
        <w:spacing w:line="520" w:lineRule="exact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国际形势、新疆及阿图什社会经济发展背景分析</w:t>
      </w:r>
    </w:p>
    <w:p>
      <w:pPr>
        <w:numPr>
          <w:ilvl w:val="0"/>
          <w:numId w:val="1"/>
        </w:numPr>
        <w:snapToGrid w:val="0"/>
        <w:spacing w:line="520" w:lineRule="exact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项目目标和愿景</w:t>
      </w:r>
    </w:p>
    <w:p>
      <w:pPr>
        <w:numPr>
          <w:ilvl w:val="0"/>
          <w:numId w:val="1"/>
        </w:numPr>
        <w:snapToGrid w:val="0"/>
        <w:spacing w:line="520" w:lineRule="exact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阿图什国际铁路枢纽港潜在目标市场需求预测</w:t>
      </w:r>
    </w:p>
    <w:p>
      <w:pPr>
        <w:numPr>
          <w:ilvl w:val="0"/>
          <w:numId w:val="1"/>
        </w:numPr>
        <w:snapToGrid w:val="0"/>
        <w:spacing w:line="520" w:lineRule="exact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阿图什和喀什口岸经济的主要特征</w:t>
      </w:r>
    </w:p>
    <w:p>
      <w:pPr>
        <w:numPr>
          <w:ilvl w:val="0"/>
          <w:numId w:val="1"/>
        </w:numPr>
        <w:snapToGrid w:val="0"/>
        <w:spacing w:line="520" w:lineRule="exact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阿图什的资源分析、优势机遇及面临挑战 </w:t>
      </w:r>
    </w:p>
    <w:p>
      <w:pPr>
        <w:numPr>
          <w:ilvl w:val="0"/>
          <w:numId w:val="1"/>
        </w:numPr>
        <w:snapToGrid w:val="0"/>
        <w:spacing w:line="520" w:lineRule="exact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项目总体发展战略及功能市场定位</w:t>
      </w:r>
    </w:p>
    <w:p>
      <w:pPr>
        <w:numPr>
          <w:ilvl w:val="0"/>
          <w:numId w:val="1"/>
        </w:numPr>
        <w:snapToGrid w:val="0"/>
        <w:spacing w:line="520" w:lineRule="exact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国际铁路港的功能区域规划及建设内容</w:t>
      </w:r>
    </w:p>
    <w:p>
      <w:pPr>
        <w:numPr>
          <w:ilvl w:val="0"/>
          <w:numId w:val="1"/>
        </w:numPr>
        <w:snapToGrid w:val="0"/>
        <w:spacing w:line="520" w:lineRule="exact"/>
        <w:jc w:val="left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 xml:space="preserve">项目开发投资计划及阶段性发展目标 </w:t>
      </w:r>
    </w:p>
    <w:p>
      <w:pPr>
        <w:snapToGrid w:val="0"/>
        <w:spacing w:line="520" w:lineRule="exact"/>
        <w:ind w:firstLine="480" w:firstLineChars="200"/>
        <w:jc w:val="left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2、总体规划主要内容</w:t>
      </w:r>
    </w:p>
    <w:p>
      <w:pPr>
        <w:snapToGrid w:val="0"/>
        <w:spacing w:line="520" w:lineRule="exact"/>
        <w:ind w:firstLine="480" w:firstLineChars="200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（1）背景研究：包含区位分析、项目背景、产业及文化特色研究、上位规划解读。</w:t>
      </w:r>
    </w:p>
    <w:p>
      <w:pPr>
        <w:snapToGrid w:val="0"/>
        <w:spacing w:line="520" w:lineRule="exact"/>
        <w:ind w:firstLine="480" w:firstLineChars="200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（2）基地分析：基地区位、基地现状、基地周边情况、基地规划设计条件</w:t>
      </w:r>
      <w:r>
        <w:rPr>
          <w:rFonts w:ascii="宋体" w:hAnsi="宋体"/>
          <w:bCs/>
          <w:sz w:val="24"/>
        </w:rPr>
        <w:t xml:space="preserve"> </w:t>
      </w:r>
    </w:p>
    <w:p>
      <w:pPr>
        <w:snapToGrid w:val="0"/>
        <w:spacing w:line="520" w:lineRule="exact"/>
        <w:ind w:firstLine="480" w:firstLineChars="200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（3）定位分析：项目面临的机遇和挑战、优势资源分析、项目愿景与定位、规划策略、对标案例研习</w:t>
      </w:r>
      <w:r>
        <w:rPr>
          <w:rFonts w:ascii="宋体" w:hAnsi="宋体"/>
          <w:bCs/>
          <w:sz w:val="24"/>
        </w:rPr>
        <w:t xml:space="preserve"> </w:t>
      </w:r>
    </w:p>
    <w:p>
      <w:pPr>
        <w:snapToGrid w:val="0"/>
        <w:spacing w:line="520" w:lineRule="exact"/>
        <w:ind w:firstLine="480" w:firstLineChars="200"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（4）总体规划方案：土地利用规划图及指标、规划设计总平面图、主要经济技术指标、效果图、功能结构分析、道路交通分析、景观结构分析、产业布局研究、重要节点设计图、重要节点景观意向。</w:t>
      </w:r>
    </w:p>
    <w:p>
      <w:pPr>
        <w:pStyle w:val="4"/>
        <w:ind w:firstLine="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三、人</w:t>
      </w:r>
      <w:r>
        <w:rPr>
          <w:rFonts w:hint="eastAsia" w:hAnsi="宋体"/>
          <w:b/>
          <w:kern w:val="2"/>
          <w:sz w:val="30"/>
          <w:szCs w:val="30"/>
        </w:rPr>
        <w:t>员配置</w:t>
      </w:r>
      <w:r>
        <w:rPr>
          <w:rFonts w:hint="eastAsia"/>
          <w:sz w:val="30"/>
          <w:szCs w:val="30"/>
        </w:rPr>
        <w:t>：</w:t>
      </w:r>
    </w:p>
    <w:p>
      <w:pPr>
        <w:spacing w:line="360" w:lineRule="auto"/>
        <w:ind w:firstLine="480" w:firstLineChars="200"/>
        <w:outlineLvl w:val="2"/>
        <w:rPr>
          <w:rFonts w:hint="eastAsia" w:ascii="宋体" w:hAnsi="宋体"/>
          <w:szCs w:val="21"/>
        </w:rPr>
      </w:pPr>
      <w:r>
        <w:rPr>
          <w:rFonts w:hint="eastAsia" w:ascii="宋体" w:hAnsi="宋体"/>
          <w:bCs/>
          <w:sz w:val="24"/>
        </w:rPr>
        <w:t>本项目项目</w:t>
      </w:r>
      <w:bookmarkStart w:id="0" w:name="OLE_LINK1"/>
      <w:r>
        <w:rPr>
          <w:rFonts w:hint="eastAsia" w:ascii="宋体" w:hAnsi="宋体"/>
          <w:bCs/>
          <w:sz w:val="24"/>
        </w:rPr>
        <w:t>负责人应具有铁路相关专业高级职称证</w:t>
      </w:r>
      <w:bookmarkEnd w:id="0"/>
      <w:r>
        <w:rPr>
          <w:rFonts w:hint="eastAsia" w:ascii="宋体" w:hAnsi="宋体"/>
          <w:bCs/>
          <w:sz w:val="24"/>
        </w:rPr>
        <w:t>，其他人员应包含以下专业：规划、铁道、岩土、建筑、给排水、电气、暖通、通信、工程勘察（不少于五种）</w:t>
      </w:r>
    </w:p>
    <w:p>
      <w:pPr>
        <w:spacing w:line="360" w:lineRule="auto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四、服务要求</w:t>
      </w:r>
    </w:p>
    <w:p>
      <w:pPr>
        <w:spacing w:line="360" w:lineRule="auto"/>
        <w:ind w:firstLine="480" w:firstLineChars="200"/>
      </w:pPr>
      <w:r>
        <w:rPr>
          <w:rFonts w:hint="eastAsia" w:ascii="宋体" w:hAnsi="宋体"/>
          <w:bCs/>
          <w:sz w:val="24"/>
        </w:rPr>
        <w:t>结合时代机遇情况，对附近口岸、物流发展现状进行分析，结合阿图什的政策优势、人口优势、地缘优势、产业优势、旅游优势及交通优势等，提出双什（阿图什）陆港区的产业规划。在</w:t>
      </w:r>
      <w:bookmarkStart w:id="1" w:name="_GoBack"/>
      <w:bookmarkEnd w:id="1"/>
      <w:r>
        <w:rPr>
          <w:rFonts w:hint="eastAsia" w:ascii="宋体" w:hAnsi="宋体"/>
          <w:bCs/>
          <w:sz w:val="24"/>
        </w:rPr>
        <w:t>符合城市总体规划、国土空间规划、综合交通规划等相关规划的前提下，合理规划方案。并就铁路区进行深入规划，达到总体规划深度。最终完成双什（阿图什）陆港区产业规划和总体规划。</w:t>
      </w:r>
    </w:p>
    <w:p>
      <w:pPr>
        <w:spacing w:line="360" w:lineRule="auto"/>
        <w:rPr>
          <w:rFonts w:hint="eastAsia"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五、服务期及质量标准</w:t>
      </w:r>
    </w:p>
    <w:p>
      <w:pPr>
        <w:spacing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1、服务期：</w:t>
      </w:r>
      <w:r>
        <w:rPr>
          <w:rFonts w:hint="eastAsia" w:ascii="宋体" w:hAnsi="宋体"/>
          <w:bCs/>
          <w:sz w:val="24"/>
          <w:lang w:val="en-US" w:eastAsia="zh-CN"/>
        </w:rPr>
        <w:t>60天交付成果文件</w:t>
      </w:r>
      <w:r>
        <w:rPr>
          <w:rFonts w:hint="eastAsia" w:ascii="宋体" w:hAnsi="宋体"/>
          <w:bCs/>
          <w:sz w:val="24"/>
        </w:rPr>
        <w:t>。</w:t>
      </w:r>
    </w:p>
    <w:p>
      <w:pPr>
        <w:spacing w:line="360" w:lineRule="auto"/>
        <w:ind w:firstLine="48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bCs/>
          <w:sz w:val="24"/>
        </w:rPr>
        <w:t>2、质量标准：符合城市总体规划、国土空间规划、综合交通规划等相关规划。满足国家和行业现行的规范及技术标准要求。相关文件达到有关部门的要求并通过相关主管部门审查。</w:t>
      </w:r>
    </w:p>
    <w:p>
      <w:pPr>
        <w:spacing w:line="360" w:lineRule="auto"/>
        <w:rPr>
          <w:rFonts w:hint="eastAsia" w:ascii="宋体" w:hAnsi="宋体"/>
          <w:b/>
          <w:color w:val="000000"/>
          <w:sz w:val="30"/>
          <w:szCs w:val="30"/>
        </w:rPr>
      </w:pPr>
      <w:r>
        <w:rPr>
          <w:rFonts w:hint="eastAsia" w:ascii="宋体" w:hAnsi="宋体"/>
          <w:b/>
          <w:color w:val="000000"/>
          <w:sz w:val="30"/>
          <w:szCs w:val="30"/>
        </w:rPr>
        <w:t>六、 验收</w:t>
      </w:r>
    </w:p>
    <w:p>
      <w:pPr>
        <w:spacing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规划完成编制业主审核无误后送至相关单位评审，评审通过后方可完成验收，中标人与采购人应严格按照《关于加强政府采购项目履约验收工作的通知》的要求进行验收。</w:t>
      </w:r>
    </w:p>
    <w:p>
      <w:pPr>
        <w:spacing w:line="360" w:lineRule="auto"/>
        <w:rPr>
          <w:rFonts w:hint="eastAsia" w:ascii="宋体" w:hAnsi="宋体"/>
          <w:b/>
          <w:color w:val="000000"/>
          <w:sz w:val="30"/>
          <w:szCs w:val="30"/>
        </w:rPr>
      </w:pPr>
      <w:r>
        <w:rPr>
          <w:rFonts w:hint="eastAsia" w:ascii="宋体" w:hAnsi="宋体"/>
          <w:b/>
          <w:color w:val="000000"/>
          <w:sz w:val="30"/>
          <w:szCs w:val="30"/>
        </w:rPr>
        <w:t>七、支付货款</w:t>
      </w:r>
    </w:p>
    <w:p>
      <w:pPr>
        <w:spacing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付款方式：(具体的</w:t>
      </w:r>
      <w:r>
        <w:rPr>
          <w:rFonts w:hint="eastAsia" w:ascii="宋体" w:hAnsi="宋体"/>
          <w:bCs/>
          <w:sz w:val="24"/>
          <w:lang w:val="en-US" w:eastAsia="zh-CN"/>
        </w:rPr>
        <w:t>以</w:t>
      </w:r>
      <w:r>
        <w:rPr>
          <w:rFonts w:hint="eastAsia" w:ascii="宋体" w:hAnsi="宋体"/>
          <w:bCs/>
          <w:sz w:val="24"/>
        </w:rPr>
        <w:t>签订合同为准）。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95353F"/>
    <w:multiLevelType w:val="multilevel"/>
    <w:tmpl w:val="2795353F"/>
    <w:lvl w:ilvl="0" w:tentative="0">
      <w:start w:val="1"/>
      <w:numFmt w:val="decimal"/>
      <w:lvlText w:val="（%1）"/>
      <w:lvlJc w:val="left"/>
      <w:pPr>
        <w:ind w:left="168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40"/>
      </w:pPr>
    </w:lvl>
    <w:lvl w:ilvl="2" w:tentative="0">
      <w:start w:val="1"/>
      <w:numFmt w:val="lowerRoman"/>
      <w:lvlText w:val="%3."/>
      <w:lvlJc w:val="right"/>
      <w:pPr>
        <w:ind w:left="1920" w:hanging="440"/>
      </w:pPr>
    </w:lvl>
    <w:lvl w:ilvl="3" w:tentative="0">
      <w:start w:val="1"/>
      <w:numFmt w:val="decimal"/>
      <w:lvlText w:val="%4."/>
      <w:lvlJc w:val="left"/>
      <w:pPr>
        <w:ind w:left="2360" w:hanging="440"/>
      </w:pPr>
    </w:lvl>
    <w:lvl w:ilvl="4" w:tentative="0">
      <w:start w:val="1"/>
      <w:numFmt w:val="lowerLetter"/>
      <w:lvlText w:val="%5)"/>
      <w:lvlJc w:val="left"/>
      <w:pPr>
        <w:ind w:left="2800" w:hanging="440"/>
      </w:pPr>
    </w:lvl>
    <w:lvl w:ilvl="5" w:tentative="0">
      <w:start w:val="1"/>
      <w:numFmt w:val="lowerRoman"/>
      <w:lvlText w:val="%6."/>
      <w:lvlJc w:val="right"/>
      <w:pPr>
        <w:ind w:left="3240" w:hanging="440"/>
      </w:pPr>
    </w:lvl>
    <w:lvl w:ilvl="6" w:tentative="0">
      <w:start w:val="1"/>
      <w:numFmt w:val="decimal"/>
      <w:lvlText w:val="%7."/>
      <w:lvlJc w:val="left"/>
      <w:pPr>
        <w:ind w:left="3680" w:hanging="440"/>
      </w:pPr>
    </w:lvl>
    <w:lvl w:ilvl="7" w:tentative="0">
      <w:start w:val="1"/>
      <w:numFmt w:val="lowerLetter"/>
      <w:lvlText w:val="%8)"/>
      <w:lvlJc w:val="left"/>
      <w:pPr>
        <w:ind w:left="4120" w:hanging="440"/>
      </w:pPr>
    </w:lvl>
    <w:lvl w:ilvl="8" w:tentative="0">
      <w:start w:val="1"/>
      <w:numFmt w:val="lowerRoman"/>
      <w:lvlText w:val="%9."/>
      <w:lvlJc w:val="right"/>
      <w:pPr>
        <w:ind w:left="45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5NmRjOTViNzc2YjA4NGMzNTViNjdmZjFmOTZjYzMifQ=="/>
    <w:docVar w:name="KSO_WPS_MARK_KEY" w:val="c0b71ddc-3467-4710-905a-65a8cefe8b9c"/>
  </w:docVars>
  <w:rsids>
    <w:rsidRoot w:val="001B1029"/>
    <w:rsid w:val="00032587"/>
    <w:rsid w:val="000C4FEB"/>
    <w:rsid w:val="001A648B"/>
    <w:rsid w:val="001B1029"/>
    <w:rsid w:val="004B4DEE"/>
    <w:rsid w:val="005150D8"/>
    <w:rsid w:val="00866DB9"/>
    <w:rsid w:val="00DA5927"/>
    <w:rsid w:val="00EA54D9"/>
    <w:rsid w:val="00F0537E"/>
    <w:rsid w:val="00F759E1"/>
    <w:rsid w:val="00F800A4"/>
    <w:rsid w:val="07693FA8"/>
    <w:rsid w:val="4B0B70D2"/>
    <w:rsid w:val="5A8F7384"/>
    <w:rsid w:val="71E3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8"/>
    <w:qFormat/>
    <w:uiPriority w:val="0"/>
    <w:pPr>
      <w:keepNext/>
      <w:keepLines/>
      <w:autoSpaceDE w:val="0"/>
      <w:autoSpaceDN w:val="0"/>
      <w:adjustRightInd w:val="0"/>
      <w:spacing w:before="240" w:after="120" w:line="300" w:lineRule="auto"/>
      <w:jc w:val="center"/>
      <w:outlineLvl w:val="0"/>
    </w:pPr>
    <w:rPr>
      <w:rFonts w:ascii="宋体"/>
      <w:b/>
      <w:kern w:val="44"/>
      <w:sz w:val="32"/>
      <w:szCs w:val="20"/>
    </w:rPr>
  </w:style>
  <w:style w:type="paragraph" w:styleId="2">
    <w:name w:val="heading 3"/>
    <w:basedOn w:val="1"/>
    <w:next w:val="1"/>
    <w:link w:val="9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uiPriority w:val="0"/>
    <w:pPr>
      <w:autoSpaceDE w:val="0"/>
      <w:autoSpaceDN w:val="0"/>
      <w:adjustRightInd w:val="0"/>
      <w:ind w:firstLine="420"/>
      <w:jc w:val="left"/>
    </w:pPr>
    <w:rPr>
      <w:rFonts w:ascii="宋体"/>
      <w:kern w:val="0"/>
      <w:sz w:val="24"/>
      <w:szCs w:val="20"/>
    </w:rPr>
  </w:style>
  <w:style w:type="character" w:customStyle="1" w:styleId="7">
    <w:name w:val="标题 1 字符"/>
    <w:basedOn w:val="6"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8">
    <w:name w:val="标题 1 Char"/>
    <w:link w:val="3"/>
    <w:uiPriority w:val="0"/>
    <w:rPr>
      <w:rFonts w:ascii="宋体" w:hAnsi="Times New Roman" w:eastAsia="宋体" w:cs="Times New Roman"/>
      <w:b/>
      <w:kern w:val="44"/>
      <w:sz w:val="32"/>
      <w:szCs w:val="20"/>
    </w:rPr>
  </w:style>
  <w:style w:type="character" w:customStyle="1" w:styleId="9">
    <w:name w:val="标题 3 字符"/>
    <w:basedOn w:val="6"/>
    <w:link w:val="2"/>
    <w:semiHidden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1303</Words>
  <Characters>1304</Characters>
  <Lines>10</Lines>
  <Paragraphs>2</Paragraphs>
  <TotalTime>14</TotalTime>
  <ScaleCrop>false</ScaleCrop>
  <LinksUpToDate>false</LinksUpToDate>
  <CharactersWithSpaces>1309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2024-11-13T09:24:00Z</dcterms:created>
  <dc:creator>yyz</dc:creator>
  <cp:lastModifiedBy>岩</cp:lastModifiedBy>
  <dcterms:modified xsi:type="dcterms:W3CDTF">2024-11-15T02:48:41Z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6CF20211A903468CB26821612A07ED24_12</vt:lpwstr>
  </property>
</Properties>
</file>