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pPr w:leftFromText="180" w:rightFromText="180" w:vertAnchor="text" w:horzAnchor="margin" w:tblpX="-352" w:tblpY="46"/>
        <w:tblOverlap w:val="never"/>
        <w:tblW w:w="0" w:type="auto"/>
        <w:tblInd w:w="0" w:type="dxa"/>
        <w:tblLayout w:type="fixed"/>
        <w:tblCellMar>
          <w:top w:w="0" w:type="dxa"/>
          <w:left w:w="108" w:type="dxa"/>
          <w:bottom w:w="0" w:type="dxa"/>
          <w:right w:w="108" w:type="dxa"/>
        </w:tblCellMar>
      </w:tblPr>
      <w:tblGrid>
        <w:gridCol w:w="675"/>
        <w:gridCol w:w="851"/>
        <w:gridCol w:w="5670"/>
        <w:gridCol w:w="709"/>
        <w:gridCol w:w="567"/>
        <w:gridCol w:w="684"/>
        <w:gridCol w:w="24"/>
      </w:tblGrid>
      <w:tr w14:paraId="43899D05">
        <w:tblPrEx>
          <w:tblCellMar>
            <w:top w:w="0" w:type="dxa"/>
            <w:left w:w="108" w:type="dxa"/>
            <w:bottom w:w="0" w:type="dxa"/>
            <w:right w:w="108" w:type="dxa"/>
          </w:tblCellMar>
        </w:tblPrEx>
        <w:trPr>
          <w:gridAfter w:val="1"/>
          <w:wAfter w:w="24" w:type="dxa"/>
        </w:trPr>
        <w:tc>
          <w:tcPr>
            <w:tcW w:w="9156" w:type="dxa"/>
            <w:gridSpan w:val="6"/>
            <w:tcBorders>
              <w:top w:val="nil"/>
              <w:left w:val="nil"/>
              <w:bottom w:val="nil"/>
              <w:right w:val="nil"/>
            </w:tcBorders>
            <w:shd w:val="clear" w:color="auto" w:fill="auto"/>
            <w:noWrap/>
            <w:vAlign w:val="center"/>
          </w:tcPr>
          <w:p w14:paraId="440CA4D1">
            <w:pPr>
              <w:widowControl/>
              <w:jc w:val="center"/>
              <w:textAlignment w:val="auto"/>
              <w:rPr>
                <w:rFonts w:ascii="宋体" w:hAnsi="宋体" w:eastAsia="宋体" w:cs="宋体"/>
                <w:szCs w:val="24"/>
              </w:rPr>
            </w:pPr>
            <w:bookmarkStart w:id="0" w:name="_GoBack"/>
            <w:bookmarkEnd w:id="0"/>
          </w:p>
          <w:p w14:paraId="6A0EE395">
            <w:pPr>
              <w:widowControl/>
              <w:jc w:val="center"/>
              <w:textAlignment w:val="auto"/>
              <w:rPr>
                <w:rFonts w:ascii="宋体" w:hAnsi="宋体" w:eastAsia="宋体" w:cs="宋体"/>
                <w:b/>
                <w:bCs/>
                <w:color w:val="000000"/>
                <w:kern w:val="0"/>
                <w:sz w:val="36"/>
                <w:szCs w:val="36"/>
              </w:rPr>
            </w:pPr>
            <w:r>
              <w:rPr>
                <w:rFonts w:hint="eastAsia" w:ascii="宋体" w:hAnsi="宋体" w:eastAsia="宋体" w:cs="宋体"/>
                <w:b/>
                <w:bCs/>
                <w:color w:val="000000"/>
                <w:kern w:val="0"/>
                <w:sz w:val="36"/>
                <w:szCs w:val="36"/>
              </w:rPr>
              <w:t>国际经济与贸易综合实训基地建设内容</w:t>
            </w:r>
          </w:p>
          <w:p w14:paraId="4078C7DD">
            <w:pPr>
              <w:widowControl/>
              <w:jc w:val="center"/>
              <w:textAlignment w:val="auto"/>
              <w:rPr>
                <w:rFonts w:ascii="宋体" w:hAnsi="宋体" w:eastAsia="宋体" w:cs="宋体"/>
                <w:b/>
                <w:bCs/>
                <w:color w:val="000000"/>
                <w:kern w:val="0"/>
                <w:sz w:val="36"/>
                <w:szCs w:val="36"/>
              </w:rPr>
            </w:pPr>
          </w:p>
        </w:tc>
      </w:tr>
      <w:tr w14:paraId="0AA31C5D">
        <w:tblPrEx>
          <w:tblCellMar>
            <w:top w:w="0" w:type="dxa"/>
            <w:left w:w="108" w:type="dxa"/>
            <w:bottom w:w="0" w:type="dxa"/>
            <w:right w:w="108" w:type="dxa"/>
          </w:tblCellMar>
        </w:tblPrEx>
        <w:trPr>
          <w:gridAfter w:val="1"/>
          <w:wAfter w:w="24" w:type="dxa"/>
          <w:trHeight w:val="233" w:hRule="atLeast"/>
        </w:trPr>
        <w:tc>
          <w:tcPr>
            <w:tcW w:w="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48F41AC">
            <w:pPr>
              <w:widowControl/>
              <w:jc w:val="center"/>
              <w:textAlignment w:val="auto"/>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序号</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71EE57">
            <w:pPr>
              <w:widowControl/>
              <w:jc w:val="center"/>
              <w:textAlignment w:val="auto"/>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建设内容（主要设备仪器名称）</w:t>
            </w:r>
          </w:p>
        </w:tc>
        <w:tc>
          <w:tcPr>
            <w:tcW w:w="56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3D4DB1">
            <w:pPr>
              <w:widowControl/>
              <w:jc w:val="center"/>
              <w:textAlignment w:val="auto"/>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主要参数（规格型号）</w:t>
            </w:r>
          </w:p>
        </w:tc>
        <w:tc>
          <w:tcPr>
            <w:tcW w:w="7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8CF3B8">
            <w:pPr>
              <w:widowControl/>
              <w:jc w:val="center"/>
              <w:textAlignment w:val="auto"/>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数量（台套）</w:t>
            </w:r>
          </w:p>
        </w:tc>
        <w:tc>
          <w:tcPr>
            <w:tcW w:w="567"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14:paraId="0E813BD3">
            <w:pPr>
              <w:widowControl/>
              <w:jc w:val="center"/>
              <w:textAlignment w:val="auto"/>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单位</w:t>
            </w:r>
          </w:p>
        </w:tc>
        <w:tc>
          <w:tcPr>
            <w:tcW w:w="68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4366A5C">
            <w:pPr>
              <w:widowControl/>
              <w:jc w:val="center"/>
              <w:textAlignment w:val="auto"/>
              <w:rPr>
                <w:rFonts w:ascii="宋体" w:hAnsi="宋体" w:eastAsia="宋体" w:cs="宋体"/>
                <w:b/>
                <w:bCs/>
                <w:color w:val="000000"/>
                <w:kern w:val="0"/>
                <w:sz w:val="18"/>
                <w:szCs w:val="18"/>
              </w:rPr>
            </w:pPr>
            <w:r>
              <w:rPr>
                <w:rFonts w:hint="eastAsia" w:ascii="宋体" w:hAnsi="宋体" w:eastAsia="宋体" w:cs="宋体"/>
                <w:b/>
                <w:bCs/>
                <w:color w:val="000000"/>
                <w:kern w:val="0"/>
                <w:sz w:val="18"/>
                <w:szCs w:val="18"/>
              </w:rPr>
              <w:t>备注</w:t>
            </w:r>
          </w:p>
        </w:tc>
      </w:tr>
      <w:tr w14:paraId="10AAB8A2">
        <w:tblPrEx>
          <w:tblCellMar>
            <w:top w:w="0" w:type="dxa"/>
            <w:left w:w="108" w:type="dxa"/>
            <w:bottom w:w="0" w:type="dxa"/>
            <w:right w:w="108" w:type="dxa"/>
          </w:tblCellMar>
        </w:tblPrEx>
        <w:trPr>
          <w:gridAfter w:val="1"/>
          <w:wAfter w:w="24" w:type="dxa"/>
          <w:trHeight w:val="233"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DC9272E">
            <w:pPr>
              <w:widowControl/>
              <w:jc w:val="left"/>
              <w:textAlignment w:val="auto"/>
              <w:rPr>
                <w:rFonts w:ascii="宋体" w:hAnsi="宋体" w:eastAsia="宋体" w:cs="宋体"/>
                <w:b/>
                <w:bCs/>
                <w:color w:val="000000"/>
                <w:kern w:val="0"/>
                <w:sz w:val="18"/>
                <w:szCs w:val="18"/>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14:paraId="78BCEDD5">
            <w:pPr>
              <w:widowControl/>
              <w:jc w:val="left"/>
              <w:textAlignment w:val="auto"/>
              <w:rPr>
                <w:rFonts w:ascii="宋体" w:hAnsi="宋体" w:eastAsia="宋体" w:cs="宋体"/>
                <w:b/>
                <w:bCs/>
                <w:color w:val="000000"/>
                <w:kern w:val="0"/>
                <w:sz w:val="18"/>
                <w:szCs w:val="18"/>
              </w:rPr>
            </w:pPr>
          </w:p>
        </w:tc>
        <w:tc>
          <w:tcPr>
            <w:tcW w:w="5670" w:type="dxa"/>
            <w:vMerge w:val="continue"/>
            <w:tcBorders>
              <w:top w:val="single" w:color="auto" w:sz="4" w:space="0"/>
              <w:left w:val="single" w:color="auto" w:sz="4" w:space="0"/>
              <w:bottom w:val="single" w:color="auto" w:sz="4" w:space="0"/>
              <w:right w:val="single" w:color="auto" w:sz="4" w:space="0"/>
            </w:tcBorders>
            <w:vAlign w:val="center"/>
          </w:tcPr>
          <w:p w14:paraId="3BCE79DD">
            <w:pPr>
              <w:widowControl/>
              <w:jc w:val="left"/>
              <w:textAlignment w:val="auto"/>
              <w:rPr>
                <w:rFonts w:ascii="宋体" w:hAnsi="宋体" w:eastAsia="宋体" w:cs="宋体"/>
                <w:b/>
                <w:bCs/>
                <w:color w:val="000000"/>
                <w:kern w:val="0"/>
                <w:sz w:val="18"/>
                <w:szCs w:val="18"/>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14:paraId="5D176A87">
            <w:pPr>
              <w:widowControl/>
              <w:jc w:val="left"/>
              <w:textAlignment w:val="auto"/>
              <w:rPr>
                <w:rFonts w:ascii="宋体" w:hAnsi="宋体" w:eastAsia="宋体" w:cs="宋体"/>
                <w:b/>
                <w:bCs/>
                <w:color w:val="000000"/>
                <w:kern w:val="0"/>
                <w:sz w:val="18"/>
                <w:szCs w:val="18"/>
              </w:rPr>
            </w:pPr>
          </w:p>
        </w:tc>
        <w:tc>
          <w:tcPr>
            <w:tcW w:w="567" w:type="dxa"/>
            <w:vMerge w:val="continue"/>
            <w:tcBorders>
              <w:top w:val="single" w:color="auto" w:sz="4" w:space="0"/>
              <w:left w:val="single" w:color="auto" w:sz="4" w:space="0"/>
              <w:bottom w:val="single" w:color="000000" w:sz="4" w:space="0"/>
              <w:right w:val="single" w:color="auto" w:sz="4" w:space="0"/>
            </w:tcBorders>
            <w:vAlign w:val="center"/>
          </w:tcPr>
          <w:p w14:paraId="32FB42D9">
            <w:pPr>
              <w:widowControl/>
              <w:jc w:val="left"/>
              <w:textAlignment w:val="auto"/>
              <w:rPr>
                <w:rFonts w:ascii="宋体" w:hAnsi="宋体" w:eastAsia="宋体" w:cs="宋体"/>
                <w:b/>
                <w:bCs/>
                <w:color w:val="000000"/>
                <w:kern w:val="0"/>
                <w:sz w:val="18"/>
                <w:szCs w:val="18"/>
              </w:rPr>
            </w:pPr>
          </w:p>
        </w:tc>
        <w:tc>
          <w:tcPr>
            <w:tcW w:w="684" w:type="dxa"/>
            <w:vMerge w:val="continue"/>
            <w:tcBorders>
              <w:top w:val="single" w:color="auto" w:sz="4" w:space="0"/>
              <w:left w:val="single" w:color="auto" w:sz="4" w:space="0"/>
              <w:bottom w:val="single" w:color="auto" w:sz="4" w:space="0"/>
              <w:right w:val="single" w:color="auto" w:sz="4" w:space="0"/>
            </w:tcBorders>
            <w:vAlign w:val="center"/>
          </w:tcPr>
          <w:p w14:paraId="7BAECA18">
            <w:pPr>
              <w:widowControl/>
              <w:jc w:val="left"/>
              <w:textAlignment w:val="auto"/>
              <w:rPr>
                <w:rFonts w:ascii="宋体" w:hAnsi="宋体" w:eastAsia="宋体" w:cs="宋体"/>
                <w:b/>
                <w:bCs/>
                <w:color w:val="000000"/>
                <w:kern w:val="0"/>
                <w:sz w:val="18"/>
                <w:szCs w:val="18"/>
              </w:rPr>
            </w:pPr>
          </w:p>
        </w:tc>
      </w:tr>
      <w:tr w14:paraId="00DA8A6E">
        <w:tblPrEx>
          <w:tblCellMar>
            <w:top w:w="0" w:type="dxa"/>
            <w:left w:w="108" w:type="dxa"/>
            <w:bottom w:w="0" w:type="dxa"/>
            <w:right w:w="108" w:type="dxa"/>
          </w:tblCellMar>
        </w:tblPrEx>
        <w:trPr>
          <w:gridAfter w:val="1"/>
          <w:wAfter w:w="24" w:type="dxa"/>
        </w:trPr>
        <w:tc>
          <w:tcPr>
            <w:tcW w:w="9156"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ED36160">
            <w:pPr>
              <w:widowControl/>
              <w:jc w:val="left"/>
              <w:textAlignment w:val="auto"/>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一、跨境贸易综合实训室（120 平）</w:t>
            </w:r>
          </w:p>
        </w:tc>
      </w:tr>
      <w:tr w14:paraId="4BA44B03">
        <w:tblPrEx>
          <w:tblCellMar>
            <w:top w:w="0" w:type="dxa"/>
            <w:left w:w="108" w:type="dxa"/>
            <w:bottom w:w="0" w:type="dxa"/>
            <w:right w:w="108" w:type="dxa"/>
          </w:tblCellMar>
        </w:tblPrEx>
        <w:trPr>
          <w:gridAfter w:val="1"/>
          <w:wAfter w:w="24" w:type="dxa"/>
          <w:trHeight w:val="259" w:hRule="atLeast"/>
        </w:trPr>
        <w:tc>
          <w:tcPr>
            <w:tcW w:w="675" w:type="dxa"/>
            <w:vMerge w:val="restart"/>
            <w:tcBorders>
              <w:top w:val="nil"/>
              <w:left w:val="single" w:color="auto" w:sz="4" w:space="0"/>
              <w:bottom w:val="single" w:color="auto" w:sz="4" w:space="0"/>
              <w:right w:val="single" w:color="auto" w:sz="4" w:space="0"/>
            </w:tcBorders>
            <w:shd w:val="clear" w:color="auto" w:fill="auto"/>
            <w:vAlign w:val="center"/>
          </w:tcPr>
          <w:p w14:paraId="54E94F82">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1</w:t>
            </w:r>
          </w:p>
        </w:tc>
        <w:tc>
          <w:tcPr>
            <w:tcW w:w="851" w:type="dxa"/>
            <w:vMerge w:val="restart"/>
            <w:tcBorders>
              <w:top w:val="nil"/>
              <w:left w:val="single" w:color="auto" w:sz="4" w:space="0"/>
              <w:bottom w:val="single" w:color="auto" w:sz="4" w:space="0"/>
              <w:right w:val="single" w:color="auto" w:sz="4" w:space="0"/>
            </w:tcBorders>
            <w:shd w:val="clear" w:color="auto" w:fill="auto"/>
            <w:vAlign w:val="center"/>
          </w:tcPr>
          <w:p w14:paraId="52693D73">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跨境电商多平台业务模拟实训软件</w:t>
            </w:r>
          </w:p>
        </w:tc>
        <w:tc>
          <w:tcPr>
            <w:tcW w:w="5670" w:type="dxa"/>
            <w:vMerge w:val="restart"/>
            <w:tcBorders>
              <w:top w:val="nil"/>
              <w:left w:val="single" w:color="auto" w:sz="4" w:space="0"/>
              <w:bottom w:val="single" w:color="auto" w:sz="4" w:space="0"/>
              <w:right w:val="single" w:color="auto" w:sz="4" w:space="0"/>
            </w:tcBorders>
            <w:shd w:val="clear" w:color="auto" w:fill="auto"/>
            <w:vAlign w:val="center"/>
          </w:tcPr>
          <w:p w14:paraId="730D55C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1．平台基于.NET框架设计开发，采用B/S架构，客户端无需安</w:t>
            </w:r>
          </w:p>
          <w:p w14:paraId="24A7993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装插件通过浏览器可直接访问。</w:t>
            </w:r>
          </w:p>
          <w:p w14:paraId="275A3E9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2．平台分为后台管理员、教师和学生三种角色，支持管理员对</w:t>
            </w:r>
          </w:p>
          <w:p w14:paraId="4B4A3A90">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教师账户信息进行管理维护，学校基本信息进行维护。支持教</w:t>
            </w:r>
          </w:p>
          <w:p w14:paraId="7B9FBD9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师对自己的教学班级进行维护管理，支持创建班级、手动添加</w:t>
            </w:r>
          </w:p>
          <w:p w14:paraId="1F357A6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班级学生、批量导入学生，对学生账号信息进行登陆密码重置</w:t>
            </w:r>
          </w:p>
          <w:p w14:paraId="32ACC762">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或删除操作。</w:t>
            </w:r>
          </w:p>
          <w:p w14:paraId="2E46D8E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3．平台支持教师对课程进行课程内容再编辑，支持添加课程教</w:t>
            </w:r>
          </w:p>
          <w:p w14:paraId="5310322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学内容，内容支持课件资源、视频资源；教学过程中支持根据</w:t>
            </w:r>
          </w:p>
          <w:p w14:paraId="74B62BB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教学需求动态的开放或关闭教学内容。支持将课程以班级为单</w:t>
            </w:r>
          </w:p>
          <w:p w14:paraId="0BDB5AE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位或者定向学生分配学生进行学习。支持对理论考试要求进行</w:t>
            </w:r>
          </w:p>
          <w:p w14:paraId="4DFBCAE2">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设置，可设置限时、不定时，可设置是否需要学生全部内容学</w:t>
            </w:r>
          </w:p>
          <w:p w14:paraId="78EED30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习完成参加考试。</w:t>
            </w:r>
          </w:p>
          <w:p w14:paraId="442C27D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4．平台支持教师对课程创建管理课程公告，公告只针对有课程</w:t>
            </w:r>
          </w:p>
          <w:p w14:paraId="42F8611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学习任务学生进行开放。</w:t>
            </w:r>
          </w:p>
          <w:p w14:paraId="75031D9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5．平台支持教师对课程的课时计划查阅，支持对课程进行考核</w:t>
            </w:r>
          </w:p>
          <w:p w14:paraId="782CBB8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权重设置。</w:t>
            </w:r>
          </w:p>
          <w:p w14:paraId="4E06015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6．平台支持教师课程学习情况进行跟踪，学情数据能够从班级</w:t>
            </w:r>
          </w:p>
          <w:p w14:paraId="6B7AC0D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和学生个人两个维度上提供教师考察学生课程学习情况。能够</w:t>
            </w:r>
          </w:p>
          <w:p w14:paraId="0D2F782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以图形、表格进行展示，支持理论成绩、实操演练成绩以及综</w:t>
            </w:r>
          </w:p>
          <w:p w14:paraId="4159373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合成绩的查看。理论考试汇总成绩支持平均分、最高分、最低</w:t>
            </w:r>
          </w:p>
          <w:p w14:paraId="17B5602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分、课程完结人数、课程完结率、合格率及平均分。支持完成</w:t>
            </w:r>
          </w:p>
          <w:p w14:paraId="19504EF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人数、完成率的统计图，支持综合成绩分级数据统计展示图，</w:t>
            </w:r>
          </w:p>
          <w:p w14:paraId="7BAA279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支持按照成绩高低划分优秀、良好、及格、未及格和未参加五</w:t>
            </w:r>
          </w:p>
          <w:p w14:paraId="7A21D4C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等。支持单个学生的进度详情和综合学习报告查看，支持统计数据的数据导出和学生个人学习报告的下载保存。学生学习报</w:t>
            </w:r>
          </w:p>
          <w:p w14:paraId="3CCB778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告支持以知识点和技能点进行统计汇总，针对单个知识点提供</w:t>
            </w:r>
          </w:p>
          <w:p w14:paraId="6D83B330">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实操所包含的操作平台，包含技能点数、单个知识点总成绩及</w:t>
            </w:r>
          </w:p>
          <w:p w14:paraId="6CDD3F9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知识点下所有技能点训练平台、实操数、成绩的详细清单。整</w:t>
            </w:r>
          </w:p>
          <w:p w14:paraId="130A440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体学习报告按照百分制提供学生和教师，学习报告支持学生阶</w:t>
            </w:r>
          </w:p>
          <w:p w14:paraId="7B85AB2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段性生成查看，并保存历史记录，便于学生或教师跟踪学生单</w:t>
            </w:r>
          </w:p>
          <w:p w14:paraId="734CC1C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个知识点或整体学习情况。</w:t>
            </w:r>
          </w:p>
          <w:p w14:paraId="57AE92B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7．平台支持学生在课程学习过程中对课程进行评价，支持对他</w:t>
            </w:r>
          </w:p>
          <w:p w14:paraId="3B84737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人评价进行点赞操作。</w:t>
            </w:r>
          </w:p>
          <w:p w14:paraId="3DFEC79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8．平台核心技能包含有设计类、运营类、销售类和供应链管理</w:t>
            </w:r>
          </w:p>
          <w:p w14:paraId="647DA4B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类等多个技能方向，涉及跨境平台包括有亚马逊、速卖通、</w:t>
            </w:r>
          </w:p>
          <w:p w14:paraId="3637353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Wish。平台单个核心知识点任务包括操作要求、考核要求、计</w:t>
            </w:r>
          </w:p>
          <w:p w14:paraId="5C918670">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分规则和背景资料，每个任务都配备了独立的计分考核模块，</w:t>
            </w:r>
          </w:p>
          <w:p w14:paraId="7BBEE05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平台保留学生各个技能点操作历史成绩，学生对单个技能点可</w:t>
            </w:r>
          </w:p>
          <w:p w14:paraId="2CEA326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多次重复操作。任务背景资料会根据学生操作情况进行动态变</w:t>
            </w:r>
          </w:p>
          <w:p w14:paraId="349F264B">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化，并非一成不变，增加学生操作难度。</w:t>
            </w:r>
          </w:p>
          <w:p w14:paraId="3AAE3B03">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9．速卖通平台认知须提供视频和实操两种形式供学生练习。实</w:t>
            </w:r>
          </w:p>
          <w:p w14:paraId="1A01441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操包括速卖通平台认识和平台入驻两个任务。平台认识通过界</w:t>
            </w:r>
          </w:p>
          <w:p w14:paraId="079058D3">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面板块介绍模式展示速卖通买家前台、商品详情页和卖家后台</w:t>
            </w:r>
          </w:p>
          <w:p w14:paraId="7F98883B">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三个速卖通主要页面的基本组成和基本功能。速卖通平台入驻</w:t>
            </w:r>
          </w:p>
          <w:p w14:paraId="7631DAB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实操任务由平台提供背景资料，学生在熟悉和分析背景资料信</w:t>
            </w:r>
          </w:p>
          <w:p w14:paraId="0F06433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息基础上完成速卖通平台卖家账户开通、完成类目申请、申请</w:t>
            </w:r>
          </w:p>
          <w:p w14:paraId="1D65254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品牌和开通店铺。速卖通入驻背景资料须提供企业基本信息、</w:t>
            </w:r>
          </w:p>
          <w:p w14:paraId="73213C0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法人信息、个人银行账户信息、证件照片、企业品牌信息和企</w:t>
            </w:r>
          </w:p>
          <w:p w14:paraId="5FB5BED2">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业产品信息。其中企业品牌信息和企业产品信息为动态信息，</w:t>
            </w:r>
          </w:p>
          <w:p w14:paraId="246AF14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在不同任务中从资料库中抽取组合，学生需要根据资料中的固</w:t>
            </w:r>
          </w:p>
          <w:p w14:paraId="3F88181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定信息和动态信息确定店铺合适的类目、合适的店铺类型。任</w:t>
            </w:r>
          </w:p>
          <w:p w14:paraId="144B8B0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务完成后平台需给出任务评分，评分通过账户注册、身份验证</w:t>
            </w:r>
          </w:p>
          <w:p w14:paraId="7319C01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、类目入驻、注册新商标、申请品牌和设置店铺类型6个维度上</w:t>
            </w:r>
          </w:p>
          <w:p w14:paraId="177E261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对入驻过程进行考核。</w:t>
            </w:r>
          </w:p>
          <w:p w14:paraId="4F8E0C2B">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10. 亚马逊平台认知须提供视频和实操两种形式供学生练习。</w:t>
            </w:r>
          </w:p>
          <w:p w14:paraId="2216689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实操包括亚马逊平台认识和平台入驻两个任务。平台认识通过</w:t>
            </w:r>
          </w:p>
          <w:p w14:paraId="6858B41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界面板块介绍模式展示亚马逊买家前台、商品详情页和卖家后</w:t>
            </w:r>
          </w:p>
          <w:p w14:paraId="5E02C49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台三个亚马逊主要页面的基本组成和基本功能。亚马逊平台入驻实操任务由平台提供背景资料，学生在熟悉背景资料信息基</w:t>
            </w:r>
          </w:p>
          <w:p w14:paraId="1675790B">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础上完成亚马逊平台卖家账户注册过程。亚马逊入驻背景资料</w:t>
            </w:r>
          </w:p>
          <w:p w14:paraId="4BD8514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须提供企业基本信息、法人信息、个人银行账户信息、及店铺</w:t>
            </w:r>
          </w:p>
          <w:p w14:paraId="6B1A599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注册开通过程中所需的店铺名称等辅助信息和证件照片。其中</w:t>
            </w:r>
          </w:p>
          <w:p w14:paraId="2EA53C8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证件照片须包含水费账单、电费账单和燃气费账单三种样单。</w:t>
            </w:r>
          </w:p>
          <w:p w14:paraId="6AF181B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任务完成后平台需给出任务评分，评分通过账户注册、商业信</w:t>
            </w:r>
          </w:p>
          <w:p w14:paraId="300AFC0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息、企业信息、主要联系人信息、银行账户信息、信用卡信息</w:t>
            </w:r>
          </w:p>
          <w:p w14:paraId="428C9CC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、店铺名称、视频验证信息和地址验证信息等多个方面进行评</w:t>
            </w:r>
          </w:p>
          <w:p w14:paraId="476D294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价。</w:t>
            </w:r>
          </w:p>
          <w:p w14:paraId="7BA49F8B">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11.Wish平台认知须提供视频形式资源供学生学习认识Wish跨境</w:t>
            </w:r>
          </w:p>
          <w:p w14:paraId="2147031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电商平台，内容须包含Wish平台发展史、平台特点、平台优势</w:t>
            </w:r>
          </w:p>
          <w:p w14:paraId="58A7EA0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、平台缺点、收结汇方式和物流方式等几个方面。</w:t>
            </w:r>
          </w:p>
          <w:p w14:paraId="7CDA6B10">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12．平台支持对跨境平台的商品运营细分类目训练、商品标题</w:t>
            </w:r>
          </w:p>
          <w:p w14:paraId="01A8164B">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训练、商品主图训练、商品价格训练、商品关键词训练及商品</w:t>
            </w:r>
          </w:p>
          <w:p w14:paraId="34A79030">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综合发布刊登训练。</w:t>
            </w:r>
          </w:p>
          <w:p w14:paraId="145AFCB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①商品运营细分类目训练平台提供不同种类货源商品信息，学</w:t>
            </w:r>
          </w:p>
          <w:p w14:paraId="31AAFA1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生根据商品标题、商品图片、商品规格属性及商品详情信息判</w:t>
            </w:r>
          </w:p>
          <w:p w14:paraId="5CFDAA9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断出在目标平台合适的发布类目，题目提交后平台给出参考类</w:t>
            </w:r>
          </w:p>
          <w:p w14:paraId="2623F100">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目，及对应题目货源商品在目标平台发布后的详细展示信息。</w:t>
            </w:r>
          </w:p>
          <w:p w14:paraId="0EF1BE2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②商品价格训练能够以递进的方式展示商品采购价、国际物流</w:t>
            </w:r>
          </w:p>
          <w:p w14:paraId="1DAAF6C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费用、平台佣金、平台运营成本、目标利润和竞争对手定价在</w:t>
            </w:r>
          </w:p>
          <w:p w14:paraId="3E2040E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商品定价上所起的作用，通过价格训练让学生了解如何考虑商</w:t>
            </w:r>
          </w:p>
          <w:p w14:paraId="7E98F29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品在跨境平台上进行定价。</w:t>
            </w:r>
          </w:p>
          <w:p w14:paraId="4D51121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③商品主图训练提供速卖通、亚马逊商品违规及推荐图片库，</w:t>
            </w:r>
          </w:p>
          <w:p w14:paraId="44CB944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图片商品涉及多种行业，通过图片直观的展示出不符合平台要</w:t>
            </w:r>
          </w:p>
          <w:p w14:paraId="699DC61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求的图片类型，以试题的形式让学生查找符合要求的图片或识</w:t>
            </w:r>
          </w:p>
          <w:p w14:paraId="3D9EE3C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别图片违规点，从而让学生熟悉平台商品图片要求。</w:t>
            </w:r>
          </w:p>
          <w:p w14:paraId="743BADE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④商品综合训练提供不同种类的背景商品信息，学生可查看背</w:t>
            </w:r>
          </w:p>
          <w:p w14:paraId="65D71EE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景商品信息详情页，并根据目标平台发布商品流程填写各项信</w:t>
            </w:r>
          </w:p>
          <w:p w14:paraId="77993BD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息，产品发布后平台能够从发布类目、标题撰写、规格设置、</w:t>
            </w:r>
          </w:p>
          <w:p w14:paraId="0849809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主图、价格和详情设置等方面进行自动评价生成产品质量分。</w:t>
            </w:r>
          </w:p>
          <w:p w14:paraId="48D6D0D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13．平台支持从跨境物流费用认识计算、跨境物流方案筛选、</w:t>
            </w:r>
          </w:p>
          <w:p w14:paraId="18BEA5BB">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跨境物流模板设计及亚马逊物流FBA操作等多个实操任务点。物流方案考核因素包括国际物流的限重、货值要求、体积重、体积重系数、货物特性、商品物流信息。平台支持物流方案计费</w:t>
            </w:r>
          </w:p>
          <w:p w14:paraId="70B3B1A3">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过程的自动展示便于学生学习，修正错误。</w:t>
            </w:r>
          </w:p>
          <w:p w14:paraId="1C562A3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14．平台支持亚马逊物流（FBA）全过程训练，支持产品由卖家</w:t>
            </w:r>
          </w:p>
          <w:p w14:paraId="1A37EF3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自配送与亚马逊配送的实时转换，模拟FBA多仓库的货件分配。</w:t>
            </w:r>
          </w:p>
          <w:p w14:paraId="729142A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模拟亚马逊FBA货件计划创建过程包括产品选择、配送方式转换</w:t>
            </w:r>
          </w:p>
          <w:p w14:paraId="024C135B">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、危险品信息确认、发货地址设置和产品包装信息设置、创建</w:t>
            </w:r>
          </w:p>
          <w:p w14:paraId="07F2E4C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运输计划、预处理商品、商品贴标设置、货件检查、预处理货</w:t>
            </w:r>
          </w:p>
          <w:p w14:paraId="21454C1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件、货件运单号跟踪码提交等步骤。</w:t>
            </w:r>
          </w:p>
          <w:p w14:paraId="1AC6CE9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15．平台支持对跨境电商店铺运营过程中的客户服务进行实操</w:t>
            </w:r>
          </w:p>
          <w:p w14:paraId="787B5D0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演练，支持售前、售中、售后和纠纷四种类型的客服训练，包</w:t>
            </w:r>
          </w:p>
          <w:p w14:paraId="132D929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括有买家家浏览店铺、买家询问商品价格和库存、买家下单未</w:t>
            </w:r>
          </w:p>
          <w:p w14:paraId="350077E3">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付款、买家要求订单折扣、买家由于店铺没有好评有疑问、向</w:t>
            </w:r>
          </w:p>
          <w:p w14:paraId="1FFCCC8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买家索取好评、买家收货商品损坏及买家开纠纷如何应对训练</w:t>
            </w:r>
          </w:p>
          <w:p w14:paraId="76D3F7A3">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w:t>
            </w:r>
          </w:p>
          <w:p w14:paraId="2C07AA3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16．平台支持学生从消费者路径进行营销路径认识，包括消费</w:t>
            </w:r>
          </w:p>
          <w:p w14:paraId="1534F1E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者需求、平台搜索、产品浏览、客服咨询、下单支付、物流配</w:t>
            </w:r>
          </w:p>
          <w:p w14:paraId="63C10A7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送、收货查验、订单评价、售后整个过程的营销重心。</w:t>
            </w:r>
          </w:p>
          <w:p w14:paraId="412EE6D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17．平台支持学生以卖家角色训练自主营销包括单品折扣、满</w:t>
            </w:r>
          </w:p>
          <w:p w14:paraId="1FBA404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减活动、店铺code和互动活动等。单一任务平台给出详细动态</w:t>
            </w:r>
          </w:p>
          <w:p w14:paraId="34E871A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任务背景信息，包括商品、营销时间等具体要求，并在任务完</w:t>
            </w:r>
          </w:p>
          <w:p w14:paraId="5938353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成后能够从活动类型、活动时间、活动适用范围、或适用国家</w:t>
            </w:r>
          </w:p>
          <w:p w14:paraId="2B24BF6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、活动力度设置等核心项目进行自动评分。</w:t>
            </w:r>
          </w:p>
          <w:p w14:paraId="016FB5F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18．平台支持对直通车进行训练，包括速卖通数字营销产品认</w:t>
            </w:r>
          </w:p>
          <w:p w14:paraId="573C8BB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识、速卖通直通车广告位认识、直通车广告位费用计算训练、</w:t>
            </w:r>
          </w:p>
          <w:p w14:paraId="0C2C56A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直通车推广活动选择训练、直通车重点推广计划创建训练、速</w:t>
            </w:r>
          </w:p>
          <w:p w14:paraId="15551F90">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卖通平台活动及大促、速卖通营销钻展活动创建、速卖通营销</w:t>
            </w:r>
          </w:p>
          <w:p w14:paraId="7EC978E2">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灵犀推荐活动创建、速卖通平台大促活动入围报名。直通车广</w:t>
            </w:r>
          </w:p>
          <w:p w14:paraId="3E6A4C0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告位及费用训练支持PC、APP两个端口的训练。</w:t>
            </w:r>
          </w:p>
          <w:p w14:paraId="4D77609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19．平台支持亚马逊广告活动创建训练，提供自动投放和手动</w:t>
            </w:r>
          </w:p>
          <w:p w14:paraId="7B53D1B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投放定向策略，支持动态竞价-仅降低、动态竞价-提高和降低</w:t>
            </w:r>
          </w:p>
          <w:p w14:paraId="7F12CEE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和固定竞价三种广告活动竞价策略，支持根据商品名称或ASIN</w:t>
            </w:r>
          </w:p>
          <w:p w14:paraId="2335428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进行筛查商品，支持否定关键词和否定商品设置。</w:t>
            </w:r>
          </w:p>
          <w:p w14:paraId="07FF47D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20．平台支持跨境平台店铺运营数据和市场数据分析解读。包</w:t>
            </w:r>
          </w:p>
          <w:p w14:paraId="5DC5E48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括生意参谋模块认识、生意参谋实时数据解读、生意参谋流量积重系数、货物特性、商品物流信息。平台支持物流方案计费</w:t>
            </w:r>
          </w:p>
          <w:p w14:paraId="6B1FD61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过程的自动展示便于学生学习，修正错误。</w:t>
            </w:r>
          </w:p>
          <w:p w14:paraId="10649D5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21．平台支持学生对课程学习的学习报告进行手动生成，支持</w:t>
            </w:r>
          </w:p>
          <w:p w14:paraId="510E5F93">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学习包括的历史数据查看，支持学习报告的导出。报告汇总技</w:t>
            </w:r>
          </w:p>
          <w:p w14:paraId="68BE3732">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能模块、知识点、技能点、技能实操数的学习数量，课件学习</w:t>
            </w:r>
          </w:p>
          <w:p w14:paraId="134B7666">
            <w:pPr>
              <w:widowControl/>
              <w:jc w:val="left"/>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数、考试成绩以及各个技能点详细得分记录。</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14:paraId="18124671">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1</w:t>
            </w:r>
          </w:p>
        </w:tc>
        <w:tc>
          <w:tcPr>
            <w:tcW w:w="567" w:type="dxa"/>
            <w:vMerge w:val="restart"/>
            <w:tcBorders>
              <w:top w:val="nil"/>
              <w:left w:val="single" w:color="auto" w:sz="4" w:space="0"/>
              <w:bottom w:val="single" w:color="000000" w:sz="4" w:space="0"/>
              <w:right w:val="single" w:color="auto" w:sz="4" w:space="0"/>
            </w:tcBorders>
            <w:shd w:val="clear" w:color="auto" w:fill="auto"/>
            <w:vAlign w:val="center"/>
          </w:tcPr>
          <w:p w14:paraId="7968200F">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套</w:t>
            </w:r>
          </w:p>
        </w:tc>
        <w:tc>
          <w:tcPr>
            <w:tcW w:w="684" w:type="dxa"/>
            <w:vMerge w:val="restart"/>
            <w:tcBorders>
              <w:top w:val="nil"/>
              <w:left w:val="single" w:color="auto" w:sz="4" w:space="0"/>
              <w:bottom w:val="single" w:color="auto" w:sz="4" w:space="0"/>
              <w:right w:val="single" w:color="auto" w:sz="4" w:space="0"/>
            </w:tcBorders>
            <w:shd w:val="clear" w:color="auto" w:fill="auto"/>
            <w:vAlign w:val="center"/>
          </w:tcPr>
          <w:p w14:paraId="30746570">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56796A69">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654DF705">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6BFCBC31">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32D3EB4D">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315B1C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8B2AEA7">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3BCCA022">
            <w:pPr>
              <w:widowControl/>
              <w:jc w:val="left"/>
              <w:textAlignment w:val="auto"/>
              <w:rPr>
                <w:rFonts w:ascii="宋体" w:hAnsi="宋体" w:eastAsia="宋体" w:cs="宋体"/>
                <w:color w:val="000000"/>
                <w:kern w:val="0"/>
                <w:sz w:val="19"/>
                <w:szCs w:val="19"/>
              </w:rPr>
            </w:pPr>
          </w:p>
        </w:tc>
      </w:tr>
      <w:tr w14:paraId="44C52464">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42AF916">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D8E08D7">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7E30AC6">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92D0144">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6E492C4">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0FAE61EA">
            <w:pPr>
              <w:widowControl/>
              <w:jc w:val="left"/>
              <w:textAlignment w:val="auto"/>
              <w:rPr>
                <w:rFonts w:ascii="宋体" w:hAnsi="宋体" w:eastAsia="宋体" w:cs="宋体"/>
                <w:color w:val="000000"/>
                <w:kern w:val="0"/>
                <w:sz w:val="19"/>
                <w:szCs w:val="19"/>
              </w:rPr>
            </w:pPr>
          </w:p>
        </w:tc>
      </w:tr>
      <w:tr w14:paraId="47360B0A">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56B676B">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3CD374B">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1A4F2C9">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E33A06A">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A25656E">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69C2BBF3">
            <w:pPr>
              <w:widowControl/>
              <w:jc w:val="left"/>
              <w:textAlignment w:val="auto"/>
              <w:rPr>
                <w:rFonts w:ascii="宋体" w:hAnsi="宋体" w:eastAsia="宋体" w:cs="宋体"/>
                <w:color w:val="000000"/>
                <w:kern w:val="0"/>
                <w:sz w:val="19"/>
                <w:szCs w:val="19"/>
              </w:rPr>
            </w:pPr>
          </w:p>
        </w:tc>
      </w:tr>
      <w:tr w14:paraId="178155E3">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0F96D11">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60D31E3">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71AA6C03">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0B7F9A5">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55B2FB6">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542AF5EA">
            <w:pPr>
              <w:widowControl/>
              <w:jc w:val="left"/>
              <w:textAlignment w:val="auto"/>
              <w:rPr>
                <w:rFonts w:ascii="宋体" w:hAnsi="宋体" w:eastAsia="宋体" w:cs="宋体"/>
                <w:color w:val="000000"/>
                <w:kern w:val="0"/>
                <w:sz w:val="19"/>
                <w:szCs w:val="19"/>
              </w:rPr>
            </w:pPr>
          </w:p>
        </w:tc>
      </w:tr>
      <w:tr w14:paraId="1081E3E7">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450D6A3">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37AA414">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009EB080">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1D9D6D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F64D726">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2618FB79">
            <w:pPr>
              <w:widowControl/>
              <w:jc w:val="left"/>
              <w:textAlignment w:val="auto"/>
              <w:rPr>
                <w:rFonts w:ascii="宋体" w:hAnsi="宋体" w:eastAsia="宋体" w:cs="宋体"/>
                <w:color w:val="000000"/>
                <w:kern w:val="0"/>
                <w:sz w:val="19"/>
                <w:szCs w:val="19"/>
              </w:rPr>
            </w:pPr>
          </w:p>
        </w:tc>
      </w:tr>
      <w:tr w14:paraId="2D0F0920">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0E7CB8A">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0AD649D">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7CD5F767">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2F9495C">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6061AEF">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5C5B925A">
            <w:pPr>
              <w:widowControl/>
              <w:jc w:val="left"/>
              <w:textAlignment w:val="auto"/>
              <w:rPr>
                <w:rFonts w:ascii="宋体" w:hAnsi="宋体" w:eastAsia="宋体" w:cs="宋体"/>
                <w:color w:val="000000"/>
                <w:kern w:val="0"/>
                <w:sz w:val="19"/>
                <w:szCs w:val="19"/>
              </w:rPr>
            </w:pPr>
          </w:p>
        </w:tc>
      </w:tr>
      <w:tr w14:paraId="0B824FA0">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13BFE6D">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951952B">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18069407">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B5D36F5">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B02D595">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26BEC35E">
            <w:pPr>
              <w:widowControl/>
              <w:jc w:val="left"/>
              <w:textAlignment w:val="auto"/>
              <w:rPr>
                <w:rFonts w:ascii="宋体" w:hAnsi="宋体" w:eastAsia="宋体" w:cs="宋体"/>
                <w:color w:val="000000"/>
                <w:kern w:val="0"/>
                <w:sz w:val="19"/>
                <w:szCs w:val="19"/>
              </w:rPr>
            </w:pPr>
          </w:p>
        </w:tc>
      </w:tr>
      <w:tr w14:paraId="1A3AFEA3">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C2DE2B7">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65F34C09">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124812B4">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75FCAA5">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A1129F6">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60DF4637">
            <w:pPr>
              <w:widowControl/>
              <w:jc w:val="left"/>
              <w:textAlignment w:val="auto"/>
              <w:rPr>
                <w:rFonts w:ascii="宋体" w:hAnsi="宋体" w:eastAsia="宋体" w:cs="宋体"/>
                <w:color w:val="000000"/>
                <w:kern w:val="0"/>
                <w:sz w:val="19"/>
                <w:szCs w:val="19"/>
              </w:rPr>
            </w:pPr>
          </w:p>
        </w:tc>
      </w:tr>
      <w:tr w14:paraId="0F02715A">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9425498">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6F3EB37E">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28C5C99">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DEB902E">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723595A">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56DAAD17">
            <w:pPr>
              <w:widowControl/>
              <w:jc w:val="left"/>
              <w:textAlignment w:val="auto"/>
              <w:rPr>
                <w:rFonts w:ascii="宋体" w:hAnsi="宋体" w:eastAsia="宋体" w:cs="宋体"/>
                <w:color w:val="000000"/>
                <w:kern w:val="0"/>
                <w:sz w:val="19"/>
                <w:szCs w:val="19"/>
              </w:rPr>
            </w:pPr>
          </w:p>
        </w:tc>
      </w:tr>
      <w:tr w14:paraId="16F0C967">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420055A">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D4915CF">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1466291E">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4E98FB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57E69A4">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174D6B7B">
            <w:pPr>
              <w:widowControl/>
              <w:jc w:val="left"/>
              <w:textAlignment w:val="auto"/>
              <w:rPr>
                <w:rFonts w:ascii="宋体" w:hAnsi="宋体" w:eastAsia="宋体" w:cs="宋体"/>
                <w:color w:val="000000"/>
                <w:kern w:val="0"/>
                <w:sz w:val="19"/>
                <w:szCs w:val="19"/>
              </w:rPr>
            </w:pPr>
          </w:p>
        </w:tc>
      </w:tr>
      <w:tr w14:paraId="6BBBD1E8">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5C3B01F4">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2C48D6B3">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4C448B2">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97B8E76">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7A512FA">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71787DA4">
            <w:pPr>
              <w:widowControl/>
              <w:jc w:val="left"/>
              <w:textAlignment w:val="auto"/>
              <w:rPr>
                <w:rFonts w:ascii="宋体" w:hAnsi="宋体" w:eastAsia="宋体" w:cs="宋体"/>
                <w:color w:val="000000"/>
                <w:kern w:val="0"/>
                <w:sz w:val="19"/>
                <w:szCs w:val="19"/>
              </w:rPr>
            </w:pPr>
          </w:p>
        </w:tc>
      </w:tr>
      <w:tr w14:paraId="03E8D3D9">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2F3910E">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D71945C">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03D46357">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AF4CA8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EC5EC05">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018A3956">
            <w:pPr>
              <w:widowControl/>
              <w:jc w:val="left"/>
              <w:textAlignment w:val="auto"/>
              <w:rPr>
                <w:rFonts w:ascii="宋体" w:hAnsi="宋体" w:eastAsia="宋体" w:cs="宋体"/>
                <w:color w:val="000000"/>
                <w:kern w:val="0"/>
                <w:sz w:val="19"/>
                <w:szCs w:val="19"/>
              </w:rPr>
            </w:pPr>
          </w:p>
        </w:tc>
      </w:tr>
      <w:tr w14:paraId="158BD31A">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230A74D">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EBC9232">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E84FDB4">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90E055A">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D747109">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042A032A">
            <w:pPr>
              <w:widowControl/>
              <w:jc w:val="left"/>
              <w:textAlignment w:val="auto"/>
              <w:rPr>
                <w:rFonts w:ascii="宋体" w:hAnsi="宋体" w:eastAsia="宋体" w:cs="宋体"/>
                <w:color w:val="000000"/>
                <w:kern w:val="0"/>
                <w:sz w:val="19"/>
                <w:szCs w:val="19"/>
              </w:rPr>
            </w:pPr>
          </w:p>
        </w:tc>
      </w:tr>
      <w:tr w14:paraId="0F5DE65D">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582EC97E">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AE8AD9B">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60068D69">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E5E5C50">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9C63695">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73081C69">
            <w:pPr>
              <w:widowControl/>
              <w:jc w:val="left"/>
              <w:textAlignment w:val="auto"/>
              <w:rPr>
                <w:rFonts w:ascii="宋体" w:hAnsi="宋体" w:eastAsia="宋体" w:cs="宋体"/>
                <w:color w:val="000000"/>
                <w:kern w:val="0"/>
                <w:sz w:val="19"/>
                <w:szCs w:val="19"/>
              </w:rPr>
            </w:pPr>
          </w:p>
        </w:tc>
      </w:tr>
      <w:tr w14:paraId="210763FB">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A550F9E">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5931616">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19039F14">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16FC62E">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F76E0C1">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2BDA054C">
            <w:pPr>
              <w:widowControl/>
              <w:jc w:val="left"/>
              <w:textAlignment w:val="auto"/>
              <w:rPr>
                <w:rFonts w:ascii="宋体" w:hAnsi="宋体" w:eastAsia="宋体" w:cs="宋体"/>
                <w:color w:val="000000"/>
                <w:kern w:val="0"/>
                <w:sz w:val="19"/>
                <w:szCs w:val="19"/>
              </w:rPr>
            </w:pPr>
          </w:p>
        </w:tc>
      </w:tr>
      <w:tr w14:paraId="13703ABF">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53AD999E">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6C2DEAB1">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2D66B674">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3749F96">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DE8523D">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2AE5D7E3">
            <w:pPr>
              <w:widowControl/>
              <w:jc w:val="left"/>
              <w:textAlignment w:val="auto"/>
              <w:rPr>
                <w:rFonts w:ascii="宋体" w:hAnsi="宋体" w:eastAsia="宋体" w:cs="宋体"/>
                <w:color w:val="000000"/>
                <w:kern w:val="0"/>
                <w:sz w:val="19"/>
                <w:szCs w:val="19"/>
              </w:rPr>
            </w:pPr>
          </w:p>
        </w:tc>
      </w:tr>
      <w:tr w14:paraId="4E67267F">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4CB1757">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974DB88">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63BFF8D9">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0D1A7C2">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B51D493">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14E57806">
            <w:pPr>
              <w:widowControl/>
              <w:jc w:val="left"/>
              <w:textAlignment w:val="auto"/>
              <w:rPr>
                <w:rFonts w:ascii="宋体" w:hAnsi="宋体" w:eastAsia="宋体" w:cs="宋体"/>
                <w:color w:val="000000"/>
                <w:kern w:val="0"/>
                <w:sz w:val="19"/>
                <w:szCs w:val="19"/>
              </w:rPr>
            </w:pPr>
          </w:p>
        </w:tc>
      </w:tr>
      <w:tr w14:paraId="69FB394C">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382A371">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D426A56">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F1F5384">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C1E3E24">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7469E39">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74AB78E0">
            <w:pPr>
              <w:widowControl/>
              <w:jc w:val="left"/>
              <w:textAlignment w:val="auto"/>
              <w:rPr>
                <w:rFonts w:ascii="宋体" w:hAnsi="宋体" w:eastAsia="宋体" w:cs="宋体"/>
                <w:color w:val="000000"/>
                <w:kern w:val="0"/>
                <w:sz w:val="19"/>
                <w:szCs w:val="19"/>
              </w:rPr>
            </w:pPr>
          </w:p>
        </w:tc>
      </w:tr>
      <w:tr w14:paraId="7A87517E">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62F5A355">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92C8E77">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0610D7D4">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95E2384">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7CF1F57">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3CA6EC02">
            <w:pPr>
              <w:widowControl/>
              <w:jc w:val="left"/>
              <w:textAlignment w:val="auto"/>
              <w:rPr>
                <w:rFonts w:ascii="宋体" w:hAnsi="宋体" w:eastAsia="宋体" w:cs="宋体"/>
                <w:color w:val="000000"/>
                <w:kern w:val="0"/>
                <w:sz w:val="19"/>
                <w:szCs w:val="19"/>
              </w:rPr>
            </w:pPr>
          </w:p>
        </w:tc>
      </w:tr>
      <w:tr w14:paraId="57929076">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605AF152">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5CEB886">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71DA9A98">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6C86BB5">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2E807E0">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1E174D32">
            <w:pPr>
              <w:widowControl/>
              <w:jc w:val="left"/>
              <w:textAlignment w:val="auto"/>
              <w:rPr>
                <w:rFonts w:ascii="宋体" w:hAnsi="宋体" w:eastAsia="宋体" w:cs="宋体"/>
                <w:color w:val="000000"/>
                <w:kern w:val="0"/>
                <w:sz w:val="19"/>
                <w:szCs w:val="19"/>
              </w:rPr>
            </w:pPr>
          </w:p>
        </w:tc>
      </w:tr>
      <w:tr w14:paraId="43EBB5C4">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6DDAA7AB">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64EC6AB9">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D75F2AD">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5BC124B">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783EEDE">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6C3F0AB0">
            <w:pPr>
              <w:widowControl/>
              <w:jc w:val="left"/>
              <w:textAlignment w:val="auto"/>
              <w:rPr>
                <w:rFonts w:ascii="宋体" w:hAnsi="宋体" w:eastAsia="宋体" w:cs="宋体"/>
                <w:color w:val="000000"/>
                <w:kern w:val="0"/>
                <w:sz w:val="19"/>
                <w:szCs w:val="19"/>
              </w:rPr>
            </w:pPr>
          </w:p>
        </w:tc>
      </w:tr>
      <w:tr w14:paraId="46E9700F">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B7B7CF4">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BCD9520">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0F11324">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0136A50">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3AA2A9E">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67136C22">
            <w:pPr>
              <w:widowControl/>
              <w:jc w:val="left"/>
              <w:textAlignment w:val="auto"/>
              <w:rPr>
                <w:rFonts w:ascii="宋体" w:hAnsi="宋体" w:eastAsia="宋体" w:cs="宋体"/>
                <w:color w:val="000000"/>
                <w:kern w:val="0"/>
                <w:sz w:val="19"/>
                <w:szCs w:val="19"/>
              </w:rPr>
            </w:pPr>
          </w:p>
        </w:tc>
      </w:tr>
      <w:tr w14:paraId="210A8E24">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21F234B">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A2BB823">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A2C2849">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4D86147">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6A22964">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32D4AC26">
            <w:pPr>
              <w:widowControl/>
              <w:jc w:val="left"/>
              <w:textAlignment w:val="auto"/>
              <w:rPr>
                <w:rFonts w:ascii="宋体" w:hAnsi="宋体" w:eastAsia="宋体" w:cs="宋体"/>
                <w:color w:val="000000"/>
                <w:kern w:val="0"/>
                <w:sz w:val="19"/>
                <w:szCs w:val="19"/>
              </w:rPr>
            </w:pPr>
          </w:p>
        </w:tc>
      </w:tr>
      <w:tr w14:paraId="7DE06DED">
        <w:tblPrEx>
          <w:tblCellMar>
            <w:top w:w="0" w:type="dxa"/>
            <w:left w:w="108" w:type="dxa"/>
            <w:bottom w:w="0" w:type="dxa"/>
            <w:right w:w="108" w:type="dxa"/>
          </w:tblCellMar>
        </w:tblPrEx>
        <w:trPr>
          <w:gridAfter w:val="1"/>
          <w:wAfter w:w="24" w:type="dxa"/>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3935225">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6E96472D">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0BBF9479">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793EE5B">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3F3EC2D">
            <w:pPr>
              <w:widowControl/>
              <w:jc w:val="left"/>
              <w:textAlignment w:val="auto"/>
              <w:rPr>
                <w:rFonts w:ascii="宋体" w:hAnsi="宋体" w:eastAsia="宋体" w:cs="宋体"/>
                <w:color w:val="000000"/>
                <w:kern w:val="0"/>
                <w:sz w:val="19"/>
                <w:szCs w:val="19"/>
              </w:rPr>
            </w:pPr>
          </w:p>
        </w:tc>
        <w:tc>
          <w:tcPr>
            <w:tcW w:w="684" w:type="dxa"/>
            <w:vMerge w:val="continue"/>
            <w:tcBorders>
              <w:top w:val="nil"/>
              <w:left w:val="single" w:color="auto" w:sz="4" w:space="0"/>
              <w:bottom w:val="single" w:color="auto" w:sz="4" w:space="0"/>
              <w:right w:val="single" w:color="auto" w:sz="4" w:space="0"/>
            </w:tcBorders>
            <w:vAlign w:val="center"/>
          </w:tcPr>
          <w:p w14:paraId="68A22AB4">
            <w:pPr>
              <w:widowControl/>
              <w:jc w:val="left"/>
              <w:textAlignment w:val="auto"/>
              <w:rPr>
                <w:rFonts w:ascii="宋体" w:hAnsi="宋体" w:eastAsia="宋体" w:cs="宋体"/>
                <w:color w:val="000000"/>
                <w:kern w:val="0"/>
                <w:sz w:val="19"/>
                <w:szCs w:val="19"/>
              </w:rPr>
            </w:pPr>
          </w:p>
        </w:tc>
      </w:tr>
      <w:tr w14:paraId="0E2885D1">
        <w:tblPrEx>
          <w:tblCellMar>
            <w:top w:w="0" w:type="dxa"/>
            <w:left w:w="108" w:type="dxa"/>
            <w:bottom w:w="0" w:type="dxa"/>
            <w:right w:w="108" w:type="dxa"/>
          </w:tblCellMar>
        </w:tblPrEx>
        <w:trPr>
          <w:trHeight w:val="259" w:hRule="atLeast"/>
        </w:trPr>
        <w:tc>
          <w:tcPr>
            <w:tcW w:w="675" w:type="dxa"/>
            <w:vMerge w:val="restart"/>
            <w:tcBorders>
              <w:top w:val="nil"/>
              <w:left w:val="single" w:color="auto" w:sz="4" w:space="0"/>
              <w:bottom w:val="single" w:color="auto" w:sz="4" w:space="0"/>
              <w:right w:val="single" w:color="auto" w:sz="4" w:space="0"/>
            </w:tcBorders>
            <w:shd w:val="clear" w:color="auto" w:fill="auto"/>
            <w:vAlign w:val="center"/>
          </w:tcPr>
          <w:p w14:paraId="5AAAE99C">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2</w:t>
            </w:r>
          </w:p>
        </w:tc>
        <w:tc>
          <w:tcPr>
            <w:tcW w:w="851" w:type="dxa"/>
            <w:vMerge w:val="restart"/>
            <w:tcBorders>
              <w:top w:val="nil"/>
              <w:left w:val="single" w:color="auto" w:sz="4" w:space="0"/>
              <w:bottom w:val="single" w:color="auto" w:sz="4" w:space="0"/>
              <w:right w:val="single" w:color="auto" w:sz="4" w:space="0"/>
            </w:tcBorders>
            <w:shd w:val="clear" w:color="auto" w:fill="auto"/>
            <w:vAlign w:val="center"/>
          </w:tcPr>
          <w:p w14:paraId="70693F70">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报关报检考试系统软件</w:t>
            </w:r>
          </w:p>
        </w:tc>
        <w:tc>
          <w:tcPr>
            <w:tcW w:w="5670" w:type="dxa"/>
            <w:vMerge w:val="restart"/>
            <w:tcBorders>
              <w:top w:val="nil"/>
              <w:left w:val="single" w:color="auto" w:sz="4" w:space="0"/>
              <w:bottom w:val="single" w:color="auto" w:sz="4" w:space="0"/>
              <w:right w:val="single" w:color="auto" w:sz="4" w:space="0"/>
            </w:tcBorders>
            <w:shd w:val="clear" w:color="auto" w:fill="auto"/>
            <w:vAlign w:val="center"/>
          </w:tcPr>
          <w:p w14:paraId="0EE8810F">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平台基础框架</w:t>
            </w:r>
          </w:p>
          <w:p w14:paraId="40E02614">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1．平台基于.NET的4.0框架设计开发，采用B/S架构，具有良好的易维护性和易操作性，无客户端数量限制。</w:t>
            </w:r>
          </w:p>
          <w:p w14:paraId="6F156968">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2．系统运行环境支持Windows操作系统，数据库支持MS SQL SERVER 2000/2005/2008等。用户端只需通过浏览器即可实现完整操作，且能支持目前各种主流浏览器，不需要安装任何软件或插件。用户访问数量不受限制。</w:t>
            </w:r>
          </w:p>
          <w:p w14:paraId="2BF8376E">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3．软件用户角色分为管理员、教师和学生，实现层层管理。</w:t>
            </w:r>
          </w:p>
          <w:p w14:paraId="3BD4660E">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管理员及教师功能要求</w:t>
            </w:r>
          </w:p>
          <w:p w14:paraId="1141A537">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4．系统管理员的功能必须包括教师管理、系统维护、数据备份及个人资料的修改。</w:t>
            </w:r>
          </w:p>
          <w:p w14:paraId="2CA01EEC">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5．教师的管理功能必须包括对用户的管理、实验的管理、实验的考核、基础数据的管理、个人资料的修改。</w:t>
            </w:r>
          </w:p>
          <w:p w14:paraId="12EBBCFB">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6．用户管理中可以维护班级信息，可对班级的审核方式设置为自动或手动方式；可以对学生信息进行维护管理，添加学生账号可以分为单用户添加、批量用户添加和Ｅｘｅｃｌ导入三种方式，具有密码重置功能。</w:t>
            </w:r>
          </w:p>
          <w:p w14:paraId="6AA02055">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7．在实验的管理中可以设置实验基本信息（如：实验名称、实验背景、实验要求、实验报告要求，实验类型等）、进出口货物信息、流程查看；可以查看所有实验类型的任务点，任务点信息包括任务描述，操作角色、所需单据、结果单据、前置任务等；可以查看所有类型的实验流程图；还可以根据班级、实验、角色查询，查看学生实验情况，包括学生实验业务流完成情况、完成单据、得分情况等。</w:t>
            </w:r>
          </w:p>
          <w:p w14:paraId="1BBBB811">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8．在创建实验时系统至少提供11种实验类型，可供教师在设置实验时选择。</w:t>
            </w:r>
          </w:p>
          <w:p w14:paraId="06E6AAE7">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9．实验的考核要包括操作得分设置、单据得分设置、操作得分结果查看、单据得分结果查看、习题管理、试卷管理、试卷批阅、操作日志查看、实验报告批阅、报检员在线考核等。</w:t>
            </w:r>
          </w:p>
          <w:p w14:paraId="23B414D7">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10．在操作得分设置中，教师创建实验后，系统自动为实验中各角色（外贸公司、生产企业、货代公司、报关行）得分项设置默认得分，教师可以对默认的得分进行修改操作，在实验的过程中系统能够根据学生的操作自动计算学生的操作得分。</w:t>
            </w:r>
          </w:p>
          <w:p w14:paraId="0A86F29E">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11．在单据得分设置中，教师在创建实验时，系统自动为实验的各单据设置默认操作得分，根据学生单据填写的能力，结合系统本身的单据较验功能，在得分设置中分三级得分，为一次成功得分、二次成功得分、三次及以上成功得分，教师可以对默认的得分进行修改操作，在实验的过程中系统能够根据学生的操作自动计算学生的操作得分。</w:t>
            </w:r>
          </w:p>
          <w:p w14:paraId="2ABB1238">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12．系统基础数据必须包含：包括ＨＳ编码、商品信息、监管证件代码、监管方式代码、征免性质代码、国家地区代码、城市、港口、关区代码、汇率、货币、外商公司等。</w:t>
            </w:r>
          </w:p>
          <w:p w14:paraId="610012A3">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13．系统默认提供二十类，九十六章HS编码，教师还可以根据实验需要添加相应的内容。</w:t>
            </w:r>
          </w:p>
          <w:p w14:paraId="11B90694">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学生功能要求</w:t>
            </w:r>
          </w:p>
          <w:p w14:paraId="78444A0F">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14．根据教学需要在学生端设置外贸公司、生产企业、货代公司、报关行角色，各角色相互配合，分工合作，共同完成实验业务流程。</w:t>
            </w:r>
          </w:p>
          <w:p w14:paraId="2171FCCB">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15．学生的实验信息中要显示教师设置的实验信息，需要根据实验信息完成实验业务流程、填写单据。</w:t>
            </w:r>
          </w:p>
          <w:p w14:paraId="10FA6F4D">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16．根据教师设置的不同的实验类型和实验商品，能生成不同的任务流程图。各角色的任务在流程图中使用不同的颜色加以区分。各角色根据流程图的步骤及提示，填写单据，共同完成实训任务。</w:t>
            </w:r>
          </w:p>
          <w:p w14:paraId="260DF16D">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17．在实训操作中提供文件夹功能，提供的是学生填写的单据或者是系统根据学生填写的表单，自动生成的单据。由于完成某些业务步骤需要使用的单据，可以通过文件夹发送单据。</w:t>
            </w:r>
          </w:p>
          <w:p w14:paraId="66D51756">
            <w:pPr>
              <w:widowControl/>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18．在实训操作中提供收藏夹功能，提拱的是6个辅助系统（商检电子申报系统、加工贸易企业（web）申领系统、国家外汇管理局应用服务平台、电子化手册、电子口岸执法系统、海关通关申报系统（H2000）），可以通过收藏夹的地址链接到相应的系统中处理相应的业务。</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14:paraId="12861862">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1</w:t>
            </w:r>
          </w:p>
        </w:tc>
        <w:tc>
          <w:tcPr>
            <w:tcW w:w="567" w:type="dxa"/>
            <w:vMerge w:val="restart"/>
            <w:tcBorders>
              <w:top w:val="nil"/>
              <w:left w:val="single" w:color="auto" w:sz="4" w:space="0"/>
              <w:bottom w:val="single" w:color="000000" w:sz="4" w:space="0"/>
              <w:right w:val="single" w:color="auto" w:sz="4" w:space="0"/>
            </w:tcBorders>
            <w:shd w:val="clear" w:color="auto" w:fill="auto"/>
            <w:vAlign w:val="center"/>
          </w:tcPr>
          <w:p w14:paraId="2800A0F8">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套</w:t>
            </w:r>
          </w:p>
        </w:tc>
        <w:tc>
          <w:tcPr>
            <w:tcW w:w="708"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3494B24F">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1B64E90E">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54E02261">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6D4F602">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58D3C82">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785A520">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FB9FF48">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B8FFD4E">
            <w:pPr>
              <w:widowControl/>
              <w:jc w:val="left"/>
              <w:textAlignment w:val="auto"/>
              <w:rPr>
                <w:rFonts w:ascii="宋体" w:hAnsi="宋体" w:eastAsia="宋体" w:cs="宋体"/>
                <w:color w:val="000000"/>
                <w:kern w:val="0"/>
                <w:sz w:val="19"/>
                <w:szCs w:val="19"/>
              </w:rPr>
            </w:pPr>
          </w:p>
        </w:tc>
      </w:tr>
      <w:tr w14:paraId="55F54F8D">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23B309AB">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8F6D25F">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6B25E6DF">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D99F77C">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54E2318">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4DF747E">
            <w:pPr>
              <w:widowControl/>
              <w:jc w:val="left"/>
              <w:textAlignment w:val="auto"/>
              <w:rPr>
                <w:rFonts w:ascii="宋体" w:hAnsi="宋体" w:eastAsia="宋体" w:cs="宋体"/>
                <w:color w:val="000000"/>
                <w:kern w:val="0"/>
                <w:sz w:val="19"/>
                <w:szCs w:val="19"/>
              </w:rPr>
            </w:pPr>
          </w:p>
        </w:tc>
      </w:tr>
      <w:tr w14:paraId="1C6FAF90">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53572C33">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87E4D7B">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2D9C6A55">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871B2BE">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43886B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2FF2B4C1">
            <w:pPr>
              <w:widowControl/>
              <w:jc w:val="left"/>
              <w:textAlignment w:val="auto"/>
              <w:rPr>
                <w:rFonts w:ascii="宋体" w:hAnsi="宋体" w:eastAsia="宋体" w:cs="宋体"/>
                <w:color w:val="000000"/>
                <w:kern w:val="0"/>
                <w:sz w:val="19"/>
                <w:szCs w:val="19"/>
              </w:rPr>
            </w:pPr>
          </w:p>
        </w:tc>
      </w:tr>
      <w:tr w14:paraId="0AB3D2B8">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59FF31DF">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6F04C5F3">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3A9D593">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EFF89DA">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2E10145">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AB97446">
            <w:pPr>
              <w:widowControl/>
              <w:jc w:val="left"/>
              <w:textAlignment w:val="auto"/>
              <w:rPr>
                <w:rFonts w:ascii="宋体" w:hAnsi="宋体" w:eastAsia="宋体" w:cs="宋体"/>
                <w:color w:val="000000"/>
                <w:kern w:val="0"/>
                <w:sz w:val="19"/>
                <w:szCs w:val="19"/>
              </w:rPr>
            </w:pPr>
          </w:p>
        </w:tc>
      </w:tr>
      <w:tr w14:paraId="7796E12A">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218B3AF4">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53C2B1E">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0ECA4A5C">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1C1FDE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5B0998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6A4A84C">
            <w:pPr>
              <w:widowControl/>
              <w:jc w:val="left"/>
              <w:textAlignment w:val="auto"/>
              <w:rPr>
                <w:rFonts w:ascii="宋体" w:hAnsi="宋体" w:eastAsia="宋体" w:cs="宋体"/>
                <w:color w:val="000000"/>
                <w:kern w:val="0"/>
                <w:sz w:val="19"/>
                <w:szCs w:val="19"/>
              </w:rPr>
            </w:pPr>
          </w:p>
        </w:tc>
      </w:tr>
      <w:tr w14:paraId="0AAB31BC">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E77EDE3">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EC759D0">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7FCEA04E">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3F22C97">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DA3FD27">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7991A46">
            <w:pPr>
              <w:widowControl/>
              <w:jc w:val="left"/>
              <w:textAlignment w:val="auto"/>
              <w:rPr>
                <w:rFonts w:ascii="宋体" w:hAnsi="宋体" w:eastAsia="宋体" w:cs="宋体"/>
                <w:color w:val="000000"/>
                <w:kern w:val="0"/>
                <w:sz w:val="19"/>
                <w:szCs w:val="19"/>
              </w:rPr>
            </w:pPr>
          </w:p>
        </w:tc>
      </w:tr>
      <w:tr w14:paraId="0F0000D2">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F6DA3CC">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7DD2F4E">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22E88FF2">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FC9C7C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815CDA1">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2F30E441">
            <w:pPr>
              <w:widowControl/>
              <w:jc w:val="left"/>
              <w:textAlignment w:val="auto"/>
              <w:rPr>
                <w:rFonts w:ascii="宋体" w:hAnsi="宋体" w:eastAsia="宋体" w:cs="宋体"/>
                <w:color w:val="000000"/>
                <w:kern w:val="0"/>
                <w:sz w:val="19"/>
                <w:szCs w:val="19"/>
              </w:rPr>
            </w:pPr>
          </w:p>
        </w:tc>
      </w:tr>
      <w:tr w14:paraId="440A54E3">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6E9908C5">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FDC1261">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1EDEFEE3">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D299DF6">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522F08D">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45086F1">
            <w:pPr>
              <w:widowControl/>
              <w:jc w:val="left"/>
              <w:textAlignment w:val="auto"/>
              <w:rPr>
                <w:rFonts w:ascii="宋体" w:hAnsi="宋体" w:eastAsia="宋体" w:cs="宋体"/>
                <w:color w:val="000000"/>
                <w:kern w:val="0"/>
                <w:sz w:val="19"/>
                <w:szCs w:val="19"/>
              </w:rPr>
            </w:pPr>
          </w:p>
        </w:tc>
      </w:tr>
      <w:tr w14:paraId="621E4120">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B4AA073">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14EDDAA">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2665E5F3">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7F844CD">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0A26AEC">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AF58586">
            <w:pPr>
              <w:widowControl/>
              <w:jc w:val="left"/>
              <w:textAlignment w:val="auto"/>
              <w:rPr>
                <w:rFonts w:ascii="宋体" w:hAnsi="宋体" w:eastAsia="宋体" w:cs="宋体"/>
                <w:color w:val="000000"/>
                <w:kern w:val="0"/>
                <w:sz w:val="19"/>
                <w:szCs w:val="19"/>
              </w:rPr>
            </w:pPr>
          </w:p>
        </w:tc>
      </w:tr>
      <w:tr w14:paraId="346DB217">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F94D3DA">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627CA94">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61B024D9">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7B3B7C5">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6F7DFB4">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D33412F">
            <w:pPr>
              <w:widowControl/>
              <w:jc w:val="left"/>
              <w:textAlignment w:val="auto"/>
              <w:rPr>
                <w:rFonts w:ascii="宋体" w:hAnsi="宋体" w:eastAsia="宋体" w:cs="宋体"/>
                <w:color w:val="000000"/>
                <w:kern w:val="0"/>
                <w:sz w:val="19"/>
                <w:szCs w:val="19"/>
              </w:rPr>
            </w:pPr>
          </w:p>
        </w:tc>
      </w:tr>
      <w:tr w14:paraId="7DB2627F">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801120F">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8031007">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FFD7977">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9787887">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5138519">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248B3BAA">
            <w:pPr>
              <w:widowControl/>
              <w:jc w:val="left"/>
              <w:textAlignment w:val="auto"/>
              <w:rPr>
                <w:rFonts w:ascii="宋体" w:hAnsi="宋体" w:eastAsia="宋体" w:cs="宋体"/>
                <w:color w:val="000000"/>
                <w:kern w:val="0"/>
                <w:sz w:val="19"/>
                <w:szCs w:val="19"/>
              </w:rPr>
            </w:pPr>
          </w:p>
        </w:tc>
      </w:tr>
      <w:tr w14:paraId="1E98E540">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0923EE0">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50B20FB">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44C3310">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0130347">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B7A853F">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6935DBD">
            <w:pPr>
              <w:widowControl/>
              <w:jc w:val="left"/>
              <w:textAlignment w:val="auto"/>
              <w:rPr>
                <w:rFonts w:ascii="宋体" w:hAnsi="宋体" w:eastAsia="宋体" w:cs="宋体"/>
                <w:color w:val="000000"/>
                <w:kern w:val="0"/>
                <w:sz w:val="19"/>
                <w:szCs w:val="19"/>
              </w:rPr>
            </w:pPr>
          </w:p>
        </w:tc>
      </w:tr>
      <w:tr w14:paraId="038F2E18">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2C1D0805">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C7D48B8">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3B49113B">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B96C54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4AD2CA2">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131836F">
            <w:pPr>
              <w:widowControl/>
              <w:jc w:val="left"/>
              <w:textAlignment w:val="auto"/>
              <w:rPr>
                <w:rFonts w:ascii="宋体" w:hAnsi="宋体" w:eastAsia="宋体" w:cs="宋体"/>
                <w:color w:val="000000"/>
                <w:kern w:val="0"/>
                <w:sz w:val="19"/>
                <w:szCs w:val="19"/>
              </w:rPr>
            </w:pPr>
          </w:p>
        </w:tc>
      </w:tr>
      <w:tr w14:paraId="25109841">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FCBCD7A">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21C5992">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7696AF94">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E2D8ACE">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BE6BCC7">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2090469">
            <w:pPr>
              <w:widowControl/>
              <w:jc w:val="left"/>
              <w:textAlignment w:val="auto"/>
              <w:rPr>
                <w:rFonts w:ascii="宋体" w:hAnsi="宋体" w:eastAsia="宋体" w:cs="宋体"/>
                <w:color w:val="000000"/>
                <w:kern w:val="0"/>
                <w:sz w:val="19"/>
                <w:szCs w:val="19"/>
              </w:rPr>
            </w:pPr>
          </w:p>
        </w:tc>
      </w:tr>
      <w:tr w14:paraId="75CD8562">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77368EB">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12F92EC">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24A6548">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41E568D">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F5B11D5">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1027C51">
            <w:pPr>
              <w:widowControl/>
              <w:jc w:val="left"/>
              <w:textAlignment w:val="auto"/>
              <w:rPr>
                <w:rFonts w:ascii="宋体" w:hAnsi="宋体" w:eastAsia="宋体" w:cs="宋体"/>
                <w:color w:val="000000"/>
                <w:kern w:val="0"/>
                <w:sz w:val="19"/>
                <w:szCs w:val="19"/>
              </w:rPr>
            </w:pPr>
          </w:p>
        </w:tc>
      </w:tr>
      <w:tr w14:paraId="1B35165E">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7A6886C">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21A946A">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632A1E9B">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74DEED4">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CAE5F2A">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864DC27">
            <w:pPr>
              <w:widowControl/>
              <w:jc w:val="left"/>
              <w:textAlignment w:val="auto"/>
              <w:rPr>
                <w:rFonts w:ascii="宋体" w:hAnsi="宋体" w:eastAsia="宋体" w:cs="宋体"/>
                <w:color w:val="000000"/>
                <w:kern w:val="0"/>
                <w:sz w:val="19"/>
                <w:szCs w:val="19"/>
              </w:rPr>
            </w:pPr>
          </w:p>
        </w:tc>
      </w:tr>
      <w:tr w14:paraId="23B88EF3">
        <w:tblPrEx>
          <w:tblCellMar>
            <w:top w:w="0" w:type="dxa"/>
            <w:left w:w="108" w:type="dxa"/>
            <w:bottom w:w="0" w:type="dxa"/>
            <w:right w:w="108" w:type="dxa"/>
          </w:tblCellMar>
        </w:tblPrEx>
        <w:trPr>
          <w:trHeight w:val="259" w:hRule="atLeast"/>
        </w:trPr>
        <w:tc>
          <w:tcPr>
            <w:tcW w:w="675" w:type="dxa"/>
            <w:vMerge w:val="restart"/>
            <w:tcBorders>
              <w:top w:val="nil"/>
              <w:left w:val="single" w:color="auto" w:sz="4" w:space="0"/>
              <w:bottom w:val="single" w:color="auto" w:sz="4" w:space="0"/>
              <w:right w:val="single" w:color="auto" w:sz="4" w:space="0"/>
            </w:tcBorders>
            <w:shd w:val="clear" w:color="auto" w:fill="auto"/>
            <w:vAlign w:val="center"/>
          </w:tcPr>
          <w:p w14:paraId="3C692ACD">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3</w:t>
            </w:r>
          </w:p>
        </w:tc>
        <w:tc>
          <w:tcPr>
            <w:tcW w:w="851" w:type="dxa"/>
            <w:vMerge w:val="restart"/>
            <w:tcBorders>
              <w:top w:val="nil"/>
              <w:left w:val="single" w:color="auto" w:sz="4" w:space="0"/>
              <w:bottom w:val="single" w:color="auto" w:sz="4" w:space="0"/>
              <w:right w:val="single" w:color="auto" w:sz="4" w:space="0"/>
            </w:tcBorders>
            <w:shd w:val="clear" w:color="auto" w:fill="auto"/>
            <w:vAlign w:val="center"/>
          </w:tcPr>
          <w:p w14:paraId="10B5456F">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计算机</w:t>
            </w:r>
          </w:p>
        </w:tc>
        <w:tc>
          <w:tcPr>
            <w:tcW w:w="5670" w:type="dxa"/>
            <w:vMerge w:val="restart"/>
            <w:tcBorders>
              <w:top w:val="nil"/>
              <w:left w:val="single" w:color="auto" w:sz="4" w:space="0"/>
              <w:bottom w:val="single" w:color="auto" w:sz="4" w:space="0"/>
              <w:right w:val="single" w:color="auto" w:sz="4" w:space="0"/>
            </w:tcBorders>
            <w:shd w:val="clear" w:color="auto" w:fill="auto"/>
            <w:vAlign w:val="center"/>
          </w:tcPr>
          <w:p w14:paraId="018C6FE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国产自主品牌。在《安可替代工程核心产品名录－1－2021》中，提供原厂承诺函并加盖原厂专用章</w:t>
            </w:r>
          </w:p>
          <w:p w14:paraId="05D4068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处理器：国产处理器，8核，主频≥2.7GHz。</w:t>
            </w:r>
          </w:p>
          <w:p w14:paraId="5AE9B0AB">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内存：标配16GB 2666MHz DDR4内存，内存插槽*2，可扩展到32G内存</w:t>
            </w:r>
          </w:p>
          <w:p w14:paraId="2EBBCA0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硬盘：M.2接口 NVME SSD固态硬盘;SATA SSD固态硬盘，容量分别不小于512G；最大支持硬盘数≥3个</w:t>
            </w:r>
          </w:p>
          <w:p w14:paraId="037C988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标准接口：8*USB接口，前置2个USB3.0和2个USB2.0后置2个USB3.0和2个USB2.0 1*Lineout，1*Linein，1*Micin；3.5mm AudioJack 1*COM 1*VGA，1*HDMI</w:t>
            </w:r>
          </w:p>
          <w:p w14:paraId="20E4F02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显卡：标配独立显卡，显存≥2G；</w:t>
            </w:r>
          </w:p>
          <w:p w14:paraId="2259B0E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键盘/鼠标：USB有线键盘鼠标，与主机同品牌。</w:t>
            </w:r>
          </w:p>
          <w:p w14:paraId="0E75AA4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操作系统：正版国产操作系统</w:t>
            </w:r>
          </w:p>
          <w:p w14:paraId="0283B74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显示器：与主机同品牌，23.8英寸高清窄边框显示器，分辨率1920*1080，标配VGA+HDMI视频接口，具备低蓝光认证并提供认证证书扫描件。</w:t>
            </w:r>
          </w:p>
          <w:p w14:paraId="21263BE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机箱：机箱尺寸≦13L,维护便利性，全免工具拆卸</w:t>
            </w:r>
          </w:p>
          <w:p w14:paraId="1F50A709">
            <w:pPr>
              <w:widowControl/>
              <w:jc w:val="left"/>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硬盘数据保护功能: 提供基于BIOS固件系统还原软件，还原具有安全、快速、保密性强、压缩率高、兼容性好等特点，并提供软件著作权证书</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14:paraId="4D923408">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51</w:t>
            </w:r>
          </w:p>
        </w:tc>
        <w:tc>
          <w:tcPr>
            <w:tcW w:w="567" w:type="dxa"/>
            <w:vMerge w:val="restart"/>
            <w:tcBorders>
              <w:top w:val="nil"/>
              <w:left w:val="single" w:color="auto" w:sz="4" w:space="0"/>
              <w:bottom w:val="single" w:color="000000" w:sz="4" w:space="0"/>
              <w:right w:val="single" w:color="auto" w:sz="4" w:space="0"/>
            </w:tcBorders>
            <w:shd w:val="clear" w:color="auto" w:fill="auto"/>
            <w:vAlign w:val="center"/>
          </w:tcPr>
          <w:p w14:paraId="698AA086">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台</w:t>
            </w:r>
          </w:p>
        </w:tc>
        <w:tc>
          <w:tcPr>
            <w:tcW w:w="708"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4744BB80">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7C0A7682">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2DA488E">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0254FBF">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4030C64">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1262FFB">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7D63945">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06F2FBA">
            <w:pPr>
              <w:widowControl/>
              <w:jc w:val="left"/>
              <w:textAlignment w:val="auto"/>
              <w:rPr>
                <w:rFonts w:ascii="宋体" w:hAnsi="宋体" w:eastAsia="宋体" w:cs="宋体"/>
                <w:color w:val="000000"/>
                <w:kern w:val="0"/>
                <w:sz w:val="19"/>
                <w:szCs w:val="19"/>
              </w:rPr>
            </w:pPr>
          </w:p>
        </w:tc>
      </w:tr>
      <w:tr w14:paraId="35998CE8">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237D464">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53F4CA8">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3D7C096E">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3EB202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F69846E">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9F15190">
            <w:pPr>
              <w:widowControl/>
              <w:jc w:val="left"/>
              <w:textAlignment w:val="auto"/>
              <w:rPr>
                <w:rFonts w:ascii="宋体" w:hAnsi="宋体" w:eastAsia="宋体" w:cs="宋体"/>
                <w:color w:val="000000"/>
                <w:kern w:val="0"/>
                <w:sz w:val="19"/>
                <w:szCs w:val="19"/>
              </w:rPr>
            </w:pPr>
          </w:p>
        </w:tc>
      </w:tr>
      <w:tr w14:paraId="491AFE68">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2E8926E4">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3E3EAF3">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0894842B">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E82FF7A">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5358291">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BC173CD">
            <w:pPr>
              <w:widowControl/>
              <w:jc w:val="left"/>
              <w:textAlignment w:val="auto"/>
              <w:rPr>
                <w:rFonts w:ascii="宋体" w:hAnsi="宋体" w:eastAsia="宋体" w:cs="宋体"/>
                <w:color w:val="000000"/>
                <w:kern w:val="0"/>
                <w:sz w:val="19"/>
                <w:szCs w:val="19"/>
              </w:rPr>
            </w:pPr>
          </w:p>
        </w:tc>
      </w:tr>
      <w:tr w14:paraId="694BF1D5">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59F6CC74">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2034FA0">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7CB5E713">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3A444EC">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D8B27B8">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36E25BF">
            <w:pPr>
              <w:widowControl/>
              <w:jc w:val="left"/>
              <w:textAlignment w:val="auto"/>
              <w:rPr>
                <w:rFonts w:ascii="宋体" w:hAnsi="宋体" w:eastAsia="宋体" w:cs="宋体"/>
                <w:color w:val="000000"/>
                <w:kern w:val="0"/>
                <w:sz w:val="19"/>
                <w:szCs w:val="19"/>
              </w:rPr>
            </w:pPr>
          </w:p>
        </w:tc>
      </w:tr>
      <w:tr w14:paraId="7A6F65BC">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6F218BB4">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29DBC93">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61A25E71">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29A1D8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4CB2E45">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2FB368B4">
            <w:pPr>
              <w:widowControl/>
              <w:jc w:val="left"/>
              <w:textAlignment w:val="auto"/>
              <w:rPr>
                <w:rFonts w:ascii="宋体" w:hAnsi="宋体" w:eastAsia="宋体" w:cs="宋体"/>
                <w:color w:val="000000"/>
                <w:kern w:val="0"/>
                <w:sz w:val="19"/>
                <w:szCs w:val="19"/>
              </w:rPr>
            </w:pPr>
          </w:p>
        </w:tc>
      </w:tr>
      <w:tr w14:paraId="03EFE191">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2266A537">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75E9557">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1814D7A0">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B12C210">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9E0791D">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71CF7EA">
            <w:pPr>
              <w:widowControl/>
              <w:jc w:val="left"/>
              <w:textAlignment w:val="auto"/>
              <w:rPr>
                <w:rFonts w:ascii="宋体" w:hAnsi="宋体" w:eastAsia="宋体" w:cs="宋体"/>
                <w:color w:val="000000"/>
                <w:kern w:val="0"/>
                <w:sz w:val="19"/>
                <w:szCs w:val="19"/>
              </w:rPr>
            </w:pPr>
          </w:p>
        </w:tc>
      </w:tr>
      <w:tr w14:paraId="44CBE58B">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AD0571F">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77BD52C">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0639E8C2">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1F86C83">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A3B7F09">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0613EA4">
            <w:pPr>
              <w:widowControl/>
              <w:jc w:val="left"/>
              <w:textAlignment w:val="auto"/>
              <w:rPr>
                <w:rFonts w:ascii="宋体" w:hAnsi="宋体" w:eastAsia="宋体" w:cs="宋体"/>
                <w:color w:val="000000"/>
                <w:kern w:val="0"/>
                <w:sz w:val="19"/>
                <w:szCs w:val="19"/>
              </w:rPr>
            </w:pPr>
          </w:p>
        </w:tc>
      </w:tr>
      <w:tr w14:paraId="14C61325">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2641862">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D12436D">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3BAB1A80">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193D50D">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0DB0431">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877AE10">
            <w:pPr>
              <w:widowControl/>
              <w:jc w:val="left"/>
              <w:textAlignment w:val="auto"/>
              <w:rPr>
                <w:rFonts w:ascii="宋体" w:hAnsi="宋体" w:eastAsia="宋体" w:cs="宋体"/>
                <w:color w:val="000000"/>
                <w:kern w:val="0"/>
                <w:sz w:val="19"/>
                <w:szCs w:val="19"/>
              </w:rPr>
            </w:pPr>
          </w:p>
        </w:tc>
      </w:tr>
      <w:tr w14:paraId="0F9DB2A7">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8AE44C6">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63C37BA">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3F1E8A1D">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995DD6B">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EBC9107">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0D30C96">
            <w:pPr>
              <w:widowControl/>
              <w:jc w:val="left"/>
              <w:textAlignment w:val="auto"/>
              <w:rPr>
                <w:rFonts w:ascii="宋体" w:hAnsi="宋体" w:eastAsia="宋体" w:cs="宋体"/>
                <w:color w:val="000000"/>
                <w:kern w:val="0"/>
                <w:sz w:val="19"/>
                <w:szCs w:val="19"/>
              </w:rPr>
            </w:pPr>
          </w:p>
        </w:tc>
      </w:tr>
      <w:tr w14:paraId="2F8CDC8A">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4078F65">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1DE1D69">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6AC032BF">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8F21D48">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AF29A8F">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E40B7E9">
            <w:pPr>
              <w:widowControl/>
              <w:jc w:val="left"/>
              <w:textAlignment w:val="auto"/>
              <w:rPr>
                <w:rFonts w:ascii="宋体" w:hAnsi="宋体" w:eastAsia="宋体" w:cs="宋体"/>
                <w:color w:val="000000"/>
                <w:kern w:val="0"/>
                <w:sz w:val="19"/>
                <w:szCs w:val="19"/>
              </w:rPr>
            </w:pPr>
          </w:p>
        </w:tc>
      </w:tr>
      <w:tr w14:paraId="3EB34FA2">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D8980F6">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BEC4CAF">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AD29CF1">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0DACAA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8FB39F4">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3AF009C">
            <w:pPr>
              <w:widowControl/>
              <w:jc w:val="left"/>
              <w:textAlignment w:val="auto"/>
              <w:rPr>
                <w:rFonts w:ascii="宋体" w:hAnsi="宋体" w:eastAsia="宋体" w:cs="宋体"/>
                <w:color w:val="000000"/>
                <w:kern w:val="0"/>
                <w:sz w:val="19"/>
                <w:szCs w:val="19"/>
              </w:rPr>
            </w:pPr>
          </w:p>
        </w:tc>
      </w:tr>
      <w:tr w14:paraId="40574DC2">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A8DDCC6">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6C1EEE0">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0E56085">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A20867C">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92E9DA3">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31616E4">
            <w:pPr>
              <w:widowControl/>
              <w:jc w:val="left"/>
              <w:textAlignment w:val="auto"/>
              <w:rPr>
                <w:rFonts w:ascii="宋体" w:hAnsi="宋体" w:eastAsia="宋体" w:cs="宋体"/>
                <w:color w:val="000000"/>
                <w:kern w:val="0"/>
                <w:sz w:val="19"/>
                <w:szCs w:val="19"/>
              </w:rPr>
            </w:pPr>
          </w:p>
        </w:tc>
      </w:tr>
      <w:tr w14:paraId="68A97227">
        <w:tblPrEx>
          <w:tblCellMar>
            <w:top w:w="0" w:type="dxa"/>
            <w:left w:w="108" w:type="dxa"/>
            <w:bottom w:w="0" w:type="dxa"/>
            <w:right w:w="108" w:type="dxa"/>
          </w:tblCellMar>
        </w:tblPrEx>
        <w:trPr>
          <w:trHeight w:val="259" w:hRule="atLeast"/>
        </w:trPr>
        <w:tc>
          <w:tcPr>
            <w:tcW w:w="675" w:type="dxa"/>
            <w:vMerge w:val="restart"/>
            <w:tcBorders>
              <w:top w:val="nil"/>
              <w:left w:val="single" w:color="auto" w:sz="4" w:space="0"/>
              <w:bottom w:val="single" w:color="auto" w:sz="4" w:space="0"/>
              <w:right w:val="single" w:color="auto" w:sz="4" w:space="0"/>
            </w:tcBorders>
            <w:shd w:val="clear" w:color="auto" w:fill="auto"/>
            <w:vAlign w:val="center"/>
          </w:tcPr>
          <w:p w14:paraId="0F04A7D7">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4</w:t>
            </w:r>
          </w:p>
        </w:tc>
        <w:tc>
          <w:tcPr>
            <w:tcW w:w="851" w:type="dxa"/>
            <w:vMerge w:val="restart"/>
            <w:tcBorders>
              <w:top w:val="nil"/>
              <w:left w:val="single" w:color="auto" w:sz="4" w:space="0"/>
              <w:bottom w:val="single" w:color="auto" w:sz="4" w:space="0"/>
              <w:right w:val="single" w:color="auto" w:sz="4" w:space="0"/>
            </w:tcBorders>
            <w:shd w:val="clear" w:color="auto" w:fill="auto"/>
            <w:vAlign w:val="center"/>
          </w:tcPr>
          <w:p w14:paraId="575C90A1">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服务器</w:t>
            </w:r>
          </w:p>
        </w:tc>
        <w:tc>
          <w:tcPr>
            <w:tcW w:w="5670" w:type="dxa"/>
            <w:vMerge w:val="restart"/>
            <w:tcBorders>
              <w:top w:val="nil"/>
              <w:left w:val="single" w:color="auto" w:sz="4" w:space="0"/>
              <w:bottom w:val="single" w:color="auto" w:sz="4" w:space="0"/>
              <w:right w:val="single" w:color="auto" w:sz="4" w:space="0"/>
            </w:tcBorders>
            <w:shd w:val="clear" w:color="auto" w:fill="auto"/>
            <w:vAlign w:val="center"/>
          </w:tcPr>
          <w:p w14:paraId="141DFBAA">
            <w:pPr>
              <w:widowControl/>
              <w:jc w:val="left"/>
              <w:textAlignment w:val="auto"/>
              <w:rPr>
                <w:rFonts w:hint="eastAsia" w:ascii="Times New Roman" w:hAnsi="Times New Roman" w:eastAsia="宋体" w:cs="Times New Roman"/>
                <w:color w:val="000000"/>
                <w:kern w:val="0"/>
                <w:sz w:val="19"/>
                <w:szCs w:val="19"/>
                <w:lang w:eastAsia="zh-CN"/>
              </w:rPr>
            </w:pPr>
            <w:r>
              <w:rPr>
                <w:rFonts w:ascii="Times New Roman" w:hAnsi="Times New Roman" w:eastAsia="宋体" w:cs="Times New Roman"/>
                <w:color w:val="000000"/>
                <w:kern w:val="0"/>
                <w:sz w:val="19"/>
                <w:szCs w:val="19"/>
              </w:rPr>
              <w:t>1.</w:t>
            </w:r>
            <w:r>
              <w:rPr>
                <w:rFonts w:hint="eastAsia" w:ascii="宋体" w:hAnsi="宋体" w:eastAsia="宋体" w:cs="Times New Roman"/>
                <w:color w:val="000000"/>
                <w:kern w:val="0"/>
                <w:sz w:val="19"/>
                <w:szCs w:val="19"/>
              </w:rPr>
              <w:t>主板</w:t>
            </w:r>
            <w:r>
              <w:rPr>
                <w:rFonts w:ascii="Times New Roman" w:hAnsi="Times New Roman" w:eastAsia="宋体" w:cs="Times New Roman"/>
                <w:color w:val="000000"/>
                <w:kern w:val="0"/>
                <w:sz w:val="19"/>
                <w:szCs w:val="19"/>
              </w:rPr>
              <w:t xml:space="preserve">:2U </w:t>
            </w:r>
            <w:r>
              <w:rPr>
                <w:rFonts w:hint="eastAsia" w:ascii="宋体" w:hAnsi="宋体" w:eastAsia="宋体" w:cs="Times New Roman"/>
                <w:color w:val="000000"/>
                <w:kern w:val="0"/>
                <w:sz w:val="19"/>
                <w:szCs w:val="19"/>
              </w:rPr>
              <w:t>单路</w:t>
            </w:r>
            <w:r>
              <w:rPr>
                <w:rFonts w:ascii="Times New Roman" w:hAnsi="Times New Roman" w:eastAsia="宋体" w:cs="Times New Roman"/>
                <w:color w:val="000000"/>
                <w:kern w:val="0"/>
                <w:sz w:val="19"/>
                <w:szCs w:val="19"/>
              </w:rPr>
              <w:t xml:space="preserve"> 16DM8 </w:t>
            </w:r>
            <w:r>
              <w:rPr>
                <w:rFonts w:hint="eastAsia" w:ascii="宋体" w:hAnsi="宋体" w:eastAsia="宋体" w:cs="Times New Roman"/>
                <w:color w:val="000000"/>
                <w:kern w:val="0"/>
                <w:sz w:val="19"/>
                <w:szCs w:val="19"/>
              </w:rPr>
              <w:t>盘位</w:t>
            </w:r>
            <w:r>
              <w:rPr>
                <w:rFonts w:ascii="Times New Roman" w:hAnsi="Times New Roman" w:eastAsia="宋体" w:cs="Times New Roman"/>
                <w:color w:val="000000"/>
                <w:kern w:val="0"/>
                <w:sz w:val="19"/>
                <w:szCs w:val="19"/>
              </w:rPr>
              <w:t xml:space="preserve"> 2.CPU:1 </w:t>
            </w:r>
            <w:r>
              <w:rPr>
                <w:rFonts w:hint="eastAsia" w:ascii="宋体" w:hAnsi="宋体" w:eastAsia="宋体" w:cs="Times New Roman"/>
                <w:color w:val="000000"/>
                <w:kern w:val="0"/>
                <w:sz w:val="19"/>
                <w:szCs w:val="19"/>
              </w:rPr>
              <w:t>颗</w:t>
            </w:r>
            <w:r>
              <w:rPr>
                <w:rFonts w:ascii="Times New Roman" w:hAnsi="Times New Roman" w:eastAsia="宋体" w:cs="Times New Roman"/>
                <w:color w:val="000000"/>
                <w:kern w:val="0"/>
                <w:sz w:val="19"/>
                <w:szCs w:val="19"/>
              </w:rPr>
              <w:t xml:space="preserve"> Intel Xeon Silver 4210R 3.</w:t>
            </w:r>
            <w:r>
              <w:rPr>
                <w:rFonts w:hint="eastAsia" w:ascii="宋体" w:hAnsi="宋体" w:eastAsia="宋体" w:cs="Times New Roman"/>
                <w:color w:val="000000"/>
                <w:kern w:val="0"/>
                <w:sz w:val="19"/>
                <w:szCs w:val="19"/>
              </w:rPr>
              <w:t>内存</w:t>
            </w:r>
            <w:r>
              <w:rPr>
                <w:rFonts w:ascii="Times New Roman" w:hAnsi="Times New Roman" w:eastAsia="宋体" w:cs="Times New Roman"/>
                <w:color w:val="000000"/>
                <w:kern w:val="0"/>
                <w:sz w:val="19"/>
                <w:szCs w:val="19"/>
              </w:rPr>
              <w:t xml:space="preserve">:64GB DDR4  </w:t>
            </w:r>
          </w:p>
          <w:p w14:paraId="2F11D52D">
            <w:pPr>
              <w:widowControl/>
              <w:jc w:val="left"/>
              <w:textAlignment w:val="auto"/>
              <w:rPr>
                <w:rFonts w:hint="eastAsia" w:ascii="Times New Roman" w:hAnsi="Times New Roman" w:eastAsia="宋体" w:cs="Times New Roman"/>
                <w:color w:val="000000"/>
                <w:kern w:val="0"/>
                <w:sz w:val="19"/>
                <w:szCs w:val="19"/>
                <w:lang w:eastAsia="zh-CN"/>
              </w:rPr>
            </w:pPr>
            <w:r>
              <w:rPr>
                <w:rFonts w:ascii="Times New Roman" w:hAnsi="Times New Roman" w:eastAsia="宋体" w:cs="Times New Roman"/>
                <w:color w:val="000000"/>
                <w:kern w:val="0"/>
                <w:sz w:val="19"/>
                <w:szCs w:val="19"/>
              </w:rPr>
              <w:t>4.</w:t>
            </w:r>
            <w:r>
              <w:rPr>
                <w:rFonts w:hint="eastAsia" w:ascii="宋体" w:hAnsi="宋体" w:eastAsia="宋体" w:cs="Times New Roman"/>
                <w:color w:val="000000"/>
                <w:kern w:val="0"/>
                <w:sz w:val="19"/>
                <w:szCs w:val="19"/>
              </w:rPr>
              <w:t>硬盘</w:t>
            </w:r>
            <w:r>
              <w:rPr>
                <w:rFonts w:ascii="Times New Roman" w:hAnsi="Times New Roman" w:eastAsia="宋体" w:cs="Times New Roman"/>
                <w:color w:val="000000"/>
                <w:kern w:val="0"/>
                <w:sz w:val="19"/>
                <w:szCs w:val="19"/>
              </w:rPr>
              <w:t>:8T SATA +1.92TB SATA SSD</w:t>
            </w:r>
          </w:p>
          <w:p w14:paraId="53E4D1A1">
            <w:pPr>
              <w:widowControl/>
              <w:jc w:val="left"/>
              <w:textAlignment w:val="auto"/>
              <w:rPr>
                <w:rFonts w:hint="eastAsia" w:ascii="宋体" w:hAnsi="宋体" w:eastAsia="宋体" w:cs="Times New Roman"/>
                <w:color w:val="000000"/>
                <w:kern w:val="0"/>
                <w:sz w:val="19"/>
                <w:szCs w:val="19"/>
                <w:lang w:eastAsia="zh-CN"/>
              </w:rPr>
            </w:pPr>
            <w:r>
              <w:rPr>
                <w:rFonts w:ascii="Times New Roman" w:hAnsi="Times New Roman" w:eastAsia="宋体" w:cs="Times New Roman"/>
                <w:color w:val="000000"/>
                <w:kern w:val="0"/>
                <w:sz w:val="19"/>
                <w:szCs w:val="19"/>
              </w:rPr>
              <w:t>5.</w:t>
            </w:r>
            <w:r>
              <w:rPr>
                <w:rFonts w:hint="eastAsia" w:ascii="宋体" w:hAnsi="宋体" w:eastAsia="宋体" w:cs="Times New Roman"/>
                <w:color w:val="000000"/>
                <w:kern w:val="0"/>
                <w:sz w:val="19"/>
                <w:szCs w:val="19"/>
              </w:rPr>
              <w:t>网卡</w:t>
            </w:r>
            <w:r>
              <w:rPr>
                <w:rFonts w:ascii="Times New Roman" w:hAnsi="Times New Roman" w:eastAsia="宋体" w:cs="Times New Roman"/>
                <w:color w:val="000000"/>
                <w:kern w:val="0"/>
                <w:sz w:val="19"/>
                <w:szCs w:val="19"/>
              </w:rPr>
              <w:t xml:space="preserve">:2*1000M </w:t>
            </w:r>
            <w:r>
              <w:rPr>
                <w:rFonts w:hint="eastAsia" w:ascii="宋体" w:hAnsi="宋体" w:eastAsia="宋体" w:cs="Times New Roman"/>
                <w:color w:val="000000"/>
                <w:kern w:val="0"/>
                <w:sz w:val="19"/>
                <w:szCs w:val="19"/>
              </w:rPr>
              <w:t>电源</w:t>
            </w:r>
            <w:r>
              <w:rPr>
                <w:rFonts w:ascii="Times New Roman" w:hAnsi="Times New Roman" w:eastAsia="宋体" w:cs="Times New Roman"/>
                <w:color w:val="000000"/>
                <w:kern w:val="0"/>
                <w:sz w:val="19"/>
                <w:szCs w:val="19"/>
              </w:rPr>
              <w:t>:</w:t>
            </w:r>
            <w:r>
              <w:rPr>
                <w:rFonts w:hint="eastAsia" w:ascii="宋体" w:hAnsi="宋体" w:eastAsia="宋体" w:cs="Times New Roman"/>
                <w:color w:val="000000"/>
                <w:kern w:val="0"/>
                <w:sz w:val="19"/>
                <w:szCs w:val="19"/>
              </w:rPr>
              <w:t>冗余电源</w:t>
            </w:r>
          </w:p>
          <w:p w14:paraId="537AFF7C">
            <w:pPr>
              <w:widowControl/>
              <w:jc w:val="left"/>
              <w:textAlignment w:val="auto"/>
              <w:rPr>
                <w:rFonts w:hint="eastAsia" w:ascii="Times New Roman" w:hAnsi="Times New Roman" w:eastAsia="宋体" w:cs="Times New Roman"/>
                <w:color w:val="000000"/>
                <w:kern w:val="0"/>
                <w:sz w:val="19"/>
                <w:szCs w:val="19"/>
                <w:lang w:eastAsia="zh-CN"/>
              </w:rPr>
            </w:pPr>
            <w:r>
              <w:rPr>
                <w:rFonts w:ascii="Times New Roman" w:hAnsi="Times New Roman" w:eastAsia="宋体" w:cs="Times New Roman"/>
                <w:color w:val="000000"/>
                <w:kern w:val="0"/>
                <w:sz w:val="19"/>
                <w:szCs w:val="19"/>
              </w:rPr>
              <w:t>6.</w:t>
            </w:r>
            <w:r>
              <w:rPr>
                <w:rFonts w:hint="eastAsia" w:ascii="宋体" w:hAnsi="宋体" w:eastAsia="宋体" w:cs="Times New Roman"/>
                <w:color w:val="000000"/>
                <w:kern w:val="0"/>
                <w:sz w:val="19"/>
                <w:szCs w:val="19"/>
              </w:rPr>
              <w:t>管理平台和终端支持</w:t>
            </w:r>
            <w:r>
              <w:rPr>
                <w:rFonts w:ascii="Times New Roman" w:hAnsi="Times New Roman" w:eastAsia="宋体" w:cs="Times New Roman"/>
                <w:color w:val="000000"/>
                <w:kern w:val="0"/>
                <w:sz w:val="19"/>
                <w:szCs w:val="19"/>
              </w:rPr>
              <w:t xml:space="preserve"> IPv4</w:t>
            </w:r>
            <w:r>
              <w:rPr>
                <w:rFonts w:hint="eastAsia" w:ascii="宋体" w:hAnsi="宋体" w:eastAsia="宋体" w:cs="Times New Roman"/>
                <w:color w:val="000000"/>
                <w:kern w:val="0"/>
                <w:sz w:val="19"/>
                <w:szCs w:val="19"/>
              </w:rPr>
              <w:t>、</w:t>
            </w:r>
            <w:r>
              <w:rPr>
                <w:rFonts w:ascii="Times New Roman" w:hAnsi="Times New Roman" w:eastAsia="宋体" w:cs="Times New Roman"/>
                <w:color w:val="000000"/>
                <w:kern w:val="0"/>
                <w:sz w:val="19"/>
                <w:szCs w:val="19"/>
              </w:rPr>
              <w:t xml:space="preserve">IPv6 </w:t>
            </w:r>
            <w:r>
              <w:rPr>
                <w:rFonts w:hint="eastAsia" w:ascii="宋体" w:hAnsi="宋体" w:eastAsia="宋体" w:cs="Times New Roman"/>
                <w:color w:val="000000"/>
                <w:kern w:val="0"/>
                <w:sz w:val="19"/>
                <w:szCs w:val="19"/>
              </w:rPr>
              <w:t>网络环境下的安装使用，可配</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置</w:t>
            </w:r>
            <w:r>
              <w:rPr>
                <w:rFonts w:ascii="Times New Roman" w:hAnsi="Times New Roman" w:eastAsia="宋体" w:cs="Times New Roman"/>
                <w:color w:val="000000"/>
                <w:kern w:val="0"/>
                <w:sz w:val="19"/>
                <w:szCs w:val="19"/>
              </w:rPr>
              <w:t xml:space="preserve"> IPv4</w:t>
            </w:r>
            <w:r>
              <w:rPr>
                <w:rFonts w:hint="eastAsia" w:ascii="宋体" w:hAnsi="宋体" w:eastAsia="宋体" w:cs="Times New Roman"/>
                <w:color w:val="000000"/>
                <w:kern w:val="0"/>
                <w:sz w:val="19"/>
                <w:szCs w:val="19"/>
              </w:rPr>
              <w:t>、</w:t>
            </w:r>
            <w:r>
              <w:rPr>
                <w:rFonts w:ascii="Times New Roman" w:hAnsi="Times New Roman" w:eastAsia="宋体" w:cs="Times New Roman"/>
                <w:color w:val="000000"/>
                <w:kern w:val="0"/>
                <w:sz w:val="19"/>
                <w:szCs w:val="19"/>
              </w:rPr>
              <w:t xml:space="preserve">IPv6 </w:t>
            </w:r>
            <w:r>
              <w:rPr>
                <w:rFonts w:hint="eastAsia" w:ascii="宋体" w:hAnsi="宋体" w:eastAsia="宋体" w:cs="Times New Roman"/>
                <w:color w:val="000000"/>
                <w:kern w:val="0"/>
                <w:sz w:val="19"/>
                <w:szCs w:val="19"/>
              </w:rPr>
              <w:t>网络信息</w:t>
            </w:r>
            <w:r>
              <w:rPr>
                <w:rFonts w:ascii="Times New Roman" w:hAnsi="Times New Roman" w:eastAsia="宋体" w:cs="Times New Roman"/>
                <w:color w:val="000000"/>
                <w:kern w:val="0"/>
                <w:sz w:val="19"/>
                <w:szCs w:val="19"/>
              </w:rPr>
              <w:t>;</w:t>
            </w:r>
          </w:p>
          <w:p w14:paraId="6AC29D08">
            <w:pPr>
              <w:widowControl/>
              <w:jc w:val="left"/>
              <w:textAlignment w:val="auto"/>
              <w:rPr>
                <w:rFonts w:hint="eastAsia" w:ascii="Times New Roman" w:hAnsi="Times New Roman" w:eastAsia="宋体" w:cs="Times New Roman"/>
                <w:color w:val="000000"/>
                <w:kern w:val="0"/>
                <w:sz w:val="19"/>
                <w:szCs w:val="19"/>
                <w:lang w:eastAsia="zh-CN"/>
              </w:rPr>
            </w:pPr>
            <w:r>
              <w:rPr>
                <w:rFonts w:ascii="Times New Roman" w:hAnsi="Times New Roman" w:eastAsia="宋体" w:cs="Times New Roman"/>
                <w:color w:val="000000"/>
                <w:kern w:val="0"/>
                <w:sz w:val="19"/>
                <w:szCs w:val="19"/>
              </w:rPr>
              <w:t>7.</w:t>
            </w:r>
            <w:r>
              <w:rPr>
                <w:rFonts w:hint="eastAsia" w:ascii="宋体" w:hAnsi="宋体" w:eastAsia="宋体" w:cs="Times New Roman"/>
                <w:color w:val="000000"/>
                <w:kern w:val="0"/>
                <w:sz w:val="19"/>
                <w:szCs w:val="19"/>
              </w:rPr>
              <w:t>支持</w:t>
            </w:r>
            <w:r>
              <w:rPr>
                <w:rFonts w:ascii="Times New Roman" w:hAnsi="Times New Roman" w:eastAsia="宋体" w:cs="Times New Roman"/>
                <w:color w:val="000000"/>
                <w:kern w:val="0"/>
                <w:sz w:val="19"/>
                <w:szCs w:val="19"/>
              </w:rPr>
              <w:t xml:space="preserve"> VDI/VOI/IDV </w:t>
            </w:r>
            <w:r>
              <w:rPr>
                <w:rFonts w:hint="eastAsia" w:ascii="宋体" w:hAnsi="宋体" w:eastAsia="宋体" w:cs="Times New Roman"/>
                <w:color w:val="000000"/>
                <w:kern w:val="0"/>
                <w:sz w:val="19"/>
                <w:szCs w:val="19"/>
              </w:rPr>
              <w:t>融合客户端，同一客户端可访问</w:t>
            </w:r>
            <w:r>
              <w:rPr>
                <w:rFonts w:ascii="Times New Roman" w:hAnsi="Times New Roman" w:eastAsia="宋体" w:cs="Times New Roman"/>
                <w:color w:val="000000"/>
                <w:kern w:val="0"/>
                <w:sz w:val="19"/>
                <w:szCs w:val="19"/>
              </w:rPr>
              <w:t xml:space="preserve"> VDI</w:t>
            </w:r>
            <w:r>
              <w:rPr>
                <w:rFonts w:hint="eastAsia" w:ascii="宋体" w:hAnsi="宋体" w:eastAsia="宋体" w:cs="Times New Roman"/>
                <w:color w:val="000000"/>
                <w:kern w:val="0"/>
                <w:sz w:val="19"/>
                <w:szCs w:val="19"/>
              </w:rPr>
              <w:t>、</w:t>
            </w:r>
            <w:r>
              <w:rPr>
                <w:rFonts w:ascii="Times New Roman" w:hAnsi="Times New Roman" w:eastAsia="宋体" w:cs="Times New Roman"/>
                <w:color w:val="000000"/>
                <w:kern w:val="0"/>
                <w:sz w:val="19"/>
                <w:szCs w:val="19"/>
              </w:rPr>
              <w:t xml:space="preserve">VOI </w:t>
            </w:r>
            <w:r>
              <w:rPr>
                <w:rFonts w:hint="eastAsia" w:ascii="宋体" w:hAnsi="宋体" w:eastAsia="宋体" w:cs="Times New Roman"/>
                <w:color w:val="000000"/>
                <w:kern w:val="0"/>
                <w:sz w:val="19"/>
                <w:szCs w:val="19"/>
              </w:rPr>
              <w:t>和</w:t>
            </w:r>
            <w:r>
              <w:rPr>
                <w:rFonts w:ascii="Times New Roman" w:hAnsi="Times New Roman" w:eastAsia="宋体" w:cs="Times New Roman"/>
                <w:color w:val="000000"/>
                <w:kern w:val="0"/>
                <w:sz w:val="19"/>
                <w:szCs w:val="19"/>
              </w:rPr>
              <w:t xml:space="preserve"> IDV </w:t>
            </w:r>
            <w:r>
              <w:rPr>
                <w:rFonts w:hint="eastAsia" w:ascii="宋体" w:hAnsi="宋体" w:eastAsia="宋体" w:cs="Times New Roman"/>
                <w:color w:val="000000"/>
                <w:kern w:val="0"/>
                <w:sz w:val="19"/>
                <w:szCs w:val="19"/>
              </w:rPr>
              <w:t>桌面，并可按需切换，满足用户不同应用场景的多样化访</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问需求</w:t>
            </w:r>
            <w:r>
              <w:rPr>
                <w:rFonts w:ascii="Times New Roman" w:hAnsi="Times New Roman" w:eastAsia="宋体" w:cs="Times New Roman"/>
                <w:color w:val="000000"/>
                <w:kern w:val="0"/>
                <w:sz w:val="19"/>
                <w:szCs w:val="19"/>
              </w:rPr>
              <w:t>; 8.</w:t>
            </w:r>
            <w:r>
              <w:rPr>
                <w:rFonts w:hint="eastAsia" w:ascii="宋体" w:hAnsi="宋体" w:eastAsia="宋体" w:cs="Times New Roman"/>
                <w:color w:val="000000"/>
                <w:kern w:val="0"/>
                <w:sz w:val="19"/>
                <w:szCs w:val="19"/>
              </w:rPr>
              <w:t>支持跨校区分散部署，云服务器可部署在不同的校区，单一</w:t>
            </w:r>
            <w:r>
              <w:rPr>
                <w:rFonts w:ascii="Times New Roman" w:hAnsi="Times New Roman" w:eastAsia="宋体" w:cs="Times New Roman"/>
                <w:color w:val="000000"/>
                <w:kern w:val="0"/>
                <w:sz w:val="19"/>
                <w:szCs w:val="19"/>
              </w:rPr>
              <w:t xml:space="preserve"> IP </w:t>
            </w:r>
            <w:r>
              <w:rPr>
                <w:rFonts w:hint="eastAsia" w:ascii="宋体" w:hAnsi="宋体" w:eastAsia="宋体" w:cs="Times New Roman"/>
                <w:color w:val="000000"/>
                <w:kern w:val="0"/>
                <w:sz w:val="19"/>
                <w:szCs w:val="19"/>
              </w:rPr>
              <w:t>地址即可访问和管理所有区域，支持多区域切换管理，支持新增</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区域，便于构建校级云桌面同一管理平台，满足跨校区云桌面建</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设</w:t>
            </w:r>
            <w:r>
              <w:rPr>
                <w:rFonts w:ascii="Times New Roman" w:hAnsi="Times New Roman" w:eastAsia="宋体" w:cs="Times New Roman"/>
                <w:color w:val="000000"/>
                <w:kern w:val="0"/>
                <w:sz w:val="19"/>
                <w:szCs w:val="19"/>
              </w:rPr>
              <w:t>; 9.</w:t>
            </w:r>
            <w:r>
              <w:rPr>
                <w:rFonts w:hint="eastAsia" w:ascii="宋体" w:hAnsi="宋体" w:eastAsia="宋体" w:cs="Times New Roman"/>
                <w:color w:val="000000"/>
                <w:kern w:val="0"/>
                <w:sz w:val="19"/>
                <w:szCs w:val="19"/>
              </w:rPr>
              <w:t>支持跨校区多区域资源汇总分析，可统计所有区域的桌面云部</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署信息，至少包括服务器数量，</w:t>
            </w:r>
            <w:r>
              <w:rPr>
                <w:rFonts w:ascii="Times New Roman" w:hAnsi="Times New Roman" w:eastAsia="宋体" w:cs="Times New Roman"/>
                <w:color w:val="000000"/>
                <w:kern w:val="0"/>
                <w:sz w:val="19"/>
                <w:szCs w:val="19"/>
              </w:rPr>
              <w:t>CPU</w:t>
            </w:r>
            <w:r>
              <w:rPr>
                <w:rFonts w:hint="eastAsia" w:ascii="宋体" w:hAnsi="宋体" w:eastAsia="宋体" w:cs="Times New Roman"/>
                <w:color w:val="000000"/>
                <w:kern w:val="0"/>
                <w:sz w:val="19"/>
                <w:szCs w:val="19"/>
              </w:rPr>
              <w:t>、内存、存储使用率，教室</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数量，终端数量，桌面数量等，也可统计分析区域内桌面使用次</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数，桌面场景使用时长，机房日均使用时长等信息，便于学校掌</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握桌面云整体建设使情况</w:t>
            </w:r>
            <w:r>
              <w:rPr>
                <w:rFonts w:ascii="Times New Roman" w:hAnsi="Times New Roman" w:eastAsia="宋体" w:cs="Times New Roman"/>
                <w:color w:val="000000"/>
                <w:kern w:val="0"/>
                <w:sz w:val="19"/>
                <w:szCs w:val="19"/>
              </w:rPr>
              <w:t>; 10.</w:t>
            </w:r>
            <w:r>
              <w:rPr>
                <w:rFonts w:hint="eastAsia" w:ascii="宋体" w:hAnsi="宋体" w:eastAsia="宋体" w:cs="Times New Roman"/>
                <w:color w:val="000000"/>
                <w:kern w:val="0"/>
                <w:sz w:val="19"/>
                <w:szCs w:val="19"/>
              </w:rPr>
              <w:t>单个平台可交付多种类型桌面，至少包括</w:t>
            </w:r>
            <w:r>
              <w:rPr>
                <w:rFonts w:ascii="Times New Roman" w:hAnsi="Times New Roman" w:eastAsia="宋体" w:cs="Times New Roman"/>
                <w:color w:val="000000"/>
                <w:kern w:val="0"/>
                <w:sz w:val="19"/>
                <w:szCs w:val="19"/>
              </w:rPr>
              <w:t xml:space="preserve"> VDI </w:t>
            </w:r>
            <w:r>
              <w:rPr>
                <w:rFonts w:hint="eastAsia" w:ascii="宋体" w:hAnsi="宋体" w:eastAsia="宋体" w:cs="Times New Roman"/>
                <w:color w:val="000000"/>
                <w:kern w:val="0"/>
                <w:sz w:val="19"/>
                <w:szCs w:val="19"/>
              </w:rPr>
              <w:t>桌面、</w:t>
            </w:r>
            <w:r>
              <w:rPr>
                <w:rFonts w:ascii="Times New Roman" w:hAnsi="Times New Roman" w:eastAsia="宋体" w:cs="Times New Roman"/>
                <w:color w:val="000000"/>
                <w:kern w:val="0"/>
                <w:sz w:val="19"/>
                <w:szCs w:val="19"/>
              </w:rPr>
              <w:t xml:space="preserve">VOI </w:t>
            </w:r>
            <w:r>
              <w:rPr>
                <w:rFonts w:hint="eastAsia" w:ascii="宋体" w:hAnsi="宋体" w:eastAsia="宋体" w:cs="Times New Roman"/>
                <w:color w:val="000000"/>
                <w:kern w:val="0"/>
                <w:sz w:val="19"/>
                <w:szCs w:val="19"/>
              </w:rPr>
              <w:t>桌</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面、</w:t>
            </w:r>
            <w:r>
              <w:rPr>
                <w:rFonts w:ascii="Times New Roman" w:hAnsi="Times New Roman" w:eastAsia="宋体" w:cs="Times New Roman"/>
                <w:color w:val="000000"/>
                <w:kern w:val="0"/>
                <w:sz w:val="19"/>
                <w:szCs w:val="19"/>
              </w:rPr>
              <w:t xml:space="preserve">IDV </w:t>
            </w:r>
            <w:r>
              <w:rPr>
                <w:rFonts w:hint="eastAsia" w:ascii="宋体" w:hAnsi="宋体" w:eastAsia="宋体" w:cs="Times New Roman"/>
                <w:color w:val="000000"/>
                <w:kern w:val="0"/>
                <w:sz w:val="19"/>
                <w:szCs w:val="19"/>
              </w:rPr>
              <w:t>桌面、漫游桌面、个人桌面，满足教学、实训、科研、</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办公等场景需求</w:t>
            </w:r>
            <w:r>
              <w:rPr>
                <w:rFonts w:ascii="Times New Roman" w:hAnsi="Times New Roman" w:eastAsia="宋体" w:cs="Times New Roman"/>
                <w:color w:val="000000"/>
                <w:kern w:val="0"/>
                <w:sz w:val="19"/>
                <w:szCs w:val="19"/>
              </w:rPr>
              <w:t>; 11.</w:t>
            </w:r>
            <w:r>
              <w:rPr>
                <w:rFonts w:hint="eastAsia" w:ascii="宋体" w:hAnsi="宋体" w:eastAsia="宋体" w:cs="Times New Roman"/>
                <w:color w:val="000000"/>
                <w:kern w:val="0"/>
                <w:sz w:val="19"/>
                <w:szCs w:val="19"/>
              </w:rPr>
              <w:t>支持系统环境的批量部署，可根据不同专业的教学、考试要求，</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快速创建多套教学环境，使用时开放，不使用时随时回收</w:t>
            </w:r>
            <w:r>
              <w:rPr>
                <w:rFonts w:ascii="Times New Roman" w:hAnsi="Times New Roman" w:eastAsia="宋体" w:cs="Times New Roman"/>
                <w:color w:val="000000"/>
                <w:kern w:val="0"/>
                <w:sz w:val="19"/>
                <w:szCs w:val="19"/>
              </w:rPr>
              <w:t>; 12.</w:t>
            </w:r>
            <w:r>
              <w:rPr>
                <w:rFonts w:hint="eastAsia" w:ascii="宋体" w:hAnsi="宋体" w:eastAsia="宋体" w:cs="Times New Roman"/>
                <w:color w:val="000000"/>
                <w:kern w:val="0"/>
                <w:sz w:val="19"/>
                <w:szCs w:val="19"/>
              </w:rPr>
              <w:t>支持多种考试场景，包括但不限于全国计算机等级考试、</w:t>
            </w:r>
            <w:r>
              <w:rPr>
                <w:rFonts w:ascii="Times New Roman" w:hAnsi="Times New Roman" w:eastAsia="宋体" w:cs="Times New Roman"/>
                <w:color w:val="000000"/>
                <w:kern w:val="0"/>
                <w:sz w:val="19"/>
                <w:szCs w:val="19"/>
              </w:rPr>
              <w:t xml:space="preserve">ATA </w:t>
            </w:r>
            <w:r>
              <w:rPr>
                <w:rFonts w:hint="eastAsia" w:ascii="宋体" w:hAnsi="宋体" w:eastAsia="宋体" w:cs="Times New Roman"/>
                <w:color w:val="000000"/>
                <w:kern w:val="0"/>
                <w:sz w:val="19"/>
                <w:szCs w:val="19"/>
              </w:rPr>
              <w:t>考试、会计类考试，在考试场景下，终端出现断网、断电等故障</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保证考试数据不丢失，更换终端可以正常恢复考试，保证考试正</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常进行</w:t>
            </w:r>
            <w:r>
              <w:rPr>
                <w:rFonts w:ascii="Times New Roman" w:hAnsi="Times New Roman" w:eastAsia="宋体" w:cs="Times New Roman"/>
                <w:color w:val="000000"/>
                <w:kern w:val="0"/>
                <w:sz w:val="19"/>
                <w:szCs w:val="19"/>
              </w:rPr>
              <w:t>; 13.</w:t>
            </w:r>
            <w:r>
              <w:rPr>
                <w:rFonts w:hint="eastAsia" w:ascii="宋体" w:hAnsi="宋体" w:eastAsia="宋体" w:cs="Times New Roman"/>
                <w:color w:val="000000"/>
                <w:kern w:val="0"/>
                <w:sz w:val="19"/>
                <w:szCs w:val="19"/>
              </w:rPr>
              <w:t>支持批量部署裸虚拟机环境，学生可手动安装操作系统，满足装机实验课程的实践需要</w:t>
            </w:r>
            <w:r>
              <w:rPr>
                <w:rFonts w:ascii="Times New Roman" w:hAnsi="Times New Roman" w:eastAsia="宋体" w:cs="Times New Roman"/>
                <w:color w:val="000000"/>
                <w:kern w:val="0"/>
                <w:sz w:val="19"/>
                <w:szCs w:val="19"/>
              </w:rPr>
              <w:t>;</w:t>
            </w:r>
          </w:p>
          <w:p w14:paraId="7D2B9DC9">
            <w:pPr>
              <w:widowControl/>
              <w:jc w:val="left"/>
              <w:textAlignment w:val="auto"/>
              <w:rPr>
                <w:rFonts w:hint="eastAsia" w:ascii="Times New Roman" w:hAnsi="Times New Roman" w:eastAsia="宋体" w:cs="Times New Roman"/>
                <w:color w:val="000000"/>
                <w:kern w:val="0"/>
                <w:sz w:val="19"/>
                <w:szCs w:val="19"/>
                <w:lang w:eastAsia="zh-CN"/>
              </w:rPr>
            </w:pPr>
            <w:r>
              <w:rPr>
                <w:rFonts w:ascii="Times New Roman" w:hAnsi="Times New Roman" w:eastAsia="宋体" w:cs="Times New Roman"/>
                <w:color w:val="000000"/>
                <w:kern w:val="0"/>
                <w:sz w:val="19"/>
                <w:szCs w:val="19"/>
              </w:rPr>
              <w:t>14.</w:t>
            </w:r>
            <w:r>
              <w:rPr>
                <w:rFonts w:hint="eastAsia" w:ascii="宋体" w:hAnsi="宋体" w:eastAsia="宋体" w:cs="Times New Roman"/>
                <w:color w:val="000000"/>
                <w:kern w:val="0"/>
                <w:sz w:val="19"/>
                <w:szCs w:val="19"/>
              </w:rPr>
              <w:t>支持控制节点</w:t>
            </w:r>
            <w:r>
              <w:rPr>
                <w:rFonts w:ascii="Times New Roman" w:hAnsi="Times New Roman" w:eastAsia="宋体" w:cs="Times New Roman"/>
                <w:color w:val="000000"/>
                <w:kern w:val="0"/>
                <w:sz w:val="19"/>
                <w:szCs w:val="19"/>
              </w:rPr>
              <w:t xml:space="preserve"> HA</w:t>
            </w:r>
            <w:r>
              <w:rPr>
                <w:rFonts w:hint="eastAsia" w:ascii="宋体" w:hAnsi="宋体" w:eastAsia="宋体" w:cs="Times New Roman"/>
                <w:color w:val="000000"/>
                <w:kern w:val="0"/>
                <w:sz w:val="19"/>
                <w:szCs w:val="19"/>
              </w:rPr>
              <w:t>，配置两台主控时采用主备模式，当主控服</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务器故障，备控服务器自动完成接管，虚拟桌面零中断，执行</w:t>
            </w:r>
            <w:r>
              <w:rPr>
                <w:rFonts w:ascii="Times New Roman" w:hAnsi="Times New Roman" w:eastAsia="宋体" w:cs="Times New Roman"/>
                <w:color w:val="000000"/>
                <w:kern w:val="0"/>
                <w:sz w:val="19"/>
                <w:szCs w:val="19"/>
              </w:rPr>
              <w:t xml:space="preserve"> HA </w:t>
            </w:r>
            <w:r>
              <w:rPr>
                <w:rFonts w:hint="eastAsia" w:ascii="宋体" w:hAnsi="宋体" w:eastAsia="宋体" w:cs="Times New Roman"/>
                <w:color w:val="000000"/>
                <w:kern w:val="0"/>
                <w:sz w:val="19"/>
                <w:szCs w:val="19"/>
              </w:rPr>
              <w:t>切换前后，所有终端连接服务器的网络配置无需更改</w:t>
            </w:r>
            <w:r>
              <w:rPr>
                <w:rFonts w:ascii="Times New Roman" w:hAnsi="Times New Roman" w:eastAsia="宋体" w:cs="Times New Roman"/>
                <w:color w:val="000000"/>
                <w:kern w:val="0"/>
                <w:sz w:val="19"/>
                <w:szCs w:val="19"/>
              </w:rPr>
              <w:t xml:space="preserve">;HA </w:t>
            </w:r>
            <w:r>
              <w:rPr>
                <w:rFonts w:hint="eastAsia" w:ascii="宋体" w:hAnsi="宋体" w:eastAsia="宋体" w:cs="Times New Roman"/>
                <w:color w:val="000000"/>
                <w:kern w:val="0"/>
                <w:sz w:val="19"/>
                <w:szCs w:val="19"/>
              </w:rPr>
              <w:t>触</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发的敏感时间可精细化到秒并可配置</w:t>
            </w:r>
            <w:r>
              <w:rPr>
                <w:rFonts w:ascii="Times New Roman" w:hAnsi="Times New Roman" w:eastAsia="宋体" w:cs="Times New Roman"/>
                <w:color w:val="000000"/>
                <w:kern w:val="0"/>
                <w:sz w:val="19"/>
                <w:szCs w:val="19"/>
              </w:rPr>
              <w:t>; 15.</w:t>
            </w:r>
            <w:r>
              <w:rPr>
                <w:rFonts w:hint="eastAsia" w:ascii="宋体" w:hAnsi="宋体" w:eastAsia="宋体" w:cs="Times New Roman"/>
                <w:color w:val="000000"/>
                <w:kern w:val="0"/>
                <w:sz w:val="19"/>
                <w:szCs w:val="19"/>
              </w:rPr>
              <w:t>支持服务器修复与替换，当单个节点服务器故障时，不影响模</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板更新，可重装系统进行修复，也可直接替换，节点服务器恢复</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正常后可自动或手动同步离线节点服务器的教学桌面数据，从而</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降低单点故障并提供快速修复方式</w:t>
            </w:r>
            <w:r>
              <w:rPr>
                <w:rFonts w:ascii="Times New Roman" w:hAnsi="Times New Roman" w:eastAsia="宋体" w:cs="Times New Roman"/>
                <w:color w:val="000000"/>
                <w:kern w:val="0"/>
                <w:sz w:val="19"/>
                <w:szCs w:val="19"/>
              </w:rPr>
              <w:t>;</w:t>
            </w:r>
          </w:p>
          <w:p w14:paraId="5B7ED996">
            <w:pPr>
              <w:widowControl/>
              <w:jc w:val="left"/>
              <w:textAlignment w:val="auto"/>
              <w:rPr>
                <w:rFonts w:ascii="Times New Roman" w:hAnsi="Times New Roman" w:eastAsia="宋体" w:cs="Times New Roman"/>
                <w:color w:val="000000"/>
                <w:kern w:val="0"/>
                <w:sz w:val="19"/>
                <w:szCs w:val="19"/>
              </w:rPr>
            </w:pPr>
            <w:r>
              <w:rPr>
                <w:rFonts w:ascii="Times New Roman" w:hAnsi="Times New Roman" w:eastAsia="宋体" w:cs="Times New Roman"/>
                <w:color w:val="000000"/>
                <w:kern w:val="0"/>
                <w:sz w:val="19"/>
                <w:szCs w:val="19"/>
              </w:rPr>
              <w:t>16.</w:t>
            </w:r>
            <w:r>
              <w:rPr>
                <w:rFonts w:hint="eastAsia" w:ascii="宋体" w:hAnsi="宋体" w:eastAsia="宋体" w:cs="Times New Roman"/>
                <w:color w:val="000000"/>
                <w:kern w:val="0"/>
                <w:sz w:val="19"/>
                <w:szCs w:val="19"/>
              </w:rPr>
              <w:t>支持在</w:t>
            </w:r>
            <w:r>
              <w:rPr>
                <w:rFonts w:ascii="Times New Roman" w:hAnsi="Times New Roman" w:eastAsia="宋体" w:cs="Times New Roman"/>
                <w:color w:val="000000"/>
                <w:kern w:val="0"/>
                <w:sz w:val="19"/>
                <w:szCs w:val="19"/>
              </w:rPr>
              <w:t xml:space="preserve"> WEB </w:t>
            </w:r>
            <w:r>
              <w:rPr>
                <w:rFonts w:hint="eastAsia" w:ascii="宋体" w:hAnsi="宋体" w:eastAsia="宋体" w:cs="Times New Roman"/>
                <w:color w:val="000000"/>
                <w:kern w:val="0"/>
                <w:sz w:val="19"/>
                <w:szCs w:val="19"/>
              </w:rPr>
              <w:t>管理平台上直接对服务器</w:t>
            </w:r>
            <w:r>
              <w:rPr>
                <w:rFonts w:ascii="Times New Roman" w:hAnsi="Times New Roman" w:eastAsia="宋体" w:cs="Times New Roman"/>
                <w:color w:val="000000"/>
                <w:kern w:val="0"/>
                <w:sz w:val="19"/>
                <w:szCs w:val="19"/>
              </w:rPr>
              <w:t xml:space="preserve"> SSD </w:t>
            </w:r>
            <w:r>
              <w:rPr>
                <w:rFonts w:hint="eastAsia" w:ascii="宋体" w:hAnsi="宋体" w:eastAsia="宋体" w:cs="Times New Roman"/>
                <w:color w:val="000000"/>
                <w:kern w:val="0"/>
                <w:sz w:val="19"/>
                <w:szCs w:val="19"/>
              </w:rPr>
              <w:t>硬盘进行性能测</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试，不依赖第三方测试工具，可获取</w:t>
            </w:r>
            <w:r>
              <w:rPr>
                <w:rFonts w:ascii="Times New Roman" w:hAnsi="Times New Roman" w:eastAsia="宋体" w:cs="Times New Roman"/>
                <w:color w:val="000000"/>
                <w:kern w:val="0"/>
                <w:sz w:val="19"/>
                <w:szCs w:val="19"/>
              </w:rPr>
              <w:t xml:space="preserve"> SSD </w:t>
            </w:r>
            <w:r>
              <w:rPr>
                <w:rFonts w:hint="eastAsia" w:ascii="宋体" w:hAnsi="宋体" w:eastAsia="宋体" w:cs="Times New Roman"/>
                <w:color w:val="000000"/>
                <w:kern w:val="0"/>
                <w:sz w:val="19"/>
                <w:szCs w:val="19"/>
              </w:rPr>
              <w:t>硬盘</w:t>
            </w:r>
            <w:r>
              <w:rPr>
                <w:rFonts w:ascii="Times New Roman" w:hAnsi="Times New Roman" w:eastAsia="宋体" w:cs="Times New Roman"/>
                <w:color w:val="000000"/>
                <w:kern w:val="0"/>
                <w:sz w:val="19"/>
                <w:szCs w:val="19"/>
              </w:rPr>
              <w:t xml:space="preserve"> 16K </w:t>
            </w:r>
            <w:r>
              <w:rPr>
                <w:rFonts w:hint="eastAsia" w:ascii="宋体" w:hAnsi="宋体" w:eastAsia="宋体" w:cs="Times New Roman"/>
                <w:color w:val="000000"/>
                <w:kern w:val="0"/>
                <w:sz w:val="19"/>
                <w:szCs w:val="19"/>
              </w:rPr>
              <w:t>随机读、顺</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序写数值，并给出测试评级结果，便于管理员定位系统故障</w:t>
            </w:r>
            <w:r>
              <w:rPr>
                <w:rFonts w:ascii="Times New Roman" w:hAnsi="Times New Roman" w:eastAsia="宋体" w:cs="Times New Roman"/>
                <w:color w:val="000000"/>
                <w:kern w:val="0"/>
                <w:sz w:val="19"/>
                <w:szCs w:val="19"/>
              </w:rPr>
              <w:t>; 17.</w:t>
            </w:r>
            <w:r>
              <w:rPr>
                <w:rFonts w:hint="eastAsia" w:ascii="宋体" w:hAnsi="宋体" w:eastAsia="宋体" w:cs="Times New Roman"/>
                <w:color w:val="000000"/>
                <w:kern w:val="0"/>
                <w:sz w:val="19"/>
                <w:szCs w:val="19"/>
              </w:rPr>
              <w:t>单个终端可同时支持教学桌面和个人桌面两种使用方式，教学</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桌面开机无需账号直接进入桌面，满足学生上课使用</w:t>
            </w:r>
            <w:r>
              <w:rPr>
                <w:rFonts w:ascii="Times New Roman" w:hAnsi="Times New Roman" w:eastAsia="宋体" w:cs="Times New Roman"/>
                <w:color w:val="000000"/>
                <w:kern w:val="0"/>
                <w:sz w:val="19"/>
                <w:szCs w:val="19"/>
              </w:rPr>
              <w:t>;</w:t>
            </w:r>
            <w:r>
              <w:rPr>
                <w:rFonts w:hint="eastAsia" w:ascii="宋体" w:hAnsi="宋体" w:eastAsia="宋体" w:cs="Times New Roman"/>
                <w:color w:val="000000"/>
                <w:kern w:val="0"/>
                <w:sz w:val="19"/>
                <w:szCs w:val="19"/>
              </w:rPr>
              <w:t>个人桌面</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开机须输入账号密码进入桌面，便于个性化实验或教师办公使</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用</w:t>
            </w:r>
            <w:r>
              <w:rPr>
                <w:rFonts w:ascii="Times New Roman" w:hAnsi="Times New Roman" w:eastAsia="宋体" w:cs="Times New Roman"/>
                <w:color w:val="000000"/>
                <w:kern w:val="0"/>
                <w:sz w:val="19"/>
                <w:szCs w:val="19"/>
              </w:rPr>
              <w:t>;</w:t>
            </w:r>
            <w:r>
              <w:rPr>
                <w:rFonts w:hint="eastAsia" w:ascii="宋体" w:hAnsi="宋体" w:eastAsia="宋体" w:cs="Times New Roman"/>
                <w:color w:val="000000"/>
                <w:kern w:val="0"/>
                <w:sz w:val="19"/>
                <w:szCs w:val="19"/>
              </w:rPr>
              <w:t>管理台可控制允许终端进入的桌面类型，包括仅使用教学桌</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面，仅使用个人桌面，混合登录三种方式</w:t>
            </w:r>
            <w:r>
              <w:rPr>
                <w:rFonts w:ascii="Times New Roman" w:hAnsi="Times New Roman" w:eastAsia="宋体" w:cs="Times New Roman"/>
                <w:color w:val="000000"/>
                <w:kern w:val="0"/>
                <w:sz w:val="19"/>
                <w:szCs w:val="19"/>
              </w:rPr>
              <w:t>; 18.</w:t>
            </w:r>
            <w:r>
              <w:rPr>
                <w:rFonts w:hint="eastAsia" w:ascii="宋体" w:hAnsi="宋体" w:eastAsia="宋体" w:cs="Times New Roman"/>
                <w:color w:val="000000"/>
                <w:kern w:val="0"/>
                <w:sz w:val="19"/>
                <w:szCs w:val="19"/>
              </w:rPr>
              <w:t>支持桌面还原属性修改，桌面创建完成后，可随时在管理平台</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根据教学需求修改教学桌面还原属性，可单独分别为系统盘和数</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据盘设置每次还原，每天还原，每周还原、每月还原或不还原，</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也可对场景中的任意数量的桌面实现立即还原，满足教学桌面还</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原和考试环境数据保存等需求</w:t>
            </w:r>
            <w:r>
              <w:rPr>
                <w:rFonts w:ascii="Times New Roman" w:hAnsi="Times New Roman" w:eastAsia="宋体" w:cs="Times New Roman"/>
                <w:color w:val="000000"/>
                <w:kern w:val="0"/>
                <w:sz w:val="19"/>
                <w:szCs w:val="19"/>
              </w:rPr>
              <w:t>; 19.</w:t>
            </w:r>
            <w:r>
              <w:rPr>
                <w:rFonts w:hint="eastAsia" w:ascii="宋体" w:hAnsi="宋体" w:eastAsia="宋体" w:cs="Times New Roman"/>
                <w:color w:val="000000"/>
                <w:kern w:val="0"/>
                <w:sz w:val="19"/>
                <w:szCs w:val="19"/>
              </w:rPr>
              <w:t>支持在管理平台上对教学桌面发起远程协助，便于随时解决学</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生桌面使用问题</w:t>
            </w:r>
            <w:r>
              <w:rPr>
                <w:rFonts w:ascii="Times New Roman" w:hAnsi="Times New Roman" w:eastAsia="宋体" w:cs="Times New Roman"/>
                <w:color w:val="000000"/>
                <w:kern w:val="0"/>
                <w:sz w:val="19"/>
                <w:szCs w:val="19"/>
              </w:rPr>
              <w:t>; 20.</w:t>
            </w:r>
            <w:r>
              <w:rPr>
                <w:rFonts w:hint="eastAsia" w:ascii="宋体" w:hAnsi="宋体" w:eastAsia="宋体" w:cs="Times New Roman"/>
                <w:color w:val="000000"/>
                <w:kern w:val="0"/>
                <w:sz w:val="19"/>
                <w:szCs w:val="19"/>
              </w:rPr>
              <w:t>支持在一个终端上通过一个账号密码，同时登录多个个人桌</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面，桌面可窗口化显示，可以拖动缩放</w:t>
            </w:r>
            <w:r>
              <w:rPr>
                <w:rFonts w:ascii="Times New Roman" w:hAnsi="Times New Roman" w:eastAsia="宋体" w:cs="Times New Roman"/>
                <w:color w:val="000000"/>
                <w:kern w:val="0"/>
                <w:sz w:val="19"/>
                <w:szCs w:val="19"/>
              </w:rPr>
              <w:t>,</w:t>
            </w:r>
            <w:r>
              <w:rPr>
                <w:rFonts w:hint="eastAsia" w:ascii="宋体" w:hAnsi="宋体" w:eastAsia="宋体" w:cs="Times New Roman"/>
                <w:color w:val="000000"/>
                <w:kern w:val="0"/>
                <w:sz w:val="19"/>
                <w:szCs w:val="19"/>
              </w:rPr>
              <w:t>无需桌面切换即可满足用户同时使用不同桌面的场景</w:t>
            </w:r>
            <w:r>
              <w:rPr>
                <w:rFonts w:ascii="Times New Roman" w:hAnsi="Times New Roman" w:eastAsia="宋体" w:cs="Times New Roman"/>
                <w:color w:val="000000"/>
                <w:kern w:val="0"/>
                <w:sz w:val="19"/>
                <w:szCs w:val="19"/>
              </w:rPr>
              <w:t>; 21.</w:t>
            </w:r>
            <w:r>
              <w:rPr>
                <w:rFonts w:hint="eastAsia" w:ascii="宋体" w:hAnsi="宋体" w:eastAsia="宋体" w:cs="Times New Roman"/>
                <w:color w:val="000000"/>
                <w:kern w:val="0"/>
                <w:sz w:val="19"/>
                <w:szCs w:val="19"/>
              </w:rPr>
              <w:t>通过网页登录桌面或系统模板时，支持拖拽方式实现本地系统</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和虚拟桌面之间的文件上传和下载，便于数据文件的共享</w:t>
            </w:r>
            <w:r>
              <w:rPr>
                <w:rFonts w:ascii="Times New Roman" w:hAnsi="Times New Roman" w:eastAsia="宋体" w:cs="Times New Roman"/>
                <w:color w:val="000000"/>
                <w:kern w:val="0"/>
                <w:sz w:val="19"/>
                <w:szCs w:val="19"/>
              </w:rPr>
              <w:t>; 22.</w:t>
            </w:r>
            <w:r>
              <w:rPr>
                <w:rFonts w:hint="eastAsia" w:ascii="宋体" w:hAnsi="宋体" w:eastAsia="宋体" w:cs="Times New Roman"/>
                <w:color w:val="000000"/>
                <w:kern w:val="0"/>
                <w:sz w:val="19"/>
                <w:szCs w:val="19"/>
              </w:rPr>
              <w:t>支持</w:t>
            </w:r>
            <w:r>
              <w:rPr>
                <w:rFonts w:ascii="Times New Roman" w:hAnsi="Times New Roman" w:eastAsia="宋体" w:cs="Times New Roman"/>
                <w:color w:val="000000"/>
                <w:kern w:val="0"/>
                <w:sz w:val="19"/>
                <w:szCs w:val="19"/>
              </w:rPr>
              <w:t xml:space="preserve"> windows </w:t>
            </w:r>
            <w:r>
              <w:rPr>
                <w:rFonts w:hint="eastAsia" w:ascii="宋体" w:hAnsi="宋体" w:eastAsia="宋体" w:cs="Times New Roman"/>
                <w:color w:val="000000"/>
                <w:kern w:val="0"/>
                <w:sz w:val="19"/>
                <w:szCs w:val="19"/>
              </w:rPr>
              <w:t>系统下的屏幕水印功能，可设置水印显示位置、</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字体大小、颜色、透明度，可设置显示内容，包括桌面计算机名，</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终端序号，桌面</w:t>
            </w:r>
            <w:r>
              <w:rPr>
                <w:rFonts w:ascii="Times New Roman" w:hAnsi="Times New Roman" w:eastAsia="宋体" w:cs="Times New Roman"/>
                <w:color w:val="000000"/>
                <w:kern w:val="0"/>
                <w:sz w:val="19"/>
                <w:szCs w:val="19"/>
              </w:rPr>
              <w:t xml:space="preserve"> IP </w:t>
            </w:r>
            <w:r>
              <w:rPr>
                <w:rFonts w:hint="eastAsia" w:ascii="宋体" w:hAnsi="宋体" w:eastAsia="宋体" w:cs="Times New Roman"/>
                <w:color w:val="000000"/>
                <w:kern w:val="0"/>
                <w:sz w:val="19"/>
                <w:szCs w:val="19"/>
              </w:rPr>
              <w:t>地址，</w:t>
            </w:r>
            <w:r>
              <w:rPr>
                <w:rFonts w:ascii="Times New Roman" w:hAnsi="Times New Roman" w:eastAsia="宋体" w:cs="Times New Roman"/>
                <w:color w:val="000000"/>
                <w:kern w:val="0"/>
                <w:sz w:val="19"/>
                <w:szCs w:val="19"/>
              </w:rPr>
              <w:t xml:space="preserve">MAC </w:t>
            </w:r>
            <w:r>
              <w:rPr>
                <w:rFonts w:hint="eastAsia" w:ascii="宋体" w:hAnsi="宋体" w:eastAsia="宋体" w:cs="Times New Roman"/>
                <w:color w:val="000000"/>
                <w:kern w:val="0"/>
                <w:sz w:val="19"/>
                <w:szCs w:val="19"/>
              </w:rPr>
              <w:t>地址，还原方式等信息，还可自</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定义显示内容，进入系统后，桌面右上角可置顶显示设置的信息</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水印，便于管理员维护时快速查找对应的终端</w:t>
            </w:r>
            <w:r>
              <w:rPr>
                <w:rFonts w:ascii="Times New Roman" w:hAnsi="Times New Roman" w:eastAsia="宋体" w:cs="Times New Roman"/>
                <w:color w:val="000000"/>
                <w:kern w:val="0"/>
                <w:sz w:val="19"/>
                <w:szCs w:val="19"/>
              </w:rPr>
              <w:t>; 23.</w:t>
            </w:r>
            <w:r>
              <w:rPr>
                <w:rFonts w:hint="eastAsia" w:ascii="宋体" w:hAnsi="宋体" w:eastAsia="宋体" w:cs="Times New Roman"/>
                <w:color w:val="000000"/>
                <w:kern w:val="0"/>
                <w:sz w:val="19"/>
                <w:szCs w:val="19"/>
              </w:rPr>
              <w:t>支持个人桌面镜像分层技术，可直接在管理平台设置分层空间</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大小，用于存储用户系统盘产生的数据，个人桌面模板统一更新</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时，可保留个性化教学办公数据</w:t>
            </w:r>
            <w:r>
              <w:rPr>
                <w:rFonts w:ascii="Times New Roman" w:hAnsi="Times New Roman" w:eastAsia="宋体" w:cs="Times New Roman"/>
                <w:color w:val="000000"/>
                <w:kern w:val="0"/>
                <w:sz w:val="19"/>
                <w:szCs w:val="19"/>
              </w:rPr>
              <w:t>; 24.</w:t>
            </w:r>
            <w:r>
              <w:rPr>
                <w:rFonts w:hint="eastAsia" w:ascii="宋体" w:hAnsi="宋体" w:eastAsia="宋体" w:cs="Times New Roman"/>
                <w:color w:val="000000"/>
                <w:kern w:val="0"/>
                <w:sz w:val="19"/>
                <w:szCs w:val="19"/>
              </w:rPr>
              <w:t>因操作系统故障，用户无法进入</w:t>
            </w:r>
            <w:r>
              <w:rPr>
                <w:rFonts w:ascii="Times New Roman" w:hAnsi="Times New Roman" w:eastAsia="宋体" w:cs="Times New Roman"/>
                <w:color w:val="000000"/>
                <w:kern w:val="0"/>
                <w:sz w:val="19"/>
                <w:szCs w:val="19"/>
              </w:rPr>
              <w:t xml:space="preserve"> VDI </w:t>
            </w:r>
            <w:r>
              <w:rPr>
                <w:rFonts w:hint="eastAsia" w:ascii="宋体" w:hAnsi="宋体" w:eastAsia="宋体" w:cs="Times New Roman"/>
                <w:color w:val="000000"/>
                <w:kern w:val="0"/>
                <w:sz w:val="19"/>
                <w:szCs w:val="19"/>
              </w:rPr>
              <w:t>个人桌面环境时，可直</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接在</w:t>
            </w:r>
            <w:r>
              <w:rPr>
                <w:rFonts w:ascii="Times New Roman" w:hAnsi="Times New Roman" w:eastAsia="宋体" w:cs="Times New Roman"/>
                <w:color w:val="000000"/>
                <w:kern w:val="0"/>
                <w:sz w:val="19"/>
                <w:szCs w:val="19"/>
              </w:rPr>
              <w:t xml:space="preserve"> web </w:t>
            </w:r>
            <w:r>
              <w:rPr>
                <w:rFonts w:hint="eastAsia" w:ascii="宋体" w:hAnsi="宋体" w:eastAsia="宋体" w:cs="Times New Roman"/>
                <w:color w:val="000000"/>
                <w:kern w:val="0"/>
                <w:sz w:val="19"/>
                <w:szCs w:val="19"/>
              </w:rPr>
              <w:t>端个人桌面页面，通过平台自带的数据找回功能，快速</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找回个人数据</w:t>
            </w:r>
            <w:r>
              <w:rPr>
                <w:rFonts w:ascii="Times New Roman" w:hAnsi="Times New Roman" w:eastAsia="宋体" w:cs="Times New Roman"/>
                <w:color w:val="000000"/>
                <w:kern w:val="0"/>
                <w:sz w:val="19"/>
                <w:szCs w:val="19"/>
              </w:rPr>
              <w:t>; 25.</w:t>
            </w:r>
            <w:r>
              <w:rPr>
                <w:rFonts w:hint="eastAsia" w:ascii="宋体" w:hAnsi="宋体" w:eastAsia="宋体" w:cs="Times New Roman"/>
                <w:color w:val="000000"/>
                <w:kern w:val="0"/>
                <w:sz w:val="19"/>
                <w:szCs w:val="19"/>
              </w:rPr>
              <w:t>为方便教学信息的传递，支持消息通知功能，可将消息内容发</w:t>
            </w:r>
            <w:r>
              <w:rPr>
                <w:rFonts w:ascii="Times New Roman" w:hAnsi="Times New Roman" w:eastAsia="宋体" w:cs="Times New Roman"/>
                <w:color w:val="000000"/>
                <w:kern w:val="0"/>
                <w:sz w:val="19"/>
                <w:szCs w:val="19"/>
              </w:rPr>
              <w:t xml:space="preserve"> </w:t>
            </w:r>
            <w:r>
              <w:rPr>
                <w:rFonts w:hint="eastAsia" w:ascii="宋体" w:hAnsi="宋体" w:eastAsia="宋体" w:cs="Times New Roman"/>
                <w:color w:val="000000"/>
                <w:kern w:val="0"/>
                <w:sz w:val="19"/>
                <w:szCs w:val="19"/>
              </w:rPr>
              <w:t>送到所选教室的桌面，支持设置自动关闭消息通知的时间。</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14:paraId="14FF71B8">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2</w:t>
            </w:r>
          </w:p>
        </w:tc>
        <w:tc>
          <w:tcPr>
            <w:tcW w:w="567" w:type="dxa"/>
            <w:vMerge w:val="restart"/>
            <w:tcBorders>
              <w:top w:val="nil"/>
              <w:left w:val="single" w:color="auto" w:sz="4" w:space="0"/>
              <w:bottom w:val="single" w:color="000000" w:sz="4" w:space="0"/>
              <w:right w:val="single" w:color="auto" w:sz="4" w:space="0"/>
            </w:tcBorders>
            <w:shd w:val="clear" w:color="auto" w:fill="auto"/>
            <w:vAlign w:val="center"/>
          </w:tcPr>
          <w:p w14:paraId="5B0C916C">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台</w:t>
            </w:r>
          </w:p>
        </w:tc>
        <w:tc>
          <w:tcPr>
            <w:tcW w:w="708"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1748775E">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7F495C2A">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C3956F2">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24219B03">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1860135A">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E658CAB">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D8866B8">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89C5647">
            <w:pPr>
              <w:widowControl/>
              <w:jc w:val="left"/>
              <w:textAlignment w:val="auto"/>
              <w:rPr>
                <w:rFonts w:ascii="宋体" w:hAnsi="宋体" w:eastAsia="宋体" w:cs="宋体"/>
                <w:color w:val="000000"/>
                <w:kern w:val="0"/>
                <w:sz w:val="19"/>
                <w:szCs w:val="19"/>
              </w:rPr>
            </w:pPr>
          </w:p>
        </w:tc>
      </w:tr>
      <w:tr w14:paraId="67E3125F">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12A7F36">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685FCF3">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0F9878D8">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C833327">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C25FC9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B5DEBC1">
            <w:pPr>
              <w:widowControl/>
              <w:jc w:val="left"/>
              <w:textAlignment w:val="auto"/>
              <w:rPr>
                <w:rFonts w:ascii="宋体" w:hAnsi="宋体" w:eastAsia="宋体" w:cs="宋体"/>
                <w:color w:val="000000"/>
                <w:kern w:val="0"/>
                <w:sz w:val="19"/>
                <w:szCs w:val="19"/>
              </w:rPr>
            </w:pPr>
          </w:p>
        </w:tc>
      </w:tr>
      <w:tr w14:paraId="423E3D0A">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C0CBB5B">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64D5F365">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AE8DCFD">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433458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78AA289">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08C018D">
            <w:pPr>
              <w:widowControl/>
              <w:jc w:val="left"/>
              <w:textAlignment w:val="auto"/>
              <w:rPr>
                <w:rFonts w:ascii="宋体" w:hAnsi="宋体" w:eastAsia="宋体" w:cs="宋体"/>
                <w:color w:val="000000"/>
                <w:kern w:val="0"/>
                <w:sz w:val="19"/>
                <w:szCs w:val="19"/>
              </w:rPr>
            </w:pPr>
          </w:p>
        </w:tc>
      </w:tr>
      <w:tr w14:paraId="6C2BCC1B">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29981EA6">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9925480">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6B21C361">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104AD7A">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D47CB99">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892F56A">
            <w:pPr>
              <w:widowControl/>
              <w:jc w:val="left"/>
              <w:textAlignment w:val="auto"/>
              <w:rPr>
                <w:rFonts w:ascii="宋体" w:hAnsi="宋体" w:eastAsia="宋体" w:cs="宋体"/>
                <w:color w:val="000000"/>
                <w:kern w:val="0"/>
                <w:sz w:val="19"/>
                <w:szCs w:val="19"/>
              </w:rPr>
            </w:pPr>
          </w:p>
        </w:tc>
      </w:tr>
      <w:tr w14:paraId="06530D01">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EF7C6DF">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4CCEB8D">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7F2BF76B">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8F05302">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047BF1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E5E37AC">
            <w:pPr>
              <w:widowControl/>
              <w:jc w:val="left"/>
              <w:textAlignment w:val="auto"/>
              <w:rPr>
                <w:rFonts w:ascii="宋体" w:hAnsi="宋体" w:eastAsia="宋体" w:cs="宋体"/>
                <w:color w:val="000000"/>
                <w:kern w:val="0"/>
                <w:sz w:val="19"/>
                <w:szCs w:val="19"/>
              </w:rPr>
            </w:pPr>
          </w:p>
        </w:tc>
      </w:tr>
      <w:tr w14:paraId="4CB18E81">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6EA2A62F">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767CB2D">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60838EA7">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39ED514">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1936D0F">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8FB0770">
            <w:pPr>
              <w:widowControl/>
              <w:jc w:val="left"/>
              <w:textAlignment w:val="auto"/>
              <w:rPr>
                <w:rFonts w:ascii="宋体" w:hAnsi="宋体" w:eastAsia="宋体" w:cs="宋体"/>
                <w:color w:val="000000"/>
                <w:kern w:val="0"/>
                <w:sz w:val="19"/>
                <w:szCs w:val="19"/>
              </w:rPr>
            </w:pPr>
          </w:p>
        </w:tc>
      </w:tr>
      <w:tr w14:paraId="46F98D2B">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ADFE44F">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F598778">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042A4AD">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4C49B26">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9941A12">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A8AEBEF">
            <w:pPr>
              <w:widowControl/>
              <w:jc w:val="left"/>
              <w:textAlignment w:val="auto"/>
              <w:rPr>
                <w:rFonts w:ascii="宋体" w:hAnsi="宋体" w:eastAsia="宋体" w:cs="宋体"/>
                <w:color w:val="000000"/>
                <w:kern w:val="0"/>
                <w:sz w:val="19"/>
                <w:szCs w:val="19"/>
              </w:rPr>
            </w:pPr>
          </w:p>
        </w:tc>
      </w:tr>
      <w:tr w14:paraId="4613DA66">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2F5C0E0C">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FB652B6">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7511374">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6AB4C22">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DB11BE8">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715DD22">
            <w:pPr>
              <w:widowControl/>
              <w:jc w:val="left"/>
              <w:textAlignment w:val="auto"/>
              <w:rPr>
                <w:rFonts w:ascii="宋体" w:hAnsi="宋体" w:eastAsia="宋体" w:cs="宋体"/>
                <w:color w:val="000000"/>
                <w:kern w:val="0"/>
                <w:sz w:val="19"/>
                <w:szCs w:val="19"/>
              </w:rPr>
            </w:pPr>
          </w:p>
        </w:tc>
      </w:tr>
      <w:tr w14:paraId="3A35D66C">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BC645F3">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001FCBA">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98F5FD9">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42EADFD">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B4DCE90">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072BAA2">
            <w:pPr>
              <w:widowControl/>
              <w:jc w:val="left"/>
              <w:textAlignment w:val="auto"/>
              <w:rPr>
                <w:rFonts w:ascii="宋体" w:hAnsi="宋体" w:eastAsia="宋体" w:cs="宋体"/>
                <w:color w:val="000000"/>
                <w:kern w:val="0"/>
                <w:sz w:val="19"/>
                <w:szCs w:val="19"/>
              </w:rPr>
            </w:pPr>
          </w:p>
        </w:tc>
      </w:tr>
      <w:tr w14:paraId="499AA8A9">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E88843A">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65D939E8">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DADCE6D">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EAD34E8">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4C385CE">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240891B4">
            <w:pPr>
              <w:widowControl/>
              <w:jc w:val="left"/>
              <w:textAlignment w:val="auto"/>
              <w:rPr>
                <w:rFonts w:ascii="宋体" w:hAnsi="宋体" w:eastAsia="宋体" w:cs="宋体"/>
                <w:color w:val="000000"/>
                <w:kern w:val="0"/>
                <w:sz w:val="19"/>
                <w:szCs w:val="19"/>
              </w:rPr>
            </w:pPr>
          </w:p>
        </w:tc>
      </w:tr>
      <w:tr w14:paraId="22979D20">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0EB4677">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0175A74">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56BDA1A">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E72A69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99EFF00">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87C5E90">
            <w:pPr>
              <w:widowControl/>
              <w:jc w:val="left"/>
              <w:textAlignment w:val="auto"/>
              <w:rPr>
                <w:rFonts w:ascii="宋体" w:hAnsi="宋体" w:eastAsia="宋体" w:cs="宋体"/>
                <w:color w:val="000000"/>
                <w:kern w:val="0"/>
                <w:sz w:val="19"/>
                <w:szCs w:val="19"/>
              </w:rPr>
            </w:pPr>
          </w:p>
        </w:tc>
      </w:tr>
      <w:tr w14:paraId="3F408285">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6947AA1E">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80F3E37">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37887047">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23ED61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12672A2">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0A6CFFF">
            <w:pPr>
              <w:widowControl/>
              <w:jc w:val="left"/>
              <w:textAlignment w:val="auto"/>
              <w:rPr>
                <w:rFonts w:ascii="宋体" w:hAnsi="宋体" w:eastAsia="宋体" w:cs="宋体"/>
                <w:color w:val="000000"/>
                <w:kern w:val="0"/>
                <w:sz w:val="19"/>
                <w:szCs w:val="19"/>
              </w:rPr>
            </w:pPr>
          </w:p>
        </w:tc>
      </w:tr>
      <w:tr w14:paraId="72E3E3B9">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ED13C96">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23A4F271">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66E3F2F">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C9C64DB">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ACAC163">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FCF53B2">
            <w:pPr>
              <w:widowControl/>
              <w:jc w:val="left"/>
              <w:textAlignment w:val="auto"/>
              <w:rPr>
                <w:rFonts w:ascii="宋体" w:hAnsi="宋体" w:eastAsia="宋体" w:cs="宋体"/>
                <w:color w:val="000000"/>
                <w:kern w:val="0"/>
                <w:sz w:val="19"/>
                <w:szCs w:val="19"/>
              </w:rPr>
            </w:pPr>
          </w:p>
        </w:tc>
      </w:tr>
      <w:tr w14:paraId="2209005C">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5851C0D">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CD2D77E">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0177F1BB">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3C857A3">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C6EF5CD">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08E394C">
            <w:pPr>
              <w:widowControl/>
              <w:jc w:val="left"/>
              <w:textAlignment w:val="auto"/>
              <w:rPr>
                <w:rFonts w:ascii="宋体" w:hAnsi="宋体" w:eastAsia="宋体" w:cs="宋体"/>
                <w:color w:val="000000"/>
                <w:kern w:val="0"/>
                <w:sz w:val="19"/>
                <w:szCs w:val="19"/>
              </w:rPr>
            </w:pPr>
          </w:p>
        </w:tc>
      </w:tr>
      <w:tr w14:paraId="73DA435E">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42270FA">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2FA889B3">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0A38A97C">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BB6F1D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AB738BB">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7480EC7">
            <w:pPr>
              <w:widowControl/>
              <w:jc w:val="left"/>
              <w:textAlignment w:val="auto"/>
              <w:rPr>
                <w:rFonts w:ascii="宋体" w:hAnsi="宋体" w:eastAsia="宋体" w:cs="宋体"/>
                <w:color w:val="000000"/>
                <w:kern w:val="0"/>
                <w:sz w:val="19"/>
                <w:szCs w:val="19"/>
              </w:rPr>
            </w:pPr>
          </w:p>
        </w:tc>
      </w:tr>
      <w:tr w14:paraId="076BA046">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9A18971">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D5F8FFC">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BCC4CA4">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6678EB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FDD1C5A">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E11D3FC">
            <w:pPr>
              <w:widowControl/>
              <w:jc w:val="left"/>
              <w:textAlignment w:val="auto"/>
              <w:rPr>
                <w:rFonts w:ascii="宋体" w:hAnsi="宋体" w:eastAsia="宋体" w:cs="宋体"/>
                <w:color w:val="000000"/>
                <w:kern w:val="0"/>
                <w:sz w:val="19"/>
                <w:szCs w:val="19"/>
              </w:rPr>
            </w:pPr>
          </w:p>
        </w:tc>
      </w:tr>
      <w:tr w14:paraId="189605A5">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3EB08F3">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96C23DC">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17A84A26">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F43EB1B">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9EACA7B">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CD035B6">
            <w:pPr>
              <w:widowControl/>
              <w:jc w:val="left"/>
              <w:textAlignment w:val="auto"/>
              <w:rPr>
                <w:rFonts w:ascii="宋体" w:hAnsi="宋体" w:eastAsia="宋体" w:cs="宋体"/>
                <w:color w:val="000000"/>
                <w:kern w:val="0"/>
                <w:sz w:val="19"/>
                <w:szCs w:val="19"/>
              </w:rPr>
            </w:pPr>
          </w:p>
        </w:tc>
      </w:tr>
      <w:tr w14:paraId="5565F650">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29EC8D9">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62CED963">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6177FC2">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C7D8BB4">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0A6EBD9">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FEF8176">
            <w:pPr>
              <w:widowControl/>
              <w:jc w:val="left"/>
              <w:textAlignment w:val="auto"/>
              <w:rPr>
                <w:rFonts w:ascii="宋体" w:hAnsi="宋体" w:eastAsia="宋体" w:cs="宋体"/>
                <w:color w:val="000000"/>
                <w:kern w:val="0"/>
                <w:sz w:val="19"/>
                <w:szCs w:val="19"/>
              </w:rPr>
            </w:pPr>
          </w:p>
        </w:tc>
      </w:tr>
      <w:tr w14:paraId="12455301">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5FE219F8">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D1CC74A">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094B7B51">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45CC617">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9A91108">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9F510DF">
            <w:pPr>
              <w:widowControl/>
              <w:jc w:val="left"/>
              <w:textAlignment w:val="auto"/>
              <w:rPr>
                <w:rFonts w:ascii="宋体" w:hAnsi="宋体" w:eastAsia="宋体" w:cs="宋体"/>
                <w:color w:val="000000"/>
                <w:kern w:val="0"/>
                <w:sz w:val="19"/>
                <w:szCs w:val="19"/>
              </w:rPr>
            </w:pPr>
          </w:p>
        </w:tc>
      </w:tr>
      <w:tr w14:paraId="63231D26">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68408D44">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288A7E31">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52903BA">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223A88D">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47B339F">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C75F9AF">
            <w:pPr>
              <w:widowControl/>
              <w:jc w:val="left"/>
              <w:textAlignment w:val="auto"/>
              <w:rPr>
                <w:rFonts w:ascii="宋体" w:hAnsi="宋体" w:eastAsia="宋体" w:cs="宋体"/>
                <w:color w:val="000000"/>
                <w:kern w:val="0"/>
                <w:sz w:val="19"/>
                <w:szCs w:val="19"/>
              </w:rPr>
            </w:pPr>
          </w:p>
        </w:tc>
      </w:tr>
      <w:tr w14:paraId="57BE62F3">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D4AE3B0">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2DFEB85">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06E382D">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DDA2A5F">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199EB1A">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497AF94">
            <w:pPr>
              <w:widowControl/>
              <w:jc w:val="left"/>
              <w:textAlignment w:val="auto"/>
              <w:rPr>
                <w:rFonts w:ascii="宋体" w:hAnsi="宋体" w:eastAsia="宋体" w:cs="宋体"/>
                <w:color w:val="000000"/>
                <w:kern w:val="0"/>
                <w:sz w:val="19"/>
                <w:szCs w:val="19"/>
              </w:rPr>
            </w:pPr>
          </w:p>
        </w:tc>
      </w:tr>
      <w:tr w14:paraId="5A06B1C2">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586BC36">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10F0C9D">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3B533D86">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8FF360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76A2FB1">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B5DCCCD">
            <w:pPr>
              <w:widowControl/>
              <w:jc w:val="left"/>
              <w:textAlignment w:val="auto"/>
              <w:rPr>
                <w:rFonts w:ascii="宋体" w:hAnsi="宋体" w:eastAsia="宋体" w:cs="宋体"/>
                <w:color w:val="000000"/>
                <w:kern w:val="0"/>
                <w:sz w:val="19"/>
                <w:szCs w:val="19"/>
              </w:rPr>
            </w:pPr>
          </w:p>
        </w:tc>
      </w:tr>
      <w:tr w14:paraId="1AE05AA9">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463A6B4">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EC6E2A1">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1E0D949F">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3AA0234">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5E4CD63">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0EBA83C">
            <w:pPr>
              <w:widowControl/>
              <w:jc w:val="left"/>
              <w:textAlignment w:val="auto"/>
              <w:rPr>
                <w:rFonts w:ascii="宋体" w:hAnsi="宋体" w:eastAsia="宋体" w:cs="宋体"/>
                <w:color w:val="000000"/>
                <w:kern w:val="0"/>
                <w:sz w:val="19"/>
                <w:szCs w:val="19"/>
              </w:rPr>
            </w:pPr>
          </w:p>
        </w:tc>
      </w:tr>
      <w:tr w14:paraId="42FDDDCB">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73F58EB">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FE75BBC">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3EE3452C">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44C26DC">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5540B3D">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C0F9EF6">
            <w:pPr>
              <w:widowControl/>
              <w:jc w:val="left"/>
              <w:textAlignment w:val="auto"/>
              <w:rPr>
                <w:rFonts w:ascii="宋体" w:hAnsi="宋体" w:eastAsia="宋体" w:cs="宋体"/>
                <w:color w:val="000000"/>
                <w:kern w:val="0"/>
                <w:sz w:val="19"/>
                <w:szCs w:val="19"/>
              </w:rPr>
            </w:pPr>
          </w:p>
        </w:tc>
      </w:tr>
      <w:tr w14:paraId="02631E55">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256C73D">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6788F98">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1D15A785">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8CB9C7E">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465B76B">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1856F5E">
            <w:pPr>
              <w:widowControl/>
              <w:jc w:val="left"/>
              <w:textAlignment w:val="auto"/>
              <w:rPr>
                <w:rFonts w:ascii="宋体" w:hAnsi="宋体" w:eastAsia="宋体" w:cs="宋体"/>
                <w:color w:val="000000"/>
                <w:kern w:val="0"/>
                <w:sz w:val="19"/>
                <w:szCs w:val="19"/>
              </w:rPr>
            </w:pPr>
          </w:p>
        </w:tc>
      </w:tr>
      <w:tr w14:paraId="74B3696F">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B41927A">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6D16E46">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19D0048">
            <w:pPr>
              <w:widowControl/>
              <w:jc w:val="left"/>
              <w:textAlignment w:val="auto"/>
              <w:rPr>
                <w:rFonts w:ascii="Times New Roman" w:hAnsi="Times New Roman" w:eastAsia="宋体" w:cs="Times New Roman"/>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F6B607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F129C90">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F04CCE2">
            <w:pPr>
              <w:widowControl/>
              <w:jc w:val="left"/>
              <w:textAlignment w:val="auto"/>
              <w:rPr>
                <w:rFonts w:ascii="宋体" w:hAnsi="宋体" w:eastAsia="宋体" w:cs="宋体"/>
                <w:color w:val="000000"/>
                <w:kern w:val="0"/>
                <w:sz w:val="19"/>
                <w:szCs w:val="19"/>
              </w:rPr>
            </w:pPr>
          </w:p>
        </w:tc>
      </w:tr>
      <w:tr w14:paraId="3C182F9B">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shd w:val="clear" w:color="auto" w:fill="auto"/>
            <w:vAlign w:val="center"/>
          </w:tcPr>
          <w:p w14:paraId="49B06989">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5</w:t>
            </w:r>
          </w:p>
        </w:tc>
        <w:tc>
          <w:tcPr>
            <w:tcW w:w="851" w:type="dxa"/>
            <w:tcBorders>
              <w:top w:val="nil"/>
              <w:left w:val="nil"/>
              <w:bottom w:val="single" w:color="auto" w:sz="4" w:space="0"/>
              <w:right w:val="single" w:color="auto" w:sz="4" w:space="0"/>
            </w:tcBorders>
            <w:shd w:val="clear" w:color="auto" w:fill="auto"/>
            <w:vAlign w:val="center"/>
          </w:tcPr>
          <w:p w14:paraId="5342E21F">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接入交换机 48 口</w:t>
            </w:r>
          </w:p>
        </w:tc>
        <w:tc>
          <w:tcPr>
            <w:tcW w:w="5670" w:type="dxa"/>
            <w:tcBorders>
              <w:top w:val="nil"/>
              <w:left w:val="nil"/>
              <w:bottom w:val="single" w:color="auto" w:sz="4" w:space="0"/>
              <w:right w:val="single" w:color="auto" w:sz="4" w:space="0"/>
            </w:tcBorders>
            <w:shd w:val="clear" w:color="auto" w:fill="auto"/>
            <w:vAlign w:val="center"/>
          </w:tcPr>
          <w:p w14:paraId="07A737D7">
            <w:pPr>
              <w:widowControl/>
              <w:jc w:val="center"/>
              <w:textAlignment w:val="auto"/>
              <w:rPr>
                <w:rFonts w:hint="eastAsia" w:ascii="宋体" w:hAnsi="宋体" w:eastAsia="宋体" w:cs="Times New Roman"/>
                <w:color w:val="000000"/>
                <w:kern w:val="0"/>
                <w:sz w:val="19"/>
                <w:szCs w:val="19"/>
                <w:lang w:eastAsia="zh-CN"/>
              </w:rPr>
            </w:pPr>
            <w:r>
              <w:rPr>
                <w:rFonts w:ascii="Times New Roman" w:hAnsi="Times New Roman" w:eastAsia="宋体" w:cs="Times New Roman"/>
                <w:color w:val="000000"/>
                <w:kern w:val="0"/>
                <w:sz w:val="19"/>
                <w:szCs w:val="19"/>
              </w:rPr>
              <w:t xml:space="preserve">48 </w:t>
            </w:r>
            <w:r>
              <w:rPr>
                <w:rFonts w:hint="eastAsia" w:ascii="宋体" w:hAnsi="宋体" w:eastAsia="宋体" w:cs="Times New Roman"/>
                <w:color w:val="000000"/>
                <w:kern w:val="0"/>
                <w:sz w:val="19"/>
                <w:szCs w:val="19"/>
              </w:rPr>
              <w:t>个</w:t>
            </w:r>
            <w:r>
              <w:rPr>
                <w:rFonts w:ascii="Times New Roman" w:hAnsi="Times New Roman" w:eastAsia="宋体" w:cs="Times New Roman"/>
                <w:color w:val="000000"/>
                <w:kern w:val="0"/>
                <w:sz w:val="19"/>
                <w:szCs w:val="19"/>
              </w:rPr>
              <w:t xml:space="preserve">10/100/1000BASE-T </w:t>
            </w:r>
            <w:r>
              <w:rPr>
                <w:rFonts w:hint="eastAsia" w:ascii="宋体" w:hAnsi="宋体" w:eastAsia="宋体" w:cs="Times New Roman"/>
                <w:color w:val="000000"/>
                <w:kern w:val="0"/>
                <w:sz w:val="19"/>
                <w:szCs w:val="19"/>
              </w:rPr>
              <w:t>以太网端口</w:t>
            </w:r>
            <w:r>
              <w:rPr>
                <w:rFonts w:ascii="Times New Roman" w:hAnsi="Times New Roman" w:eastAsia="宋体" w:cs="Times New Roman"/>
                <w:color w:val="000000"/>
                <w:kern w:val="0"/>
                <w:sz w:val="19"/>
                <w:szCs w:val="19"/>
              </w:rPr>
              <w:t xml:space="preserve">,4 </w:t>
            </w:r>
            <w:r>
              <w:rPr>
                <w:rFonts w:hint="eastAsia" w:ascii="宋体" w:hAnsi="宋体" w:eastAsia="宋体" w:cs="Times New Roman"/>
                <w:color w:val="000000"/>
                <w:kern w:val="0"/>
                <w:sz w:val="19"/>
                <w:szCs w:val="19"/>
              </w:rPr>
              <w:t>个千兆</w:t>
            </w:r>
            <w:r>
              <w:rPr>
                <w:rFonts w:ascii="Times New Roman" w:hAnsi="Times New Roman" w:eastAsia="宋体" w:cs="Times New Roman"/>
                <w:color w:val="000000"/>
                <w:kern w:val="0"/>
                <w:sz w:val="19"/>
                <w:szCs w:val="19"/>
              </w:rPr>
              <w:t>SFP</w:t>
            </w:r>
            <w:r>
              <w:rPr>
                <w:rFonts w:hint="eastAsia" w:ascii="宋体" w:hAnsi="宋体" w:eastAsia="宋体" w:cs="Times New Roman"/>
                <w:color w:val="000000"/>
                <w:kern w:val="0"/>
                <w:sz w:val="19"/>
                <w:szCs w:val="19"/>
              </w:rPr>
              <w:t>，交换容</w:t>
            </w:r>
          </w:p>
          <w:p w14:paraId="36047BD1">
            <w:pPr>
              <w:widowControl/>
              <w:jc w:val="center"/>
              <w:textAlignment w:val="auto"/>
              <w:rPr>
                <w:rFonts w:hint="eastAsia" w:ascii="宋体" w:hAnsi="宋体" w:eastAsia="宋体" w:cs="Times New Roman"/>
                <w:color w:val="000000"/>
                <w:kern w:val="0"/>
                <w:sz w:val="19"/>
                <w:szCs w:val="19"/>
                <w:lang w:eastAsia="zh-CN"/>
              </w:rPr>
            </w:pPr>
            <w:r>
              <w:rPr>
                <w:rFonts w:hint="eastAsia" w:ascii="宋体" w:hAnsi="宋体" w:eastAsia="宋体" w:cs="Times New Roman"/>
                <w:color w:val="000000"/>
                <w:kern w:val="0"/>
                <w:sz w:val="19"/>
                <w:szCs w:val="19"/>
              </w:rPr>
              <w:t>量</w:t>
            </w:r>
          </w:p>
          <w:p w14:paraId="07CAA0A0">
            <w:pPr>
              <w:widowControl/>
              <w:jc w:val="center"/>
              <w:textAlignment w:val="auto"/>
              <w:rPr>
                <w:rFonts w:ascii="Times New Roman" w:hAnsi="Times New Roman" w:eastAsia="宋体" w:cs="Times New Roman"/>
                <w:color w:val="000000"/>
                <w:kern w:val="0"/>
                <w:sz w:val="19"/>
                <w:szCs w:val="19"/>
              </w:rPr>
            </w:pPr>
            <w:r>
              <w:rPr>
                <w:rFonts w:ascii="Times New Roman" w:hAnsi="Times New Roman" w:eastAsia="宋体" w:cs="Times New Roman"/>
                <w:color w:val="000000"/>
                <w:kern w:val="0"/>
                <w:sz w:val="19"/>
                <w:szCs w:val="19"/>
              </w:rPr>
              <w:t xml:space="preserve">432Gbps </w:t>
            </w:r>
            <w:r>
              <w:rPr>
                <w:rFonts w:hint="eastAsia" w:ascii="宋体" w:hAnsi="宋体" w:eastAsia="宋体" w:cs="Times New Roman"/>
                <w:color w:val="000000"/>
                <w:kern w:val="0"/>
                <w:sz w:val="19"/>
                <w:szCs w:val="19"/>
              </w:rPr>
              <w:t>包转发率</w:t>
            </w:r>
            <w:r>
              <w:rPr>
                <w:rFonts w:ascii="Times New Roman" w:hAnsi="Times New Roman" w:eastAsia="宋体" w:cs="Times New Roman"/>
                <w:color w:val="000000"/>
                <w:kern w:val="0"/>
                <w:sz w:val="19"/>
                <w:szCs w:val="19"/>
              </w:rPr>
              <w:t xml:space="preserve">78Mpps </w:t>
            </w:r>
            <w:r>
              <w:rPr>
                <w:rFonts w:hint="eastAsia" w:ascii="宋体" w:hAnsi="宋体" w:eastAsia="宋体" w:cs="Times New Roman"/>
                <w:color w:val="000000"/>
                <w:kern w:val="0"/>
                <w:sz w:val="19"/>
                <w:szCs w:val="19"/>
              </w:rPr>
              <w:t>，最大功耗</w:t>
            </w:r>
            <w:r>
              <w:rPr>
                <w:rFonts w:ascii="Times New Roman" w:hAnsi="Times New Roman" w:eastAsia="宋体" w:cs="Times New Roman"/>
                <w:color w:val="000000"/>
                <w:kern w:val="0"/>
                <w:sz w:val="19"/>
                <w:szCs w:val="19"/>
              </w:rPr>
              <w:t>50.4W</w:t>
            </w:r>
          </w:p>
        </w:tc>
        <w:tc>
          <w:tcPr>
            <w:tcW w:w="709" w:type="dxa"/>
            <w:tcBorders>
              <w:top w:val="nil"/>
              <w:left w:val="nil"/>
              <w:bottom w:val="single" w:color="auto" w:sz="4" w:space="0"/>
              <w:right w:val="single" w:color="auto" w:sz="4" w:space="0"/>
            </w:tcBorders>
            <w:shd w:val="clear" w:color="auto" w:fill="auto"/>
            <w:vAlign w:val="center"/>
          </w:tcPr>
          <w:p w14:paraId="65C1B882">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2</w:t>
            </w:r>
          </w:p>
        </w:tc>
        <w:tc>
          <w:tcPr>
            <w:tcW w:w="567" w:type="dxa"/>
            <w:tcBorders>
              <w:top w:val="nil"/>
              <w:left w:val="nil"/>
              <w:bottom w:val="single" w:color="auto" w:sz="4" w:space="0"/>
              <w:right w:val="single" w:color="auto" w:sz="4" w:space="0"/>
            </w:tcBorders>
            <w:shd w:val="clear" w:color="auto" w:fill="auto"/>
            <w:vAlign w:val="center"/>
          </w:tcPr>
          <w:p w14:paraId="63BDCCAC">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台</w:t>
            </w:r>
          </w:p>
        </w:tc>
        <w:tc>
          <w:tcPr>
            <w:tcW w:w="708" w:type="dxa"/>
            <w:gridSpan w:val="2"/>
            <w:tcBorders>
              <w:top w:val="nil"/>
              <w:left w:val="nil"/>
              <w:bottom w:val="single" w:color="auto" w:sz="4" w:space="0"/>
              <w:right w:val="single" w:color="auto" w:sz="4" w:space="0"/>
            </w:tcBorders>
            <w:shd w:val="clear" w:color="auto" w:fill="auto"/>
            <w:vAlign w:val="center"/>
          </w:tcPr>
          <w:p w14:paraId="52A77BBF">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3EC202AB">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shd w:val="clear" w:color="auto" w:fill="auto"/>
            <w:vAlign w:val="center"/>
          </w:tcPr>
          <w:p w14:paraId="7FDFE5DD">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6</w:t>
            </w:r>
          </w:p>
        </w:tc>
        <w:tc>
          <w:tcPr>
            <w:tcW w:w="851" w:type="dxa"/>
            <w:tcBorders>
              <w:top w:val="nil"/>
              <w:left w:val="nil"/>
              <w:bottom w:val="single" w:color="auto" w:sz="4" w:space="0"/>
              <w:right w:val="single" w:color="auto" w:sz="4" w:space="0"/>
            </w:tcBorders>
            <w:shd w:val="clear" w:color="auto" w:fill="auto"/>
            <w:vAlign w:val="center"/>
          </w:tcPr>
          <w:p w14:paraId="18146DCA">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接入交换机 24 口</w:t>
            </w:r>
          </w:p>
        </w:tc>
        <w:tc>
          <w:tcPr>
            <w:tcW w:w="5670" w:type="dxa"/>
            <w:tcBorders>
              <w:top w:val="nil"/>
              <w:left w:val="nil"/>
              <w:bottom w:val="single" w:color="auto" w:sz="4" w:space="0"/>
              <w:right w:val="single" w:color="auto" w:sz="4" w:space="0"/>
            </w:tcBorders>
            <w:shd w:val="clear" w:color="auto" w:fill="auto"/>
            <w:vAlign w:val="center"/>
          </w:tcPr>
          <w:p w14:paraId="352D9FFA">
            <w:pPr>
              <w:widowControl/>
              <w:jc w:val="center"/>
              <w:textAlignment w:val="auto"/>
              <w:rPr>
                <w:rFonts w:hint="eastAsia" w:ascii="宋体" w:hAnsi="宋体" w:eastAsia="宋体" w:cs="Times New Roman"/>
                <w:color w:val="000000"/>
                <w:kern w:val="0"/>
                <w:sz w:val="19"/>
                <w:szCs w:val="19"/>
                <w:lang w:eastAsia="zh-CN"/>
              </w:rPr>
            </w:pPr>
            <w:r>
              <w:rPr>
                <w:rFonts w:ascii="Times New Roman" w:hAnsi="Times New Roman" w:eastAsia="宋体" w:cs="Times New Roman"/>
                <w:color w:val="000000"/>
                <w:kern w:val="0"/>
                <w:sz w:val="19"/>
                <w:szCs w:val="19"/>
              </w:rPr>
              <w:t xml:space="preserve">24 </w:t>
            </w:r>
            <w:r>
              <w:rPr>
                <w:rFonts w:hint="eastAsia" w:ascii="宋体" w:hAnsi="宋体" w:eastAsia="宋体" w:cs="Times New Roman"/>
                <w:color w:val="000000"/>
                <w:kern w:val="0"/>
                <w:sz w:val="19"/>
                <w:szCs w:val="19"/>
              </w:rPr>
              <w:t>个</w:t>
            </w:r>
            <w:r>
              <w:rPr>
                <w:rFonts w:ascii="Times New Roman" w:hAnsi="Times New Roman" w:eastAsia="宋体" w:cs="Times New Roman"/>
                <w:color w:val="000000"/>
                <w:kern w:val="0"/>
                <w:sz w:val="19"/>
                <w:szCs w:val="19"/>
              </w:rPr>
              <w:t xml:space="preserve">10/100/1000BASE-T </w:t>
            </w:r>
            <w:r>
              <w:rPr>
                <w:rFonts w:hint="eastAsia" w:ascii="宋体" w:hAnsi="宋体" w:eastAsia="宋体" w:cs="Times New Roman"/>
                <w:color w:val="000000"/>
                <w:kern w:val="0"/>
                <w:sz w:val="19"/>
                <w:szCs w:val="19"/>
              </w:rPr>
              <w:t>以太网端口</w:t>
            </w:r>
            <w:r>
              <w:rPr>
                <w:rFonts w:ascii="Times New Roman" w:hAnsi="Times New Roman" w:eastAsia="宋体" w:cs="Times New Roman"/>
                <w:color w:val="000000"/>
                <w:kern w:val="0"/>
                <w:sz w:val="19"/>
                <w:szCs w:val="19"/>
              </w:rPr>
              <w:t xml:space="preserve">,4 </w:t>
            </w:r>
            <w:r>
              <w:rPr>
                <w:rFonts w:hint="eastAsia" w:ascii="宋体" w:hAnsi="宋体" w:eastAsia="宋体" w:cs="Times New Roman"/>
                <w:color w:val="000000"/>
                <w:kern w:val="0"/>
                <w:sz w:val="19"/>
                <w:szCs w:val="19"/>
              </w:rPr>
              <w:t>个千兆</w:t>
            </w:r>
            <w:r>
              <w:rPr>
                <w:rFonts w:ascii="Times New Roman" w:hAnsi="Times New Roman" w:eastAsia="宋体" w:cs="Times New Roman"/>
                <w:color w:val="000000"/>
                <w:kern w:val="0"/>
                <w:sz w:val="19"/>
                <w:szCs w:val="19"/>
              </w:rPr>
              <w:t>SFP</w:t>
            </w:r>
            <w:r>
              <w:rPr>
                <w:rFonts w:hint="eastAsia" w:ascii="宋体" w:hAnsi="宋体" w:eastAsia="宋体" w:cs="Times New Roman"/>
                <w:color w:val="000000"/>
                <w:kern w:val="0"/>
                <w:sz w:val="19"/>
                <w:szCs w:val="19"/>
              </w:rPr>
              <w:t>，交换容</w:t>
            </w:r>
          </w:p>
          <w:p w14:paraId="01BC4FFB">
            <w:pPr>
              <w:widowControl/>
              <w:jc w:val="center"/>
              <w:textAlignment w:val="auto"/>
              <w:rPr>
                <w:rFonts w:hint="eastAsia" w:ascii="宋体" w:hAnsi="宋体" w:eastAsia="宋体" w:cs="Times New Roman"/>
                <w:color w:val="000000"/>
                <w:kern w:val="0"/>
                <w:sz w:val="19"/>
                <w:szCs w:val="19"/>
                <w:lang w:eastAsia="zh-CN"/>
              </w:rPr>
            </w:pPr>
            <w:r>
              <w:rPr>
                <w:rFonts w:hint="eastAsia" w:ascii="宋体" w:hAnsi="宋体" w:eastAsia="宋体" w:cs="Times New Roman"/>
                <w:color w:val="000000"/>
                <w:kern w:val="0"/>
                <w:sz w:val="19"/>
                <w:szCs w:val="19"/>
              </w:rPr>
              <w:t>量</w:t>
            </w:r>
          </w:p>
          <w:p w14:paraId="2BD51972">
            <w:pPr>
              <w:widowControl/>
              <w:jc w:val="center"/>
              <w:textAlignment w:val="auto"/>
              <w:rPr>
                <w:rFonts w:ascii="Times New Roman" w:hAnsi="Times New Roman" w:eastAsia="宋体" w:cs="Times New Roman"/>
                <w:color w:val="000000"/>
                <w:kern w:val="0"/>
                <w:sz w:val="19"/>
                <w:szCs w:val="19"/>
              </w:rPr>
            </w:pPr>
            <w:r>
              <w:rPr>
                <w:rFonts w:ascii="Times New Roman" w:hAnsi="Times New Roman" w:eastAsia="宋体" w:cs="Times New Roman"/>
                <w:color w:val="000000"/>
                <w:kern w:val="0"/>
                <w:sz w:val="19"/>
                <w:szCs w:val="19"/>
              </w:rPr>
              <w:t xml:space="preserve">432Gbps </w:t>
            </w:r>
            <w:r>
              <w:rPr>
                <w:rFonts w:hint="eastAsia" w:ascii="宋体" w:hAnsi="宋体" w:eastAsia="宋体" w:cs="Times New Roman"/>
                <w:color w:val="000000"/>
                <w:kern w:val="0"/>
                <w:sz w:val="19"/>
                <w:szCs w:val="19"/>
              </w:rPr>
              <w:t>包转发率</w:t>
            </w:r>
            <w:r>
              <w:rPr>
                <w:rFonts w:ascii="Times New Roman" w:hAnsi="Times New Roman" w:eastAsia="宋体" w:cs="Times New Roman"/>
                <w:color w:val="000000"/>
                <w:kern w:val="0"/>
                <w:sz w:val="19"/>
                <w:szCs w:val="19"/>
              </w:rPr>
              <w:t xml:space="preserve">78Mpps </w:t>
            </w:r>
            <w:r>
              <w:rPr>
                <w:rFonts w:hint="eastAsia" w:ascii="宋体" w:hAnsi="宋体" w:eastAsia="宋体" w:cs="Times New Roman"/>
                <w:color w:val="000000"/>
                <w:kern w:val="0"/>
                <w:sz w:val="19"/>
                <w:szCs w:val="19"/>
              </w:rPr>
              <w:t>，最大功耗</w:t>
            </w:r>
            <w:r>
              <w:rPr>
                <w:rFonts w:ascii="Times New Roman" w:hAnsi="Times New Roman" w:eastAsia="宋体" w:cs="Times New Roman"/>
                <w:color w:val="000000"/>
                <w:kern w:val="0"/>
                <w:sz w:val="19"/>
                <w:szCs w:val="19"/>
              </w:rPr>
              <w:t>50.4W</w:t>
            </w:r>
          </w:p>
        </w:tc>
        <w:tc>
          <w:tcPr>
            <w:tcW w:w="709" w:type="dxa"/>
            <w:tcBorders>
              <w:top w:val="nil"/>
              <w:left w:val="nil"/>
              <w:bottom w:val="single" w:color="auto" w:sz="4" w:space="0"/>
              <w:right w:val="single" w:color="auto" w:sz="4" w:space="0"/>
            </w:tcBorders>
            <w:shd w:val="clear" w:color="auto" w:fill="auto"/>
            <w:vAlign w:val="center"/>
          </w:tcPr>
          <w:p w14:paraId="5BC2DFC2">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1</w:t>
            </w:r>
          </w:p>
        </w:tc>
        <w:tc>
          <w:tcPr>
            <w:tcW w:w="567" w:type="dxa"/>
            <w:tcBorders>
              <w:top w:val="nil"/>
              <w:left w:val="nil"/>
              <w:bottom w:val="single" w:color="auto" w:sz="4" w:space="0"/>
              <w:right w:val="single" w:color="auto" w:sz="4" w:space="0"/>
            </w:tcBorders>
            <w:shd w:val="clear" w:color="auto" w:fill="auto"/>
            <w:vAlign w:val="center"/>
          </w:tcPr>
          <w:p w14:paraId="3A42528A">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台</w:t>
            </w:r>
          </w:p>
        </w:tc>
        <w:tc>
          <w:tcPr>
            <w:tcW w:w="708" w:type="dxa"/>
            <w:gridSpan w:val="2"/>
            <w:tcBorders>
              <w:top w:val="nil"/>
              <w:left w:val="nil"/>
              <w:bottom w:val="single" w:color="auto" w:sz="4" w:space="0"/>
              <w:right w:val="single" w:color="auto" w:sz="4" w:space="0"/>
            </w:tcBorders>
            <w:shd w:val="clear" w:color="auto" w:fill="auto"/>
            <w:vAlign w:val="center"/>
          </w:tcPr>
          <w:p w14:paraId="6D8A187D">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40BB6326">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shd w:val="clear" w:color="auto" w:fill="auto"/>
            <w:vAlign w:val="center"/>
          </w:tcPr>
          <w:p w14:paraId="69DDD731">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7</w:t>
            </w:r>
          </w:p>
        </w:tc>
        <w:tc>
          <w:tcPr>
            <w:tcW w:w="851" w:type="dxa"/>
            <w:tcBorders>
              <w:top w:val="nil"/>
              <w:left w:val="nil"/>
              <w:bottom w:val="single" w:color="auto" w:sz="4" w:space="0"/>
              <w:right w:val="single" w:color="auto" w:sz="4" w:space="0"/>
            </w:tcBorders>
            <w:shd w:val="clear" w:color="auto" w:fill="auto"/>
            <w:vAlign w:val="center"/>
          </w:tcPr>
          <w:p w14:paraId="6ED0AC23">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汇聚交换机</w:t>
            </w:r>
          </w:p>
        </w:tc>
        <w:tc>
          <w:tcPr>
            <w:tcW w:w="5670" w:type="dxa"/>
            <w:tcBorders>
              <w:top w:val="nil"/>
              <w:left w:val="nil"/>
              <w:bottom w:val="single" w:color="auto" w:sz="4" w:space="0"/>
              <w:right w:val="single" w:color="auto" w:sz="4" w:space="0"/>
            </w:tcBorders>
            <w:shd w:val="clear" w:color="auto" w:fill="auto"/>
            <w:vAlign w:val="center"/>
          </w:tcPr>
          <w:p w14:paraId="3386E64A">
            <w:pPr>
              <w:widowControl/>
              <w:jc w:val="center"/>
              <w:textAlignment w:val="auto"/>
              <w:rPr>
                <w:rFonts w:hint="eastAsia" w:ascii="宋体" w:hAnsi="宋体" w:eastAsia="宋体" w:cs="Times New Roman"/>
                <w:color w:val="000000"/>
                <w:kern w:val="0"/>
                <w:sz w:val="19"/>
                <w:szCs w:val="19"/>
                <w:lang w:eastAsia="zh-CN"/>
              </w:rPr>
            </w:pPr>
            <w:r>
              <w:rPr>
                <w:rFonts w:ascii="Times New Roman" w:hAnsi="Times New Roman" w:eastAsia="宋体" w:cs="Times New Roman"/>
                <w:color w:val="000000"/>
                <w:kern w:val="0"/>
                <w:sz w:val="19"/>
                <w:szCs w:val="19"/>
              </w:rPr>
              <w:t xml:space="preserve">24 </w:t>
            </w:r>
            <w:r>
              <w:rPr>
                <w:rFonts w:hint="eastAsia" w:ascii="宋体" w:hAnsi="宋体" w:eastAsia="宋体" w:cs="Times New Roman"/>
                <w:color w:val="000000"/>
                <w:kern w:val="0"/>
                <w:sz w:val="19"/>
                <w:szCs w:val="19"/>
              </w:rPr>
              <w:t>个全千兆电口，</w:t>
            </w:r>
            <w:r>
              <w:rPr>
                <w:rFonts w:ascii="Times New Roman" w:hAnsi="Times New Roman" w:eastAsia="宋体" w:cs="Times New Roman"/>
                <w:color w:val="000000"/>
                <w:kern w:val="0"/>
                <w:sz w:val="19"/>
                <w:szCs w:val="19"/>
              </w:rPr>
              <w:t xml:space="preserve">4 </w:t>
            </w:r>
            <w:r>
              <w:rPr>
                <w:rFonts w:hint="eastAsia" w:ascii="宋体" w:hAnsi="宋体" w:eastAsia="宋体" w:cs="Times New Roman"/>
                <w:color w:val="000000"/>
                <w:kern w:val="0"/>
                <w:sz w:val="19"/>
                <w:szCs w:val="19"/>
              </w:rPr>
              <w:t>个千兆</w:t>
            </w:r>
            <w:r>
              <w:rPr>
                <w:rFonts w:ascii="Times New Roman" w:hAnsi="Times New Roman" w:eastAsia="宋体" w:cs="Times New Roman"/>
                <w:color w:val="000000"/>
                <w:kern w:val="0"/>
                <w:sz w:val="19"/>
                <w:szCs w:val="19"/>
              </w:rPr>
              <w:t xml:space="preserve">SFP </w:t>
            </w:r>
            <w:r>
              <w:rPr>
                <w:rFonts w:hint="eastAsia" w:ascii="宋体" w:hAnsi="宋体" w:eastAsia="宋体" w:cs="Times New Roman"/>
                <w:color w:val="000000"/>
                <w:kern w:val="0"/>
                <w:sz w:val="19"/>
                <w:szCs w:val="19"/>
              </w:rPr>
              <w:t>光口，内置</w:t>
            </w:r>
            <w:r>
              <w:rPr>
                <w:rFonts w:ascii="Times New Roman" w:hAnsi="Times New Roman" w:eastAsia="宋体" w:cs="Times New Roman"/>
                <w:color w:val="000000"/>
                <w:kern w:val="0"/>
                <w:sz w:val="19"/>
                <w:szCs w:val="19"/>
              </w:rPr>
              <w:t xml:space="preserve">AC </w:t>
            </w:r>
            <w:r>
              <w:rPr>
                <w:rFonts w:hint="eastAsia" w:ascii="宋体" w:hAnsi="宋体" w:eastAsia="宋体" w:cs="Times New Roman"/>
                <w:color w:val="000000"/>
                <w:kern w:val="0"/>
                <w:sz w:val="19"/>
                <w:szCs w:val="19"/>
              </w:rPr>
              <w:t>电源，最大</w:t>
            </w:r>
          </w:p>
          <w:p w14:paraId="099C36B4">
            <w:pPr>
              <w:widowControl/>
              <w:jc w:val="center"/>
              <w:textAlignment w:val="auto"/>
              <w:rPr>
                <w:rFonts w:hint="eastAsia" w:ascii="宋体" w:hAnsi="宋体" w:eastAsia="宋体" w:cs="Times New Roman"/>
                <w:color w:val="000000"/>
                <w:kern w:val="0"/>
                <w:sz w:val="19"/>
                <w:szCs w:val="19"/>
                <w:lang w:eastAsia="zh-CN"/>
              </w:rPr>
            </w:pPr>
            <w:r>
              <w:rPr>
                <w:rFonts w:hint="eastAsia" w:ascii="宋体" w:hAnsi="宋体" w:eastAsia="宋体" w:cs="Times New Roman"/>
                <w:color w:val="000000"/>
                <w:kern w:val="0"/>
                <w:sz w:val="19"/>
                <w:szCs w:val="19"/>
              </w:rPr>
              <w:t>功耗</w:t>
            </w:r>
          </w:p>
          <w:p w14:paraId="36ED9DCB">
            <w:pPr>
              <w:widowControl/>
              <w:jc w:val="center"/>
              <w:textAlignment w:val="auto"/>
              <w:rPr>
                <w:rFonts w:ascii="Times New Roman" w:hAnsi="Times New Roman" w:eastAsia="宋体" w:cs="Times New Roman"/>
                <w:color w:val="000000"/>
                <w:kern w:val="0"/>
                <w:sz w:val="19"/>
                <w:szCs w:val="19"/>
              </w:rPr>
            </w:pPr>
            <w:r>
              <w:rPr>
                <w:rFonts w:ascii="Times New Roman" w:hAnsi="Times New Roman" w:eastAsia="宋体" w:cs="Times New Roman"/>
                <w:color w:val="000000"/>
                <w:kern w:val="0"/>
                <w:sz w:val="19"/>
                <w:szCs w:val="19"/>
              </w:rPr>
              <w:t>27.2W</w:t>
            </w:r>
            <w:r>
              <w:rPr>
                <w:rFonts w:hint="eastAsia" w:ascii="宋体" w:hAnsi="宋体" w:eastAsia="宋体" w:cs="Times New Roman"/>
                <w:color w:val="000000"/>
                <w:kern w:val="0"/>
                <w:sz w:val="19"/>
                <w:szCs w:val="19"/>
              </w:rPr>
              <w:t>，交换容量</w:t>
            </w:r>
            <w:r>
              <w:rPr>
                <w:rFonts w:ascii="Times New Roman" w:hAnsi="Times New Roman" w:eastAsia="宋体" w:cs="Times New Roman"/>
                <w:color w:val="000000"/>
                <w:kern w:val="0"/>
                <w:sz w:val="19"/>
                <w:szCs w:val="19"/>
              </w:rPr>
              <w:t xml:space="preserve">336Gbps </w:t>
            </w:r>
            <w:r>
              <w:rPr>
                <w:rFonts w:hint="eastAsia" w:ascii="宋体" w:hAnsi="宋体" w:eastAsia="宋体" w:cs="Times New Roman"/>
                <w:color w:val="000000"/>
                <w:kern w:val="0"/>
                <w:sz w:val="19"/>
                <w:szCs w:val="19"/>
              </w:rPr>
              <w:t>包转发率</w:t>
            </w:r>
            <w:r>
              <w:rPr>
                <w:rFonts w:ascii="Times New Roman" w:hAnsi="Times New Roman" w:eastAsia="宋体" w:cs="Times New Roman"/>
                <w:color w:val="000000"/>
                <w:kern w:val="0"/>
                <w:sz w:val="19"/>
                <w:szCs w:val="19"/>
              </w:rPr>
              <w:t>42Mpps</w:t>
            </w:r>
          </w:p>
        </w:tc>
        <w:tc>
          <w:tcPr>
            <w:tcW w:w="709" w:type="dxa"/>
            <w:tcBorders>
              <w:top w:val="nil"/>
              <w:left w:val="nil"/>
              <w:bottom w:val="single" w:color="auto" w:sz="4" w:space="0"/>
              <w:right w:val="single" w:color="auto" w:sz="4" w:space="0"/>
            </w:tcBorders>
            <w:shd w:val="clear" w:color="auto" w:fill="auto"/>
            <w:vAlign w:val="center"/>
          </w:tcPr>
          <w:p w14:paraId="39120C5A">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1</w:t>
            </w:r>
          </w:p>
        </w:tc>
        <w:tc>
          <w:tcPr>
            <w:tcW w:w="567" w:type="dxa"/>
            <w:tcBorders>
              <w:top w:val="nil"/>
              <w:left w:val="nil"/>
              <w:bottom w:val="single" w:color="auto" w:sz="4" w:space="0"/>
              <w:right w:val="single" w:color="auto" w:sz="4" w:space="0"/>
            </w:tcBorders>
            <w:shd w:val="clear" w:color="auto" w:fill="auto"/>
            <w:vAlign w:val="center"/>
          </w:tcPr>
          <w:p w14:paraId="0E4B9742">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台</w:t>
            </w:r>
          </w:p>
        </w:tc>
        <w:tc>
          <w:tcPr>
            <w:tcW w:w="708" w:type="dxa"/>
            <w:gridSpan w:val="2"/>
            <w:tcBorders>
              <w:top w:val="nil"/>
              <w:left w:val="nil"/>
              <w:bottom w:val="single" w:color="auto" w:sz="4" w:space="0"/>
              <w:right w:val="single" w:color="auto" w:sz="4" w:space="0"/>
            </w:tcBorders>
            <w:shd w:val="clear" w:color="auto" w:fill="auto"/>
            <w:vAlign w:val="center"/>
          </w:tcPr>
          <w:p w14:paraId="5922D7DE">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56E3AF09">
        <w:tblPrEx>
          <w:tblCellMar>
            <w:top w:w="0" w:type="dxa"/>
            <w:left w:w="108" w:type="dxa"/>
            <w:bottom w:w="0" w:type="dxa"/>
            <w:right w:w="108" w:type="dxa"/>
          </w:tblCellMar>
        </w:tblPrEx>
        <w:trPr>
          <w:trHeight w:val="259" w:hRule="atLeast"/>
        </w:trPr>
        <w:tc>
          <w:tcPr>
            <w:tcW w:w="675" w:type="dxa"/>
            <w:vMerge w:val="restart"/>
            <w:tcBorders>
              <w:top w:val="nil"/>
              <w:left w:val="single" w:color="auto" w:sz="4" w:space="0"/>
              <w:bottom w:val="single" w:color="auto" w:sz="4" w:space="0"/>
              <w:right w:val="single" w:color="auto" w:sz="4" w:space="0"/>
            </w:tcBorders>
            <w:shd w:val="clear" w:color="auto" w:fill="auto"/>
            <w:vAlign w:val="center"/>
          </w:tcPr>
          <w:p w14:paraId="68707B02">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8</w:t>
            </w:r>
          </w:p>
        </w:tc>
        <w:tc>
          <w:tcPr>
            <w:tcW w:w="851" w:type="dxa"/>
            <w:vMerge w:val="restart"/>
            <w:tcBorders>
              <w:top w:val="nil"/>
              <w:left w:val="single" w:color="auto" w:sz="4" w:space="0"/>
              <w:bottom w:val="single" w:color="auto" w:sz="4" w:space="0"/>
              <w:right w:val="single" w:color="auto" w:sz="4" w:space="0"/>
            </w:tcBorders>
            <w:shd w:val="clear" w:color="auto" w:fill="auto"/>
            <w:vAlign w:val="center"/>
          </w:tcPr>
          <w:p w14:paraId="33168207">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多媒体教学软件</w:t>
            </w:r>
          </w:p>
        </w:tc>
        <w:tc>
          <w:tcPr>
            <w:tcW w:w="5670" w:type="dxa"/>
            <w:vMerge w:val="restart"/>
            <w:tcBorders>
              <w:top w:val="nil"/>
              <w:left w:val="single" w:color="auto" w:sz="4" w:space="0"/>
              <w:bottom w:val="single" w:color="auto" w:sz="4" w:space="0"/>
              <w:right w:val="single" w:color="auto" w:sz="4" w:space="0"/>
            </w:tcBorders>
            <w:shd w:val="clear" w:color="auto" w:fill="auto"/>
            <w:vAlign w:val="center"/>
          </w:tcPr>
          <w:p w14:paraId="1DDA187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多媒体教学软件要求满足支持102 个点教学使用。</w:t>
            </w:r>
          </w:p>
          <w:p w14:paraId="035B3B5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1.教师自带笔记本可通过mac 绑定和ip 绑定两种方式快速连</w:t>
            </w:r>
          </w:p>
          <w:p w14:paraId="6F30EC4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接</w:t>
            </w:r>
          </w:p>
          <w:p w14:paraId="363E309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服务器和学生端，实现多媒体互动教学；</w:t>
            </w:r>
          </w:p>
          <w:p w14:paraId="2C407BD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2.支持班级管理，可将频道和班级进行绑定，用于不同的教室</w:t>
            </w:r>
          </w:p>
          <w:p w14:paraId="4A17CBE2">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登录不同的频道进行上课；</w:t>
            </w:r>
          </w:p>
          <w:p w14:paraId="33A855C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3.支持对学生视图自定义命令和排序，便于学生未点名时，通</w:t>
            </w:r>
          </w:p>
          <w:p w14:paraId="23888DFB">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过</w:t>
            </w:r>
          </w:p>
          <w:p w14:paraId="1DFDF3E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座位信息快速找到学生；</w:t>
            </w:r>
          </w:p>
          <w:p w14:paraId="2DD7E97B">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4.支持屏幕广播功能，能够实现两种接收模式，包括学生全屏/</w:t>
            </w:r>
          </w:p>
          <w:p w14:paraId="7FF0FA8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窗口模式接收教师机广播的画面，全屏状态锁定学生鼠标和键盘；</w:t>
            </w:r>
          </w:p>
          <w:p w14:paraId="0490EAA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5.屏幕广播支持区域广播方式，教师端可选取一块区域广播给</w:t>
            </w:r>
          </w:p>
          <w:p w14:paraId="0183EDE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学</w:t>
            </w:r>
          </w:p>
          <w:p w14:paraId="0E1C313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生机；（提供第三方检测机构出具的具备CNAS 标识的产品功</w:t>
            </w:r>
          </w:p>
          <w:p w14:paraId="49EEBD3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能</w:t>
            </w:r>
          </w:p>
          <w:p w14:paraId="5AB3772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测试报告复印件或扫描件）</w:t>
            </w:r>
          </w:p>
          <w:p w14:paraId="7371DBC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6.屏幕广播状态下，教师可开启实时语音，学生端可以通过耳</w:t>
            </w:r>
          </w:p>
          <w:p w14:paraId="169B6E3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机</w:t>
            </w:r>
          </w:p>
          <w:p w14:paraId="02F6719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接听教师语音，同时支持屏幕笔功能，教师可通过屏幕笔将屏</w:t>
            </w:r>
          </w:p>
          <w:p w14:paraId="6CAFAAF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幕</w:t>
            </w:r>
          </w:p>
          <w:p w14:paraId="44674A3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当做画板进行绘制，便于教学互动；</w:t>
            </w:r>
          </w:p>
          <w:p w14:paraId="3649402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7.屏幕广播支持弹幕，教师机开启弹幕后，教师机和学生机可</w:t>
            </w:r>
          </w:p>
          <w:p w14:paraId="71FC069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发</w:t>
            </w:r>
          </w:p>
          <w:p w14:paraId="55D637D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送弹幕信息，便于及时交流、增强教学互动性；</w:t>
            </w:r>
          </w:p>
          <w:p w14:paraId="05E75EC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8.屏幕广播支持笔记截屏，教师机开启笔记截屏后，全屏广播</w:t>
            </w:r>
          </w:p>
          <w:p w14:paraId="62E670D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时</w:t>
            </w:r>
          </w:p>
          <w:p w14:paraId="6DACDCE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学生机可一键截取屏幕，保存上课重点信息；</w:t>
            </w:r>
          </w:p>
          <w:p w14:paraId="43E4250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9.支持影音广播，即使在终端未进入桌面的状态，也能够实现</w:t>
            </w:r>
          </w:p>
          <w:p w14:paraId="14BE2E7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全</w:t>
            </w:r>
          </w:p>
          <w:p w14:paraId="3B52AEF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体学生的影音广播，影音广播下支持视频的切换、暂停，并支</w:t>
            </w:r>
          </w:p>
          <w:p w14:paraId="4531842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持</w:t>
            </w:r>
          </w:p>
          <w:p w14:paraId="418DAAE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点击进度条任意地方以改变视频播放进度；</w:t>
            </w:r>
          </w:p>
          <w:p w14:paraId="22B4157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10.在屏幕广播之后连接上来的终端可直接接收屏幕广播内容，</w:t>
            </w:r>
          </w:p>
          <w:p w14:paraId="73DB15B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用户终端关闭虚拟桌面仍可同步广播教师机屏幕和视频，不会</w:t>
            </w:r>
          </w:p>
          <w:p w14:paraId="0693A60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中</w:t>
            </w:r>
          </w:p>
          <w:p w14:paraId="7223822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断教学；</w:t>
            </w:r>
          </w:p>
          <w:p w14:paraId="5DD5F83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11.教师可选定一个学生操作本机或操作教师机进行教学演示，</w:t>
            </w:r>
          </w:p>
          <w:p w14:paraId="49CFA9B0">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并将该学生演示的画面广播给每一个学生；被广播的学生将全</w:t>
            </w:r>
          </w:p>
          <w:p w14:paraId="04D1115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屏</w:t>
            </w:r>
          </w:p>
          <w:p w14:paraId="60442E2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/窗口接收演示学生的画面，全屏状态键盘和鼠标被锁定；</w:t>
            </w:r>
          </w:p>
          <w:p w14:paraId="655FC6C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12.支持遥控转播，教师端可对单个学生机进行遥控并转播到其</w:t>
            </w:r>
          </w:p>
          <w:p w14:paraId="172D598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13.支持遥控监看，教师可实时监看学生端的学生桌面，并可远</w:t>
            </w:r>
          </w:p>
          <w:p w14:paraId="70352783">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程遥控学生端桌面，支持单屏控制和全体控制，控制时可锁定</w:t>
            </w:r>
          </w:p>
          <w:p w14:paraId="0DFAEF5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学生机；</w:t>
            </w:r>
          </w:p>
          <w:p w14:paraId="69C8186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14.教师机可以连续监看所选学生机屏幕，每屏可监视多个学生</w:t>
            </w:r>
          </w:p>
          <w:p w14:paraId="5D7528C5">
            <w:pPr>
              <w:widowControl/>
              <w:jc w:val="left"/>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可设置每屏学生机的数量以及学生机屏幕轮循的时间间隔。</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14:paraId="08B91F33">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1</w:t>
            </w:r>
          </w:p>
        </w:tc>
        <w:tc>
          <w:tcPr>
            <w:tcW w:w="567" w:type="dxa"/>
            <w:vMerge w:val="restart"/>
            <w:tcBorders>
              <w:top w:val="nil"/>
              <w:left w:val="single" w:color="auto" w:sz="4" w:space="0"/>
              <w:bottom w:val="single" w:color="000000" w:sz="4" w:space="0"/>
              <w:right w:val="single" w:color="auto" w:sz="4" w:space="0"/>
            </w:tcBorders>
            <w:shd w:val="clear" w:color="auto" w:fill="auto"/>
            <w:vAlign w:val="center"/>
          </w:tcPr>
          <w:p w14:paraId="42AA5E36">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套</w:t>
            </w:r>
          </w:p>
        </w:tc>
        <w:tc>
          <w:tcPr>
            <w:tcW w:w="708"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732BB7F1">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59DFAB70">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2FF95BF6">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9705553">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07317B11">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C509BCE">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4FA1E0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63F82AB">
            <w:pPr>
              <w:widowControl/>
              <w:jc w:val="left"/>
              <w:textAlignment w:val="auto"/>
              <w:rPr>
                <w:rFonts w:ascii="宋体" w:hAnsi="宋体" w:eastAsia="宋体" w:cs="宋体"/>
                <w:color w:val="000000"/>
                <w:kern w:val="0"/>
                <w:sz w:val="19"/>
                <w:szCs w:val="19"/>
              </w:rPr>
            </w:pPr>
          </w:p>
        </w:tc>
      </w:tr>
      <w:tr w14:paraId="47DD46D5">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ACC5191">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409AC89">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250C0F80">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3062F7B">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51E42DD">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27B73B3C">
            <w:pPr>
              <w:widowControl/>
              <w:jc w:val="left"/>
              <w:textAlignment w:val="auto"/>
              <w:rPr>
                <w:rFonts w:ascii="宋体" w:hAnsi="宋体" w:eastAsia="宋体" w:cs="宋体"/>
                <w:color w:val="000000"/>
                <w:kern w:val="0"/>
                <w:sz w:val="19"/>
                <w:szCs w:val="19"/>
              </w:rPr>
            </w:pPr>
          </w:p>
        </w:tc>
      </w:tr>
      <w:tr w14:paraId="413891BE">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68D88378">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655F74D3">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D3246FF">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5B214D5">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D1BEB72">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6994A0E">
            <w:pPr>
              <w:widowControl/>
              <w:jc w:val="left"/>
              <w:textAlignment w:val="auto"/>
              <w:rPr>
                <w:rFonts w:ascii="宋体" w:hAnsi="宋体" w:eastAsia="宋体" w:cs="宋体"/>
                <w:color w:val="000000"/>
                <w:kern w:val="0"/>
                <w:sz w:val="19"/>
                <w:szCs w:val="19"/>
              </w:rPr>
            </w:pPr>
          </w:p>
        </w:tc>
      </w:tr>
      <w:tr w14:paraId="01596DF5">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1B160E2">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E1ADFD8">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080364B2">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0107A5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AB658F5">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3826B82">
            <w:pPr>
              <w:widowControl/>
              <w:jc w:val="left"/>
              <w:textAlignment w:val="auto"/>
              <w:rPr>
                <w:rFonts w:ascii="宋体" w:hAnsi="宋体" w:eastAsia="宋体" w:cs="宋体"/>
                <w:color w:val="000000"/>
                <w:kern w:val="0"/>
                <w:sz w:val="19"/>
                <w:szCs w:val="19"/>
              </w:rPr>
            </w:pPr>
          </w:p>
        </w:tc>
      </w:tr>
      <w:tr w14:paraId="6551AC38">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7E168D2">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D1433F7">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1FB636A">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C992F6B">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20E21DC">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137170F">
            <w:pPr>
              <w:widowControl/>
              <w:jc w:val="left"/>
              <w:textAlignment w:val="auto"/>
              <w:rPr>
                <w:rFonts w:ascii="宋体" w:hAnsi="宋体" w:eastAsia="宋体" w:cs="宋体"/>
                <w:color w:val="000000"/>
                <w:kern w:val="0"/>
                <w:sz w:val="19"/>
                <w:szCs w:val="19"/>
              </w:rPr>
            </w:pPr>
          </w:p>
        </w:tc>
      </w:tr>
      <w:tr w14:paraId="61533DDF">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5A755C7D">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CC541E4">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3F5A5D7C">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FF69530">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DDDD84C">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7E59719">
            <w:pPr>
              <w:widowControl/>
              <w:jc w:val="left"/>
              <w:textAlignment w:val="auto"/>
              <w:rPr>
                <w:rFonts w:ascii="宋体" w:hAnsi="宋体" w:eastAsia="宋体" w:cs="宋体"/>
                <w:color w:val="000000"/>
                <w:kern w:val="0"/>
                <w:sz w:val="19"/>
                <w:szCs w:val="19"/>
              </w:rPr>
            </w:pPr>
          </w:p>
        </w:tc>
      </w:tr>
      <w:tr w14:paraId="679A0478">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25F4158">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946559F">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3CBBD71B">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7625CA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9A93AB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CD673CD">
            <w:pPr>
              <w:widowControl/>
              <w:jc w:val="left"/>
              <w:textAlignment w:val="auto"/>
              <w:rPr>
                <w:rFonts w:ascii="宋体" w:hAnsi="宋体" w:eastAsia="宋体" w:cs="宋体"/>
                <w:color w:val="000000"/>
                <w:kern w:val="0"/>
                <w:sz w:val="19"/>
                <w:szCs w:val="19"/>
              </w:rPr>
            </w:pPr>
          </w:p>
        </w:tc>
      </w:tr>
      <w:tr w14:paraId="026410B0">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C38286E">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3FBA3C9">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F1AF195">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667D40D">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D273D5B">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B1BF090">
            <w:pPr>
              <w:widowControl/>
              <w:jc w:val="left"/>
              <w:textAlignment w:val="auto"/>
              <w:rPr>
                <w:rFonts w:ascii="宋体" w:hAnsi="宋体" w:eastAsia="宋体" w:cs="宋体"/>
                <w:color w:val="000000"/>
                <w:kern w:val="0"/>
                <w:sz w:val="19"/>
                <w:szCs w:val="19"/>
              </w:rPr>
            </w:pPr>
          </w:p>
        </w:tc>
      </w:tr>
      <w:tr w14:paraId="762EEB36">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8207840">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A6591AF">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D38E5C7">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376BCCF">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A8C1509">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643ABF8">
            <w:pPr>
              <w:widowControl/>
              <w:jc w:val="left"/>
              <w:textAlignment w:val="auto"/>
              <w:rPr>
                <w:rFonts w:ascii="宋体" w:hAnsi="宋体" w:eastAsia="宋体" w:cs="宋体"/>
                <w:color w:val="000000"/>
                <w:kern w:val="0"/>
                <w:sz w:val="19"/>
                <w:szCs w:val="19"/>
              </w:rPr>
            </w:pPr>
          </w:p>
        </w:tc>
      </w:tr>
      <w:tr w14:paraId="41A528AD">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7E2343D">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23DAD4B5">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22C95115">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3132A3B">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3EF964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EB8500D">
            <w:pPr>
              <w:widowControl/>
              <w:jc w:val="left"/>
              <w:textAlignment w:val="auto"/>
              <w:rPr>
                <w:rFonts w:ascii="宋体" w:hAnsi="宋体" w:eastAsia="宋体" w:cs="宋体"/>
                <w:color w:val="000000"/>
                <w:kern w:val="0"/>
                <w:sz w:val="19"/>
                <w:szCs w:val="19"/>
              </w:rPr>
            </w:pPr>
          </w:p>
        </w:tc>
      </w:tr>
      <w:tr w14:paraId="5AC03F80">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F3B8CA1">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D0EF2DD">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6023CAEC">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507C9F0">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3C14D2B">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385BF19">
            <w:pPr>
              <w:widowControl/>
              <w:jc w:val="left"/>
              <w:textAlignment w:val="auto"/>
              <w:rPr>
                <w:rFonts w:ascii="宋体" w:hAnsi="宋体" w:eastAsia="宋体" w:cs="宋体"/>
                <w:color w:val="000000"/>
                <w:kern w:val="0"/>
                <w:sz w:val="19"/>
                <w:szCs w:val="19"/>
              </w:rPr>
            </w:pPr>
          </w:p>
        </w:tc>
      </w:tr>
      <w:tr w14:paraId="4BC00750">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DBDC624">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27F8938A">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780BA736">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2296445">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1508748">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F1B1DD1">
            <w:pPr>
              <w:widowControl/>
              <w:jc w:val="left"/>
              <w:textAlignment w:val="auto"/>
              <w:rPr>
                <w:rFonts w:ascii="宋体" w:hAnsi="宋体" w:eastAsia="宋体" w:cs="宋体"/>
                <w:color w:val="000000"/>
                <w:kern w:val="0"/>
                <w:sz w:val="19"/>
                <w:szCs w:val="19"/>
              </w:rPr>
            </w:pPr>
          </w:p>
        </w:tc>
      </w:tr>
      <w:tr w14:paraId="429FD536">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5CCC05BF">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362B62B">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B27F1E8">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E61F015">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066E23E">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DE73092">
            <w:pPr>
              <w:widowControl/>
              <w:jc w:val="left"/>
              <w:textAlignment w:val="auto"/>
              <w:rPr>
                <w:rFonts w:ascii="宋体" w:hAnsi="宋体" w:eastAsia="宋体" w:cs="宋体"/>
                <w:color w:val="000000"/>
                <w:kern w:val="0"/>
                <w:sz w:val="19"/>
                <w:szCs w:val="19"/>
              </w:rPr>
            </w:pPr>
          </w:p>
        </w:tc>
      </w:tr>
      <w:tr w14:paraId="7DC1ABC6">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65524ED">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1E0605B">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DE9CB0A">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294961A">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3F13CFD">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A868F7A">
            <w:pPr>
              <w:widowControl/>
              <w:jc w:val="left"/>
              <w:textAlignment w:val="auto"/>
              <w:rPr>
                <w:rFonts w:ascii="宋体" w:hAnsi="宋体" w:eastAsia="宋体" w:cs="宋体"/>
                <w:color w:val="000000"/>
                <w:kern w:val="0"/>
                <w:sz w:val="19"/>
                <w:szCs w:val="19"/>
              </w:rPr>
            </w:pPr>
          </w:p>
        </w:tc>
      </w:tr>
      <w:tr w14:paraId="34D92BEC">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29DECED4">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0BE89DE">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69CD8D37">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8BFBF18">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C099697">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E68AC80">
            <w:pPr>
              <w:widowControl/>
              <w:jc w:val="left"/>
              <w:textAlignment w:val="auto"/>
              <w:rPr>
                <w:rFonts w:ascii="宋体" w:hAnsi="宋体" w:eastAsia="宋体" w:cs="宋体"/>
                <w:color w:val="000000"/>
                <w:kern w:val="0"/>
                <w:sz w:val="19"/>
                <w:szCs w:val="19"/>
              </w:rPr>
            </w:pPr>
          </w:p>
        </w:tc>
      </w:tr>
      <w:tr w14:paraId="6A8A5E0F">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6F8F8FEB">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7536C82">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627EA781">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981369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F27E499">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1DBCAC8">
            <w:pPr>
              <w:widowControl/>
              <w:jc w:val="left"/>
              <w:textAlignment w:val="auto"/>
              <w:rPr>
                <w:rFonts w:ascii="宋体" w:hAnsi="宋体" w:eastAsia="宋体" w:cs="宋体"/>
                <w:color w:val="000000"/>
                <w:kern w:val="0"/>
                <w:sz w:val="19"/>
                <w:szCs w:val="19"/>
              </w:rPr>
            </w:pPr>
          </w:p>
        </w:tc>
      </w:tr>
      <w:tr w14:paraId="5880C075">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680EF5A0">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74F2708">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1CF3942B">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C6F400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A92CD8E">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6CC5377">
            <w:pPr>
              <w:widowControl/>
              <w:jc w:val="left"/>
              <w:textAlignment w:val="auto"/>
              <w:rPr>
                <w:rFonts w:ascii="宋体" w:hAnsi="宋体" w:eastAsia="宋体" w:cs="宋体"/>
                <w:color w:val="000000"/>
                <w:kern w:val="0"/>
                <w:sz w:val="19"/>
                <w:szCs w:val="19"/>
              </w:rPr>
            </w:pPr>
          </w:p>
        </w:tc>
      </w:tr>
      <w:tr w14:paraId="13C24430">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7377D79">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ECF1A3D">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6FDD01A1">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E2CDF20">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4A69E85">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D98410E">
            <w:pPr>
              <w:widowControl/>
              <w:jc w:val="left"/>
              <w:textAlignment w:val="auto"/>
              <w:rPr>
                <w:rFonts w:ascii="宋体" w:hAnsi="宋体" w:eastAsia="宋体" w:cs="宋体"/>
                <w:color w:val="000000"/>
                <w:kern w:val="0"/>
                <w:sz w:val="19"/>
                <w:szCs w:val="19"/>
              </w:rPr>
            </w:pPr>
          </w:p>
        </w:tc>
      </w:tr>
      <w:tr w14:paraId="23962019">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50C7D50">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05C9620">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2210B1E">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142DA4D">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0CB4745">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667EAAD">
            <w:pPr>
              <w:widowControl/>
              <w:jc w:val="left"/>
              <w:textAlignment w:val="auto"/>
              <w:rPr>
                <w:rFonts w:ascii="宋体" w:hAnsi="宋体" w:eastAsia="宋体" w:cs="宋体"/>
                <w:color w:val="000000"/>
                <w:kern w:val="0"/>
                <w:sz w:val="19"/>
                <w:szCs w:val="19"/>
              </w:rPr>
            </w:pPr>
          </w:p>
        </w:tc>
      </w:tr>
      <w:tr w14:paraId="5250F6D6">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7FFD076">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4B4683B">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CE21C20">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E2F357E">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8235AB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9D8B700">
            <w:pPr>
              <w:widowControl/>
              <w:jc w:val="left"/>
              <w:textAlignment w:val="auto"/>
              <w:rPr>
                <w:rFonts w:ascii="宋体" w:hAnsi="宋体" w:eastAsia="宋体" w:cs="宋体"/>
                <w:color w:val="000000"/>
                <w:kern w:val="0"/>
                <w:sz w:val="19"/>
                <w:szCs w:val="19"/>
              </w:rPr>
            </w:pPr>
          </w:p>
        </w:tc>
      </w:tr>
      <w:tr w14:paraId="7A90E146">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shd w:val="clear" w:color="auto" w:fill="auto"/>
            <w:vAlign w:val="center"/>
          </w:tcPr>
          <w:p w14:paraId="09EF5DCE">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9</w:t>
            </w:r>
          </w:p>
        </w:tc>
        <w:tc>
          <w:tcPr>
            <w:tcW w:w="851" w:type="dxa"/>
            <w:tcBorders>
              <w:top w:val="nil"/>
              <w:left w:val="nil"/>
              <w:bottom w:val="single" w:color="auto" w:sz="4" w:space="0"/>
              <w:right w:val="single" w:color="auto" w:sz="4" w:space="0"/>
            </w:tcBorders>
            <w:shd w:val="clear" w:color="auto" w:fill="auto"/>
            <w:vAlign w:val="center"/>
          </w:tcPr>
          <w:p w14:paraId="3819143F">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音响系统及无线话筒</w:t>
            </w:r>
          </w:p>
        </w:tc>
        <w:tc>
          <w:tcPr>
            <w:tcW w:w="5670" w:type="dxa"/>
            <w:tcBorders>
              <w:top w:val="nil"/>
              <w:left w:val="nil"/>
              <w:bottom w:val="single" w:color="auto" w:sz="4" w:space="0"/>
              <w:right w:val="single" w:color="auto" w:sz="4" w:space="0"/>
            </w:tcBorders>
            <w:shd w:val="clear" w:color="auto" w:fill="auto"/>
            <w:vAlign w:val="center"/>
          </w:tcPr>
          <w:p w14:paraId="161EC9B9">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功放1 台、音箱3 对、鹅颈话筒1 个、无线话筒1 对</w:t>
            </w:r>
          </w:p>
        </w:tc>
        <w:tc>
          <w:tcPr>
            <w:tcW w:w="709" w:type="dxa"/>
            <w:tcBorders>
              <w:top w:val="nil"/>
              <w:left w:val="nil"/>
              <w:bottom w:val="single" w:color="auto" w:sz="4" w:space="0"/>
              <w:right w:val="single" w:color="auto" w:sz="4" w:space="0"/>
            </w:tcBorders>
            <w:shd w:val="clear" w:color="auto" w:fill="auto"/>
            <w:vAlign w:val="center"/>
          </w:tcPr>
          <w:p w14:paraId="2DAD0335">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2</w:t>
            </w:r>
          </w:p>
        </w:tc>
        <w:tc>
          <w:tcPr>
            <w:tcW w:w="567" w:type="dxa"/>
            <w:tcBorders>
              <w:top w:val="nil"/>
              <w:left w:val="nil"/>
              <w:bottom w:val="single" w:color="auto" w:sz="4" w:space="0"/>
              <w:right w:val="single" w:color="auto" w:sz="4" w:space="0"/>
            </w:tcBorders>
            <w:shd w:val="clear" w:color="auto" w:fill="auto"/>
            <w:vAlign w:val="center"/>
          </w:tcPr>
          <w:p w14:paraId="02AD2968">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套</w:t>
            </w:r>
          </w:p>
        </w:tc>
        <w:tc>
          <w:tcPr>
            <w:tcW w:w="708" w:type="dxa"/>
            <w:gridSpan w:val="2"/>
            <w:tcBorders>
              <w:top w:val="nil"/>
              <w:left w:val="nil"/>
              <w:bottom w:val="single" w:color="auto" w:sz="4" w:space="0"/>
              <w:right w:val="single" w:color="auto" w:sz="4" w:space="0"/>
            </w:tcBorders>
            <w:shd w:val="clear" w:color="auto" w:fill="auto"/>
            <w:vAlign w:val="center"/>
          </w:tcPr>
          <w:p w14:paraId="50FD9863">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2F1EC6D4">
        <w:tblPrEx>
          <w:tblCellMar>
            <w:top w:w="0" w:type="dxa"/>
            <w:left w:w="108" w:type="dxa"/>
            <w:bottom w:w="0" w:type="dxa"/>
            <w:right w:w="108" w:type="dxa"/>
          </w:tblCellMar>
        </w:tblPrEx>
        <w:trPr>
          <w:trHeight w:val="259" w:hRule="atLeast"/>
        </w:trPr>
        <w:tc>
          <w:tcPr>
            <w:tcW w:w="675" w:type="dxa"/>
            <w:vMerge w:val="restart"/>
            <w:tcBorders>
              <w:top w:val="nil"/>
              <w:left w:val="single" w:color="auto" w:sz="4" w:space="0"/>
              <w:bottom w:val="single" w:color="auto" w:sz="4" w:space="0"/>
              <w:right w:val="single" w:color="auto" w:sz="4" w:space="0"/>
            </w:tcBorders>
            <w:shd w:val="clear" w:color="auto" w:fill="auto"/>
            <w:vAlign w:val="center"/>
          </w:tcPr>
          <w:p w14:paraId="19A91BA8">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10</w:t>
            </w:r>
          </w:p>
        </w:tc>
        <w:tc>
          <w:tcPr>
            <w:tcW w:w="851" w:type="dxa"/>
            <w:vMerge w:val="restart"/>
            <w:tcBorders>
              <w:top w:val="nil"/>
              <w:left w:val="single" w:color="auto" w:sz="4" w:space="0"/>
              <w:bottom w:val="single" w:color="auto" w:sz="4" w:space="0"/>
              <w:right w:val="single" w:color="auto" w:sz="4" w:space="0"/>
            </w:tcBorders>
            <w:shd w:val="clear" w:color="auto" w:fill="auto"/>
            <w:vAlign w:val="center"/>
          </w:tcPr>
          <w:p w14:paraId="4D366B3D">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智慧黑板</w:t>
            </w:r>
          </w:p>
        </w:tc>
        <w:tc>
          <w:tcPr>
            <w:tcW w:w="5670" w:type="dxa"/>
            <w:vMerge w:val="restart"/>
            <w:tcBorders>
              <w:top w:val="nil"/>
              <w:left w:val="single" w:color="auto" w:sz="4" w:space="0"/>
              <w:bottom w:val="single" w:color="auto" w:sz="4" w:space="0"/>
              <w:right w:val="single" w:color="auto" w:sz="4" w:space="0"/>
            </w:tcBorders>
            <w:shd w:val="clear" w:color="auto" w:fill="auto"/>
            <w:vAlign w:val="center"/>
          </w:tcPr>
          <w:p w14:paraId="65D8190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86寸智能交互会议平板</w:t>
            </w:r>
          </w:p>
          <w:p w14:paraId="466C996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超清视界更流畅：内置4800W摄像头，3840*2160分辨率，60Hz</w:t>
            </w:r>
          </w:p>
          <w:p w14:paraId="72B5A57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高刷新率，4K超清防眩光显示；深度还原画面细节，明暗层次</w:t>
            </w:r>
          </w:p>
          <w:p w14:paraId="2E008EE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分明，即使在强光、逆光的环境下，依然清晰呈现；</w:t>
            </w:r>
          </w:p>
          <w:p w14:paraId="1919E0C0">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超长拾音更清晰：采用8阵列麦克风，通过波束成型，轻松拾取</w:t>
            </w:r>
          </w:p>
          <w:p w14:paraId="02E457C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12米内的人声，支持回声消除，智能降噪，带来清晰远程沟通</w:t>
            </w:r>
          </w:p>
          <w:p w14:paraId="3717CB7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体验；</w:t>
            </w:r>
          </w:p>
          <w:p w14:paraId="0F9E3BC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零贴合流畅书写：G-G零贴合技术，极大减少漫反射，屏幕显示</w:t>
            </w:r>
          </w:p>
          <w:p w14:paraId="52A12C0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无重影，显示效果巨幅提升；书写告别隔空感，笔锋智能优化</w:t>
            </w:r>
          </w:p>
          <w:p w14:paraId="3885932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，深度还原书写笔迹，尽显书写之美；</w:t>
            </w:r>
          </w:p>
          <w:p w14:paraId="205F2B4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出众屏幕表现：4K超清显示，深度还原画面细节，逆光环境大</w:t>
            </w:r>
          </w:p>
          <w:p w14:paraId="380E8D5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屏清晰可见；NTSC提升至90%以上，更细腻的色彩表现，更震撼</w:t>
            </w:r>
          </w:p>
          <w:p w14:paraId="2C694F8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的视觉体验；</w:t>
            </w:r>
          </w:p>
          <w:p w14:paraId="4915FB3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双系统自由选择：支持OPS设备接入，双系统一键切换，灵活选</w:t>
            </w:r>
          </w:p>
          <w:p w14:paraId="7582E3A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择；</w:t>
            </w:r>
          </w:p>
          <w:p w14:paraId="0D85A7F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智能AI，开会无忧：Auto-Framing不错过每位与会人员，智能</w:t>
            </w:r>
          </w:p>
          <w:p w14:paraId="6410ADA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音幕隔离更多干扰，声源定位聚焦发言人员，让信息传递更加</w:t>
            </w:r>
          </w:p>
          <w:p w14:paraId="6EFAA6F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高效；</w:t>
            </w:r>
          </w:p>
          <w:p w14:paraId="5892C42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无线投屏：摆脱线缆束缚，即使远在会议室的两端也可轻松完</w:t>
            </w:r>
          </w:p>
          <w:p w14:paraId="210E93B3">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成电脑、手机等终端的投屏演示。目前已适配IOS、Android、</w:t>
            </w:r>
          </w:p>
          <w:p w14:paraId="478758B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Windows、MacOS等各主流系统；</w:t>
            </w:r>
          </w:p>
          <w:p w14:paraId="17F0FF1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显示尺寸：86英寸</w:t>
            </w:r>
          </w:p>
          <w:p w14:paraId="5F60AA40">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背光源类型：DLED</w:t>
            </w:r>
          </w:p>
          <w:p w14:paraId="5C16A96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像素间距：0.1645（H）× 0.4935（V）mm</w:t>
            </w:r>
          </w:p>
          <w:p w14:paraId="58DC31E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物理分辨率：3840 × 2160 @60 Hz</w:t>
            </w:r>
          </w:p>
          <w:p w14:paraId="18BA9A13">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亮度：350 cd/m²（Typ.）</w:t>
            </w:r>
          </w:p>
          <w:p w14:paraId="6832A66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色深度：10bit</w:t>
            </w:r>
          </w:p>
          <w:p w14:paraId="59348322">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对比度：5000:1</w:t>
            </w:r>
          </w:p>
          <w:p w14:paraId="7C921E1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响应时间：6 ms</w:t>
            </w:r>
          </w:p>
          <w:p w14:paraId="15EDEA9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色域：90% NTSC（CIE1931）（Typ.）</w:t>
            </w:r>
          </w:p>
          <w:p w14:paraId="2CC0CD22">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刷新率：60 Hz</w:t>
            </w:r>
          </w:p>
          <w:p w14:paraId="3302FFA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可视角：178°(H)/178°(V)</w:t>
            </w:r>
          </w:p>
          <w:p w14:paraId="1B6B5E9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连续使用时间：7 * 16 H</w:t>
            </w:r>
          </w:p>
          <w:p w14:paraId="6E969FB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表面雾度：25%Haze，3H</w:t>
            </w:r>
          </w:p>
          <w:p w14:paraId="65F7844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显示区域：1895.04mm ╳ 1065.96mm</w:t>
            </w:r>
          </w:p>
          <w:p w14:paraId="22AB362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触摸方式：红外触控</w:t>
            </w:r>
          </w:p>
          <w:p w14:paraId="1FB8EE3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玻璃：防眩光、防爆钢化玻璃</w:t>
            </w:r>
          </w:p>
          <w:p w14:paraId="39A37FC4">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触控点：安卓下20点，Windows下50点</w:t>
            </w:r>
          </w:p>
          <w:p w14:paraId="3D98AF32">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触控响应速度：＜5ms</w:t>
            </w:r>
          </w:p>
          <w:p w14:paraId="4E94454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触摸精度：90%以上的触摸区域为±1 mm</w:t>
            </w:r>
          </w:p>
          <w:p w14:paraId="37EEF032">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触摸工艺：零贴合</w:t>
            </w:r>
          </w:p>
          <w:p w14:paraId="61FBF6E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操作系统：Android 13</w:t>
            </w:r>
          </w:p>
          <w:p w14:paraId="33A4BC2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CPU：A76 x 4+A55 x 4，主频2.4GHz</w:t>
            </w:r>
          </w:p>
          <w:p w14:paraId="65A3C77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内存：8GB</w:t>
            </w:r>
          </w:p>
          <w:p w14:paraId="4442B39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内置存储：64GB</w:t>
            </w:r>
          </w:p>
          <w:p w14:paraId="49710733">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网卡：内置千兆网卡，支持路由功能，双WiFi</w:t>
            </w:r>
          </w:p>
          <w:p w14:paraId="588652D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像素：拍照4800万，录像800万</w:t>
            </w:r>
          </w:p>
          <w:p w14:paraId="765B324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摄像头功能：支持Android系统与OPS间智能切换，支持最佳视</w:t>
            </w:r>
          </w:p>
          <w:p w14:paraId="5F48531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角，支持人脸美颜</w:t>
            </w:r>
          </w:p>
          <w:p w14:paraId="21EDB810">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视场角：对角：93.4°，水平：84.5°，垂直：54.1°</w:t>
            </w:r>
          </w:p>
          <w:p w14:paraId="13A7273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畸变：≤ 2%</w:t>
            </w:r>
          </w:p>
          <w:p w14:paraId="082A5EB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摄像头分辨率：最大支持4K</w:t>
            </w:r>
          </w:p>
          <w:p w14:paraId="03BBB39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规格：全指向8阵列排布</w:t>
            </w:r>
          </w:p>
          <w:p w14:paraId="1A969D3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麦克风功能：支持回声消除，智能降噪、智能音幕、发言人跟</w:t>
            </w:r>
          </w:p>
          <w:p w14:paraId="3F71BBC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随</w:t>
            </w:r>
          </w:p>
          <w:p w14:paraId="219974E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拾音距离：12 m</w:t>
            </w:r>
          </w:p>
          <w:p w14:paraId="1321E1C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采样率：32 K</w:t>
            </w:r>
          </w:p>
          <w:p w14:paraId="6E2B7EB2">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麦克风采样位：16 bit</w:t>
            </w:r>
          </w:p>
          <w:p w14:paraId="3F855E2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内部喇叭：2.1声道，最大功率2X15W+25W，额定功率是</w:t>
            </w:r>
          </w:p>
          <w:p w14:paraId="54A91EF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2X12W+20W</w:t>
            </w:r>
          </w:p>
          <w:p w14:paraId="152E002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蓝牙：BT/BLE 5.2</w:t>
            </w:r>
          </w:p>
          <w:p w14:paraId="295C660B">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音视频输入接口：HDMI IN （2.0）× 2, LINE IN × 1</w:t>
            </w:r>
          </w:p>
          <w:p w14:paraId="7336102B">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音视频输出接口：HDMI OUT （2.0） × 1, LINE OUT × 1</w:t>
            </w:r>
          </w:p>
          <w:p w14:paraId="5694C4D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控制接口：RS-232 × 1</w:t>
            </w:r>
          </w:p>
          <w:p w14:paraId="7E6FF48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网络接口：LAN (1000 Mbps) × 2</w:t>
            </w:r>
          </w:p>
          <w:p w14:paraId="03CA729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WIFI AP&amp;amp;Station，2.4G/5G</w:t>
            </w:r>
          </w:p>
          <w:p w14:paraId="6D772C4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IEEE 802.11 a/b/g/n/ac 2x2 MIMO (2.4 GHz and 5 GHz)</w:t>
            </w:r>
          </w:p>
          <w:p w14:paraId="093F9645">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authentication protocols WEP, WPA, WPA2, PSK and 802.1X</w:t>
            </w:r>
          </w:p>
          <w:p w14:paraId="11F2313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EAP</w:t>
            </w:r>
          </w:p>
          <w:p w14:paraId="71B2847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数据传输接口：USB 3.0 × 3, USB 2.0 × 1, Type-C × 1</w:t>
            </w:r>
          </w:p>
          <w:p w14:paraId="47D59B9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(Type-C接口支持USB 2.0, DP 1.2投屏和快充功能;前置快充</w:t>
            </w:r>
          </w:p>
          <w:p w14:paraId="38199F0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支持功率65 W)，Touch USB × 1，支持NFC</w:t>
            </w:r>
          </w:p>
          <w:p w14:paraId="6CCC244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电源：AC 100 V～240 V，50/60 Hz</w:t>
            </w:r>
          </w:p>
          <w:p w14:paraId="1B0072FA">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功耗：满载＜ 500 W</w:t>
            </w:r>
          </w:p>
          <w:p w14:paraId="58061642">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待机功耗：0.5 W</w:t>
            </w:r>
          </w:p>
          <w:p w14:paraId="3E24389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产品尺寸：1962.0x1187.0x109.0mm</w:t>
            </w:r>
          </w:p>
          <w:p w14:paraId="4D88FABE">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包装尺寸：2157.0x223.0x1345.0mm</w:t>
            </w:r>
          </w:p>
          <w:p w14:paraId="69606EC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净重：61.810 KG</w:t>
            </w:r>
          </w:p>
          <w:p w14:paraId="7F6B8AE3">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毛重：80.930 KG</w:t>
            </w:r>
          </w:p>
          <w:p w14:paraId="634B278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工作温度：0 °C~40 °C</w:t>
            </w:r>
          </w:p>
          <w:p w14:paraId="7AFEE5AF">
            <w:pPr>
              <w:widowControl/>
              <w:jc w:val="left"/>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工作湿度：10%~90% RH</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14:paraId="64E17834">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2</w:t>
            </w:r>
          </w:p>
        </w:tc>
        <w:tc>
          <w:tcPr>
            <w:tcW w:w="567" w:type="dxa"/>
            <w:vMerge w:val="restart"/>
            <w:tcBorders>
              <w:top w:val="nil"/>
              <w:left w:val="single" w:color="auto" w:sz="4" w:space="0"/>
              <w:bottom w:val="single" w:color="000000" w:sz="4" w:space="0"/>
              <w:right w:val="single" w:color="auto" w:sz="4" w:space="0"/>
            </w:tcBorders>
            <w:shd w:val="clear" w:color="auto" w:fill="auto"/>
            <w:vAlign w:val="center"/>
          </w:tcPr>
          <w:p w14:paraId="2B95D539">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套</w:t>
            </w:r>
          </w:p>
        </w:tc>
        <w:tc>
          <w:tcPr>
            <w:tcW w:w="708"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76E85903">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74D67C53">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2D73270">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6315F117">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132765C6">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B2199BD">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60CC3DA">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093A74B">
            <w:pPr>
              <w:widowControl/>
              <w:jc w:val="left"/>
              <w:textAlignment w:val="auto"/>
              <w:rPr>
                <w:rFonts w:ascii="宋体" w:hAnsi="宋体" w:eastAsia="宋体" w:cs="宋体"/>
                <w:color w:val="000000"/>
                <w:kern w:val="0"/>
                <w:sz w:val="19"/>
                <w:szCs w:val="19"/>
              </w:rPr>
            </w:pPr>
          </w:p>
        </w:tc>
      </w:tr>
      <w:tr w14:paraId="6B8C06E5">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5E5ABA19">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8AE02DB">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7453FD19">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CA96C9D">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BB9D98F">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16AE18E">
            <w:pPr>
              <w:widowControl/>
              <w:jc w:val="left"/>
              <w:textAlignment w:val="auto"/>
              <w:rPr>
                <w:rFonts w:ascii="宋体" w:hAnsi="宋体" w:eastAsia="宋体" w:cs="宋体"/>
                <w:color w:val="000000"/>
                <w:kern w:val="0"/>
                <w:sz w:val="19"/>
                <w:szCs w:val="19"/>
              </w:rPr>
            </w:pPr>
          </w:p>
        </w:tc>
      </w:tr>
      <w:tr w14:paraId="0C44B12A">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F0187B1">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AD9AB00">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F7D7D2E">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67C8B8E">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9BE25BE">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B190450">
            <w:pPr>
              <w:widowControl/>
              <w:jc w:val="left"/>
              <w:textAlignment w:val="auto"/>
              <w:rPr>
                <w:rFonts w:ascii="宋体" w:hAnsi="宋体" w:eastAsia="宋体" w:cs="宋体"/>
                <w:color w:val="000000"/>
                <w:kern w:val="0"/>
                <w:sz w:val="19"/>
                <w:szCs w:val="19"/>
              </w:rPr>
            </w:pPr>
          </w:p>
        </w:tc>
      </w:tr>
      <w:tr w14:paraId="1CF28BEA">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2B64FD2E">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1C0E742">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24025264">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6C41B7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C89705E">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9E9C282">
            <w:pPr>
              <w:widowControl/>
              <w:jc w:val="left"/>
              <w:textAlignment w:val="auto"/>
              <w:rPr>
                <w:rFonts w:ascii="宋体" w:hAnsi="宋体" w:eastAsia="宋体" w:cs="宋体"/>
                <w:color w:val="000000"/>
                <w:kern w:val="0"/>
                <w:sz w:val="19"/>
                <w:szCs w:val="19"/>
              </w:rPr>
            </w:pPr>
          </w:p>
        </w:tc>
      </w:tr>
      <w:tr w14:paraId="1206973B">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shd w:val="clear" w:color="auto" w:fill="auto"/>
            <w:vAlign w:val="center"/>
          </w:tcPr>
          <w:p w14:paraId="3F3289A1">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11</w:t>
            </w:r>
          </w:p>
        </w:tc>
        <w:tc>
          <w:tcPr>
            <w:tcW w:w="851" w:type="dxa"/>
            <w:tcBorders>
              <w:top w:val="nil"/>
              <w:left w:val="nil"/>
              <w:bottom w:val="single" w:color="auto" w:sz="4" w:space="0"/>
              <w:right w:val="single" w:color="auto" w:sz="4" w:space="0"/>
            </w:tcBorders>
            <w:shd w:val="clear" w:color="auto" w:fill="auto"/>
            <w:vAlign w:val="center"/>
          </w:tcPr>
          <w:p w14:paraId="05B21436">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综合布线</w:t>
            </w:r>
          </w:p>
        </w:tc>
        <w:tc>
          <w:tcPr>
            <w:tcW w:w="5670" w:type="dxa"/>
            <w:tcBorders>
              <w:top w:val="nil"/>
              <w:left w:val="nil"/>
              <w:bottom w:val="single" w:color="auto" w:sz="4" w:space="0"/>
              <w:right w:val="single" w:color="auto" w:sz="4" w:space="0"/>
            </w:tcBorders>
            <w:shd w:val="clear" w:color="auto" w:fill="auto"/>
            <w:vAlign w:val="center"/>
          </w:tcPr>
          <w:p w14:paraId="02F5FAA8">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含电源、网络线路铺设包含人工及材料、标签、测试通过等。</w:t>
            </w:r>
          </w:p>
        </w:tc>
        <w:tc>
          <w:tcPr>
            <w:tcW w:w="709" w:type="dxa"/>
            <w:tcBorders>
              <w:top w:val="nil"/>
              <w:left w:val="nil"/>
              <w:bottom w:val="single" w:color="auto" w:sz="4" w:space="0"/>
              <w:right w:val="single" w:color="auto" w:sz="4" w:space="0"/>
            </w:tcBorders>
            <w:shd w:val="clear" w:color="auto" w:fill="auto"/>
            <w:vAlign w:val="center"/>
          </w:tcPr>
          <w:p w14:paraId="2D1DFC1D">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1</w:t>
            </w:r>
          </w:p>
        </w:tc>
        <w:tc>
          <w:tcPr>
            <w:tcW w:w="567" w:type="dxa"/>
            <w:tcBorders>
              <w:top w:val="nil"/>
              <w:left w:val="nil"/>
              <w:bottom w:val="single" w:color="auto" w:sz="4" w:space="0"/>
              <w:right w:val="single" w:color="auto" w:sz="4" w:space="0"/>
            </w:tcBorders>
            <w:shd w:val="clear" w:color="auto" w:fill="auto"/>
            <w:vAlign w:val="center"/>
          </w:tcPr>
          <w:p w14:paraId="26134EF6">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批</w:t>
            </w:r>
          </w:p>
        </w:tc>
        <w:tc>
          <w:tcPr>
            <w:tcW w:w="708" w:type="dxa"/>
            <w:gridSpan w:val="2"/>
            <w:tcBorders>
              <w:top w:val="nil"/>
              <w:left w:val="nil"/>
              <w:bottom w:val="single" w:color="auto" w:sz="4" w:space="0"/>
              <w:right w:val="single" w:color="auto" w:sz="4" w:space="0"/>
            </w:tcBorders>
            <w:shd w:val="clear" w:color="auto" w:fill="auto"/>
            <w:vAlign w:val="center"/>
          </w:tcPr>
          <w:p w14:paraId="5488A5DE">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40B7E0FA">
        <w:tblPrEx>
          <w:tblCellMar>
            <w:top w:w="0" w:type="dxa"/>
            <w:left w:w="108" w:type="dxa"/>
            <w:bottom w:w="0" w:type="dxa"/>
            <w:right w:w="108" w:type="dxa"/>
          </w:tblCellMar>
        </w:tblPrEx>
        <w:trPr>
          <w:trHeight w:val="259" w:hRule="atLeast"/>
        </w:trPr>
        <w:tc>
          <w:tcPr>
            <w:tcW w:w="675" w:type="dxa"/>
            <w:vMerge w:val="restart"/>
            <w:tcBorders>
              <w:top w:val="nil"/>
              <w:left w:val="single" w:color="auto" w:sz="4" w:space="0"/>
              <w:bottom w:val="single" w:color="auto" w:sz="4" w:space="0"/>
              <w:right w:val="single" w:color="auto" w:sz="4" w:space="0"/>
            </w:tcBorders>
            <w:shd w:val="clear" w:color="auto" w:fill="auto"/>
            <w:vAlign w:val="center"/>
          </w:tcPr>
          <w:p w14:paraId="2AD7987E">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12</w:t>
            </w:r>
          </w:p>
        </w:tc>
        <w:tc>
          <w:tcPr>
            <w:tcW w:w="851" w:type="dxa"/>
            <w:vMerge w:val="restart"/>
            <w:tcBorders>
              <w:top w:val="nil"/>
              <w:left w:val="single" w:color="auto" w:sz="4" w:space="0"/>
              <w:bottom w:val="single" w:color="auto" w:sz="4" w:space="0"/>
              <w:right w:val="single" w:color="auto" w:sz="4" w:space="0"/>
            </w:tcBorders>
            <w:shd w:val="clear" w:color="auto" w:fill="auto"/>
            <w:vAlign w:val="center"/>
          </w:tcPr>
          <w:p w14:paraId="2A3ED7CD">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空调</w:t>
            </w:r>
          </w:p>
        </w:tc>
        <w:tc>
          <w:tcPr>
            <w:tcW w:w="5670" w:type="dxa"/>
            <w:vMerge w:val="restart"/>
            <w:tcBorders>
              <w:top w:val="nil"/>
              <w:left w:val="single" w:color="auto" w:sz="4" w:space="0"/>
              <w:bottom w:val="single" w:color="auto" w:sz="4" w:space="0"/>
              <w:right w:val="single" w:color="auto" w:sz="4" w:space="0"/>
            </w:tcBorders>
            <w:shd w:val="clear" w:color="auto" w:fill="auto"/>
            <w:vAlign w:val="center"/>
          </w:tcPr>
          <w:p w14:paraId="7678F76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机房专业级4P 立柜式，智能调节冷热，含到货安装，使用面</w:t>
            </w:r>
          </w:p>
          <w:p w14:paraId="3EB76AB3">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积</w:t>
            </w:r>
          </w:p>
          <w:p w14:paraId="4879731C">
            <w:pPr>
              <w:widowControl/>
              <w:jc w:val="left"/>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80 平方米以上</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14:paraId="53F38BD5">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2</w:t>
            </w:r>
          </w:p>
        </w:tc>
        <w:tc>
          <w:tcPr>
            <w:tcW w:w="567" w:type="dxa"/>
            <w:vMerge w:val="restart"/>
            <w:tcBorders>
              <w:top w:val="nil"/>
              <w:left w:val="single" w:color="auto" w:sz="4" w:space="0"/>
              <w:bottom w:val="single" w:color="000000" w:sz="4" w:space="0"/>
              <w:right w:val="single" w:color="auto" w:sz="4" w:space="0"/>
            </w:tcBorders>
            <w:shd w:val="clear" w:color="auto" w:fill="auto"/>
            <w:vAlign w:val="center"/>
          </w:tcPr>
          <w:p w14:paraId="4CDC408B">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台</w:t>
            </w:r>
          </w:p>
        </w:tc>
        <w:tc>
          <w:tcPr>
            <w:tcW w:w="708"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6EC6AF8B">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00344C45">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F391D72">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FD2F2C4">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4FA9836">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02246BE">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5DD54AA">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E1A1B04">
            <w:pPr>
              <w:widowControl/>
              <w:jc w:val="left"/>
              <w:textAlignment w:val="auto"/>
              <w:rPr>
                <w:rFonts w:ascii="宋体" w:hAnsi="宋体" w:eastAsia="宋体" w:cs="宋体"/>
                <w:color w:val="000000"/>
                <w:kern w:val="0"/>
                <w:sz w:val="19"/>
                <w:szCs w:val="19"/>
              </w:rPr>
            </w:pPr>
          </w:p>
        </w:tc>
      </w:tr>
      <w:tr w14:paraId="036F37D4">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shd w:val="clear" w:color="auto" w:fill="auto"/>
            <w:vAlign w:val="center"/>
          </w:tcPr>
          <w:p w14:paraId="13D35E0D">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13</w:t>
            </w:r>
          </w:p>
        </w:tc>
        <w:tc>
          <w:tcPr>
            <w:tcW w:w="851" w:type="dxa"/>
            <w:tcBorders>
              <w:top w:val="nil"/>
              <w:left w:val="nil"/>
              <w:bottom w:val="single" w:color="auto" w:sz="4" w:space="0"/>
              <w:right w:val="single" w:color="auto" w:sz="4" w:space="0"/>
            </w:tcBorders>
            <w:shd w:val="clear" w:color="auto" w:fill="auto"/>
            <w:vAlign w:val="center"/>
          </w:tcPr>
          <w:p w14:paraId="08B9A3C2">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服务器机柜（大）</w:t>
            </w:r>
          </w:p>
        </w:tc>
        <w:tc>
          <w:tcPr>
            <w:tcW w:w="5670" w:type="dxa"/>
            <w:tcBorders>
              <w:top w:val="nil"/>
              <w:left w:val="nil"/>
              <w:bottom w:val="single" w:color="auto" w:sz="4" w:space="0"/>
              <w:right w:val="single" w:color="auto" w:sz="4" w:space="0"/>
            </w:tcBorders>
            <w:shd w:val="clear" w:color="auto" w:fill="auto"/>
            <w:vAlign w:val="center"/>
          </w:tcPr>
          <w:p w14:paraId="2BFB5FB4">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标准42U 机柜，2000×600×1000 机柜，包含PDU+6 个托盘</w:t>
            </w:r>
          </w:p>
        </w:tc>
        <w:tc>
          <w:tcPr>
            <w:tcW w:w="709" w:type="dxa"/>
            <w:tcBorders>
              <w:top w:val="nil"/>
              <w:left w:val="nil"/>
              <w:bottom w:val="single" w:color="auto" w:sz="4" w:space="0"/>
              <w:right w:val="single" w:color="auto" w:sz="4" w:space="0"/>
            </w:tcBorders>
            <w:shd w:val="clear" w:color="auto" w:fill="auto"/>
            <w:vAlign w:val="center"/>
          </w:tcPr>
          <w:p w14:paraId="5155A3CD">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1</w:t>
            </w:r>
          </w:p>
        </w:tc>
        <w:tc>
          <w:tcPr>
            <w:tcW w:w="567" w:type="dxa"/>
            <w:tcBorders>
              <w:top w:val="nil"/>
              <w:left w:val="nil"/>
              <w:bottom w:val="single" w:color="auto" w:sz="4" w:space="0"/>
              <w:right w:val="single" w:color="auto" w:sz="4" w:space="0"/>
            </w:tcBorders>
            <w:shd w:val="clear" w:color="auto" w:fill="auto"/>
            <w:vAlign w:val="center"/>
          </w:tcPr>
          <w:p w14:paraId="24FA230B">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个</w:t>
            </w:r>
          </w:p>
        </w:tc>
        <w:tc>
          <w:tcPr>
            <w:tcW w:w="708" w:type="dxa"/>
            <w:gridSpan w:val="2"/>
            <w:tcBorders>
              <w:top w:val="nil"/>
              <w:left w:val="nil"/>
              <w:bottom w:val="single" w:color="auto" w:sz="4" w:space="0"/>
              <w:right w:val="single" w:color="auto" w:sz="4" w:space="0"/>
            </w:tcBorders>
            <w:shd w:val="clear" w:color="auto" w:fill="auto"/>
            <w:vAlign w:val="center"/>
          </w:tcPr>
          <w:p w14:paraId="5EC5B6C4">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7E5837B5">
        <w:tblPrEx>
          <w:tblCellMar>
            <w:top w:w="0" w:type="dxa"/>
            <w:left w:w="108" w:type="dxa"/>
            <w:bottom w:w="0" w:type="dxa"/>
            <w:right w:w="108" w:type="dxa"/>
          </w:tblCellMar>
        </w:tblPrEx>
        <w:trPr>
          <w:trHeight w:val="259" w:hRule="atLeast"/>
        </w:trPr>
        <w:tc>
          <w:tcPr>
            <w:tcW w:w="675" w:type="dxa"/>
            <w:vMerge w:val="restart"/>
            <w:tcBorders>
              <w:top w:val="nil"/>
              <w:left w:val="single" w:color="auto" w:sz="4" w:space="0"/>
              <w:bottom w:val="single" w:color="auto" w:sz="4" w:space="0"/>
              <w:right w:val="single" w:color="auto" w:sz="4" w:space="0"/>
            </w:tcBorders>
            <w:shd w:val="clear" w:color="auto" w:fill="auto"/>
            <w:vAlign w:val="center"/>
          </w:tcPr>
          <w:p w14:paraId="32B87FA9">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14</w:t>
            </w:r>
          </w:p>
        </w:tc>
        <w:tc>
          <w:tcPr>
            <w:tcW w:w="851" w:type="dxa"/>
            <w:vMerge w:val="restart"/>
            <w:tcBorders>
              <w:top w:val="nil"/>
              <w:left w:val="single" w:color="auto" w:sz="4" w:space="0"/>
              <w:bottom w:val="single" w:color="auto" w:sz="4" w:space="0"/>
              <w:right w:val="single" w:color="auto" w:sz="4" w:space="0"/>
            </w:tcBorders>
            <w:shd w:val="clear" w:color="auto" w:fill="auto"/>
            <w:vAlign w:val="center"/>
          </w:tcPr>
          <w:p w14:paraId="7153A5FC">
            <w:pPr>
              <w:widowControl/>
              <w:jc w:val="center"/>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服务器机柜（小）</w:t>
            </w:r>
          </w:p>
          <w:p w14:paraId="4ACF2819">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w:t>
            </w:r>
          </w:p>
        </w:tc>
        <w:tc>
          <w:tcPr>
            <w:tcW w:w="5670" w:type="dxa"/>
            <w:vMerge w:val="restart"/>
            <w:tcBorders>
              <w:top w:val="nil"/>
              <w:left w:val="single" w:color="auto" w:sz="4" w:space="0"/>
              <w:bottom w:val="single" w:color="auto" w:sz="4" w:space="0"/>
              <w:right w:val="single" w:color="auto" w:sz="4" w:space="0"/>
            </w:tcBorders>
            <w:shd w:val="clear" w:color="auto" w:fill="auto"/>
            <w:vAlign w:val="center"/>
          </w:tcPr>
          <w:p w14:paraId="4DD8E0CB">
            <w:pPr>
              <w:widowControl/>
              <w:jc w:val="center"/>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小机柜：标准24U 机柜，1200×600×1000 机柜，包含PDU+4</w:t>
            </w:r>
          </w:p>
          <w:p w14:paraId="6B6A0BD0">
            <w:pPr>
              <w:widowControl/>
              <w:jc w:val="center"/>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个托</w:t>
            </w:r>
          </w:p>
          <w:p w14:paraId="1D72BAB1">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盘</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14:paraId="10FB3518">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1</w:t>
            </w:r>
          </w:p>
        </w:tc>
        <w:tc>
          <w:tcPr>
            <w:tcW w:w="567" w:type="dxa"/>
            <w:vMerge w:val="restart"/>
            <w:tcBorders>
              <w:top w:val="nil"/>
              <w:left w:val="single" w:color="auto" w:sz="4" w:space="0"/>
              <w:bottom w:val="single" w:color="000000" w:sz="4" w:space="0"/>
              <w:right w:val="single" w:color="auto" w:sz="4" w:space="0"/>
            </w:tcBorders>
            <w:shd w:val="clear" w:color="auto" w:fill="auto"/>
            <w:vAlign w:val="center"/>
          </w:tcPr>
          <w:p w14:paraId="0CBDF184">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个</w:t>
            </w:r>
          </w:p>
        </w:tc>
        <w:tc>
          <w:tcPr>
            <w:tcW w:w="708"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36CB89C7">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2A78EF5D">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299633A5">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923D26A">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7E515B29">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08B39B5">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AB71897">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609B4A1">
            <w:pPr>
              <w:widowControl/>
              <w:jc w:val="left"/>
              <w:textAlignment w:val="auto"/>
              <w:rPr>
                <w:rFonts w:ascii="宋体" w:hAnsi="宋体" w:eastAsia="宋体" w:cs="宋体"/>
                <w:color w:val="000000"/>
                <w:kern w:val="0"/>
                <w:sz w:val="19"/>
                <w:szCs w:val="19"/>
              </w:rPr>
            </w:pPr>
          </w:p>
        </w:tc>
      </w:tr>
      <w:tr w14:paraId="6B936DA4">
        <w:tblPrEx>
          <w:tblCellMar>
            <w:top w:w="0" w:type="dxa"/>
            <w:left w:w="108" w:type="dxa"/>
            <w:bottom w:w="0" w:type="dxa"/>
            <w:right w:w="108" w:type="dxa"/>
          </w:tblCellMar>
        </w:tblPrEx>
        <w:tc>
          <w:tcPr>
            <w:tcW w:w="918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1DD752C4">
            <w:pPr>
              <w:widowControl/>
              <w:jc w:val="left"/>
              <w:textAlignment w:val="auto"/>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二、国际贸易流通综合实训室（120 平）</w:t>
            </w:r>
          </w:p>
        </w:tc>
      </w:tr>
      <w:tr w14:paraId="24F21AAA">
        <w:tblPrEx>
          <w:tblCellMar>
            <w:top w:w="0" w:type="dxa"/>
            <w:left w:w="108" w:type="dxa"/>
            <w:bottom w:w="0" w:type="dxa"/>
            <w:right w:w="108" w:type="dxa"/>
          </w:tblCellMar>
        </w:tblPrEx>
        <w:trPr>
          <w:trHeight w:val="272" w:hRule="atLeast"/>
        </w:trPr>
        <w:tc>
          <w:tcPr>
            <w:tcW w:w="675" w:type="dxa"/>
            <w:vMerge w:val="restart"/>
            <w:tcBorders>
              <w:top w:val="nil"/>
              <w:left w:val="single" w:color="auto" w:sz="4" w:space="0"/>
              <w:bottom w:val="single" w:color="auto" w:sz="4" w:space="0"/>
              <w:right w:val="single" w:color="auto" w:sz="4" w:space="0"/>
            </w:tcBorders>
            <w:shd w:val="clear" w:color="auto" w:fill="auto"/>
            <w:vAlign w:val="center"/>
          </w:tcPr>
          <w:p w14:paraId="1475F8A1">
            <w:pPr>
              <w:widowControl/>
              <w:jc w:val="center"/>
              <w:textAlignment w:val="auto"/>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851" w:type="dxa"/>
            <w:vMerge w:val="restart"/>
            <w:tcBorders>
              <w:top w:val="nil"/>
              <w:left w:val="single" w:color="auto" w:sz="4" w:space="0"/>
              <w:bottom w:val="single" w:color="auto" w:sz="4" w:space="0"/>
              <w:right w:val="single" w:color="auto" w:sz="4" w:space="0"/>
            </w:tcBorders>
            <w:shd w:val="clear" w:color="auto" w:fill="auto"/>
            <w:vAlign w:val="center"/>
          </w:tcPr>
          <w:p w14:paraId="23E56230">
            <w:pPr>
              <w:widowControl/>
              <w:jc w:val="center"/>
              <w:textAlignment w:val="auto"/>
              <w:rPr>
                <w:rFonts w:hint="eastAsia" w:ascii="Arial" w:hAnsi="Arial" w:eastAsia="宋体" w:cs="Arial"/>
                <w:color w:val="000000"/>
                <w:kern w:val="0"/>
                <w:szCs w:val="21"/>
                <w:lang w:eastAsia="zh-CN"/>
              </w:rPr>
            </w:pPr>
            <w:r>
              <w:rPr>
                <w:rFonts w:ascii="Arial" w:hAnsi="Arial" w:eastAsia="宋体" w:cs="Arial"/>
                <w:color w:val="000000"/>
                <w:kern w:val="0"/>
                <w:szCs w:val="21"/>
              </w:rPr>
              <w:t>供应链时代实战</w:t>
            </w:r>
          </w:p>
          <w:p w14:paraId="1CC15854">
            <w:pPr>
              <w:widowControl/>
              <w:jc w:val="center"/>
              <w:textAlignment w:val="auto"/>
              <w:rPr>
                <w:rFonts w:ascii="Arial" w:hAnsi="Arial" w:eastAsia="宋体" w:cs="Arial"/>
                <w:color w:val="000000"/>
                <w:kern w:val="0"/>
                <w:szCs w:val="21"/>
              </w:rPr>
            </w:pPr>
            <w:r>
              <w:rPr>
                <w:rFonts w:ascii="Arial" w:hAnsi="Arial" w:eastAsia="宋体" w:cs="Arial"/>
                <w:color w:val="000000"/>
                <w:kern w:val="0"/>
                <w:szCs w:val="21"/>
              </w:rPr>
              <w:t>平台</w:t>
            </w:r>
          </w:p>
        </w:tc>
        <w:tc>
          <w:tcPr>
            <w:tcW w:w="5670" w:type="dxa"/>
            <w:vMerge w:val="restart"/>
            <w:tcBorders>
              <w:top w:val="nil"/>
              <w:left w:val="single" w:color="auto" w:sz="4" w:space="0"/>
              <w:bottom w:val="single" w:color="000000" w:sz="4" w:space="0"/>
              <w:right w:val="single" w:color="auto" w:sz="4" w:space="0"/>
            </w:tcBorders>
            <w:shd w:val="clear" w:color="auto" w:fill="auto"/>
            <w:vAlign w:val="center"/>
          </w:tcPr>
          <w:p w14:paraId="6DB8502B">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一、软件平台整体要求</w:t>
            </w:r>
          </w:p>
          <w:p w14:paraId="0639F273">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1.基于J2EE平台，采用B/S架构，使用java开发技术，支持主流操作系统，应用可以跨操作系统部署；</w:t>
            </w:r>
          </w:p>
          <w:p w14:paraId="7695841E">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 xml:space="preserve">2.可支持灵活可管理的数据交互架构，支持数据汇总后的查询分析、可视化呈现以满足实训基地的实战、实训教学需求； </w:t>
            </w:r>
          </w:p>
          <w:p w14:paraId="3413939A">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3.支持主流数据库，如：Mysql5.6；</w:t>
            </w:r>
          </w:p>
          <w:p w14:paraId="6C141F8A">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4.系统所有操作通过Log4j记录操作日志,使用Redis缓存加快速度；层与层之间关联采用松耦合框架技术实现业务；</w:t>
            </w:r>
          </w:p>
          <w:p w14:paraId="766D7A24">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5.以业务模型为中心，实现数据、业务逻辑和展现分离；通过对业务的统筹分组达到系统的模块化和可配置化；通过对系统不同层次的管理保证系统的稳定性、兼容性；</w:t>
            </w:r>
          </w:p>
          <w:p w14:paraId="1AD17D4A">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6.可支持 windows 操作系统下的PC机;</w:t>
            </w:r>
          </w:p>
          <w:p w14:paraId="5D4D962D">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7.展现层通过react、reac-dva、readx 、antdui-Ant Design、JSP、Less、CascadingStyleSheets3、ECMAScript6、Echarts实现；</w:t>
            </w:r>
          </w:p>
          <w:p w14:paraId="30B0BAFE">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8.控制层通过Controller实现；模型层通过Java标准类来实现；与数据库的交互，采用MyBatis持久层框架；</w:t>
            </w:r>
          </w:p>
          <w:p w14:paraId="04963E3B">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9.可适用于物流、电商等专业进行物流仓储、线下门店运营、线上电商运营、运输配送调度、供应链管理、仓储实务实训的教学、企业实习实践等应用场景；</w:t>
            </w:r>
          </w:p>
          <w:p w14:paraId="5EFE0384">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10.可对企业期初数据、过程中数据等各个维度的数据在各场景中进行真实还原，物流、资金流的变化按照企业业务运行的规律产生变化，能实现账面库存、实物库存的区别理解；</w:t>
            </w:r>
          </w:p>
          <w:p w14:paraId="23487248">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11.可实现对于仓配物流、电商运营、连锁零售等供应链产业相关企业的日常工作、突发情况、问题情况的案例构建，实现学生完成日常工作、形成复杂决策、思考并处理问题的能力训练目标；</w:t>
            </w:r>
          </w:p>
          <w:p w14:paraId="3A145720">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12.支持多个班级不同进程同时开课或训练。</w:t>
            </w:r>
          </w:p>
          <w:p w14:paraId="35194407">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二、竞赛案例模块</w:t>
            </w:r>
          </w:p>
          <w:p w14:paraId="23F92986">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案例模块以智慧商业供应链企业为原型，基于智能算法、多组织模型设计，借助比赛系统将若干一线城市、沿海城市等作为商业背景，以新零售中典型商品为案例，通过组队参赛、分岗分工，以团队为单位进行竞赛；</w:t>
            </w:r>
          </w:p>
          <w:p w14:paraId="1325208F">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2.案例需体现物流管理学、市场营销学、采购与供应管理、供应链协同运营管理、供应链信息管理、电子商务管理、新媒体营销、消费者行为学、财务管理等课程的综合知识；</w:t>
            </w:r>
          </w:p>
          <w:p w14:paraId="1CAB9DF3">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3.所有队伍在同一个动态市场环境中，基于资金、库存、运力、城市、商品特征等多种因素进行分析，并制定策略，设置整体运营目标；</w:t>
            </w:r>
          </w:p>
          <w:p w14:paraId="6A4A9113">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4.提供至少15种商品案例，需包含不少于10个城市，支持不同城市间的距离与运费、物流时效有关联，可影响经营结果（需提供软件功能截图）；</w:t>
            </w:r>
          </w:p>
          <w:p w14:paraId="18CFCC38">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5.提供至少5家供应商分别位于5个城市，所供货商品支持阶梯式报价；每个供应商提供不少于2种支付方式，如先货后款、先款后货；提供不少于10种签约周期进行选择；供应商在不同付款方式与签约周期由智能算法实现供应商的报价变化；训练学生选择供应商以及进行供应商管理的能力；（提供现场演示）</w:t>
            </w:r>
          </w:p>
          <w:p w14:paraId="28504353">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6.支持市场环境的变化，商品的销量受季节影响、终端数量、城市人口、地理位置等因素产生规律性变化；训练学生分析市场环境、灵活制定调整运营策略的能力；</w:t>
            </w:r>
          </w:p>
          <w:p w14:paraId="52495E9C">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三、教学管理模块</w:t>
            </w:r>
          </w:p>
          <w:p w14:paraId="523517DE">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 xml:space="preserve">1.我的班级：可以根据私有课程、公开课程、授权课程不同类型选择创建实训课程，创建课程后自动生成加入实验班级所需的随机邀请码，学生通过邀请码加入实训班级； </w:t>
            </w:r>
          </w:p>
          <w:p w14:paraId="086C5BC7">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 xml:space="preserve">2.编辑课程：支持课程初始化调整，包括添加岗位，维护组织信息，设置考核方案，维护预置数据；支持通过Excel模板批量导入教学任务，支持增加或删除教学任务，可对任务进行添加课件、作业、测评、流程型任务，方便教学改革，帮助教改教学工作； </w:t>
            </w:r>
          </w:p>
          <w:p w14:paraId="3CC2065D">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3.实训岗位：通过图形化统计展示已完成上岗的组织数量及已完成上岗数，支持按照组织或岗位筛选查看完成上岗及未上岗的情况，查看未上岗学生情况，快速了解上岗情况，提升课前准备效率；同时支持强制下岗操作；</w:t>
            </w:r>
          </w:p>
          <w:p w14:paraId="4B0B49B3">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4.虚拟日期：提供12个月的虚拟教学日历，教师可根据教学任务需要切换系统虚拟日期，完成不同时间阶段的教学任务；</w:t>
            </w:r>
          </w:p>
          <w:p w14:paraId="2BD9ED53">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 xml:space="preserve">5.数据看板：支持按团队查看数据看板，数据看板类型不少于4种，需包括订单分析、促销分析、线上订单分析、线下销售数据；数据的展示类型不少于3种，需包括漏斗图、条形图、柱状图；数据的筛选项不少于4种，包括按经营月份、商品种类、商品名称、销售终端； </w:t>
            </w:r>
          </w:p>
          <w:p w14:paraId="514C067E">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6.竞赛数据：支持按回合与团队筛选查看每回合的经营数据，需提供不少于6种数据明细，包括：收入总额、现金、固定资产、库存总量、无效订单、目标完成等数据，可提供第1至第12回合的数据查询；（提供现场演示）</w:t>
            </w:r>
          </w:p>
          <w:p w14:paraId="4A3C7BA3">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7.回合排名：支持按回合与团队筛选查看排名情况与具体积分,需提供不少于7项积分项，包括：团队名称、排名、总积分、收入总额、现金、固定资产、库存总量等，可进行排名显示；</w:t>
            </w:r>
          </w:p>
          <w:p w14:paraId="3F05A6D5">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8.竞赛排名：支持进行1至12回合的竞赛，可在12回合内结束当前竞赛，并根据各团队经营情况进行最终积分的计算，可按团队进行查询，支持数据导出</w:t>
            </w:r>
          </w:p>
          <w:p w14:paraId="724A976D">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四、学生端操作模块</w:t>
            </w:r>
          </w:p>
          <w:p w14:paraId="4B5F993D">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支持自行选择组织及岗位进行上岗，提供至少4个岗位，包括运营主管、物流主管、采购主管、营销主管；支持团队内部自行决定分工，提供不少于25种决策选择，需包括终端建设、仓库建设、库存调拨、商品推广、商品促销、选择供应商等；充分体现团队协作的重要性；（提供现场演示）</w:t>
            </w:r>
          </w:p>
          <w:p w14:paraId="743ED5E0">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2.支持显示团队当前实时排名，可查看整体排名情况及积分明细，需提供不少于8种积分明细，包括总积分、收入总额积分、现金积分、固定资产积分、库存总量积分、目标完成情况积分、无效订单积分、借款积分；</w:t>
            </w:r>
          </w:p>
          <w:p w14:paraId="770E82FD">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3.支持显示当前竞赛回合：支持显示1~12个回合的竞赛，根据竞赛进度显示当前所处回合，以便学生及时做出经营策略调整；</w:t>
            </w:r>
          </w:p>
          <w:p w14:paraId="6B0AFADA">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4.支持制定团队经营目标，提供不少于4种目标制定，包括但不限于总收入、线上收入、线下收入、库存量。每回合的经营目标可根据完成情况与预测情况进行评比评分，计入竞赛积分；训练学生制定计划的能力；（提供软件功能截图）</w:t>
            </w:r>
          </w:p>
          <w:p w14:paraId="30B0D8E1">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5.支持进行仓库建设，需提供不少于2种仓库类型，包括区域仓、共享仓；可在不同城市建设或租赁仓库，不同类型仓库提供的库位数以及产生的各项费用、所提供的服务类型需有差异性，训练学生规划仓储、预测需求的能力；</w:t>
            </w:r>
          </w:p>
          <w:p w14:paraId="5E7F1DE9">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6.支持基于可视化抽象地图的区域布局，进行销售终端建设，需提供至少3种终端类型，包括但不限于超市、便利店、智能柜，每个城市可建设多个终端，且终端数量设有上限；（提供软件功能截图）</w:t>
            </w:r>
          </w:p>
          <w:p w14:paraId="6BCB4B13">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7.支持向合作供应商订货，可指定商品送达仓库与数量，并选择希望发货时间；同时支持紧急订货，选择需要紧急订货的仓，所订商品会在提交决策后即时发出；订货与紧急订货所产生的采购费用需体现差异；训练学生分析需求抵御风险，通过预测降低成本的能力；（需提供现场演示）</w:t>
            </w:r>
          </w:p>
          <w:p w14:paraId="5EF5A005">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8.支持通过折扣的方式进行商品促销，可为不同终端，如超市、便利店、线上分别设置多种促销方案；</w:t>
            </w:r>
          </w:p>
          <w:p w14:paraId="36C057A3">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9.支持进行线上营销：包含但不限于短视频平台、资讯类平台等不少于2种线上营销平台；每种平台下不少于2种网红类型与营销素材，训练学生通过网络进行营销的能力；（需提供现场演示）</w:t>
            </w:r>
          </w:p>
          <w:p w14:paraId="0A8294C3">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10支持数据看板查看经营情况，至少包括4种分析图表，需包括：订单分析，使用漏斗图查看各类商品的销售情况；促销分析，使用条状图查看各终端及线上销售的促销品销量；线上订单分析，使用柱状图展示有效订单、无效订单的出库情况；线下销售数据，使用柱状图展示超市、便利店、智能柜的销售情况；（提供软件功能截图）</w:t>
            </w:r>
          </w:p>
          <w:p w14:paraId="4C71821C">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11.支持进行采购订单查询，可按日期进行筛选，按供应商及订单下达时间进行展示；采购订单详情中至少包含6项详细数据，如商品名称、规格、收货仓、发货数量、金额、状态等详细数据，可按商品及收货仓进行查询；（提供现场演示）</w:t>
            </w:r>
          </w:p>
          <w:p w14:paraId="4F6C24DA">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12.提供市场数据分析，可按日期范围查看本班级内的市场销售情况，支持按线上销售金额及线下销售金额进行查询，可进行环形图与柱状图切换展示；（提供软件功能截图）</w:t>
            </w:r>
          </w:p>
          <w:p w14:paraId="04B47EE1">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13.支持商品库存分布查询，支持商品按不少于6种储存地进行筛选，如区域仓、前置仓、共享仓、超市、便利店、智能柜，可按日期进行筛选，需展示商品的出入库类型，可进行商品数量及金额合计；</w:t>
            </w:r>
          </w:p>
          <w:p w14:paraId="72F0E4BF">
            <w:pPr>
              <w:widowControl/>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14.支持查看资金情况，可对产生的每笔费用明细进行合并查询、分类查询，可按日期范围、资金范围、收支方向进行查询；</w:t>
            </w:r>
          </w:p>
        </w:tc>
        <w:tc>
          <w:tcPr>
            <w:tcW w:w="709" w:type="dxa"/>
            <w:vMerge w:val="restart"/>
            <w:tcBorders>
              <w:top w:val="nil"/>
              <w:left w:val="single" w:color="auto" w:sz="4" w:space="0"/>
              <w:bottom w:val="single" w:color="auto" w:sz="4" w:space="0"/>
              <w:right w:val="single" w:color="auto" w:sz="4" w:space="0"/>
            </w:tcBorders>
            <w:shd w:val="clear" w:color="auto" w:fill="auto"/>
            <w:noWrap/>
            <w:vAlign w:val="center"/>
          </w:tcPr>
          <w:p w14:paraId="605F256C">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1</w:t>
            </w:r>
          </w:p>
        </w:tc>
        <w:tc>
          <w:tcPr>
            <w:tcW w:w="567" w:type="dxa"/>
            <w:vMerge w:val="restart"/>
            <w:tcBorders>
              <w:top w:val="nil"/>
              <w:left w:val="single" w:color="auto" w:sz="4" w:space="0"/>
              <w:bottom w:val="single" w:color="000000" w:sz="4" w:space="0"/>
              <w:right w:val="single" w:color="auto" w:sz="4" w:space="0"/>
            </w:tcBorders>
            <w:shd w:val="clear" w:color="auto" w:fill="auto"/>
            <w:noWrap/>
            <w:vAlign w:val="center"/>
          </w:tcPr>
          <w:p w14:paraId="5708C544">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套</w:t>
            </w:r>
          </w:p>
        </w:tc>
        <w:tc>
          <w:tcPr>
            <w:tcW w:w="708" w:type="dxa"/>
            <w:gridSpan w:val="2"/>
            <w:vMerge w:val="restart"/>
            <w:tcBorders>
              <w:top w:val="nil"/>
              <w:left w:val="single" w:color="auto" w:sz="4" w:space="0"/>
              <w:bottom w:val="single" w:color="auto" w:sz="4" w:space="0"/>
              <w:right w:val="single" w:color="auto" w:sz="4" w:space="0"/>
            </w:tcBorders>
            <w:shd w:val="clear" w:color="auto" w:fill="auto"/>
            <w:noWrap/>
            <w:vAlign w:val="center"/>
          </w:tcPr>
          <w:p w14:paraId="64F07737">
            <w:pPr>
              <w:widowControl/>
              <w:jc w:val="center"/>
              <w:textAlignment w:val="auto"/>
              <w:rPr>
                <w:rFonts w:ascii="宋体" w:hAnsi="宋体" w:eastAsia="宋体" w:cs="宋体"/>
                <w:color w:val="000000"/>
                <w:kern w:val="0"/>
                <w:sz w:val="19"/>
                <w:szCs w:val="19"/>
              </w:rPr>
            </w:pPr>
          </w:p>
        </w:tc>
      </w:tr>
      <w:tr w14:paraId="4DBACC52">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7F2BD632">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74CDED11">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6F3709C4">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6FB075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6187749">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BBF4967">
            <w:pPr>
              <w:widowControl/>
              <w:jc w:val="left"/>
              <w:textAlignment w:val="auto"/>
              <w:rPr>
                <w:rFonts w:ascii="宋体" w:hAnsi="宋体" w:eastAsia="宋体" w:cs="宋体"/>
                <w:color w:val="000000"/>
                <w:kern w:val="0"/>
                <w:sz w:val="19"/>
                <w:szCs w:val="19"/>
              </w:rPr>
            </w:pPr>
          </w:p>
        </w:tc>
      </w:tr>
      <w:tr w14:paraId="15F7DF85">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5534E376">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72538A6F">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7268021C">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77B83D7">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8FB06A9">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D3DD881">
            <w:pPr>
              <w:widowControl/>
              <w:jc w:val="left"/>
              <w:textAlignment w:val="auto"/>
              <w:rPr>
                <w:rFonts w:ascii="宋体" w:hAnsi="宋体" w:eastAsia="宋体" w:cs="宋体"/>
                <w:color w:val="000000"/>
                <w:kern w:val="0"/>
                <w:sz w:val="19"/>
                <w:szCs w:val="19"/>
              </w:rPr>
            </w:pPr>
          </w:p>
        </w:tc>
      </w:tr>
      <w:tr w14:paraId="24D4D435">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60E76612">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2D6EB731">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1C80F19B">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2E449E3">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E22E12F">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2AB56F87">
            <w:pPr>
              <w:widowControl/>
              <w:jc w:val="left"/>
              <w:textAlignment w:val="auto"/>
              <w:rPr>
                <w:rFonts w:ascii="宋体" w:hAnsi="宋体" w:eastAsia="宋体" w:cs="宋体"/>
                <w:color w:val="000000"/>
                <w:kern w:val="0"/>
                <w:sz w:val="19"/>
                <w:szCs w:val="19"/>
              </w:rPr>
            </w:pPr>
          </w:p>
        </w:tc>
      </w:tr>
      <w:tr w14:paraId="2996BCEF">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48048AE7">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543CC63D">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728692A5">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A4CFFF0">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9BF86BB">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2E040C62">
            <w:pPr>
              <w:widowControl/>
              <w:jc w:val="left"/>
              <w:textAlignment w:val="auto"/>
              <w:rPr>
                <w:rFonts w:ascii="宋体" w:hAnsi="宋体" w:eastAsia="宋体" w:cs="宋体"/>
                <w:color w:val="000000"/>
                <w:kern w:val="0"/>
                <w:sz w:val="19"/>
                <w:szCs w:val="19"/>
              </w:rPr>
            </w:pPr>
          </w:p>
        </w:tc>
      </w:tr>
      <w:tr w14:paraId="5140CBAC">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2A389777">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61F0B3C5">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1A2BBC97">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C93ADA7">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C18E0A5">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1975F79">
            <w:pPr>
              <w:widowControl/>
              <w:jc w:val="left"/>
              <w:textAlignment w:val="auto"/>
              <w:rPr>
                <w:rFonts w:ascii="宋体" w:hAnsi="宋体" w:eastAsia="宋体" w:cs="宋体"/>
                <w:color w:val="000000"/>
                <w:kern w:val="0"/>
                <w:sz w:val="19"/>
                <w:szCs w:val="19"/>
              </w:rPr>
            </w:pPr>
          </w:p>
        </w:tc>
      </w:tr>
      <w:tr w14:paraId="7FC39DF9">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5F0037EF">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2AE74037">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59D1AA69">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2C6625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03FAC1B">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AA0139B">
            <w:pPr>
              <w:widowControl/>
              <w:jc w:val="left"/>
              <w:textAlignment w:val="auto"/>
              <w:rPr>
                <w:rFonts w:ascii="宋体" w:hAnsi="宋体" w:eastAsia="宋体" w:cs="宋体"/>
                <w:color w:val="000000"/>
                <w:kern w:val="0"/>
                <w:sz w:val="19"/>
                <w:szCs w:val="19"/>
              </w:rPr>
            </w:pPr>
          </w:p>
        </w:tc>
      </w:tr>
      <w:tr w14:paraId="7D9AD58B">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17BE3C61">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45EF5CEF">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409D5065">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E9540A3">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3D42110">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4D2DE16">
            <w:pPr>
              <w:widowControl/>
              <w:jc w:val="left"/>
              <w:textAlignment w:val="auto"/>
              <w:rPr>
                <w:rFonts w:ascii="宋体" w:hAnsi="宋体" w:eastAsia="宋体" w:cs="宋体"/>
                <w:color w:val="000000"/>
                <w:kern w:val="0"/>
                <w:sz w:val="19"/>
                <w:szCs w:val="19"/>
              </w:rPr>
            </w:pPr>
          </w:p>
        </w:tc>
      </w:tr>
      <w:tr w14:paraId="63001D7F">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1023F800">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607BD68E">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653AD15A">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B3D0B3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B39767A">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F362DFD">
            <w:pPr>
              <w:widowControl/>
              <w:jc w:val="left"/>
              <w:textAlignment w:val="auto"/>
              <w:rPr>
                <w:rFonts w:ascii="宋体" w:hAnsi="宋体" w:eastAsia="宋体" w:cs="宋体"/>
                <w:color w:val="000000"/>
                <w:kern w:val="0"/>
                <w:sz w:val="19"/>
                <w:szCs w:val="19"/>
              </w:rPr>
            </w:pPr>
          </w:p>
        </w:tc>
      </w:tr>
      <w:tr w14:paraId="7CB17F65">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58A02D0E">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392F92D7">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081B9E8D">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6356C2F">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A30F580">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CDB0D94">
            <w:pPr>
              <w:widowControl/>
              <w:jc w:val="left"/>
              <w:textAlignment w:val="auto"/>
              <w:rPr>
                <w:rFonts w:ascii="宋体" w:hAnsi="宋体" w:eastAsia="宋体" w:cs="宋体"/>
                <w:color w:val="000000"/>
                <w:kern w:val="0"/>
                <w:sz w:val="19"/>
                <w:szCs w:val="19"/>
              </w:rPr>
            </w:pPr>
          </w:p>
        </w:tc>
      </w:tr>
      <w:tr w14:paraId="30BD7512">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1EC2B5B9">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1A0C6338">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349C23AB">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188D2F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3BE5F85">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26CF329">
            <w:pPr>
              <w:widowControl/>
              <w:jc w:val="left"/>
              <w:textAlignment w:val="auto"/>
              <w:rPr>
                <w:rFonts w:ascii="宋体" w:hAnsi="宋体" w:eastAsia="宋体" w:cs="宋体"/>
                <w:color w:val="000000"/>
                <w:kern w:val="0"/>
                <w:sz w:val="19"/>
                <w:szCs w:val="19"/>
              </w:rPr>
            </w:pPr>
          </w:p>
        </w:tc>
      </w:tr>
      <w:tr w14:paraId="34C143FE">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3D8E4285">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056B3C21">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147F8108">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907928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7520BB4">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1818E46">
            <w:pPr>
              <w:widowControl/>
              <w:jc w:val="left"/>
              <w:textAlignment w:val="auto"/>
              <w:rPr>
                <w:rFonts w:ascii="宋体" w:hAnsi="宋体" w:eastAsia="宋体" w:cs="宋体"/>
                <w:color w:val="000000"/>
                <w:kern w:val="0"/>
                <w:sz w:val="19"/>
                <w:szCs w:val="19"/>
              </w:rPr>
            </w:pPr>
          </w:p>
        </w:tc>
      </w:tr>
      <w:tr w14:paraId="7879E944">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3A0BF8CF">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2B12FC21">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579FA791">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24E1B2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E6EE2E1">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9588796">
            <w:pPr>
              <w:widowControl/>
              <w:jc w:val="left"/>
              <w:textAlignment w:val="auto"/>
              <w:rPr>
                <w:rFonts w:ascii="宋体" w:hAnsi="宋体" w:eastAsia="宋体" w:cs="宋体"/>
                <w:color w:val="000000"/>
                <w:kern w:val="0"/>
                <w:sz w:val="19"/>
                <w:szCs w:val="19"/>
              </w:rPr>
            </w:pPr>
          </w:p>
        </w:tc>
      </w:tr>
      <w:tr w14:paraId="42E4A79D">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553361BE">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0DA49201">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7619039E">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C3AA0C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EA1A7BB">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E18897E">
            <w:pPr>
              <w:widowControl/>
              <w:jc w:val="left"/>
              <w:textAlignment w:val="auto"/>
              <w:rPr>
                <w:rFonts w:ascii="宋体" w:hAnsi="宋体" w:eastAsia="宋体" w:cs="宋体"/>
                <w:color w:val="000000"/>
                <w:kern w:val="0"/>
                <w:sz w:val="19"/>
                <w:szCs w:val="19"/>
              </w:rPr>
            </w:pPr>
          </w:p>
        </w:tc>
      </w:tr>
      <w:tr w14:paraId="7F49DB52">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5CDFCE92">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31390A46">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05ED9CF9">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D8A0866">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66ED7D7">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5E71E7D">
            <w:pPr>
              <w:widowControl/>
              <w:jc w:val="left"/>
              <w:textAlignment w:val="auto"/>
              <w:rPr>
                <w:rFonts w:ascii="宋体" w:hAnsi="宋体" w:eastAsia="宋体" w:cs="宋体"/>
                <w:color w:val="000000"/>
                <w:kern w:val="0"/>
                <w:sz w:val="19"/>
                <w:szCs w:val="19"/>
              </w:rPr>
            </w:pPr>
          </w:p>
        </w:tc>
      </w:tr>
      <w:tr w14:paraId="1B452508">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12F5BE98">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1EC19796">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7BDE149C">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E6BF31A">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674C199">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024B2906">
            <w:pPr>
              <w:widowControl/>
              <w:jc w:val="left"/>
              <w:textAlignment w:val="auto"/>
              <w:rPr>
                <w:rFonts w:ascii="宋体" w:hAnsi="宋体" w:eastAsia="宋体" w:cs="宋体"/>
                <w:color w:val="000000"/>
                <w:kern w:val="0"/>
                <w:sz w:val="19"/>
                <w:szCs w:val="19"/>
              </w:rPr>
            </w:pPr>
          </w:p>
        </w:tc>
      </w:tr>
      <w:tr w14:paraId="03EEAA26">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3E9F13EA">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1EBE59F5">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07727D18">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FB0D968">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C9EE2B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4A6086D">
            <w:pPr>
              <w:widowControl/>
              <w:jc w:val="left"/>
              <w:textAlignment w:val="auto"/>
              <w:rPr>
                <w:rFonts w:ascii="宋体" w:hAnsi="宋体" w:eastAsia="宋体" w:cs="宋体"/>
                <w:color w:val="000000"/>
                <w:kern w:val="0"/>
                <w:sz w:val="19"/>
                <w:szCs w:val="19"/>
              </w:rPr>
            </w:pPr>
          </w:p>
        </w:tc>
      </w:tr>
      <w:tr w14:paraId="1F7AB8C6">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04AAB37C">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66423608">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19585979">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79EE23E">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90BA834">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BA6769C">
            <w:pPr>
              <w:widowControl/>
              <w:jc w:val="left"/>
              <w:textAlignment w:val="auto"/>
              <w:rPr>
                <w:rFonts w:ascii="宋体" w:hAnsi="宋体" w:eastAsia="宋体" w:cs="宋体"/>
                <w:color w:val="000000"/>
                <w:kern w:val="0"/>
                <w:sz w:val="19"/>
                <w:szCs w:val="19"/>
              </w:rPr>
            </w:pPr>
          </w:p>
        </w:tc>
      </w:tr>
      <w:tr w14:paraId="16FEBC68">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133845CA">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560CAB35">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44518D47">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0EC0F91">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863212E">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3151934">
            <w:pPr>
              <w:widowControl/>
              <w:jc w:val="left"/>
              <w:textAlignment w:val="auto"/>
              <w:rPr>
                <w:rFonts w:ascii="宋体" w:hAnsi="宋体" w:eastAsia="宋体" w:cs="宋体"/>
                <w:color w:val="000000"/>
                <w:kern w:val="0"/>
                <w:sz w:val="19"/>
                <w:szCs w:val="19"/>
              </w:rPr>
            </w:pPr>
          </w:p>
        </w:tc>
      </w:tr>
      <w:tr w14:paraId="3570E847">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463FF88D">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3D6BC7CC">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790EAA61">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EF1089B">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1743D5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FC8DBA8">
            <w:pPr>
              <w:widowControl/>
              <w:jc w:val="left"/>
              <w:textAlignment w:val="auto"/>
              <w:rPr>
                <w:rFonts w:ascii="宋体" w:hAnsi="宋体" w:eastAsia="宋体" w:cs="宋体"/>
                <w:color w:val="000000"/>
                <w:kern w:val="0"/>
                <w:sz w:val="19"/>
                <w:szCs w:val="19"/>
              </w:rPr>
            </w:pPr>
          </w:p>
        </w:tc>
      </w:tr>
      <w:tr w14:paraId="482F8ADA">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28B6C54D">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4DA84796">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692B14E2">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E792670">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7D38C94">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0C44D78">
            <w:pPr>
              <w:widowControl/>
              <w:jc w:val="left"/>
              <w:textAlignment w:val="auto"/>
              <w:rPr>
                <w:rFonts w:ascii="宋体" w:hAnsi="宋体" w:eastAsia="宋体" w:cs="宋体"/>
                <w:color w:val="000000"/>
                <w:kern w:val="0"/>
                <w:sz w:val="19"/>
                <w:szCs w:val="19"/>
              </w:rPr>
            </w:pPr>
          </w:p>
        </w:tc>
      </w:tr>
      <w:tr w14:paraId="3CDA9DDB">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5E9CCB7D">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754EF7F6">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17BEC6E6">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30CB6B8">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901C69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22830ED">
            <w:pPr>
              <w:widowControl/>
              <w:jc w:val="left"/>
              <w:textAlignment w:val="auto"/>
              <w:rPr>
                <w:rFonts w:ascii="宋体" w:hAnsi="宋体" w:eastAsia="宋体" w:cs="宋体"/>
                <w:color w:val="000000"/>
                <w:kern w:val="0"/>
                <w:sz w:val="19"/>
                <w:szCs w:val="19"/>
              </w:rPr>
            </w:pPr>
          </w:p>
        </w:tc>
      </w:tr>
      <w:tr w14:paraId="2D4EF48C">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794D2E94">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1FA26690">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25428748">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51B1FFF">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1EF79BD">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2AE81248">
            <w:pPr>
              <w:widowControl/>
              <w:jc w:val="left"/>
              <w:textAlignment w:val="auto"/>
              <w:rPr>
                <w:rFonts w:ascii="宋体" w:hAnsi="宋体" w:eastAsia="宋体" w:cs="宋体"/>
                <w:color w:val="000000"/>
                <w:kern w:val="0"/>
                <w:sz w:val="19"/>
                <w:szCs w:val="19"/>
              </w:rPr>
            </w:pPr>
          </w:p>
        </w:tc>
      </w:tr>
      <w:tr w14:paraId="45674C49">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3B74967A">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1EAC7258">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17B9C046">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350237A">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6FDDD13">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FFE8E65">
            <w:pPr>
              <w:widowControl/>
              <w:jc w:val="left"/>
              <w:textAlignment w:val="auto"/>
              <w:rPr>
                <w:rFonts w:ascii="宋体" w:hAnsi="宋体" w:eastAsia="宋体" w:cs="宋体"/>
                <w:color w:val="000000"/>
                <w:kern w:val="0"/>
                <w:sz w:val="19"/>
                <w:szCs w:val="19"/>
              </w:rPr>
            </w:pPr>
          </w:p>
        </w:tc>
      </w:tr>
      <w:tr w14:paraId="75660B19">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1C92F111">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47A4F6FD">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598DEA3C">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758CBD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6E26C7F">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EE4078F">
            <w:pPr>
              <w:widowControl/>
              <w:jc w:val="left"/>
              <w:textAlignment w:val="auto"/>
              <w:rPr>
                <w:rFonts w:ascii="宋体" w:hAnsi="宋体" w:eastAsia="宋体" w:cs="宋体"/>
                <w:color w:val="000000"/>
                <w:kern w:val="0"/>
                <w:sz w:val="19"/>
                <w:szCs w:val="19"/>
              </w:rPr>
            </w:pPr>
          </w:p>
        </w:tc>
      </w:tr>
      <w:tr w14:paraId="0B76F0C4">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2AF349D9">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65446345">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2E654E36">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1976840">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5129C1E">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4507A7F">
            <w:pPr>
              <w:widowControl/>
              <w:jc w:val="left"/>
              <w:textAlignment w:val="auto"/>
              <w:rPr>
                <w:rFonts w:ascii="宋体" w:hAnsi="宋体" w:eastAsia="宋体" w:cs="宋体"/>
                <w:color w:val="000000"/>
                <w:kern w:val="0"/>
                <w:sz w:val="19"/>
                <w:szCs w:val="19"/>
              </w:rPr>
            </w:pPr>
          </w:p>
        </w:tc>
      </w:tr>
      <w:tr w14:paraId="7FCEE977">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7F0CB00C">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0071C1DA">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2CBE1B2E">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22CE6F9">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A28DF81">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3B52C1E">
            <w:pPr>
              <w:widowControl/>
              <w:jc w:val="left"/>
              <w:textAlignment w:val="auto"/>
              <w:rPr>
                <w:rFonts w:ascii="宋体" w:hAnsi="宋体" w:eastAsia="宋体" w:cs="宋体"/>
                <w:color w:val="000000"/>
                <w:kern w:val="0"/>
                <w:sz w:val="19"/>
                <w:szCs w:val="19"/>
              </w:rPr>
            </w:pPr>
          </w:p>
        </w:tc>
      </w:tr>
      <w:tr w14:paraId="25E5847A">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2B683319">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57750FE3">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521BA734">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AA99CE3">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C3394A1">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F8EDE07">
            <w:pPr>
              <w:widowControl/>
              <w:jc w:val="left"/>
              <w:textAlignment w:val="auto"/>
              <w:rPr>
                <w:rFonts w:ascii="宋体" w:hAnsi="宋体" w:eastAsia="宋体" w:cs="宋体"/>
                <w:color w:val="000000"/>
                <w:kern w:val="0"/>
                <w:sz w:val="19"/>
                <w:szCs w:val="19"/>
              </w:rPr>
            </w:pPr>
          </w:p>
        </w:tc>
      </w:tr>
      <w:tr w14:paraId="357B4AB8">
        <w:tblPrEx>
          <w:tblCellMar>
            <w:top w:w="0" w:type="dxa"/>
            <w:left w:w="108" w:type="dxa"/>
            <w:bottom w:w="0" w:type="dxa"/>
            <w:right w:w="108" w:type="dxa"/>
          </w:tblCellMar>
        </w:tblPrEx>
        <w:trPr>
          <w:trHeight w:val="272" w:hRule="atLeast"/>
        </w:trPr>
        <w:tc>
          <w:tcPr>
            <w:tcW w:w="675" w:type="dxa"/>
            <w:vMerge w:val="continue"/>
            <w:tcBorders>
              <w:top w:val="nil"/>
              <w:left w:val="single" w:color="auto" w:sz="4" w:space="0"/>
              <w:bottom w:val="single" w:color="auto" w:sz="4" w:space="0"/>
              <w:right w:val="single" w:color="auto" w:sz="4" w:space="0"/>
            </w:tcBorders>
            <w:vAlign w:val="center"/>
          </w:tcPr>
          <w:p w14:paraId="48F50FA8">
            <w:pPr>
              <w:widowControl/>
              <w:jc w:val="left"/>
              <w:textAlignment w:val="auto"/>
              <w:rPr>
                <w:rFonts w:ascii="宋体" w:hAnsi="宋体" w:eastAsia="宋体" w:cs="宋体"/>
                <w:color w:val="000000"/>
                <w:kern w:val="0"/>
                <w:szCs w:val="21"/>
              </w:rPr>
            </w:pPr>
          </w:p>
        </w:tc>
        <w:tc>
          <w:tcPr>
            <w:tcW w:w="851" w:type="dxa"/>
            <w:vMerge w:val="continue"/>
            <w:tcBorders>
              <w:top w:val="nil"/>
              <w:left w:val="single" w:color="auto" w:sz="4" w:space="0"/>
              <w:bottom w:val="single" w:color="auto" w:sz="4" w:space="0"/>
              <w:right w:val="single" w:color="auto" w:sz="4" w:space="0"/>
            </w:tcBorders>
            <w:vAlign w:val="center"/>
          </w:tcPr>
          <w:p w14:paraId="79A6A966">
            <w:pPr>
              <w:widowControl/>
              <w:jc w:val="left"/>
              <w:textAlignment w:val="auto"/>
              <w:rPr>
                <w:rFonts w:ascii="Arial" w:hAnsi="Arial" w:eastAsia="宋体" w:cs="Arial"/>
                <w:color w:val="000000"/>
                <w:kern w:val="0"/>
                <w:szCs w:val="21"/>
              </w:rPr>
            </w:pPr>
          </w:p>
        </w:tc>
        <w:tc>
          <w:tcPr>
            <w:tcW w:w="5670" w:type="dxa"/>
            <w:vMerge w:val="continue"/>
            <w:tcBorders>
              <w:top w:val="nil"/>
              <w:left w:val="single" w:color="auto" w:sz="4" w:space="0"/>
              <w:bottom w:val="single" w:color="000000" w:sz="4" w:space="0"/>
              <w:right w:val="single" w:color="auto" w:sz="4" w:space="0"/>
            </w:tcBorders>
            <w:vAlign w:val="center"/>
          </w:tcPr>
          <w:p w14:paraId="00260B27">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C26F788">
            <w:pPr>
              <w:widowControl/>
              <w:jc w:val="left"/>
              <w:textAlignment w:val="auto"/>
              <w:rPr>
                <w:rFonts w:ascii="宋体" w:hAnsi="宋体" w:eastAsia="宋体" w:cs="宋体"/>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AF59A42">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B455950">
            <w:pPr>
              <w:widowControl/>
              <w:jc w:val="left"/>
              <w:textAlignment w:val="auto"/>
              <w:rPr>
                <w:rFonts w:ascii="宋体" w:hAnsi="宋体" w:eastAsia="宋体" w:cs="宋体"/>
                <w:color w:val="000000"/>
                <w:kern w:val="0"/>
                <w:sz w:val="19"/>
                <w:szCs w:val="19"/>
              </w:rPr>
            </w:pPr>
          </w:p>
        </w:tc>
      </w:tr>
      <w:tr w14:paraId="2FEF3968">
        <w:tblPrEx>
          <w:tblCellMar>
            <w:top w:w="0" w:type="dxa"/>
            <w:left w:w="108" w:type="dxa"/>
            <w:bottom w:w="0" w:type="dxa"/>
            <w:right w:w="108" w:type="dxa"/>
          </w:tblCellMar>
        </w:tblPrEx>
        <w:trPr>
          <w:trHeight w:val="259" w:hRule="atLeast"/>
        </w:trPr>
        <w:tc>
          <w:tcPr>
            <w:tcW w:w="675" w:type="dxa"/>
            <w:vMerge w:val="restart"/>
            <w:tcBorders>
              <w:top w:val="nil"/>
              <w:left w:val="single" w:color="auto" w:sz="4" w:space="0"/>
              <w:bottom w:val="single" w:color="auto" w:sz="4" w:space="0"/>
              <w:right w:val="single" w:color="auto" w:sz="4" w:space="0"/>
            </w:tcBorders>
            <w:shd w:val="clear" w:color="auto" w:fill="auto"/>
            <w:vAlign w:val="center"/>
          </w:tcPr>
          <w:p w14:paraId="0A6AB9B8">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2</w:t>
            </w:r>
          </w:p>
        </w:tc>
        <w:tc>
          <w:tcPr>
            <w:tcW w:w="851" w:type="dxa"/>
            <w:vMerge w:val="restart"/>
            <w:tcBorders>
              <w:top w:val="nil"/>
              <w:left w:val="single" w:color="auto" w:sz="4" w:space="0"/>
              <w:bottom w:val="single" w:color="auto" w:sz="4" w:space="0"/>
              <w:right w:val="single" w:color="auto" w:sz="4" w:space="0"/>
            </w:tcBorders>
            <w:shd w:val="clear" w:color="auto" w:fill="auto"/>
            <w:vAlign w:val="center"/>
          </w:tcPr>
          <w:p w14:paraId="4E5534C2">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国际贸易全流程综合实训平台</w:t>
            </w:r>
          </w:p>
        </w:tc>
        <w:tc>
          <w:tcPr>
            <w:tcW w:w="5670" w:type="dxa"/>
            <w:vMerge w:val="restart"/>
            <w:tcBorders>
              <w:top w:val="nil"/>
              <w:left w:val="single" w:color="auto" w:sz="4" w:space="0"/>
              <w:bottom w:val="single" w:color="000000" w:sz="4" w:space="0"/>
              <w:right w:val="single" w:color="auto" w:sz="4" w:space="0"/>
            </w:tcBorders>
            <w:shd w:val="clear" w:color="auto" w:fill="auto"/>
            <w:vAlign w:val="center"/>
          </w:tcPr>
          <w:p w14:paraId="1FD9992C">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1.系统简介：帮助学生把握整个业务过程，充分掌握各种业务技巧，熟悉和体会客户、工厂、银行和政府机构的互动关系，了解国际贸易的物流、资金流和业务流的运作方式，达到“在实践中学习提高”的目标</w:t>
            </w:r>
          </w:p>
          <w:p w14:paraId="29F88225">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主要功能：</w:t>
            </w:r>
          </w:p>
          <w:p w14:paraId="664D4BCA">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贸易公司主要功能：本系统中，贸易公司可以分为出口公司和进口公司。学生可以以不同的身份进行登陆，每个流程都设定了详细的操作步骤供学生模拟。出口操作主要功能：包含贸易磋商、签订合同、出口许可证、出口报验、产地证明、审证改证、商业发票、货物托运、商品投保、出口报关、制单结汇、业务善后、发送单证等模块。进口操作主要功能：包括贸易磋商、签订合同、进口许可证、开立许可证、货物托运、商品投保、审单付汇、进口报关、进口报验、发送单证。</w:t>
            </w:r>
          </w:p>
          <w:p w14:paraId="2C44DDA2">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2.管理员端：需具备数据库的备份与还原功能。</w:t>
            </w:r>
          </w:p>
          <w:p w14:paraId="448E33D4">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3．教师端：教师端需具备实验分组功能，教师对每组的角色可以自由进行轮换，教师通过管理平台把几个学生分成一组，每组中一般可以有多个进出口贸易公司(一般进口公司是用英语标注的,出口公司是用中文标注的)、一个进口辅助角色和一个出口辅助角色。一个组中的不同公司可相互进行进出口贸易。外贸交易过程中涉及到外经贸局、银行、保险公司、出入境检验检疫局、海关、外汇管理局和外运公司等各个进出口辅助角色的审核的重要操作，学生之间互动完成系统的进出口贸易的模拟训练。模拟训练过程中每一个典型的完全操作涉及到十多种业务表单、出口流程及进口流程的数个步骤，从而使学生得到较完善、较深入的锻炼。</w:t>
            </w:r>
          </w:p>
          <w:p w14:paraId="2746AD72">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4．用户管理主要功能：学生登录后对自己基本资料管理的一个模块，包括公司资料、公告牌、收发邮件、外汇牌价、商品信息。</w:t>
            </w:r>
          </w:p>
          <w:p w14:paraId="5834DE81">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（1）、交易的辅助角色需包含外经贸局、银行、保险公司、出入境检验检疫局、海关、外汇管理局和外运公司等，学生之间需通过互动来完成系统的进出口贸易的模拟实训。</w:t>
            </w:r>
          </w:p>
          <w:p w14:paraId="6880937B">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（2）、系统需内置帮助功能，教师端可对此进行添加和管理。在学生端所有案例操作界面需能够英译中，可查看单据名词解释。</w:t>
            </w:r>
          </w:p>
          <w:p w14:paraId="7DB07A01">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3）、学生端的贸易流程至少包含CFR、CIF、FOB、EXW四种模式，且内置详细的流程图和单据模板。模板类型至少包含：合同、信用证、开证申请书、出口许可证申请表、商业发票、出境货物报检单、原产地证、海运出口托运单、询盘信函示例、商检证、信用证通知书等27种模板。</w:t>
            </w:r>
          </w:p>
          <w:p w14:paraId="583196F5">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进口操作流程需包含：贸易磋商、签订合同、进口许可证、开立许可证、货物托运、商品投保、审单付汇、进口报关、进口报验、发送单证等模块。</w:t>
            </w:r>
          </w:p>
          <w:p w14:paraId="64FBEC76">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（4）、进口业务至少应包含以下职能部门：进口经贸局、进口银行、保险公司、检验检疫局、进口海关、外汇管理局、外运公司等。</w:t>
            </w:r>
          </w:p>
          <w:p w14:paraId="5EC652D4">
            <w:pPr>
              <w:widowControl/>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（5）、出口公司贸易流程需包含：贸易磋商、签订合同、出口许可证、出口报验、产地证明、审证改证、商业发票、货物托运、商品投保、出口报关、制单结汇、业务善后、发送单证等模块。</w:t>
            </w:r>
          </w:p>
          <w:p w14:paraId="7F39223E">
            <w:pPr>
              <w:widowControl/>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（6）、出口业务至少应包含以下职能部门：出口地外经贸局、出口银行、保险公司、检验检疫局、出口海关、外汇管理局、外运公司等。</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14:paraId="12D093FD">
            <w:pPr>
              <w:widowControl/>
              <w:jc w:val="center"/>
              <w:textAlignment w:val="auto"/>
              <w:rPr>
                <w:rFonts w:ascii="Times New Roman" w:hAnsi="Times New Roman" w:eastAsia="宋体" w:cs="Times New Roman"/>
                <w:color w:val="000000"/>
                <w:kern w:val="0"/>
                <w:sz w:val="19"/>
                <w:szCs w:val="19"/>
              </w:rPr>
            </w:pPr>
            <w:r>
              <w:rPr>
                <w:rFonts w:ascii="Times New Roman" w:hAnsi="Times New Roman" w:eastAsia="宋体" w:cs="Times New Roman"/>
                <w:color w:val="000000"/>
                <w:kern w:val="0"/>
                <w:sz w:val="19"/>
                <w:szCs w:val="19"/>
              </w:rPr>
              <w:t>1</w:t>
            </w:r>
          </w:p>
        </w:tc>
        <w:tc>
          <w:tcPr>
            <w:tcW w:w="567" w:type="dxa"/>
            <w:vMerge w:val="restart"/>
            <w:tcBorders>
              <w:top w:val="nil"/>
              <w:left w:val="single" w:color="auto" w:sz="4" w:space="0"/>
              <w:bottom w:val="single" w:color="000000" w:sz="4" w:space="0"/>
              <w:right w:val="single" w:color="auto" w:sz="4" w:space="0"/>
            </w:tcBorders>
            <w:shd w:val="clear" w:color="auto" w:fill="auto"/>
            <w:vAlign w:val="center"/>
          </w:tcPr>
          <w:p w14:paraId="24F8BC75">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套</w:t>
            </w:r>
          </w:p>
        </w:tc>
        <w:tc>
          <w:tcPr>
            <w:tcW w:w="708"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4392163C">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4EFA5271">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6CABE321">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381472B5">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000000" w:sz="4" w:space="0"/>
              <w:right w:val="single" w:color="auto" w:sz="4" w:space="0"/>
            </w:tcBorders>
            <w:vAlign w:val="center"/>
          </w:tcPr>
          <w:p w14:paraId="04A3CDF1">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7E68E8B">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2CA278B">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448F416">
            <w:pPr>
              <w:widowControl/>
              <w:jc w:val="left"/>
              <w:textAlignment w:val="auto"/>
              <w:rPr>
                <w:rFonts w:ascii="宋体" w:hAnsi="宋体" w:eastAsia="宋体" w:cs="宋体"/>
                <w:color w:val="000000"/>
                <w:kern w:val="0"/>
                <w:sz w:val="19"/>
                <w:szCs w:val="19"/>
              </w:rPr>
            </w:pPr>
          </w:p>
        </w:tc>
      </w:tr>
      <w:tr w14:paraId="5EC31AB3">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2198893">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3729D54">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000000" w:sz="4" w:space="0"/>
              <w:right w:val="single" w:color="auto" w:sz="4" w:space="0"/>
            </w:tcBorders>
            <w:vAlign w:val="center"/>
          </w:tcPr>
          <w:p w14:paraId="08EEA192">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9368D95">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AB11913">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869F3AA">
            <w:pPr>
              <w:widowControl/>
              <w:jc w:val="left"/>
              <w:textAlignment w:val="auto"/>
              <w:rPr>
                <w:rFonts w:ascii="宋体" w:hAnsi="宋体" w:eastAsia="宋体" w:cs="宋体"/>
                <w:color w:val="000000"/>
                <w:kern w:val="0"/>
                <w:sz w:val="19"/>
                <w:szCs w:val="19"/>
              </w:rPr>
            </w:pPr>
          </w:p>
        </w:tc>
      </w:tr>
      <w:tr w14:paraId="6BC24390">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F9D73C4">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71ABE44">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000000" w:sz="4" w:space="0"/>
              <w:right w:val="single" w:color="auto" w:sz="4" w:space="0"/>
            </w:tcBorders>
            <w:vAlign w:val="center"/>
          </w:tcPr>
          <w:p w14:paraId="09E203B3">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0E81F15">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67452FA">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9054001">
            <w:pPr>
              <w:widowControl/>
              <w:jc w:val="left"/>
              <w:textAlignment w:val="auto"/>
              <w:rPr>
                <w:rFonts w:ascii="宋体" w:hAnsi="宋体" w:eastAsia="宋体" w:cs="宋体"/>
                <w:color w:val="000000"/>
                <w:kern w:val="0"/>
                <w:sz w:val="19"/>
                <w:szCs w:val="19"/>
              </w:rPr>
            </w:pPr>
          </w:p>
        </w:tc>
      </w:tr>
      <w:tr w14:paraId="63781AF1">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2D806624">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12C4542">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000000" w:sz="4" w:space="0"/>
              <w:right w:val="single" w:color="auto" w:sz="4" w:space="0"/>
            </w:tcBorders>
            <w:vAlign w:val="center"/>
          </w:tcPr>
          <w:p w14:paraId="01257703">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89D721A">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BA29A3B">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46E97A5">
            <w:pPr>
              <w:widowControl/>
              <w:jc w:val="left"/>
              <w:textAlignment w:val="auto"/>
              <w:rPr>
                <w:rFonts w:ascii="宋体" w:hAnsi="宋体" w:eastAsia="宋体" w:cs="宋体"/>
                <w:color w:val="000000"/>
                <w:kern w:val="0"/>
                <w:sz w:val="19"/>
                <w:szCs w:val="19"/>
              </w:rPr>
            </w:pPr>
          </w:p>
        </w:tc>
      </w:tr>
      <w:tr w14:paraId="46DD79F2">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81052B3">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F899E06">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000000" w:sz="4" w:space="0"/>
              <w:right w:val="single" w:color="auto" w:sz="4" w:space="0"/>
            </w:tcBorders>
            <w:vAlign w:val="center"/>
          </w:tcPr>
          <w:p w14:paraId="4FE032F4">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72855B4">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26B187DC">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0C56922">
            <w:pPr>
              <w:widowControl/>
              <w:jc w:val="left"/>
              <w:textAlignment w:val="auto"/>
              <w:rPr>
                <w:rFonts w:ascii="宋体" w:hAnsi="宋体" w:eastAsia="宋体" w:cs="宋体"/>
                <w:color w:val="000000"/>
                <w:kern w:val="0"/>
                <w:sz w:val="19"/>
                <w:szCs w:val="19"/>
              </w:rPr>
            </w:pPr>
          </w:p>
        </w:tc>
      </w:tr>
      <w:tr w14:paraId="3D1C00CC">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7F1407D">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499E547">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000000" w:sz="4" w:space="0"/>
              <w:right w:val="single" w:color="auto" w:sz="4" w:space="0"/>
            </w:tcBorders>
            <w:vAlign w:val="center"/>
          </w:tcPr>
          <w:p w14:paraId="67CE5CF7">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011C420">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572C17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1413C2A">
            <w:pPr>
              <w:widowControl/>
              <w:jc w:val="left"/>
              <w:textAlignment w:val="auto"/>
              <w:rPr>
                <w:rFonts w:ascii="宋体" w:hAnsi="宋体" w:eastAsia="宋体" w:cs="宋体"/>
                <w:color w:val="000000"/>
                <w:kern w:val="0"/>
                <w:sz w:val="19"/>
                <w:szCs w:val="19"/>
              </w:rPr>
            </w:pPr>
          </w:p>
        </w:tc>
      </w:tr>
      <w:tr w14:paraId="3745327F">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27606C7">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6F001F7">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000000" w:sz="4" w:space="0"/>
              <w:right w:val="single" w:color="auto" w:sz="4" w:space="0"/>
            </w:tcBorders>
            <w:vAlign w:val="center"/>
          </w:tcPr>
          <w:p w14:paraId="1EFFF96B">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F0FC446">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C8A46C1">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0272246">
            <w:pPr>
              <w:widowControl/>
              <w:jc w:val="left"/>
              <w:textAlignment w:val="auto"/>
              <w:rPr>
                <w:rFonts w:ascii="宋体" w:hAnsi="宋体" w:eastAsia="宋体" w:cs="宋体"/>
                <w:color w:val="000000"/>
                <w:kern w:val="0"/>
                <w:sz w:val="19"/>
                <w:szCs w:val="19"/>
              </w:rPr>
            </w:pPr>
          </w:p>
        </w:tc>
      </w:tr>
      <w:tr w14:paraId="73963087">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5F2321CD">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2B488416">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000000" w:sz="4" w:space="0"/>
              <w:right w:val="single" w:color="auto" w:sz="4" w:space="0"/>
            </w:tcBorders>
            <w:vAlign w:val="center"/>
          </w:tcPr>
          <w:p w14:paraId="3795AF90">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477AB46">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2A3E7AF">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EBE96D4">
            <w:pPr>
              <w:widowControl/>
              <w:jc w:val="left"/>
              <w:textAlignment w:val="auto"/>
              <w:rPr>
                <w:rFonts w:ascii="宋体" w:hAnsi="宋体" w:eastAsia="宋体" w:cs="宋体"/>
                <w:color w:val="000000"/>
                <w:kern w:val="0"/>
                <w:sz w:val="19"/>
                <w:szCs w:val="19"/>
              </w:rPr>
            </w:pPr>
          </w:p>
        </w:tc>
      </w:tr>
      <w:tr w14:paraId="4CCCB308">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0B327FCE">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22CFFCB">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000000" w:sz="4" w:space="0"/>
              <w:right w:val="single" w:color="auto" w:sz="4" w:space="0"/>
            </w:tcBorders>
            <w:vAlign w:val="center"/>
          </w:tcPr>
          <w:p w14:paraId="5A5C7A44">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20AE194B">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FD8D56B">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EB17C82">
            <w:pPr>
              <w:widowControl/>
              <w:jc w:val="left"/>
              <w:textAlignment w:val="auto"/>
              <w:rPr>
                <w:rFonts w:ascii="宋体" w:hAnsi="宋体" w:eastAsia="宋体" w:cs="宋体"/>
                <w:color w:val="000000"/>
                <w:kern w:val="0"/>
                <w:sz w:val="19"/>
                <w:szCs w:val="19"/>
              </w:rPr>
            </w:pPr>
          </w:p>
        </w:tc>
      </w:tr>
      <w:tr w14:paraId="2FE642FD">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8D526FA">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0F5E958">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000000" w:sz="4" w:space="0"/>
              <w:right w:val="single" w:color="auto" w:sz="4" w:space="0"/>
            </w:tcBorders>
            <w:vAlign w:val="center"/>
          </w:tcPr>
          <w:p w14:paraId="3129DCC7">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4AF9F01">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35F0052">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6D8D525">
            <w:pPr>
              <w:widowControl/>
              <w:jc w:val="left"/>
              <w:textAlignment w:val="auto"/>
              <w:rPr>
                <w:rFonts w:ascii="宋体" w:hAnsi="宋体" w:eastAsia="宋体" w:cs="宋体"/>
                <w:color w:val="000000"/>
                <w:kern w:val="0"/>
                <w:sz w:val="19"/>
                <w:szCs w:val="19"/>
              </w:rPr>
            </w:pPr>
          </w:p>
        </w:tc>
      </w:tr>
      <w:tr w14:paraId="042524B0">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289507D">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8D0481D">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000000" w:sz="4" w:space="0"/>
              <w:right w:val="single" w:color="auto" w:sz="4" w:space="0"/>
            </w:tcBorders>
            <w:vAlign w:val="center"/>
          </w:tcPr>
          <w:p w14:paraId="730FD742">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00A3150">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94E6C78">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05CF1DF">
            <w:pPr>
              <w:widowControl/>
              <w:jc w:val="left"/>
              <w:textAlignment w:val="auto"/>
              <w:rPr>
                <w:rFonts w:ascii="宋体" w:hAnsi="宋体" w:eastAsia="宋体" w:cs="宋体"/>
                <w:color w:val="000000"/>
                <w:kern w:val="0"/>
                <w:sz w:val="19"/>
                <w:szCs w:val="19"/>
              </w:rPr>
            </w:pPr>
          </w:p>
        </w:tc>
      </w:tr>
      <w:tr w14:paraId="1D143737">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F55FDCC">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CB01FBF">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000000" w:sz="4" w:space="0"/>
              <w:right w:val="single" w:color="auto" w:sz="4" w:space="0"/>
            </w:tcBorders>
            <w:vAlign w:val="center"/>
          </w:tcPr>
          <w:p w14:paraId="241CB7C5">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A5B5B67">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761EC110">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1C7F931B">
            <w:pPr>
              <w:widowControl/>
              <w:jc w:val="left"/>
              <w:textAlignment w:val="auto"/>
              <w:rPr>
                <w:rFonts w:ascii="宋体" w:hAnsi="宋体" w:eastAsia="宋体" w:cs="宋体"/>
                <w:color w:val="000000"/>
                <w:kern w:val="0"/>
                <w:sz w:val="19"/>
                <w:szCs w:val="19"/>
              </w:rPr>
            </w:pPr>
          </w:p>
        </w:tc>
      </w:tr>
      <w:tr w14:paraId="6891D5A1">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CE159D4">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E86CC45">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000000" w:sz="4" w:space="0"/>
              <w:right w:val="single" w:color="auto" w:sz="4" w:space="0"/>
            </w:tcBorders>
            <w:vAlign w:val="center"/>
          </w:tcPr>
          <w:p w14:paraId="5BE6FA13">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0628E082">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E11D1D7">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6931119D">
            <w:pPr>
              <w:widowControl/>
              <w:jc w:val="left"/>
              <w:textAlignment w:val="auto"/>
              <w:rPr>
                <w:rFonts w:ascii="宋体" w:hAnsi="宋体" w:eastAsia="宋体" w:cs="宋体"/>
                <w:color w:val="000000"/>
                <w:kern w:val="0"/>
                <w:sz w:val="19"/>
                <w:szCs w:val="19"/>
              </w:rPr>
            </w:pPr>
          </w:p>
        </w:tc>
      </w:tr>
      <w:tr w14:paraId="3CE3C39A">
        <w:tblPrEx>
          <w:tblCellMar>
            <w:top w:w="0" w:type="dxa"/>
            <w:left w:w="108" w:type="dxa"/>
            <w:bottom w:w="0" w:type="dxa"/>
            <w:right w:w="108" w:type="dxa"/>
          </w:tblCellMar>
        </w:tblPrEx>
        <w:trPr>
          <w:trHeight w:val="259" w:hRule="atLeast"/>
        </w:trPr>
        <w:tc>
          <w:tcPr>
            <w:tcW w:w="675" w:type="dxa"/>
            <w:vMerge w:val="restart"/>
            <w:tcBorders>
              <w:top w:val="nil"/>
              <w:left w:val="single" w:color="auto" w:sz="4" w:space="0"/>
              <w:bottom w:val="single" w:color="auto" w:sz="4" w:space="0"/>
              <w:right w:val="single" w:color="auto" w:sz="4" w:space="0"/>
            </w:tcBorders>
            <w:shd w:val="clear" w:color="auto" w:fill="auto"/>
            <w:vAlign w:val="center"/>
          </w:tcPr>
          <w:p w14:paraId="57A222B8">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3</w:t>
            </w:r>
          </w:p>
        </w:tc>
        <w:tc>
          <w:tcPr>
            <w:tcW w:w="851" w:type="dxa"/>
            <w:vMerge w:val="restart"/>
            <w:tcBorders>
              <w:top w:val="nil"/>
              <w:left w:val="single" w:color="auto" w:sz="4" w:space="0"/>
              <w:bottom w:val="single" w:color="auto" w:sz="4" w:space="0"/>
              <w:right w:val="single" w:color="auto" w:sz="4" w:space="0"/>
            </w:tcBorders>
            <w:shd w:val="clear" w:color="auto" w:fill="auto"/>
            <w:vAlign w:val="center"/>
          </w:tcPr>
          <w:p w14:paraId="4FD6E798">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一体机</w:t>
            </w:r>
          </w:p>
        </w:tc>
        <w:tc>
          <w:tcPr>
            <w:tcW w:w="5670" w:type="dxa"/>
            <w:vMerge w:val="restart"/>
            <w:tcBorders>
              <w:top w:val="nil"/>
              <w:left w:val="single" w:color="auto" w:sz="4" w:space="0"/>
              <w:bottom w:val="single" w:color="auto" w:sz="4" w:space="0"/>
              <w:right w:val="single" w:color="auto" w:sz="4" w:space="0"/>
            </w:tcBorders>
            <w:shd w:val="clear" w:color="auto" w:fill="auto"/>
            <w:vAlign w:val="center"/>
          </w:tcPr>
          <w:p w14:paraId="55099279">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 CPU：I5 12400 六核十二线程 2.5GHz 主频,最高睿频 4.4GHz，</w:t>
            </w:r>
          </w:p>
          <w:p w14:paraId="7DCE074B">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18MB 三级缓存；</w:t>
            </w:r>
          </w:p>
          <w:p w14:paraId="4504B24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2.内存：16GB，单根最大支持 32GB；</w:t>
            </w:r>
          </w:p>
          <w:p w14:paraId="7C4795C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3.硬盘：512GB M.2 SSD（NVME）,最大支持 2TB；</w:t>
            </w:r>
          </w:p>
          <w:p w14:paraId="1EDE3333">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4.显示屏：≥23.8 寸 分辩率 1920*1080</w:t>
            </w:r>
          </w:p>
          <w:p w14:paraId="127B10C1">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5.接口：2 个 USB2.0 接口，4 个 USB3.0 接口（其中一个为 Type-C），</w:t>
            </w:r>
          </w:p>
          <w:p w14:paraId="129D020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1 个音频输入接口，1 个音频输出接口，1 个 HDMI 接口，一个 COM</w:t>
            </w:r>
          </w:p>
          <w:p w14:paraId="739A070C">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接口；</w:t>
            </w:r>
          </w:p>
          <w:p w14:paraId="35466877">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6.网络：1 个千兆网口；</w:t>
            </w:r>
          </w:p>
          <w:p w14:paraId="7D15C9B2">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7.包含同品牌配套有线键鼠；</w:t>
            </w:r>
          </w:p>
          <w:p w14:paraId="2AF1F99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9.单个终端可部署多个操作系统，支持在管理平台上设置终端共</w:t>
            </w:r>
          </w:p>
          <w:p w14:paraId="570B2130">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享数据盘，可任意选定可使用共享盘的操作系统数量，可设置终</w:t>
            </w:r>
          </w:p>
          <w:p w14:paraId="066E01B8">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端共享数据盘的的空间大小，并能设定清除策略，包含不清除/</w:t>
            </w:r>
          </w:p>
          <w:p w14:paraId="5C3AED7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每周清除/每月清除；</w:t>
            </w:r>
          </w:p>
          <w:p w14:paraId="7FC838CF">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9.管理平台可同时管理虚拟桌面和本地系统，两者可使用统一镜</w:t>
            </w:r>
          </w:p>
          <w:p w14:paraId="0448F655">
            <w:pPr>
              <w:widowControl/>
              <w:jc w:val="left"/>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像模板进行维护，保障虚拟系统和本地系统的一致性，便于服务器故障下的持续教学；</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14:paraId="0DCB646E">
            <w:pPr>
              <w:widowControl/>
              <w:jc w:val="center"/>
              <w:textAlignment w:val="auto"/>
              <w:rPr>
                <w:rFonts w:ascii="Times New Roman" w:hAnsi="Times New Roman" w:eastAsia="宋体" w:cs="Times New Roman"/>
                <w:color w:val="000000"/>
                <w:kern w:val="0"/>
                <w:sz w:val="19"/>
                <w:szCs w:val="19"/>
              </w:rPr>
            </w:pPr>
            <w:r>
              <w:rPr>
                <w:rFonts w:ascii="Times New Roman" w:hAnsi="Times New Roman" w:eastAsia="宋体" w:cs="Times New Roman"/>
                <w:color w:val="000000"/>
                <w:kern w:val="0"/>
                <w:sz w:val="19"/>
                <w:szCs w:val="19"/>
              </w:rPr>
              <w:t>51</w:t>
            </w:r>
          </w:p>
        </w:tc>
        <w:tc>
          <w:tcPr>
            <w:tcW w:w="567" w:type="dxa"/>
            <w:vMerge w:val="restart"/>
            <w:tcBorders>
              <w:top w:val="nil"/>
              <w:left w:val="single" w:color="auto" w:sz="4" w:space="0"/>
              <w:bottom w:val="single" w:color="000000" w:sz="4" w:space="0"/>
              <w:right w:val="single" w:color="auto" w:sz="4" w:space="0"/>
            </w:tcBorders>
            <w:shd w:val="clear" w:color="auto" w:fill="auto"/>
            <w:vAlign w:val="center"/>
          </w:tcPr>
          <w:p w14:paraId="240E8D65">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台</w:t>
            </w:r>
          </w:p>
        </w:tc>
        <w:tc>
          <w:tcPr>
            <w:tcW w:w="708" w:type="dxa"/>
            <w:gridSpan w:val="2"/>
            <w:vMerge w:val="restart"/>
            <w:tcBorders>
              <w:top w:val="nil"/>
              <w:left w:val="single" w:color="auto" w:sz="4" w:space="0"/>
              <w:bottom w:val="single" w:color="auto" w:sz="4" w:space="0"/>
              <w:right w:val="single" w:color="auto" w:sz="4" w:space="0"/>
            </w:tcBorders>
            <w:shd w:val="clear" w:color="auto" w:fill="auto"/>
            <w:vAlign w:val="center"/>
          </w:tcPr>
          <w:p w14:paraId="0428A9AA">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09178AE4">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A9FACD7">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800509A">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7BCAE16B">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891BD40">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B01C8D7">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6C31EFC">
            <w:pPr>
              <w:widowControl/>
              <w:jc w:val="left"/>
              <w:textAlignment w:val="auto"/>
              <w:rPr>
                <w:rFonts w:ascii="宋体" w:hAnsi="宋体" w:eastAsia="宋体" w:cs="宋体"/>
                <w:color w:val="000000"/>
                <w:kern w:val="0"/>
                <w:sz w:val="19"/>
                <w:szCs w:val="19"/>
              </w:rPr>
            </w:pPr>
          </w:p>
        </w:tc>
      </w:tr>
      <w:tr w14:paraId="3C56E315">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57626FC9">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2DA2A130">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4500D28B">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0E11454">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6EADFF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7758E05">
            <w:pPr>
              <w:widowControl/>
              <w:jc w:val="left"/>
              <w:textAlignment w:val="auto"/>
              <w:rPr>
                <w:rFonts w:ascii="宋体" w:hAnsi="宋体" w:eastAsia="宋体" w:cs="宋体"/>
                <w:color w:val="000000"/>
                <w:kern w:val="0"/>
                <w:sz w:val="19"/>
                <w:szCs w:val="19"/>
              </w:rPr>
            </w:pPr>
          </w:p>
        </w:tc>
      </w:tr>
      <w:tr w14:paraId="6376CD25">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DBFE1A2">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D44C2F2">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6FD2A651">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C3D6A7A">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189350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2119204">
            <w:pPr>
              <w:widowControl/>
              <w:jc w:val="left"/>
              <w:textAlignment w:val="auto"/>
              <w:rPr>
                <w:rFonts w:ascii="宋体" w:hAnsi="宋体" w:eastAsia="宋体" w:cs="宋体"/>
                <w:color w:val="000000"/>
                <w:kern w:val="0"/>
                <w:sz w:val="19"/>
                <w:szCs w:val="19"/>
              </w:rPr>
            </w:pPr>
          </w:p>
        </w:tc>
      </w:tr>
      <w:tr w14:paraId="3567ABE4">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59C57CC">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571A3CE7">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726DB5D0">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4C87713D">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44F0B38F">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22F54655">
            <w:pPr>
              <w:widowControl/>
              <w:jc w:val="left"/>
              <w:textAlignment w:val="auto"/>
              <w:rPr>
                <w:rFonts w:ascii="宋体" w:hAnsi="宋体" w:eastAsia="宋体" w:cs="宋体"/>
                <w:color w:val="000000"/>
                <w:kern w:val="0"/>
                <w:sz w:val="19"/>
                <w:szCs w:val="19"/>
              </w:rPr>
            </w:pPr>
          </w:p>
        </w:tc>
      </w:tr>
      <w:tr w14:paraId="4739459D">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54AEE55F">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4512F254">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08ADB16">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73A6B6D5">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69720A7">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0A1BAC3">
            <w:pPr>
              <w:widowControl/>
              <w:jc w:val="left"/>
              <w:textAlignment w:val="auto"/>
              <w:rPr>
                <w:rFonts w:ascii="宋体" w:hAnsi="宋体" w:eastAsia="宋体" w:cs="宋体"/>
                <w:color w:val="000000"/>
                <w:kern w:val="0"/>
                <w:sz w:val="19"/>
                <w:szCs w:val="19"/>
              </w:rPr>
            </w:pPr>
          </w:p>
        </w:tc>
      </w:tr>
      <w:tr w14:paraId="3027C047">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239AB2F">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2788EA92">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2772561C">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66A7E18A">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69EB8C48">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D9B95F5">
            <w:pPr>
              <w:widowControl/>
              <w:jc w:val="left"/>
              <w:textAlignment w:val="auto"/>
              <w:rPr>
                <w:rFonts w:ascii="宋体" w:hAnsi="宋体" w:eastAsia="宋体" w:cs="宋体"/>
                <w:color w:val="000000"/>
                <w:kern w:val="0"/>
                <w:sz w:val="19"/>
                <w:szCs w:val="19"/>
              </w:rPr>
            </w:pPr>
          </w:p>
        </w:tc>
      </w:tr>
      <w:tr w14:paraId="4B19E6DD">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3D0F308E">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68687DEB">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735359C3">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1E2AF2B">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50A090C4">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33BA49E1">
            <w:pPr>
              <w:widowControl/>
              <w:jc w:val="left"/>
              <w:textAlignment w:val="auto"/>
              <w:rPr>
                <w:rFonts w:ascii="宋体" w:hAnsi="宋体" w:eastAsia="宋体" w:cs="宋体"/>
                <w:color w:val="000000"/>
                <w:kern w:val="0"/>
                <w:sz w:val="19"/>
                <w:szCs w:val="19"/>
              </w:rPr>
            </w:pPr>
          </w:p>
        </w:tc>
      </w:tr>
      <w:tr w14:paraId="5D4EAABF">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74B5807C">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7EC9E01E">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76A3E365">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369D0741">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1C6D94D3">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4FFBFE23">
            <w:pPr>
              <w:widowControl/>
              <w:jc w:val="left"/>
              <w:textAlignment w:val="auto"/>
              <w:rPr>
                <w:rFonts w:ascii="宋体" w:hAnsi="宋体" w:eastAsia="宋体" w:cs="宋体"/>
                <w:color w:val="000000"/>
                <w:kern w:val="0"/>
                <w:sz w:val="19"/>
                <w:szCs w:val="19"/>
              </w:rPr>
            </w:pPr>
          </w:p>
        </w:tc>
      </w:tr>
      <w:tr w14:paraId="6AAEB351">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4EA07D9E">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0FF5D41C">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5AD421D9">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107AC4DC">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0B5707F5">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71EDF217">
            <w:pPr>
              <w:widowControl/>
              <w:jc w:val="left"/>
              <w:textAlignment w:val="auto"/>
              <w:rPr>
                <w:rFonts w:ascii="宋体" w:hAnsi="宋体" w:eastAsia="宋体" w:cs="宋体"/>
                <w:color w:val="000000"/>
                <w:kern w:val="0"/>
                <w:sz w:val="19"/>
                <w:szCs w:val="19"/>
              </w:rPr>
            </w:pPr>
          </w:p>
        </w:tc>
      </w:tr>
      <w:tr w14:paraId="65E68BA3">
        <w:tblPrEx>
          <w:tblCellMar>
            <w:top w:w="0" w:type="dxa"/>
            <w:left w:w="108" w:type="dxa"/>
            <w:bottom w:w="0" w:type="dxa"/>
            <w:right w:w="108" w:type="dxa"/>
          </w:tblCellMar>
        </w:tblPrEx>
        <w:trPr>
          <w:trHeight w:val="259" w:hRule="atLeast"/>
        </w:trPr>
        <w:tc>
          <w:tcPr>
            <w:tcW w:w="675" w:type="dxa"/>
            <w:vMerge w:val="continue"/>
            <w:tcBorders>
              <w:top w:val="nil"/>
              <w:left w:val="single" w:color="auto" w:sz="4" w:space="0"/>
              <w:bottom w:val="single" w:color="auto" w:sz="4" w:space="0"/>
              <w:right w:val="single" w:color="auto" w:sz="4" w:space="0"/>
            </w:tcBorders>
            <w:vAlign w:val="center"/>
          </w:tcPr>
          <w:p w14:paraId="1E2441EF">
            <w:pPr>
              <w:widowControl/>
              <w:jc w:val="left"/>
              <w:textAlignment w:val="auto"/>
              <w:rPr>
                <w:rFonts w:ascii="黑体" w:hAnsi="黑体" w:eastAsia="黑体" w:cs="宋体"/>
                <w:color w:val="000000"/>
                <w:kern w:val="0"/>
                <w:sz w:val="20"/>
                <w:szCs w:val="20"/>
              </w:rPr>
            </w:pPr>
          </w:p>
        </w:tc>
        <w:tc>
          <w:tcPr>
            <w:tcW w:w="851" w:type="dxa"/>
            <w:vMerge w:val="continue"/>
            <w:tcBorders>
              <w:top w:val="nil"/>
              <w:left w:val="single" w:color="auto" w:sz="4" w:space="0"/>
              <w:bottom w:val="single" w:color="auto" w:sz="4" w:space="0"/>
              <w:right w:val="single" w:color="auto" w:sz="4" w:space="0"/>
            </w:tcBorders>
            <w:vAlign w:val="center"/>
          </w:tcPr>
          <w:p w14:paraId="11772E5C">
            <w:pPr>
              <w:widowControl/>
              <w:jc w:val="left"/>
              <w:textAlignment w:val="auto"/>
              <w:rPr>
                <w:rFonts w:ascii="宋体" w:hAnsi="宋体" w:eastAsia="宋体" w:cs="宋体"/>
                <w:color w:val="000000"/>
                <w:kern w:val="0"/>
                <w:sz w:val="19"/>
                <w:szCs w:val="19"/>
              </w:rPr>
            </w:pPr>
          </w:p>
        </w:tc>
        <w:tc>
          <w:tcPr>
            <w:tcW w:w="5670" w:type="dxa"/>
            <w:vMerge w:val="continue"/>
            <w:tcBorders>
              <w:top w:val="nil"/>
              <w:left w:val="single" w:color="auto" w:sz="4" w:space="0"/>
              <w:bottom w:val="single" w:color="auto" w:sz="4" w:space="0"/>
              <w:right w:val="single" w:color="auto" w:sz="4" w:space="0"/>
            </w:tcBorders>
            <w:vAlign w:val="center"/>
          </w:tcPr>
          <w:p w14:paraId="3C12D5BB">
            <w:pPr>
              <w:widowControl/>
              <w:jc w:val="left"/>
              <w:textAlignment w:val="auto"/>
              <w:rPr>
                <w:rFonts w:ascii="宋体" w:hAnsi="宋体" w:eastAsia="宋体" w:cs="宋体"/>
                <w:color w:val="000000"/>
                <w:kern w:val="0"/>
                <w:sz w:val="19"/>
                <w:szCs w:val="19"/>
              </w:rPr>
            </w:pPr>
          </w:p>
        </w:tc>
        <w:tc>
          <w:tcPr>
            <w:tcW w:w="709" w:type="dxa"/>
            <w:vMerge w:val="continue"/>
            <w:tcBorders>
              <w:top w:val="nil"/>
              <w:left w:val="single" w:color="auto" w:sz="4" w:space="0"/>
              <w:bottom w:val="single" w:color="auto" w:sz="4" w:space="0"/>
              <w:right w:val="single" w:color="auto" w:sz="4" w:space="0"/>
            </w:tcBorders>
            <w:vAlign w:val="center"/>
          </w:tcPr>
          <w:p w14:paraId="51EAD0B5">
            <w:pPr>
              <w:widowControl/>
              <w:jc w:val="left"/>
              <w:textAlignment w:val="auto"/>
              <w:rPr>
                <w:rFonts w:ascii="Times New Roman" w:hAnsi="Times New Roman" w:eastAsia="宋体" w:cs="Times New Roman"/>
                <w:color w:val="000000"/>
                <w:kern w:val="0"/>
                <w:sz w:val="19"/>
                <w:szCs w:val="19"/>
              </w:rPr>
            </w:pPr>
          </w:p>
        </w:tc>
        <w:tc>
          <w:tcPr>
            <w:tcW w:w="567" w:type="dxa"/>
            <w:vMerge w:val="continue"/>
            <w:tcBorders>
              <w:top w:val="nil"/>
              <w:left w:val="single" w:color="auto" w:sz="4" w:space="0"/>
              <w:bottom w:val="single" w:color="000000" w:sz="4" w:space="0"/>
              <w:right w:val="single" w:color="auto" w:sz="4" w:space="0"/>
            </w:tcBorders>
            <w:vAlign w:val="center"/>
          </w:tcPr>
          <w:p w14:paraId="39D2D636">
            <w:pPr>
              <w:widowControl/>
              <w:jc w:val="left"/>
              <w:textAlignment w:val="auto"/>
              <w:rPr>
                <w:rFonts w:ascii="宋体" w:hAnsi="宋体" w:eastAsia="宋体" w:cs="宋体"/>
                <w:color w:val="000000"/>
                <w:kern w:val="0"/>
                <w:sz w:val="19"/>
                <w:szCs w:val="19"/>
              </w:rPr>
            </w:pPr>
          </w:p>
        </w:tc>
        <w:tc>
          <w:tcPr>
            <w:tcW w:w="708" w:type="dxa"/>
            <w:gridSpan w:val="2"/>
            <w:vMerge w:val="continue"/>
            <w:tcBorders>
              <w:top w:val="nil"/>
              <w:left w:val="single" w:color="auto" w:sz="4" w:space="0"/>
              <w:bottom w:val="single" w:color="auto" w:sz="4" w:space="0"/>
              <w:right w:val="single" w:color="auto" w:sz="4" w:space="0"/>
            </w:tcBorders>
            <w:vAlign w:val="center"/>
          </w:tcPr>
          <w:p w14:paraId="5E583C16">
            <w:pPr>
              <w:widowControl/>
              <w:jc w:val="left"/>
              <w:textAlignment w:val="auto"/>
              <w:rPr>
                <w:rFonts w:ascii="宋体" w:hAnsi="宋体" w:eastAsia="宋体" w:cs="宋体"/>
                <w:color w:val="000000"/>
                <w:kern w:val="0"/>
                <w:sz w:val="19"/>
                <w:szCs w:val="19"/>
              </w:rPr>
            </w:pPr>
          </w:p>
        </w:tc>
      </w:tr>
      <w:tr w14:paraId="0D07A5C6">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shd w:val="clear" w:color="auto" w:fill="auto"/>
            <w:vAlign w:val="center"/>
          </w:tcPr>
          <w:p w14:paraId="0D5E3D2F">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4</w:t>
            </w:r>
          </w:p>
        </w:tc>
        <w:tc>
          <w:tcPr>
            <w:tcW w:w="851" w:type="dxa"/>
            <w:tcBorders>
              <w:top w:val="nil"/>
              <w:left w:val="nil"/>
              <w:bottom w:val="single" w:color="auto" w:sz="4" w:space="0"/>
              <w:right w:val="single" w:color="auto" w:sz="4" w:space="0"/>
            </w:tcBorders>
            <w:shd w:val="clear" w:color="auto" w:fill="auto"/>
            <w:vAlign w:val="center"/>
          </w:tcPr>
          <w:p w14:paraId="2A4D3534">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综合布线</w:t>
            </w:r>
          </w:p>
        </w:tc>
        <w:tc>
          <w:tcPr>
            <w:tcW w:w="5670" w:type="dxa"/>
            <w:tcBorders>
              <w:top w:val="nil"/>
              <w:left w:val="nil"/>
              <w:bottom w:val="single" w:color="auto" w:sz="4" w:space="0"/>
              <w:right w:val="single" w:color="auto" w:sz="4" w:space="0"/>
            </w:tcBorders>
            <w:shd w:val="clear" w:color="auto" w:fill="auto"/>
            <w:vAlign w:val="center"/>
          </w:tcPr>
          <w:p w14:paraId="671CAABD">
            <w:pPr>
              <w:widowControl/>
              <w:jc w:val="left"/>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含电源、网络线路铺设包含人工及材料、标签、测试通过等</w:t>
            </w:r>
          </w:p>
        </w:tc>
        <w:tc>
          <w:tcPr>
            <w:tcW w:w="709" w:type="dxa"/>
            <w:tcBorders>
              <w:top w:val="nil"/>
              <w:left w:val="nil"/>
              <w:bottom w:val="single" w:color="auto" w:sz="4" w:space="0"/>
              <w:right w:val="single" w:color="auto" w:sz="4" w:space="0"/>
            </w:tcBorders>
            <w:shd w:val="clear" w:color="auto" w:fill="auto"/>
            <w:vAlign w:val="center"/>
          </w:tcPr>
          <w:p w14:paraId="09BAB65E">
            <w:pPr>
              <w:widowControl/>
              <w:jc w:val="center"/>
              <w:textAlignment w:val="auto"/>
              <w:rPr>
                <w:rFonts w:ascii="Times New Roman" w:hAnsi="Times New Roman" w:eastAsia="宋体" w:cs="Times New Roman"/>
                <w:color w:val="000000"/>
                <w:kern w:val="0"/>
                <w:sz w:val="19"/>
                <w:szCs w:val="19"/>
              </w:rPr>
            </w:pPr>
            <w:r>
              <w:rPr>
                <w:rFonts w:ascii="Times New Roman" w:hAnsi="Times New Roman" w:eastAsia="宋体" w:cs="Times New Roman"/>
                <w:color w:val="000000"/>
                <w:kern w:val="0"/>
                <w:sz w:val="19"/>
                <w:szCs w:val="19"/>
              </w:rPr>
              <w:t>1</w:t>
            </w:r>
          </w:p>
        </w:tc>
        <w:tc>
          <w:tcPr>
            <w:tcW w:w="567" w:type="dxa"/>
            <w:tcBorders>
              <w:top w:val="nil"/>
              <w:left w:val="nil"/>
              <w:bottom w:val="single" w:color="auto" w:sz="4" w:space="0"/>
              <w:right w:val="single" w:color="auto" w:sz="4" w:space="0"/>
            </w:tcBorders>
            <w:shd w:val="clear" w:color="auto" w:fill="auto"/>
            <w:vAlign w:val="center"/>
          </w:tcPr>
          <w:p w14:paraId="0F97ED88">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批</w:t>
            </w:r>
          </w:p>
        </w:tc>
        <w:tc>
          <w:tcPr>
            <w:tcW w:w="708" w:type="dxa"/>
            <w:gridSpan w:val="2"/>
            <w:tcBorders>
              <w:top w:val="nil"/>
              <w:left w:val="nil"/>
              <w:bottom w:val="single" w:color="auto" w:sz="4" w:space="0"/>
              <w:right w:val="single" w:color="auto" w:sz="4" w:space="0"/>
            </w:tcBorders>
            <w:shd w:val="clear" w:color="auto" w:fill="auto"/>
            <w:vAlign w:val="center"/>
          </w:tcPr>
          <w:p w14:paraId="409FC675">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544A8642">
        <w:tblPrEx>
          <w:tblCellMar>
            <w:top w:w="0" w:type="dxa"/>
            <w:left w:w="108" w:type="dxa"/>
            <w:bottom w:w="0" w:type="dxa"/>
            <w:right w:w="108" w:type="dxa"/>
          </w:tblCellMar>
        </w:tblPrEx>
        <w:tc>
          <w:tcPr>
            <w:tcW w:w="918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2585A1B9">
            <w:pPr>
              <w:widowControl/>
              <w:jc w:val="left"/>
              <w:textAlignment w:val="auto"/>
              <w:rPr>
                <w:rFonts w:ascii="宋体" w:hAnsi="宋体" w:eastAsia="宋体" w:cs="宋体"/>
                <w:color w:val="000000"/>
                <w:kern w:val="0"/>
                <w:sz w:val="22"/>
                <w:szCs w:val="22"/>
              </w:rPr>
            </w:pPr>
            <w:r>
              <w:rPr>
                <w:rFonts w:hint="eastAsia" w:ascii="宋体" w:hAnsi="宋体" w:eastAsia="宋体" w:cs="宋体"/>
                <w:color w:val="000000"/>
                <w:kern w:val="0"/>
                <w:sz w:val="22"/>
                <w:szCs w:val="22"/>
              </w:rPr>
              <w:t>　</w:t>
            </w:r>
          </w:p>
        </w:tc>
      </w:tr>
      <w:tr w14:paraId="507082CD">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shd w:val="clear" w:color="auto" w:fill="auto"/>
            <w:vAlign w:val="center"/>
          </w:tcPr>
          <w:p w14:paraId="490A1375">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1</w:t>
            </w:r>
          </w:p>
        </w:tc>
        <w:tc>
          <w:tcPr>
            <w:tcW w:w="851" w:type="dxa"/>
            <w:tcBorders>
              <w:top w:val="nil"/>
              <w:left w:val="nil"/>
              <w:bottom w:val="single" w:color="auto" w:sz="4" w:space="0"/>
              <w:right w:val="single" w:color="auto" w:sz="4" w:space="0"/>
            </w:tcBorders>
            <w:shd w:val="clear" w:color="auto" w:fill="auto"/>
            <w:vAlign w:val="center"/>
          </w:tcPr>
          <w:p w14:paraId="30ECDB7B">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多媒体讲台</w:t>
            </w:r>
          </w:p>
        </w:tc>
        <w:tc>
          <w:tcPr>
            <w:tcW w:w="5670" w:type="dxa"/>
            <w:tcBorders>
              <w:top w:val="nil"/>
              <w:left w:val="nil"/>
              <w:bottom w:val="single" w:color="auto" w:sz="4" w:space="0"/>
              <w:right w:val="single" w:color="auto" w:sz="4" w:space="0"/>
            </w:tcBorders>
            <w:shd w:val="clear" w:color="auto" w:fill="auto"/>
            <w:vAlign w:val="center"/>
          </w:tcPr>
          <w:p w14:paraId="156DACF9">
            <w:pPr>
              <w:widowControl/>
              <w:jc w:val="left"/>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木面讲台，尺寸长 1100*宽 780*高 1000</w:t>
            </w:r>
          </w:p>
        </w:tc>
        <w:tc>
          <w:tcPr>
            <w:tcW w:w="709" w:type="dxa"/>
            <w:tcBorders>
              <w:top w:val="nil"/>
              <w:left w:val="nil"/>
              <w:bottom w:val="single" w:color="auto" w:sz="4" w:space="0"/>
              <w:right w:val="single" w:color="auto" w:sz="4" w:space="0"/>
            </w:tcBorders>
            <w:shd w:val="clear" w:color="auto" w:fill="auto"/>
            <w:vAlign w:val="center"/>
          </w:tcPr>
          <w:p w14:paraId="4FC99494">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2</w:t>
            </w:r>
          </w:p>
        </w:tc>
        <w:tc>
          <w:tcPr>
            <w:tcW w:w="567" w:type="dxa"/>
            <w:tcBorders>
              <w:top w:val="nil"/>
              <w:left w:val="nil"/>
              <w:bottom w:val="single" w:color="auto" w:sz="4" w:space="0"/>
              <w:right w:val="single" w:color="auto" w:sz="4" w:space="0"/>
            </w:tcBorders>
            <w:shd w:val="clear" w:color="auto" w:fill="auto"/>
            <w:vAlign w:val="center"/>
          </w:tcPr>
          <w:p w14:paraId="799D89BA">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台</w:t>
            </w:r>
          </w:p>
        </w:tc>
        <w:tc>
          <w:tcPr>
            <w:tcW w:w="708" w:type="dxa"/>
            <w:gridSpan w:val="2"/>
            <w:tcBorders>
              <w:top w:val="nil"/>
              <w:left w:val="nil"/>
              <w:bottom w:val="single" w:color="auto" w:sz="4" w:space="0"/>
              <w:right w:val="single" w:color="auto" w:sz="4" w:space="0"/>
            </w:tcBorders>
            <w:shd w:val="clear" w:color="auto" w:fill="auto"/>
            <w:vAlign w:val="center"/>
          </w:tcPr>
          <w:p w14:paraId="2342CE5A">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39DD7FA6">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shd w:val="clear" w:color="auto" w:fill="auto"/>
            <w:vAlign w:val="center"/>
          </w:tcPr>
          <w:p w14:paraId="5CD6F2EC">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2</w:t>
            </w:r>
          </w:p>
        </w:tc>
        <w:tc>
          <w:tcPr>
            <w:tcW w:w="851" w:type="dxa"/>
            <w:tcBorders>
              <w:top w:val="nil"/>
              <w:left w:val="nil"/>
              <w:bottom w:val="single" w:color="auto" w:sz="4" w:space="0"/>
              <w:right w:val="single" w:color="auto" w:sz="4" w:space="0"/>
            </w:tcBorders>
            <w:shd w:val="clear" w:color="auto" w:fill="auto"/>
            <w:vAlign w:val="center"/>
          </w:tcPr>
          <w:p w14:paraId="32CFB54E">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学生实训桌</w:t>
            </w:r>
          </w:p>
        </w:tc>
        <w:tc>
          <w:tcPr>
            <w:tcW w:w="5670" w:type="dxa"/>
            <w:tcBorders>
              <w:top w:val="nil"/>
              <w:left w:val="nil"/>
              <w:bottom w:val="single" w:color="auto" w:sz="4" w:space="0"/>
              <w:right w:val="single" w:color="auto" w:sz="4" w:space="0"/>
            </w:tcBorders>
            <w:shd w:val="clear" w:color="auto" w:fill="auto"/>
            <w:vAlign w:val="center"/>
          </w:tcPr>
          <w:p w14:paraId="6C5B058A">
            <w:pPr>
              <w:widowControl/>
              <w:jc w:val="left"/>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木质桌面钢架结构，每桌可容纳 2 个工位</w:t>
            </w:r>
          </w:p>
        </w:tc>
        <w:tc>
          <w:tcPr>
            <w:tcW w:w="709" w:type="dxa"/>
            <w:tcBorders>
              <w:top w:val="nil"/>
              <w:left w:val="nil"/>
              <w:bottom w:val="single" w:color="auto" w:sz="4" w:space="0"/>
              <w:right w:val="single" w:color="auto" w:sz="4" w:space="0"/>
            </w:tcBorders>
            <w:shd w:val="clear" w:color="auto" w:fill="auto"/>
            <w:vAlign w:val="center"/>
          </w:tcPr>
          <w:p w14:paraId="737F963F">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60</w:t>
            </w:r>
          </w:p>
        </w:tc>
        <w:tc>
          <w:tcPr>
            <w:tcW w:w="567" w:type="dxa"/>
            <w:tcBorders>
              <w:top w:val="nil"/>
              <w:left w:val="nil"/>
              <w:bottom w:val="single" w:color="auto" w:sz="4" w:space="0"/>
              <w:right w:val="single" w:color="auto" w:sz="4" w:space="0"/>
            </w:tcBorders>
            <w:shd w:val="clear" w:color="auto" w:fill="auto"/>
            <w:vAlign w:val="center"/>
          </w:tcPr>
          <w:p w14:paraId="2A4EBC48">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套</w:t>
            </w:r>
          </w:p>
        </w:tc>
        <w:tc>
          <w:tcPr>
            <w:tcW w:w="708" w:type="dxa"/>
            <w:gridSpan w:val="2"/>
            <w:tcBorders>
              <w:top w:val="nil"/>
              <w:left w:val="nil"/>
              <w:bottom w:val="single" w:color="auto" w:sz="4" w:space="0"/>
              <w:right w:val="single" w:color="auto" w:sz="4" w:space="0"/>
            </w:tcBorders>
            <w:shd w:val="clear" w:color="auto" w:fill="auto"/>
            <w:vAlign w:val="center"/>
          </w:tcPr>
          <w:p w14:paraId="6F66969C">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639885F0">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shd w:val="clear" w:color="auto" w:fill="auto"/>
            <w:vAlign w:val="center"/>
          </w:tcPr>
          <w:p w14:paraId="0AD59F0F">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3</w:t>
            </w:r>
          </w:p>
        </w:tc>
        <w:tc>
          <w:tcPr>
            <w:tcW w:w="851" w:type="dxa"/>
            <w:tcBorders>
              <w:top w:val="nil"/>
              <w:left w:val="nil"/>
              <w:bottom w:val="single" w:color="auto" w:sz="4" w:space="0"/>
              <w:right w:val="single" w:color="auto" w:sz="4" w:space="0"/>
            </w:tcBorders>
            <w:shd w:val="clear" w:color="auto" w:fill="auto"/>
            <w:vAlign w:val="center"/>
          </w:tcPr>
          <w:p w14:paraId="4F562EB8">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学生实训椅</w:t>
            </w:r>
          </w:p>
        </w:tc>
        <w:tc>
          <w:tcPr>
            <w:tcW w:w="5670" w:type="dxa"/>
            <w:tcBorders>
              <w:top w:val="nil"/>
              <w:left w:val="nil"/>
              <w:bottom w:val="single" w:color="auto" w:sz="4" w:space="0"/>
              <w:right w:val="single" w:color="auto" w:sz="4" w:space="0"/>
            </w:tcBorders>
            <w:shd w:val="clear" w:color="auto" w:fill="auto"/>
            <w:vAlign w:val="center"/>
          </w:tcPr>
          <w:p w14:paraId="71AA1BB9">
            <w:pPr>
              <w:widowControl/>
              <w:jc w:val="left"/>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灰色靠背椅子</w:t>
            </w:r>
          </w:p>
        </w:tc>
        <w:tc>
          <w:tcPr>
            <w:tcW w:w="709" w:type="dxa"/>
            <w:tcBorders>
              <w:top w:val="nil"/>
              <w:left w:val="nil"/>
              <w:bottom w:val="single" w:color="auto" w:sz="4" w:space="0"/>
              <w:right w:val="single" w:color="auto" w:sz="4" w:space="0"/>
            </w:tcBorders>
            <w:shd w:val="clear" w:color="auto" w:fill="auto"/>
            <w:vAlign w:val="center"/>
          </w:tcPr>
          <w:p w14:paraId="1AE2FFCA">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120</w:t>
            </w:r>
          </w:p>
        </w:tc>
        <w:tc>
          <w:tcPr>
            <w:tcW w:w="567" w:type="dxa"/>
            <w:tcBorders>
              <w:top w:val="nil"/>
              <w:left w:val="nil"/>
              <w:bottom w:val="single" w:color="auto" w:sz="4" w:space="0"/>
              <w:right w:val="single" w:color="auto" w:sz="4" w:space="0"/>
            </w:tcBorders>
            <w:shd w:val="clear" w:color="auto" w:fill="auto"/>
            <w:vAlign w:val="center"/>
          </w:tcPr>
          <w:p w14:paraId="7350F46C">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把</w:t>
            </w:r>
          </w:p>
        </w:tc>
        <w:tc>
          <w:tcPr>
            <w:tcW w:w="708" w:type="dxa"/>
            <w:gridSpan w:val="2"/>
            <w:tcBorders>
              <w:top w:val="nil"/>
              <w:left w:val="nil"/>
              <w:bottom w:val="single" w:color="auto" w:sz="4" w:space="0"/>
              <w:right w:val="single" w:color="auto" w:sz="4" w:space="0"/>
            </w:tcBorders>
            <w:shd w:val="clear" w:color="auto" w:fill="auto"/>
            <w:vAlign w:val="center"/>
          </w:tcPr>
          <w:p w14:paraId="6FF64953">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4BC45D44">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shd w:val="clear" w:color="auto" w:fill="auto"/>
            <w:vAlign w:val="center"/>
          </w:tcPr>
          <w:p w14:paraId="298B42E0">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4</w:t>
            </w:r>
          </w:p>
        </w:tc>
        <w:tc>
          <w:tcPr>
            <w:tcW w:w="851" w:type="dxa"/>
            <w:tcBorders>
              <w:top w:val="nil"/>
              <w:left w:val="nil"/>
              <w:bottom w:val="single" w:color="auto" w:sz="4" w:space="0"/>
              <w:right w:val="single" w:color="auto" w:sz="4" w:space="0"/>
            </w:tcBorders>
            <w:shd w:val="clear" w:color="auto" w:fill="auto"/>
            <w:vAlign w:val="center"/>
          </w:tcPr>
          <w:p w14:paraId="61DB0405">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教师椅</w:t>
            </w:r>
          </w:p>
        </w:tc>
        <w:tc>
          <w:tcPr>
            <w:tcW w:w="5670" w:type="dxa"/>
            <w:tcBorders>
              <w:top w:val="nil"/>
              <w:left w:val="nil"/>
              <w:bottom w:val="single" w:color="auto" w:sz="4" w:space="0"/>
              <w:right w:val="single" w:color="auto" w:sz="4" w:space="0"/>
            </w:tcBorders>
            <w:shd w:val="clear" w:color="auto" w:fill="auto"/>
            <w:vAlign w:val="center"/>
          </w:tcPr>
          <w:p w14:paraId="184E7AF9">
            <w:pPr>
              <w:widowControl/>
              <w:jc w:val="left"/>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灰色靠背转椅子，带扶手。</w:t>
            </w:r>
          </w:p>
        </w:tc>
        <w:tc>
          <w:tcPr>
            <w:tcW w:w="709" w:type="dxa"/>
            <w:tcBorders>
              <w:top w:val="nil"/>
              <w:left w:val="nil"/>
              <w:bottom w:val="single" w:color="auto" w:sz="4" w:space="0"/>
              <w:right w:val="single" w:color="auto" w:sz="4" w:space="0"/>
            </w:tcBorders>
            <w:shd w:val="clear" w:color="auto" w:fill="auto"/>
            <w:vAlign w:val="center"/>
          </w:tcPr>
          <w:p w14:paraId="24471243">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2</w:t>
            </w:r>
          </w:p>
        </w:tc>
        <w:tc>
          <w:tcPr>
            <w:tcW w:w="567" w:type="dxa"/>
            <w:tcBorders>
              <w:top w:val="nil"/>
              <w:left w:val="nil"/>
              <w:bottom w:val="single" w:color="auto" w:sz="4" w:space="0"/>
              <w:right w:val="single" w:color="auto" w:sz="4" w:space="0"/>
            </w:tcBorders>
            <w:shd w:val="clear" w:color="auto" w:fill="auto"/>
            <w:vAlign w:val="center"/>
          </w:tcPr>
          <w:p w14:paraId="16E0705B">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把</w:t>
            </w:r>
          </w:p>
        </w:tc>
        <w:tc>
          <w:tcPr>
            <w:tcW w:w="708" w:type="dxa"/>
            <w:gridSpan w:val="2"/>
            <w:tcBorders>
              <w:top w:val="nil"/>
              <w:left w:val="nil"/>
              <w:bottom w:val="single" w:color="auto" w:sz="4" w:space="0"/>
              <w:right w:val="single" w:color="auto" w:sz="4" w:space="0"/>
            </w:tcBorders>
            <w:shd w:val="clear" w:color="auto" w:fill="auto"/>
            <w:vAlign w:val="center"/>
          </w:tcPr>
          <w:p w14:paraId="1DFD5677">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133151DB">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shd w:val="clear" w:color="auto" w:fill="auto"/>
            <w:vAlign w:val="center"/>
          </w:tcPr>
          <w:p w14:paraId="564BF46D">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5</w:t>
            </w:r>
          </w:p>
        </w:tc>
        <w:tc>
          <w:tcPr>
            <w:tcW w:w="851" w:type="dxa"/>
            <w:tcBorders>
              <w:top w:val="nil"/>
              <w:left w:val="nil"/>
              <w:bottom w:val="single" w:color="auto" w:sz="4" w:space="0"/>
              <w:right w:val="single" w:color="auto" w:sz="4" w:space="0"/>
            </w:tcBorders>
            <w:shd w:val="clear" w:color="auto" w:fill="auto"/>
            <w:vAlign w:val="center"/>
          </w:tcPr>
          <w:p w14:paraId="2C60BEBE">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防静电地板</w:t>
            </w:r>
          </w:p>
        </w:tc>
        <w:tc>
          <w:tcPr>
            <w:tcW w:w="5670" w:type="dxa"/>
            <w:tcBorders>
              <w:top w:val="nil"/>
              <w:left w:val="nil"/>
              <w:bottom w:val="single" w:color="auto" w:sz="4" w:space="0"/>
              <w:right w:val="single" w:color="auto" w:sz="4" w:space="0"/>
            </w:tcBorders>
            <w:shd w:val="clear" w:color="auto" w:fill="auto"/>
            <w:vAlign w:val="center"/>
          </w:tcPr>
          <w:p w14:paraId="044E14FD">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规格尺寸：600*600*40 白聚晶瓷面地砖，钢制架构，含铜条，支</w:t>
            </w:r>
          </w:p>
          <w:p w14:paraId="3FE2273F">
            <w:pPr>
              <w:widowControl/>
              <w:jc w:val="left"/>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架，包安装等。</w:t>
            </w:r>
          </w:p>
        </w:tc>
        <w:tc>
          <w:tcPr>
            <w:tcW w:w="709" w:type="dxa"/>
            <w:tcBorders>
              <w:top w:val="nil"/>
              <w:left w:val="nil"/>
              <w:bottom w:val="single" w:color="auto" w:sz="4" w:space="0"/>
              <w:right w:val="single" w:color="auto" w:sz="4" w:space="0"/>
            </w:tcBorders>
            <w:shd w:val="clear" w:color="auto" w:fill="auto"/>
            <w:vAlign w:val="center"/>
          </w:tcPr>
          <w:p w14:paraId="7F7A9891">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240</w:t>
            </w:r>
          </w:p>
        </w:tc>
        <w:tc>
          <w:tcPr>
            <w:tcW w:w="567" w:type="dxa"/>
            <w:tcBorders>
              <w:top w:val="nil"/>
              <w:left w:val="nil"/>
              <w:bottom w:val="single" w:color="auto" w:sz="4" w:space="0"/>
              <w:right w:val="single" w:color="auto" w:sz="4" w:space="0"/>
            </w:tcBorders>
            <w:shd w:val="clear" w:color="auto" w:fill="auto"/>
            <w:vAlign w:val="center"/>
          </w:tcPr>
          <w:p w14:paraId="0EDE49E1">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平米</w:t>
            </w:r>
          </w:p>
        </w:tc>
        <w:tc>
          <w:tcPr>
            <w:tcW w:w="708" w:type="dxa"/>
            <w:gridSpan w:val="2"/>
            <w:tcBorders>
              <w:top w:val="nil"/>
              <w:left w:val="nil"/>
              <w:bottom w:val="single" w:color="auto" w:sz="4" w:space="0"/>
              <w:right w:val="single" w:color="auto" w:sz="4" w:space="0"/>
            </w:tcBorders>
            <w:shd w:val="clear" w:color="auto" w:fill="auto"/>
            <w:vAlign w:val="center"/>
          </w:tcPr>
          <w:p w14:paraId="1A98DD78">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r w14:paraId="1E059B51">
        <w:tblPrEx>
          <w:tblCellMar>
            <w:top w:w="0" w:type="dxa"/>
            <w:left w:w="108" w:type="dxa"/>
            <w:bottom w:w="0" w:type="dxa"/>
            <w:right w:w="108" w:type="dxa"/>
          </w:tblCellMar>
        </w:tblPrEx>
        <w:tc>
          <w:tcPr>
            <w:tcW w:w="675" w:type="dxa"/>
            <w:tcBorders>
              <w:top w:val="nil"/>
              <w:left w:val="single" w:color="auto" w:sz="4" w:space="0"/>
              <w:bottom w:val="single" w:color="auto" w:sz="4" w:space="0"/>
              <w:right w:val="single" w:color="auto" w:sz="4" w:space="0"/>
            </w:tcBorders>
            <w:shd w:val="clear" w:color="auto" w:fill="auto"/>
            <w:vAlign w:val="center"/>
          </w:tcPr>
          <w:p w14:paraId="446A66F0">
            <w:pPr>
              <w:widowControl/>
              <w:jc w:val="center"/>
              <w:textAlignment w:val="auto"/>
              <w:rPr>
                <w:rFonts w:ascii="黑体" w:hAnsi="黑体" w:eastAsia="黑体" w:cs="宋体"/>
                <w:color w:val="000000"/>
                <w:kern w:val="0"/>
                <w:sz w:val="20"/>
                <w:szCs w:val="20"/>
              </w:rPr>
            </w:pPr>
            <w:r>
              <w:rPr>
                <w:rFonts w:hint="eastAsia" w:ascii="黑体" w:hAnsi="黑体" w:eastAsia="黑体" w:cs="宋体"/>
                <w:color w:val="000000"/>
                <w:kern w:val="0"/>
                <w:sz w:val="20"/>
                <w:szCs w:val="20"/>
              </w:rPr>
              <w:t>6</w:t>
            </w:r>
          </w:p>
        </w:tc>
        <w:tc>
          <w:tcPr>
            <w:tcW w:w="851" w:type="dxa"/>
            <w:tcBorders>
              <w:top w:val="nil"/>
              <w:left w:val="nil"/>
              <w:bottom w:val="single" w:color="auto" w:sz="4" w:space="0"/>
              <w:right w:val="single" w:color="auto" w:sz="4" w:space="0"/>
            </w:tcBorders>
            <w:shd w:val="clear" w:color="auto" w:fill="auto"/>
            <w:vAlign w:val="center"/>
          </w:tcPr>
          <w:p w14:paraId="28F39CDB">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环境改造（施工）</w:t>
            </w:r>
          </w:p>
        </w:tc>
        <w:tc>
          <w:tcPr>
            <w:tcW w:w="5670" w:type="dxa"/>
            <w:tcBorders>
              <w:top w:val="nil"/>
              <w:left w:val="nil"/>
              <w:bottom w:val="single" w:color="auto" w:sz="4" w:space="0"/>
              <w:right w:val="single" w:color="auto" w:sz="4" w:space="0"/>
            </w:tcBorders>
            <w:shd w:val="clear" w:color="auto" w:fill="auto"/>
            <w:vAlign w:val="center"/>
          </w:tcPr>
          <w:p w14:paraId="79A72C76">
            <w:pPr>
              <w:widowControl/>
              <w:jc w:val="left"/>
              <w:textAlignment w:val="auto"/>
              <w:rPr>
                <w:rFonts w:hint="eastAsia" w:ascii="宋体" w:hAnsi="宋体" w:eastAsia="宋体" w:cs="宋体"/>
                <w:color w:val="000000"/>
                <w:kern w:val="0"/>
                <w:sz w:val="19"/>
                <w:szCs w:val="19"/>
                <w:lang w:eastAsia="zh-CN"/>
              </w:rPr>
            </w:pPr>
            <w:r>
              <w:rPr>
                <w:rFonts w:hint="eastAsia" w:ascii="宋体" w:hAnsi="宋体" w:eastAsia="宋体" w:cs="宋体"/>
                <w:color w:val="000000"/>
                <w:kern w:val="0"/>
                <w:sz w:val="19"/>
                <w:szCs w:val="19"/>
              </w:rPr>
              <w:t>全屋白色乳胶漆、灯具、踢脚线、强电改造、保洁、垃圾清运等</w:t>
            </w:r>
          </w:p>
          <w:p w14:paraId="191919AF">
            <w:pPr>
              <w:widowControl/>
              <w:jc w:val="left"/>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人工及材料。</w:t>
            </w:r>
          </w:p>
        </w:tc>
        <w:tc>
          <w:tcPr>
            <w:tcW w:w="709" w:type="dxa"/>
            <w:tcBorders>
              <w:top w:val="nil"/>
              <w:left w:val="nil"/>
              <w:bottom w:val="single" w:color="auto" w:sz="4" w:space="0"/>
              <w:right w:val="single" w:color="auto" w:sz="4" w:space="0"/>
            </w:tcBorders>
            <w:shd w:val="clear" w:color="auto" w:fill="auto"/>
            <w:vAlign w:val="center"/>
          </w:tcPr>
          <w:p w14:paraId="1C4C0995">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300</w:t>
            </w:r>
          </w:p>
        </w:tc>
        <w:tc>
          <w:tcPr>
            <w:tcW w:w="567" w:type="dxa"/>
            <w:tcBorders>
              <w:top w:val="nil"/>
              <w:left w:val="nil"/>
              <w:bottom w:val="single" w:color="auto" w:sz="4" w:space="0"/>
              <w:right w:val="single" w:color="auto" w:sz="4" w:space="0"/>
            </w:tcBorders>
            <w:shd w:val="clear" w:color="auto" w:fill="auto"/>
            <w:vAlign w:val="center"/>
          </w:tcPr>
          <w:p w14:paraId="55A44C9A">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平米</w:t>
            </w:r>
          </w:p>
        </w:tc>
        <w:tc>
          <w:tcPr>
            <w:tcW w:w="708" w:type="dxa"/>
            <w:gridSpan w:val="2"/>
            <w:tcBorders>
              <w:top w:val="nil"/>
              <w:left w:val="nil"/>
              <w:bottom w:val="single" w:color="auto" w:sz="4" w:space="0"/>
              <w:right w:val="single" w:color="auto" w:sz="4" w:space="0"/>
            </w:tcBorders>
            <w:shd w:val="clear" w:color="auto" w:fill="auto"/>
            <w:vAlign w:val="center"/>
          </w:tcPr>
          <w:p w14:paraId="6296109E">
            <w:pPr>
              <w:widowControl/>
              <w:jc w:val="center"/>
              <w:textAlignment w:val="auto"/>
              <w:rPr>
                <w:rFonts w:ascii="宋体" w:hAnsi="宋体" w:eastAsia="宋体" w:cs="宋体"/>
                <w:color w:val="000000"/>
                <w:kern w:val="0"/>
                <w:sz w:val="19"/>
                <w:szCs w:val="19"/>
              </w:rPr>
            </w:pPr>
            <w:r>
              <w:rPr>
                <w:rFonts w:hint="eastAsia" w:ascii="宋体" w:hAnsi="宋体" w:eastAsia="宋体" w:cs="宋体"/>
                <w:color w:val="000000"/>
                <w:kern w:val="0"/>
                <w:sz w:val="19"/>
                <w:szCs w:val="19"/>
              </w:rPr>
              <w:t>　</w:t>
            </w:r>
          </w:p>
        </w:tc>
      </w:tr>
    </w:tbl>
    <w:p w14:paraId="63753AC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2MTFiOTBjMGEwMzFiMzYyNDdmMjgyZWRhNGU4YWYifQ=="/>
  </w:docVars>
  <w:rsids>
    <w:rsidRoot w:val="00000000"/>
    <w:rsid w:val="11F633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2024-07-31T05:08:29Z</dcterms:created>
  <dc:creator>LENOVO</dc:creator>
  <cp:lastModifiedBy>____Esc</cp:lastModifiedBy>
  <dcterms:modified xsi:type="dcterms:W3CDTF">2024-07-31T05:08:39Z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44C41CEC3619474BBE7C1A5D9BFAE240_12</vt:lpwstr>
  </property>
</Properties>
</file>