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46116">
      <w:pPr>
        <w:rPr>
          <w:rFonts w:hint="eastAsia" w:ascii="仿宋" w:hAnsi="仿宋" w:eastAsia="仿宋" w:cs="仿宋"/>
          <w:b/>
          <w:bCs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color w:val="auto"/>
          <w:szCs w:val="21"/>
          <w:highlight w:val="none"/>
        </w:rPr>
        <w:t>内容及技术参数要求</w:t>
      </w:r>
    </w:p>
    <w:p w14:paraId="1DCE543C">
      <w:pPr>
        <w:rPr>
          <w:rFonts w:hint="eastAsia" w:ascii="仿宋" w:hAnsi="仿宋" w:eastAsia="仿宋" w:cs="仿宋"/>
          <w:b/>
          <w:bCs/>
          <w:color w:val="auto"/>
          <w:szCs w:val="21"/>
          <w:highlight w:val="none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2"/>
        <w:gridCol w:w="2132"/>
      </w:tblGrid>
      <w:tr w14:paraId="3628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vAlign w:val="center"/>
          </w:tcPr>
          <w:p w14:paraId="420960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保险责任</w:t>
            </w:r>
          </w:p>
        </w:tc>
        <w:tc>
          <w:tcPr>
            <w:tcW w:w="2132" w:type="dxa"/>
            <w:vAlign w:val="center"/>
          </w:tcPr>
          <w:p w14:paraId="32DFDF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保险责任</w:t>
            </w:r>
          </w:p>
        </w:tc>
        <w:tc>
          <w:tcPr>
            <w:tcW w:w="2132" w:type="dxa"/>
            <w:vAlign w:val="center"/>
          </w:tcPr>
          <w:p w14:paraId="60309B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保额</w:t>
            </w:r>
          </w:p>
        </w:tc>
      </w:tr>
      <w:tr w14:paraId="7F8E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restart"/>
            <w:vAlign w:val="center"/>
          </w:tcPr>
          <w:p w14:paraId="7F5F4EE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雇主责任保险条款</w:t>
            </w:r>
          </w:p>
        </w:tc>
        <w:tc>
          <w:tcPr>
            <w:tcW w:w="2132" w:type="dxa"/>
            <w:vAlign w:val="center"/>
          </w:tcPr>
          <w:p w14:paraId="7AEF52E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人身伤亡责任</w:t>
            </w:r>
          </w:p>
        </w:tc>
        <w:tc>
          <w:tcPr>
            <w:tcW w:w="2132" w:type="dxa"/>
            <w:vAlign w:val="center"/>
          </w:tcPr>
          <w:p w14:paraId="6A17A1C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100万</w:t>
            </w:r>
          </w:p>
        </w:tc>
      </w:tr>
      <w:tr w14:paraId="67272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continue"/>
            <w:vAlign w:val="center"/>
          </w:tcPr>
          <w:p w14:paraId="63F2701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vAlign w:val="center"/>
          </w:tcPr>
          <w:p w14:paraId="5BE245D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医疗费用责任</w:t>
            </w:r>
          </w:p>
        </w:tc>
        <w:tc>
          <w:tcPr>
            <w:tcW w:w="2132" w:type="dxa"/>
            <w:vAlign w:val="center"/>
          </w:tcPr>
          <w:p w14:paraId="631134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10万</w:t>
            </w:r>
          </w:p>
        </w:tc>
      </w:tr>
      <w:tr w14:paraId="6A7E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restart"/>
            <w:vAlign w:val="center"/>
          </w:tcPr>
          <w:p w14:paraId="7BAB42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附加恐怖主义条款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137C67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人身伤亡责任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7D6FBF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100万</w:t>
            </w:r>
          </w:p>
        </w:tc>
      </w:tr>
      <w:tr w14:paraId="6243D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continue"/>
            <w:vAlign w:val="center"/>
          </w:tcPr>
          <w:p w14:paraId="025FA2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04EE5D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医疗费用责任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1181CB0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10万</w:t>
            </w:r>
          </w:p>
        </w:tc>
      </w:tr>
      <w:tr w14:paraId="72C6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restart"/>
            <w:vAlign w:val="center"/>
          </w:tcPr>
          <w:p w14:paraId="4CFF91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附加24小时扩展条款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0A2147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人身伤亡责任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71FFE84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100万</w:t>
            </w:r>
          </w:p>
        </w:tc>
      </w:tr>
      <w:tr w14:paraId="18E3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  <w:jc w:val="center"/>
        </w:trPr>
        <w:tc>
          <w:tcPr>
            <w:tcW w:w="2131" w:type="dxa"/>
            <w:vMerge w:val="continue"/>
            <w:vAlign w:val="center"/>
          </w:tcPr>
          <w:p w14:paraId="6FA4FF0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0413C70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医疗费用责任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241CC35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10万</w:t>
            </w:r>
          </w:p>
        </w:tc>
      </w:tr>
    </w:tbl>
    <w:p w14:paraId="68AD5FE9">
      <w:pPr>
        <w:ind w:firstLine="420" w:firstLineChars="200"/>
        <w:rPr>
          <w:rFonts w:hint="eastAsia" w:ascii="仿宋" w:hAnsi="仿宋" w:eastAsia="仿宋" w:cs="仿宋"/>
          <w:b w:val="0"/>
          <w:bCs w:val="0"/>
          <w:color w:val="auto"/>
          <w:sz w:val="21"/>
          <w:szCs w:val="21"/>
          <w:vertAlign w:val="baseline"/>
          <w:lang w:val="en-US" w:eastAsia="zh-CN"/>
        </w:rPr>
      </w:pPr>
    </w:p>
    <w:p w14:paraId="175CE059">
      <w:pPr>
        <w:ind w:firstLine="420" w:firstLineChars="200"/>
      </w:pPr>
      <w:r>
        <w:rPr>
          <w:rFonts w:hint="eastAsia" w:ascii="仿宋" w:hAnsi="仿宋" w:eastAsia="仿宋" w:cs="仿宋"/>
          <w:b w:val="0"/>
          <w:bCs w:val="0"/>
          <w:color w:val="auto"/>
          <w:sz w:val="21"/>
          <w:szCs w:val="21"/>
          <w:vertAlign w:val="baseline"/>
          <w:lang w:val="en-US" w:eastAsia="zh-CN"/>
        </w:rPr>
        <w:t>雇主责任保险条款(人身伤亡责任保额100万元、医疗费用责任保额10万元);附加恐怖主义条款(人身伤亡责任保额100万元、医疗费用贵任保额10万元);附加24小时扩展条款(人身伤亡责任保额100万元、医疗费用责任保额10万元);死亡，保险合同约定每人伤亡责任限额的百分比100%;永久丧失工作能力或一级伤残，保险合同约定每人伤亡责任限额的百分比100%;二级伤残，保险合同约定每人伤亡责任限额的百分比80%;三级伤残，保险合同约定每人伤亡责任限额的百分比65%;四级伤残，保险合同约定每人伤亡责任限额的百分比55%;五级伤残，保险合同约定每人伤亡责任限额的百分比45%;六级伤残，保险合同约定每人伤亡责任限额的百分比25%;七级伤残保险合同约定每人伤亡责任限额的百分比15%;八级伤残，保险合同约定每人伤亡责任限额的百分比10%;九级伤残，保险合同约定每人伤亡责任限额的百分比4%;十级伤残，保险合同约定每人伤亡责任限额的百分比1%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808D5"/>
    <w:rsid w:val="1C68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2025-02-26T05:14:00Z</dcterms:created>
  <dc:creator>☍</dc:creator>
  <cp:lastModifiedBy>☍</cp:lastModifiedBy>
  <dcterms:modified xsi:type="dcterms:W3CDTF">2025-02-26T05:15:39Z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B3D611B151404A01BE20CB21A5F8C4BE_11</vt:lpwstr>
  </property>
  <property fmtid="{D5CDD505-2E9C-101B-9397-08002B2CF9AE}" pid="4" name="KSOTemplateDocerSaveRecord">
    <vt:lpwstr>eyJoZGlkIjoiZDczYzMzNjk5NTVmNTQ2M2I4ZTc3MGM2MTkzN2UxOTIiLCJ1c2VySWQiOiI0NDU4MjYxMDkifQ==</vt:lpwstr>
  </property>
</Properties>
</file>