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90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80"/>
        <w:gridCol w:w="808"/>
        <w:gridCol w:w="4108"/>
        <w:gridCol w:w="874"/>
        <w:gridCol w:w="1080"/>
        <w:gridCol w:w="1080"/>
      </w:tblGrid>
      <w:tr w14:paraId="04564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9030" w:type="dxa"/>
            <w:gridSpan w:val="6"/>
            <w:tcBorders>
              <w:top w:val="single" w:color="000000" w:sz="4" w:space="0"/>
              <w:left w:val="single" w:color="000000" w:sz="4" w:space="0"/>
              <w:bottom w:val="single" w:color="000000" w:sz="4" w:space="0"/>
              <w:right w:val="single" w:color="000000" w:sz="4" w:space="0"/>
            </w:tcBorders>
            <w:noWrap/>
            <w:vAlign w:val="center"/>
          </w:tcPr>
          <w:p w14:paraId="4DB924B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理化生实验室配置清单</w:t>
            </w:r>
          </w:p>
        </w:tc>
      </w:tr>
      <w:tr w14:paraId="49EB0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C7C7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7832C9">
            <w:pPr>
              <w:jc w:val="center"/>
              <w:rPr>
                <w:rFonts w:hint="eastAsia" w:ascii="宋体" w:hAnsi="宋体" w:eastAsia="宋体" w:cs="宋体"/>
                <w:b/>
                <w:bCs/>
                <w:i w:val="0"/>
                <w:iCs w:val="0"/>
                <w:color w:val="000000"/>
                <w:sz w:val="18"/>
                <w:szCs w:val="18"/>
                <w:u w:val="none"/>
              </w:rPr>
            </w:pPr>
          </w:p>
        </w:tc>
        <w:tc>
          <w:tcPr>
            <w:tcW w:w="41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9CEE2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教室名称</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53DA3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单位</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396BC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数量</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32C9AE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备注</w:t>
            </w:r>
          </w:p>
        </w:tc>
      </w:tr>
      <w:tr w14:paraId="5071F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restart"/>
            <w:tcBorders>
              <w:top w:val="nil"/>
              <w:left w:val="single" w:color="000000" w:sz="4" w:space="0"/>
              <w:bottom w:val="single" w:color="000000" w:sz="4" w:space="0"/>
              <w:right w:val="single" w:color="000000" w:sz="4" w:space="0"/>
            </w:tcBorders>
            <w:noWrap w:val="0"/>
            <w:vAlign w:val="center"/>
          </w:tcPr>
          <w:p w14:paraId="30443B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08" w:type="dxa"/>
            <w:vMerge w:val="restart"/>
            <w:tcBorders>
              <w:top w:val="single" w:color="000000" w:sz="4" w:space="0"/>
              <w:left w:val="single" w:color="000000" w:sz="4" w:space="0"/>
              <w:bottom w:val="single" w:color="000000" w:sz="4" w:space="0"/>
              <w:right w:val="single" w:color="000000" w:sz="4" w:space="0"/>
            </w:tcBorders>
            <w:noWrap w:val="0"/>
            <w:vAlign w:val="center"/>
          </w:tcPr>
          <w:p w14:paraId="7276B5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物理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76207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物理数字化实验室</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57482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82DB1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2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D70354">
            <w:pPr>
              <w:jc w:val="center"/>
              <w:rPr>
                <w:rFonts w:hint="eastAsia" w:ascii="宋体" w:hAnsi="宋体" w:eastAsia="宋体" w:cs="宋体"/>
                <w:b/>
                <w:bCs/>
                <w:i w:val="0"/>
                <w:iCs w:val="0"/>
                <w:color w:val="000000"/>
                <w:sz w:val="18"/>
                <w:szCs w:val="18"/>
                <w:u w:val="none"/>
              </w:rPr>
            </w:pPr>
          </w:p>
        </w:tc>
      </w:tr>
      <w:tr w14:paraId="0FF17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nil"/>
              <w:left w:val="single" w:color="000000" w:sz="4" w:space="0"/>
              <w:bottom w:val="single" w:color="000000" w:sz="4" w:space="0"/>
              <w:right w:val="single" w:color="000000" w:sz="4" w:space="0"/>
            </w:tcBorders>
            <w:noWrap w:val="0"/>
            <w:vAlign w:val="center"/>
          </w:tcPr>
          <w:p w14:paraId="4473E002">
            <w:pPr>
              <w:jc w:val="center"/>
              <w:rPr>
                <w:rFonts w:hint="eastAsia" w:ascii="宋体" w:hAnsi="宋体" w:eastAsia="宋体" w:cs="宋体"/>
                <w:i w:val="0"/>
                <w:iCs w:val="0"/>
                <w:color w:val="000000"/>
                <w:sz w:val="18"/>
                <w:szCs w:val="18"/>
                <w:u w:val="none"/>
              </w:rPr>
            </w:pPr>
          </w:p>
        </w:tc>
        <w:tc>
          <w:tcPr>
            <w:tcW w:w="8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AD564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2281D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物理创新实验室</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188E7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2C9B0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2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168836">
            <w:pPr>
              <w:jc w:val="center"/>
              <w:rPr>
                <w:rFonts w:hint="eastAsia" w:ascii="宋体" w:hAnsi="宋体" w:eastAsia="宋体" w:cs="宋体"/>
                <w:b/>
                <w:bCs/>
                <w:i w:val="0"/>
                <w:iCs w:val="0"/>
                <w:color w:val="000000"/>
                <w:sz w:val="18"/>
                <w:szCs w:val="18"/>
                <w:u w:val="none"/>
              </w:rPr>
            </w:pPr>
          </w:p>
        </w:tc>
      </w:tr>
      <w:tr w14:paraId="26DA9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nil"/>
              <w:left w:val="single" w:color="000000" w:sz="4" w:space="0"/>
              <w:bottom w:val="single" w:color="000000" w:sz="4" w:space="0"/>
              <w:right w:val="single" w:color="000000" w:sz="4" w:space="0"/>
            </w:tcBorders>
            <w:noWrap w:val="0"/>
            <w:vAlign w:val="center"/>
          </w:tcPr>
          <w:p w14:paraId="575E0F1F">
            <w:pPr>
              <w:jc w:val="center"/>
              <w:rPr>
                <w:rFonts w:hint="eastAsia" w:ascii="宋体" w:hAnsi="宋体" w:eastAsia="宋体" w:cs="宋体"/>
                <w:i w:val="0"/>
                <w:iCs w:val="0"/>
                <w:color w:val="000000"/>
                <w:sz w:val="18"/>
                <w:szCs w:val="18"/>
                <w:u w:val="none"/>
              </w:rPr>
            </w:pPr>
          </w:p>
        </w:tc>
        <w:tc>
          <w:tcPr>
            <w:tcW w:w="8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A5A97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20CA2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  物理新课标实验目录专题实验箱</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3316C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575CB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9F86AB">
            <w:pPr>
              <w:jc w:val="center"/>
              <w:rPr>
                <w:rFonts w:hint="eastAsia" w:ascii="宋体" w:hAnsi="宋体" w:eastAsia="宋体" w:cs="宋体"/>
                <w:b/>
                <w:bCs/>
                <w:i w:val="0"/>
                <w:iCs w:val="0"/>
                <w:color w:val="000000"/>
                <w:sz w:val="18"/>
                <w:szCs w:val="18"/>
                <w:u w:val="none"/>
              </w:rPr>
            </w:pPr>
          </w:p>
        </w:tc>
      </w:tr>
      <w:tr w14:paraId="59D65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nil"/>
              <w:left w:val="single" w:color="000000" w:sz="4" w:space="0"/>
              <w:bottom w:val="single" w:color="000000" w:sz="4" w:space="0"/>
              <w:right w:val="single" w:color="000000" w:sz="4" w:space="0"/>
            </w:tcBorders>
            <w:noWrap w:val="0"/>
            <w:vAlign w:val="center"/>
          </w:tcPr>
          <w:p w14:paraId="280FD5F3">
            <w:pPr>
              <w:jc w:val="center"/>
              <w:rPr>
                <w:rFonts w:hint="eastAsia" w:ascii="宋体" w:hAnsi="宋体" w:eastAsia="宋体" w:cs="宋体"/>
                <w:i w:val="0"/>
                <w:iCs w:val="0"/>
                <w:color w:val="000000"/>
                <w:sz w:val="18"/>
                <w:szCs w:val="18"/>
                <w:u w:val="none"/>
              </w:rPr>
            </w:pPr>
          </w:p>
        </w:tc>
        <w:tc>
          <w:tcPr>
            <w:tcW w:w="8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D829C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E557D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 物理数字化实验系统配置清单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28FAB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F0125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5166D1">
            <w:pPr>
              <w:jc w:val="center"/>
              <w:rPr>
                <w:rFonts w:hint="eastAsia" w:ascii="宋体" w:hAnsi="宋体" w:eastAsia="宋体" w:cs="宋体"/>
                <w:b/>
                <w:bCs/>
                <w:i w:val="0"/>
                <w:iCs w:val="0"/>
                <w:color w:val="000000"/>
                <w:sz w:val="18"/>
                <w:szCs w:val="18"/>
                <w:u w:val="none"/>
              </w:rPr>
            </w:pPr>
          </w:p>
        </w:tc>
      </w:tr>
      <w:tr w14:paraId="713FB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04D11A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808" w:type="dxa"/>
            <w:vMerge w:val="restart"/>
            <w:tcBorders>
              <w:top w:val="single" w:color="000000" w:sz="4" w:space="0"/>
              <w:left w:val="single" w:color="000000" w:sz="4" w:space="0"/>
              <w:bottom w:val="single" w:color="000000" w:sz="4" w:space="0"/>
              <w:right w:val="single" w:color="000000" w:sz="4" w:space="0"/>
            </w:tcBorders>
            <w:noWrap w:val="0"/>
            <w:vAlign w:val="center"/>
          </w:tcPr>
          <w:p w14:paraId="015F06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04CA8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化学数字化实验室</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4A73D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C186F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964F32">
            <w:pPr>
              <w:jc w:val="center"/>
              <w:rPr>
                <w:rFonts w:hint="eastAsia" w:ascii="宋体" w:hAnsi="宋体" w:eastAsia="宋体" w:cs="宋体"/>
                <w:b/>
                <w:bCs/>
                <w:i w:val="0"/>
                <w:iCs w:val="0"/>
                <w:color w:val="000000"/>
                <w:sz w:val="18"/>
                <w:szCs w:val="18"/>
                <w:u w:val="none"/>
              </w:rPr>
            </w:pPr>
          </w:p>
        </w:tc>
      </w:tr>
      <w:tr w14:paraId="65BC8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63C676">
            <w:pPr>
              <w:jc w:val="center"/>
              <w:rPr>
                <w:rFonts w:hint="eastAsia" w:ascii="宋体" w:hAnsi="宋体" w:eastAsia="宋体" w:cs="宋体"/>
                <w:i w:val="0"/>
                <w:iCs w:val="0"/>
                <w:color w:val="000000"/>
                <w:sz w:val="18"/>
                <w:szCs w:val="18"/>
                <w:u w:val="none"/>
              </w:rPr>
            </w:pPr>
          </w:p>
        </w:tc>
        <w:tc>
          <w:tcPr>
            <w:tcW w:w="8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94AF0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7BDDD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化学创新实验室</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5B6EF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B1A5F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A7209A">
            <w:pPr>
              <w:jc w:val="center"/>
              <w:rPr>
                <w:rFonts w:hint="eastAsia" w:ascii="宋体" w:hAnsi="宋体" w:eastAsia="宋体" w:cs="宋体"/>
                <w:b/>
                <w:bCs/>
                <w:i w:val="0"/>
                <w:iCs w:val="0"/>
                <w:color w:val="000000"/>
                <w:sz w:val="18"/>
                <w:szCs w:val="18"/>
                <w:u w:val="none"/>
              </w:rPr>
            </w:pPr>
          </w:p>
        </w:tc>
      </w:tr>
      <w:tr w14:paraId="05C32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20CFD1">
            <w:pPr>
              <w:jc w:val="center"/>
              <w:rPr>
                <w:rFonts w:hint="eastAsia" w:ascii="宋体" w:hAnsi="宋体" w:eastAsia="宋体" w:cs="宋体"/>
                <w:i w:val="0"/>
                <w:iCs w:val="0"/>
                <w:color w:val="000000"/>
                <w:sz w:val="18"/>
                <w:szCs w:val="18"/>
                <w:u w:val="none"/>
              </w:rPr>
            </w:pPr>
          </w:p>
        </w:tc>
        <w:tc>
          <w:tcPr>
            <w:tcW w:w="8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7EDE5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47E14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化学新课标实验目录专题试验箱</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2CA74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97F47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9DDD24">
            <w:pPr>
              <w:jc w:val="center"/>
              <w:rPr>
                <w:rFonts w:hint="eastAsia" w:ascii="宋体" w:hAnsi="宋体" w:eastAsia="宋体" w:cs="宋体"/>
                <w:b/>
                <w:bCs/>
                <w:i w:val="0"/>
                <w:iCs w:val="0"/>
                <w:color w:val="000000"/>
                <w:sz w:val="18"/>
                <w:szCs w:val="18"/>
                <w:u w:val="none"/>
              </w:rPr>
            </w:pPr>
          </w:p>
        </w:tc>
      </w:tr>
      <w:tr w14:paraId="6DEFC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69CB43">
            <w:pPr>
              <w:jc w:val="center"/>
              <w:rPr>
                <w:rFonts w:hint="eastAsia" w:ascii="宋体" w:hAnsi="宋体" w:eastAsia="宋体" w:cs="宋体"/>
                <w:i w:val="0"/>
                <w:iCs w:val="0"/>
                <w:color w:val="000000"/>
                <w:sz w:val="18"/>
                <w:szCs w:val="18"/>
                <w:u w:val="none"/>
              </w:rPr>
            </w:pPr>
          </w:p>
        </w:tc>
        <w:tc>
          <w:tcPr>
            <w:tcW w:w="8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CB485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71347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化学数字化实验系统配置清单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66B03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E79D2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D753D3">
            <w:pPr>
              <w:jc w:val="center"/>
              <w:rPr>
                <w:rFonts w:hint="eastAsia" w:ascii="宋体" w:hAnsi="宋体" w:eastAsia="宋体" w:cs="宋体"/>
                <w:b/>
                <w:bCs/>
                <w:i w:val="0"/>
                <w:iCs w:val="0"/>
                <w:color w:val="000000"/>
                <w:sz w:val="18"/>
                <w:szCs w:val="18"/>
                <w:u w:val="none"/>
              </w:rPr>
            </w:pPr>
          </w:p>
        </w:tc>
      </w:tr>
      <w:tr w14:paraId="4401D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471538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08" w:type="dxa"/>
            <w:vMerge w:val="restart"/>
            <w:tcBorders>
              <w:top w:val="single" w:color="000000" w:sz="4" w:space="0"/>
              <w:left w:val="single" w:color="000000" w:sz="4" w:space="0"/>
              <w:bottom w:val="single" w:color="000000" w:sz="4" w:space="0"/>
              <w:right w:val="single" w:color="000000" w:sz="4" w:space="0"/>
            </w:tcBorders>
            <w:noWrap w:val="0"/>
            <w:vAlign w:val="center"/>
          </w:tcPr>
          <w:p w14:paraId="59A11B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生物</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70E1C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生物数字化实验室</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6D29D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FE385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711807">
            <w:pPr>
              <w:keepNext w:val="0"/>
              <w:keepLines w:val="0"/>
              <w:widowControl/>
              <w:suppressLineNumbers w:val="0"/>
              <w:jc w:val="center"/>
              <w:textAlignment w:val="center"/>
              <w:rPr>
                <w:rFonts w:hint="eastAsia" w:ascii="宋体" w:hAnsi="宋体" w:eastAsia="宋体" w:cs="宋体"/>
                <w:b/>
                <w:bCs/>
                <w:i w:val="0"/>
                <w:iCs w:val="0"/>
                <w:color w:val="FF0000"/>
                <w:sz w:val="18"/>
                <w:szCs w:val="18"/>
                <w:u w:val="none"/>
              </w:rPr>
            </w:pPr>
            <w:r>
              <w:rPr>
                <w:rFonts w:hint="eastAsia" w:ascii="宋体" w:hAnsi="宋体" w:eastAsia="宋体" w:cs="宋体"/>
                <w:b/>
                <w:bCs/>
                <w:i w:val="0"/>
                <w:iCs w:val="0"/>
                <w:color w:val="FF0000"/>
                <w:kern w:val="0"/>
                <w:sz w:val="18"/>
                <w:szCs w:val="18"/>
                <w:u w:val="none"/>
                <w:lang w:val="en-US" w:eastAsia="zh-CN" w:bidi="ar"/>
              </w:rPr>
              <w:t>利旧改造</w:t>
            </w:r>
          </w:p>
        </w:tc>
      </w:tr>
      <w:tr w14:paraId="6F8B8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0F7269">
            <w:pPr>
              <w:jc w:val="center"/>
              <w:rPr>
                <w:rFonts w:hint="eastAsia" w:ascii="宋体" w:hAnsi="宋体" w:eastAsia="宋体" w:cs="宋体"/>
                <w:i w:val="0"/>
                <w:iCs w:val="0"/>
                <w:color w:val="000000"/>
                <w:sz w:val="18"/>
                <w:szCs w:val="18"/>
                <w:u w:val="none"/>
              </w:rPr>
            </w:pPr>
          </w:p>
        </w:tc>
        <w:tc>
          <w:tcPr>
            <w:tcW w:w="8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6E7AF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256C4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生物数码观察实验室</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DAD77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CBF4B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EF54C7">
            <w:pPr>
              <w:jc w:val="center"/>
              <w:rPr>
                <w:rFonts w:hint="eastAsia" w:ascii="宋体" w:hAnsi="宋体" w:eastAsia="宋体" w:cs="宋体"/>
                <w:b/>
                <w:bCs/>
                <w:i w:val="0"/>
                <w:iCs w:val="0"/>
                <w:color w:val="000000"/>
                <w:sz w:val="18"/>
                <w:szCs w:val="18"/>
                <w:u w:val="none"/>
              </w:rPr>
            </w:pPr>
          </w:p>
        </w:tc>
      </w:tr>
      <w:tr w14:paraId="043F5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4D4935">
            <w:pPr>
              <w:jc w:val="center"/>
              <w:rPr>
                <w:rFonts w:hint="eastAsia" w:ascii="宋体" w:hAnsi="宋体" w:eastAsia="宋体" w:cs="宋体"/>
                <w:i w:val="0"/>
                <w:iCs w:val="0"/>
                <w:color w:val="000000"/>
                <w:sz w:val="18"/>
                <w:szCs w:val="18"/>
                <w:u w:val="none"/>
              </w:rPr>
            </w:pPr>
          </w:p>
        </w:tc>
        <w:tc>
          <w:tcPr>
            <w:tcW w:w="8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D753D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B9D6B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生物创新实验室</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D57D3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678FD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62EB13">
            <w:pPr>
              <w:jc w:val="center"/>
              <w:rPr>
                <w:rFonts w:hint="eastAsia" w:ascii="宋体" w:hAnsi="宋体" w:eastAsia="宋体" w:cs="宋体"/>
                <w:b/>
                <w:bCs/>
                <w:i w:val="0"/>
                <w:iCs w:val="0"/>
                <w:color w:val="FF0000"/>
                <w:sz w:val="18"/>
                <w:szCs w:val="18"/>
                <w:u w:val="none"/>
              </w:rPr>
            </w:pPr>
          </w:p>
        </w:tc>
      </w:tr>
      <w:tr w14:paraId="14C8B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D14CC4">
            <w:pPr>
              <w:jc w:val="center"/>
              <w:rPr>
                <w:rFonts w:hint="eastAsia" w:ascii="宋体" w:hAnsi="宋体" w:eastAsia="宋体" w:cs="宋体"/>
                <w:i w:val="0"/>
                <w:iCs w:val="0"/>
                <w:color w:val="000000"/>
                <w:sz w:val="18"/>
                <w:szCs w:val="18"/>
                <w:u w:val="none"/>
              </w:rPr>
            </w:pPr>
          </w:p>
        </w:tc>
        <w:tc>
          <w:tcPr>
            <w:tcW w:w="8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A5FDC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35D0B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生物新课标实验目录专题实验箱</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AAF78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69E54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90C856">
            <w:pPr>
              <w:jc w:val="center"/>
              <w:rPr>
                <w:rFonts w:hint="eastAsia" w:ascii="宋体" w:hAnsi="宋体" w:eastAsia="宋体" w:cs="宋体"/>
                <w:b/>
                <w:bCs/>
                <w:i w:val="0"/>
                <w:iCs w:val="0"/>
                <w:color w:val="000000"/>
                <w:sz w:val="18"/>
                <w:szCs w:val="18"/>
                <w:u w:val="none"/>
              </w:rPr>
            </w:pPr>
          </w:p>
        </w:tc>
      </w:tr>
      <w:tr w14:paraId="1FFEE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CB5E53">
            <w:pPr>
              <w:jc w:val="center"/>
              <w:rPr>
                <w:rFonts w:hint="eastAsia" w:ascii="宋体" w:hAnsi="宋体" w:eastAsia="宋体" w:cs="宋体"/>
                <w:i w:val="0"/>
                <w:iCs w:val="0"/>
                <w:color w:val="000000"/>
                <w:sz w:val="18"/>
                <w:szCs w:val="18"/>
                <w:u w:val="none"/>
              </w:rPr>
            </w:pPr>
          </w:p>
        </w:tc>
        <w:tc>
          <w:tcPr>
            <w:tcW w:w="8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C8E63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282E3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生物数码观察实验仪器配置清单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516E2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D827A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37A1DF">
            <w:pPr>
              <w:jc w:val="center"/>
              <w:rPr>
                <w:rFonts w:hint="eastAsia" w:ascii="宋体" w:hAnsi="宋体" w:eastAsia="宋体" w:cs="宋体"/>
                <w:b/>
                <w:bCs/>
                <w:i w:val="0"/>
                <w:iCs w:val="0"/>
                <w:color w:val="000000"/>
                <w:sz w:val="18"/>
                <w:szCs w:val="18"/>
                <w:u w:val="none"/>
              </w:rPr>
            </w:pPr>
          </w:p>
        </w:tc>
      </w:tr>
      <w:tr w14:paraId="6EE31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D6EB9E">
            <w:pPr>
              <w:jc w:val="center"/>
              <w:rPr>
                <w:rFonts w:hint="eastAsia" w:ascii="宋体" w:hAnsi="宋体" w:eastAsia="宋体" w:cs="宋体"/>
                <w:i w:val="0"/>
                <w:iCs w:val="0"/>
                <w:color w:val="000000"/>
                <w:sz w:val="18"/>
                <w:szCs w:val="18"/>
                <w:u w:val="none"/>
              </w:rPr>
            </w:pPr>
          </w:p>
        </w:tc>
        <w:tc>
          <w:tcPr>
            <w:tcW w:w="8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E2B84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2A5CE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生物数字化实验系统配置清单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F8BCD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63F8E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64267D">
            <w:pPr>
              <w:keepNext w:val="0"/>
              <w:keepLines w:val="0"/>
              <w:widowControl/>
              <w:suppressLineNumbers w:val="0"/>
              <w:jc w:val="center"/>
              <w:textAlignment w:val="center"/>
              <w:rPr>
                <w:rFonts w:hint="eastAsia" w:ascii="宋体" w:hAnsi="宋体" w:eastAsia="宋体" w:cs="宋体"/>
                <w:b/>
                <w:bCs/>
                <w:i w:val="0"/>
                <w:iCs w:val="0"/>
                <w:color w:val="FF0000"/>
                <w:sz w:val="18"/>
                <w:szCs w:val="18"/>
                <w:u w:val="none"/>
              </w:rPr>
            </w:pPr>
            <w:r>
              <w:rPr>
                <w:rFonts w:hint="eastAsia" w:ascii="宋体" w:hAnsi="宋体" w:eastAsia="宋体" w:cs="宋体"/>
                <w:b/>
                <w:bCs/>
                <w:i w:val="0"/>
                <w:iCs w:val="0"/>
                <w:color w:val="FF0000"/>
                <w:kern w:val="0"/>
                <w:sz w:val="18"/>
                <w:szCs w:val="18"/>
                <w:u w:val="none"/>
                <w:lang w:val="en-US" w:eastAsia="zh-CN" w:bidi="ar"/>
              </w:rPr>
              <w:t>添置</w:t>
            </w:r>
          </w:p>
        </w:tc>
      </w:tr>
      <w:tr w14:paraId="10C2E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7C965D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808" w:type="dxa"/>
            <w:vMerge w:val="restart"/>
            <w:tcBorders>
              <w:top w:val="single" w:color="000000" w:sz="4" w:space="0"/>
              <w:left w:val="single" w:color="000000" w:sz="4" w:space="0"/>
              <w:bottom w:val="single" w:color="000000" w:sz="4" w:space="0"/>
              <w:right w:val="single" w:color="000000" w:sz="4" w:space="0"/>
            </w:tcBorders>
            <w:noWrap w:val="0"/>
            <w:vAlign w:val="center"/>
          </w:tcPr>
          <w:p w14:paraId="1C69C4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准备室</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8D4D3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物理准备室</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CDF28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7AD22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2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36B723">
            <w:pPr>
              <w:jc w:val="center"/>
              <w:rPr>
                <w:rFonts w:hint="eastAsia" w:ascii="宋体" w:hAnsi="宋体" w:eastAsia="宋体" w:cs="宋体"/>
                <w:b/>
                <w:bCs/>
                <w:i w:val="0"/>
                <w:iCs w:val="0"/>
                <w:color w:val="000000"/>
                <w:sz w:val="18"/>
                <w:szCs w:val="18"/>
                <w:u w:val="none"/>
              </w:rPr>
            </w:pPr>
          </w:p>
        </w:tc>
      </w:tr>
      <w:tr w14:paraId="2DA8B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472BB1">
            <w:pPr>
              <w:jc w:val="center"/>
              <w:rPr>
                <w:rFonts w:hint="eastAsia" w:ascii="宋体" w:hAnsi="宋体" w:eastAsia="宋体" w:cs="宋体"/>
                <w:i w:val="0"/>
                <w:iCs w:val="0"/>
                <w:color w:val="000000"/>
                <w:sz w:val="18"/>
                <w:szCs w:val="18"/>
                <w:u w:val="none"/>
              </w:rPr>
            </w:pPr>
          </w:p>
        </w:tc>
        <w:tc>
          <w:tcPr>
            <w:tcW w:w="8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08C53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5FFEE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化学准备室</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EE39C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5402E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083222">
            <w:pPr>
              <w:jc w:val="center"/>
              <w:rPr>
                <w:rFonts w:hint="eastAsia" w:ascii="宋体" w:hAnsi="宋体" w:eastAsia="宋体" w:cs="宋体"/>
                <w:b/>
                <w:bCs/>
                <w:i w:val="0"/>
                <w:iCs w:val="0"/>
                <w:color w:val="000000"/>
                <w:sz w:val="18"/>
                <w:szCs w:val="18"/>
                <w:u w:val="none"/>
              </w:rPr>
            </w:pPr>
          </w:p>
        </w:tc>
      </w:tr>
      <w:tr w14:paraId="1322F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1EC9D9">
            <w:pPr>
              <w:jc w:val="center"/>
              <w:rPr>
                <w:rFonts w:hint="eastAsia" w:ascii="宋体" w:hAnsi="宋体" w:eastAsia="宋体" w:cs="宋体"/>
                <w:i w:val="0"/>
                <w:iCs w:val="0"/>
                <w:color w:val="000000"/>
                <w:sz w:val="18"/>
                <w:szCs w:val="18"/>
                <w:u w:val="none"/>
              </w:rPr>
            </w:pPr>
          </w:p>
        </w:tc>
        <w:tc>
          <w:tcPr>
            <w:tcW w:w="8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6B1AA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8B293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生物准备室</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FCF94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4E891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CBC51D">
            <w:pPr>
              <w:jc w:val="center"/>
              <w:rPr>
                <w:rFonts w:hint="eastAsia" w:ascii="宋体" w:hAnsi="宋体" w:eastAsia="宋体" w:cs="宋体"/>
                <w:b/>
                <w:bCs/>
                <w:i w:val="0"/>
                <w:iCs w:val="0"/>
                <w:color w:val="000000"/>
                <w:sz w:val="18"/>
                <w:szCs w:val="18"/>
                <w:u w:val="none"/>
              </w:rPr>
            </w:pPr>
          </w:p>
        </w:tc>
      </w:tr>
      <w:tr w14:paraId="104E9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DCDDB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1072CA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仪器室</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D9A31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仪器室1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0C2BD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76C34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12BAC4">
            <w:pPr>
              <w:jc w:val="center"/>
              <w:rPr>
                <w:rFonts w:hint="eastAsia" w:ascii="宋体" w:hAnsi="宋体" w:eastAsia="宋体" w:cs="宋体"/>
                <w:b/>
                <w:bCs/>
                <w:i w:val="0"/>
                <w:iCs w:val="0"/>
                <w:color w:val="000000"/>
                <w:sz w:val="18"/>
                <w:szCs w:val="18"/>
                <w:u w:val="none"/>
              </w:rPr>
            </w:pPr>
          </w:p>
        </w:tc>
      </w:tr>
      <w:tr w14:paraId="5BF4C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7E7BC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3669F6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仪器室</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6A90B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仪器室2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2BEAC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F9A90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6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B4C271">
            <w:pPr>
              <w:jc w:val="center"/>
              <w:rPr>
                <w:rFonts w:hint="eastAsia" w:ascii="宋体" w:hAnsi="宋体" w:eastAsia="宋体" w:cs="宋体"/>
                <w:b/>
                <w:bCs/>
                <w:i w:val="0"/>
                <w:iCs w:val="0"/>
                <w:color w:val="000000"/>
                <w:sz w:val="18"/>
                <w:szCs w:val="18"/>
                <w:u w:val="none"/>
              </w:rPr>
            </w:pPr>
          </w:p>
        </w:tc>
      </w:tr>
      <w:tr w14:paraId="44DD9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EA9EE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106F47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实验教学管理平台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047CB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校级学科实验教学管理平台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C2A45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E9C23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E6C99E">
            <w:pPr>
              <w:jc w:val="center"/>
              <w:rPr>
                <w:rFonts w:hint="eastAsia" w:ascii="宋体" w:hAnsi="宋体" w:eastAsia="宋体" w:cs="宋体"/>
                <w:b/>
                <w:bCs/>
                <w:i w:val="0"/>
                <w:iCs w:val="0"/>
                <w:color w:val="000000"/>
                <w:sz w:val="18"/>
                <w:szCs w:val="18"/>
                <w:u w:val="none"/>
              </w:rPr>
            </w:pPr>
          </w:p>
        </w:tc>
      </w:tr>
      <w:tr w14:paraId="7CEA9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45717BF">
            <w:pPr>
              <w:jc w:val="center"/>
              <w:rPr>
                <w:rFonts w:hint="eastAsia" w:ascii="宋体" w:hAnsi="宋体" w:eastAsia="宋体" w:cs="宋体"/>
                <w:i w:val="0"/>
                <w:iCs w:val="0"/>
                <w:color w:val="000000"/>
                <w:sz w:val="18"/>
                <w:szCs w:val="18"/>
                <w:u w:val="none"/>
              </w:rPr>
            </w:pP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0D1C279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2EE60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619273">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7E5DC2">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099247">
            <w:pPr>
              <w:jc w:val="center"/>
              <w:rPr>
                <w:rFonts w:hint="eastAsia" w:ascii="宋体" w:hAnsi="宋体" w:eastAsia="宋体" w:cs="宋体"/>
                <w:b/>
                <w:bCs/>
                <w:i w:val="0"/>
                <w:iCs w:val="0"/>
                <w:color w:val="000000"/>
                <w:sz w:val="18"/>
                <w:szCs w:val="18"/>
                <w:u w:val="none"/>
              </w:rPr>
            </w:pPr>
          </w:p>
        </w:tc>
      </w:tr>
    </w:tbl>
    <w:p w14:paraId="45DDAD2F">
      <w:pPr>
        <w:rPr>
          <w:rFonts w:hint="eastAsia" w:ascii="宋体" w:hAnsi="宋体" w:eastAsia="宋体" w:cs="宋体"/>
          <w:sz w:val="18"/>
          <w:szCs w:val="18"/>
        </w:rPr>
      </w:pPr>
    </w:p>
    <w:p w14:paraId="280406DA">
      <w:pPr>
        <w:rPr>
          <w:rFonts w:hint="eastAsia" w:ascii="宋体" w:hAnsi="宋体" w:eastAsia="宋体" w:cs="宋体"/>
          <w:sz w:val="18"/>
          <w:szCs w:val="18"/>
        </w:rPr>
      </w:pPr>
    </w:p>
    <w:tbl>
      <w:tblPr>
        <w:tblStyle w:val="2"/>
        <w:tblW w:w="10084" w:type="dxa"/>
        <w:tblInd w:w="-71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0"/>
        <w:gridCol w:w="855"/>
        <w:gridCol w:w="5380"/>
        <w:gridCol w:w="478"/>
        <w:gridCol w:w="727"/>
        <w:gridCol w:w="2224"/>
      </w:tblGrid>
      <w:tr w14:paraId="028CD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084" w:type="dxa"/>
            <w:gridSpan w:val="6"/>
            <w:tcBorders>
              <w:top w:val="single" w:color="000000" w:sz="4" w:space="0"/>
              <w:left w:val="single" w:color="000000" w:sz="4" w:space="0"/>
              <w:bottom w:val="single" w:color="000000" w:sz="4" w:space="0"/>
              <w:right w:val="single" w:color="000000" w:sz="4" w:space="0"/>
            </w:tcBorders>
            <w:noWrap/>
            <w:vAlign w:val="center"/>
          </w:tcPr>
          <w:p w14:paraId="38ADD63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物理数字化实验室 清单（56座/间）</w:t>
            </w:r>
          </w:p>
        </w:tc>
      </w:tr>
      <w:tr w14:paraId="19B1D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trPr>
        <w:tc>
          <w:tcPr>
            <w:tcW w:w="420" w:type="dxa"/>
            <w:tcBorders>
              <w:top w:val="single" w:color="000000" w:sz="4" w:space="0"/>
              <w:left w:val="single" w:color="000000" w:sz="4" w:space="0"/>
              <w:bottom w:val="single" w:color="000000" w:sz="4" w:space="0"/>
              <w:right w:val="single" w:color="000000" w:sz="4" w:space="0"/>
            </w:tcBorders>
            <w:noWrap w:val="0"/>
            <w:vAlign w:val="center"/>
          </w:tcPr>
          <w:p w14:paraId="398A26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14:paraId="2096A1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货物名称</w:t>
            </w:r>
          </w:p>
        </w:tc>
        <w:tc>
          <w:tcPr>
            <w:tcW w:w="5380" w:type="dxa"/>
            <w:tcBorders>
              <w:top w:val="single" w:color="000000" w:sz="4" w:space="0"/>
              <w:left w:val="single" w:color="000000" w:sz="4" w:space="0"/>
              <w:bottom w:val="single" w:color="000000" w:sz="4" w:space="0"/>
              <w:right w:val="single" w:color="000000" w:sz="4" w:space="0"/>
            </w:tcBorders>
            <w:noWrap w:val="0"/>
            <w:vAlign w:val="center"/>
          </w:tcPr>
          <w:p w14:paraId="3EADC3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技术参数</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090A5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727" w:type="dxa"/>
            <w:tcBorders>
              <w:top w:val="single" w:color="000000" w:sz="4" w:space="0"/>
              <w:left w:val="single" w:color="000000" w:sz="4" w:space="0"/>
              <w:bottom w:val="single" w:color="000000" w:sz="4" w:space="0"/>
              <w:right w:val="single" w:color="000000" w:sz="4" w:space="0"/>
            </w:tcBorders>
            <w:noWrap w:val="0"/>
            <w:vAlign w:val="center"/>
          </w:tcPr>
          <w:p w14:paraId="25BE2B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2224" w:type="dxa"/>
            <w:tcBorders>
              <w:top w:val="single" w:color="000000" w:sz="4" w:space="0"/>
              <w:left w:val="single" w:color="000000" w:sz="4" w:space="0"/>
              <w:bottom w:val="single" w:color="000000" w:sz="4" w:space="0"/>
              <w:right w:val="single" w:color="000000" w:sz="4" w:space="0"/>
            </w:tcBorders>
            <w:noWrap w:val="0"/>
            <w:vAlign w:val="center"/>
          </w:tcPr>
          <w:p w14:paraId="7D300A4E">
            <w:pPr>
              <w:keepNext w:val="0"/>
              <w:keepLines w:val="0"/>
              <w:widowControl/>
              <w:suppressLineNumbers w:val="0"/>
              <w:jc w:val="center"/>
              <w:textAlignment w:val="center"/>
              <w:rPr>
                <w:rFonts w:hint="default" w:ascii="宋体" w:hAnsi="宋体" w:eastAsia="宋体" w:cs="宋体"/>
                <w:i w:val="0"/>
                <w:iCs w:val="0"/>
                <w:color w:val="FF0000"/>
                <w:sz w:val="18"/>
                <w:szCs w:val="18"/>
                <w:u w:val="none"/>
                <w:lang w:val="en-US"/>
              </w:rPr>
            </w:pPr>
          </w:p>
        </w:tc>
      </w:tr>
      <w:tr w14:paraId="6894C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7" w:hRule="atLeast"/>
        </w:trPr>
        <w:tc>
          <w:tcPr>
            <w:tcW w:w="10084"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D0F92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教师演示控制</w:t>
            </w:r>
          </w:p>
        </w:tc>
      </w:tr>
      <w:tr w14:paraId="0724E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1" w:hRule="atLeast"/>
        </w:trPr>
        <w:tc>
          <w:tcPr>
            <w:tcW w:w="4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D8F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F09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教师演示台</w:t>
            </w:r>
          </w:p>
        </w:tc>
        <w:tc>
          <w:tcPr>
            <w:tcW w:w="5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D002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规格：2800×700×850mm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台面：采用≥12.7mm厚实芯理化板，边沿加厚至≧25.4mm，表面光滑、平整，整体美观大方。耐酸碱、耐高温、耐腐蚀、不吸水、防火、抗老化、无毒、不褪色、材质坚硬，确保柜身台面不受潮，牢固可靠。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结构：演示台设有储物柜，中间为演示台，设置电源系统、水嘴、水槽、多媒体设备（主机、显示器、中控、功放、交换机）的位置预留。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桌身：整体采用≥0.9mm厚优质冷轧钢板，全部钢制件纳米陶瓷镀膜防锈处理。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滑道：抽屉全部采用优质三节承重式滚珠滑道开合十万次不变形。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铰链：采用优质铰链，开合十万次不变形。</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BE3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9C9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DC93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66DC1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5" w:hRule="atLeast"/>
        </w:trPr>
        <w:tc>
          <w:tcPr>
            <w:tcW w:w="4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BA7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212F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主控电源</w:t>
            </w:r>
          </w:p>
        </w:tc>
        <w:tc>
          <w:tcPr>
            <w:tcW w:w="5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6747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1、教师端主控，含主机，主机采用铁制机箱，机械抽屉式。控制显示采用液晶真彩触摸屏和数据显示一体化。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2、具备1个220V交流电源输出插座。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3、系统具备漏电保护功能。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4、有自动关机时间设置功能，时间到时自动声音提示。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5、密码控制，本产品由教师输入正确的密码，方可启动实验电源的控制系统（教师可自定密码），对电源控制台进行操作防误操作方便教师合理安排实验。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6、教师主控可实现对学生低压交直流电压的设置和分组控制，学生的锁定。多媒体为拓展功能。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7、通过教师控制界面可设置直流0-30V分辨率0.1V,交流1-30V分辨率1V，具备过载保护点智能侦测功能，电流高于过载保护功点则自动保护，电流低于过载保护点则自动恢复至设定值。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8、直流高压240、300V两档100ma，直流大电流9V/40A,20S自动关断。</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9、电源主控台与教师演示台一体化。</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181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EFD8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BAEF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40FDE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9" w:hRule="atLeast"/>
        </w:trPr>
        <w:tc>
          <w:tcPr>
            <w:tcW w:w="4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EB97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04B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教师椅</w:t>
            </w:r>
          </w:p>
        </w:tc>
        <w:tc>
          <w:tcPr>
            <w:tcW w:w="5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7AA2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椅面、靠背选用优质网布面料，透气性强、无异味。背垫、座垫采用高密度发泡成型棉，回弹性好、不易变形，不老化，依人体坐姿特别设计，符合人体工学。艺术造型扶手，优质圆五星脚配活动脚轮，气压调节座位高度。</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DDA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9072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C9E5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1D6E9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7" w:hRule="atLeast"/>
        </w:trPr>
        <w:tc>
          <w:tcPr>
            <w:tcW w:w="4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A21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A5E5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水槽</w:t>
            </w:r>
          </w:p>
        </w:tc>
        <w:tc>
          <w:tcPr>
            <w:tcW w:w="5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BC01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外径：550×450×310mm，内径：480×380×290mm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采用环保型PP材料一次性注塑成型，耐强酸碱及有机溶剂，壁厚6mm。</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B90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556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CF6D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29382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7" w:hRule="atLeast"/>
        </w:trPr>
        <w:tc>
          <w:tcPr>
            <w:tcW w:w="4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17BE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6C82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水嘴</w:t>
            </w:r>
          </w:p>
        </w:tc>
        <w:tc>
          <w:tcPr>
            <w:tcW w:w="5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F58A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采用实验室专用三联水嘴，陶瓷阀芯90°旋转，铜质表面烤漆处理，增强耐酸碱防腐蚀以及防锈性能，特制鹅颈管可360度旋转。</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8D9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F0B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154D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388DB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10084"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4DD83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p>
        </w:tc>
      </w:tr>
      <w:tr w14:paraId="0A9C6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9" w:hRule="atLeast"/>
        </w:trPr>
        <w:tc>
          <w:tcPr>
            <w:tcW w:w="4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A2F6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82D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学生实验桌</w:t>
            </w:r>
          </w:p>
        </w:tc>
        <w:tc>
          <w:tcPr>
            <w:tcW w:w="5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6883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1、规格：2400×1200×780mm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2、台面：采用≥12.7mm厚双面膜耐腐蚀实芯理化板制作，耐酸碱、耐冲击、韧性强等特点。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3、结构：台面为双面膜实芯理化板一体化成型，桌身由桌腿、立柱、前横梁、中横梁、后横梁及加强横支撑件组成。学生位设书包斗。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桌腿：主体材料均采用优质铝镁合金型材及铝压铸件连接组合框架，材料表面经高压静电喷涂环氧树脂防护层，耐酸碱，耐腐蚀处理。上腿规格：长580mm×宽50mm×高140mm。下腿规格：长510mm×宽50mm×高140mm。立柱：采用50mm×100mm，壁厚1.5mm。前横梁：采用43mm×40mm，壁厚1.2mm。中横梁：采用32mm×27mm，壁厚1.2mm。后横梁：采用50mm×40mm，壁厚1.2mm。加强横支撑件：采用10mm×100mm，壁厚1.2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5、书包斗：壁厚4.6mm，采用环保型ABS工程塑料一次性注塑成型。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6、可调脚：高强度可调脚，采用10mm螺纹钢，下部采用环保型PP加耐磨纤维质塑料。</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FDF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5BAD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22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5FAE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4D22C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9" w:hRule="atLeast"/>
        </w:trPr>
        <w:tc>
          <w:tcPr>
            <w:tcW w:w="4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C399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4015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柜体箱</w:t>
            </w:r>
          </w:p>
        </w:tc>
        <w:tc>
          <w:tcPr>
            <w:tcW w:w="5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C3EE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1、宽380mm深220mm高730mm，壁厚3.0mm，采用环保型ABS工程塑料一次性注塑成型。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2、符合GB 28481-2012 塑料家具中有害物质限量要求。</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25E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471B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22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9B06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7FCA7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5" w:hRule="atLeast"/>
        </w:trPr>
        <w:tc>
          <w:tcPr>
            <w:tcW w:w="4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579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23C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学生电源</w:t>
            </w:r>
          </w:p>
        </w:tc>
        <w:tc>
          <w:tcPr>
            <w:tcW w:w="5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0649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学生电源：桌斗中间位置固定学生电源盒：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1、每个学生电源应自带一个独立变压器，既能独立操作，也能被教师控制。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2、通过教师数字化键盘控制学生电源低压交流电压值和直流电压值，分别显示交直流电压值。学生操控时伴有按键提示音。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3、学生电源的低压交流电压分两档，即1V-18V/2A、18V-30V/1A，分辨率1V，具备自动智能侦测过载保护功能，电流高于过载保护点则自动保护、电流低于过载保护点则自动恢复至设定值。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4、学生电源的低压直流电压分两档，即1.5V-16V/2A、16V-30V/1A，分辨率为0.1V。具备自动智能侦测过载保护功能，电流高于过载保护点则自动保护、电流低于过载保护点则自动恢复至设定值。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5、学生电源被教师控制及锁定后不能自主操作。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6、具备1个220V交流电源输出插座。可通过教师单独控制其电源的输出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7、过载保护采用蜂鸣器报警提示功能。可按任意键复位。</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B74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9612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22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916A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675FB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1" w:hRule="atLeast"/>
        </w:trPr>
        <w:tc>
          <w:tcPr>
            <w:tcW w:w="4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ED91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144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学生凳</w:t>
            </w:r>
          </w:p>
        </w:tc>
        <w:tc>
          <w:tcPr>
            <w:tcW w:w="5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5E7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1、规格：φ300×（450）500mm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2、凳面：ф300mm×厚30mm，采用环保型ABS改性塑料一次性注塑成型，表面细纹咬花，防滑不发光。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3、钢架：17×34×1.5mm，椭圆形无缝钢管，全圆满焊接完成，结构牢固，经高温粉体烤漆处理，长时间使用也不会产生表面烤漆剥落现象。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4、脚垫：采用PP加耐磨纤维质塑料，实心倒勾式一体射出成型。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5、升降：高度可在450mm-500mm范围内自由调整。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6、学生凳技术要求满足：GB/T 3325-2017《金属家具通用技术条件》。</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3E3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2E7E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22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7E65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72AA9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10084"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594FC0">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水电部分</w:t>
            </w:r>
          </w:p>
        </w:tc>
      </w:tr>
      <w:tr w14:paraId="2BF31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2" w:hRule="atLeast"/>
        </w:trPr>
        <w:tc>
          <w:tcPr>
            <w:tcW w:w="4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4A9D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E2A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布线系统</w:t>
            </w:r>
          </w:p>
        </w:tc>
        <w:tc>
          <w:tcPr>
            <w:tcW w:w="5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043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地面对接，由教师主控电源控制学生电源，安装调试（含辅料及耗材）。符合安全用电要求。</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768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E20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DCD4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地下工程自建</w:t>
            </w:r>
          </w:p>
        </w:tc>
      </w:tr>
      <w:tr w14:paraId="4F0D1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4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DB81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332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给排水系统</w:t>
            </w:r>
          </w:p>
        </w:tc>
        <w:tc>
          <w:tcPr>
            <w:tcW w:w="5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EE92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地面对接，安装调试（含辅料及耗材）。符合安全用水要求</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4D8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1844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6934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地下工程自建</w:t>
            </w:r>
          </w:p>
        </w:tc>
      </w:tr>
      <w:tr w14:paraId="3EEE7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10084"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28B2CC">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装修部分</w:t>
            </w:r>
          </w:p>
        </w:tc>
      </w:tr>
      <w:tr w14:paraId="15E15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4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6754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7453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布线系统（地下部分）</w:t>
            </w:r>
          </w:p>
        </w:tc>
        <w:tc>
          <w:tcPr>
            <w:tcW w:w="5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C3B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线2.5平方、4平方、6平方插排、PVC管、网线、空气开关、网络接口Rosenberger超五类模块；开槽暗敷，电线连接部分采用焊接方式防水胶布2层，绝缘胶布2层，加以保护，配电采用铝塑管护套,内穿BV塑铜线，多媒体产品安装、调试</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8B0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50AB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38EFA6">
            <w:pPr>
              <w:jc w:val="center"/>
              <w:rPr>
                <w:rFonts w:hint="eastAsia" w:ascii="宋体" w:hAnsi="宋体" w:eastAsia="宋体" w:cs="宋体"/>
                <w:i w:val="0"/>
                <w:iCs w:val="0"/>
                <w:color w:val="000000"/>
                <w:sz w:val="18"/>
                <w:szCs w:val="18"/>
                <w:u w:val="none"/>
              </w:rPr>
            </w:pPr>
          </w:p>
        </w:tc>
      </w:tr>
      <w:tr w14:paraId="376AC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9" w:hRule="atLeast"/>
        </w:trPr>
        <w:tc>
          <w:tcPr>
            <w:tcW w:w="4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5B7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C4CB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给排水系统（地下部分）</w:t>
            </w:r>
          </w:p>
        </w:tc>
        <w:tc>
          <w:tcPr>
            <w:tcW w:w="5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F02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给水采用φ25㎜优质PPR(国标)管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排水采用φ50㎜优质PVC(国标)管，暗敷，安装调试（含辅料及耗材）。符合安全用水要求</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A03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2075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2FFD99">
            <w:pPr>
              <w:jc w:val="center"/>
              <w:rPr>
                <w:rFonts w:hint="eastAsia" w:ascii="宋体" w:hAnsi="宋体" w:eastAsia="宋体" w:cs="宋体"/>
                <w:i w:val="0"/>
                <w:iCs w:val="0"/>
                <w:color w:val="000000"/>
                <w:sz w:val="18"/>
                <w:szCs w:val="18"/>
                <w:u w:val="none"/>
              </w:rPr>
            </w:pPr>
          </w:p>
        </w:tc>
      </w:tr>
      <w:tr w14:paraId="6CBBB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4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FBFF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E61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吊顶</w:t>
            </w:r>
          </w:p>
        </w:tc>
        <w:tc>
          <w:tcPr>
            <w:tcW w:w="5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272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600*600矿棉板吊顶</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424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863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2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CA4078">
            <w:pPr>
              <w:jc w:val="center"/>
              <w:rPr>
                <w:rFonts w:hint="eastAsia" w:ascii="宋体" w:hAnsi="宋体" w:eastAsia="宋体" w:cs="宋体"/>
                <w:i w:val="0"/>
                <w:iCs w:val="0"/>
                <w:color w:val="000000"/>
                <w:sz w:val="18"/>
                <w:szCs w:val="18"/>
                <w:u w:val="none"/>
              </w:rPr>
            </w:pPr>
          </w:p>
        </w:tc>
      </w:tr>
      <w:tr w14:paraId="572FF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3" w:hRule="atLeast"/>
        </w:trPr>
        <w:tc>
          <w:tcPr>
            <w:tcW w:w="4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2CB0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56D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平板灯</w:t>
            </w:r>
          </w:p>
        </w:tc>
        <w:tc>
          <w:tcPr>
            <w:tcW w:w="5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CC7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LED教室灯尺寸长宽600*600±5mm；为一体式侧发光微晶防眩面板灯，棱锥体光学结构设计，微晶结构长短轴尺寸比值≥2，采用高性能光学板材辊压成型；至少有3种光学材料组成，包含反射纸、导光板、微晶防眩板等，采用侧发光的出光方式，灯体表面发光均匀，无暗影。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LED教室灯光源模组采用铝基板，导入胶带均匀的固定在灯体上，使灯条和散热体大面积接触；灯体上至少有4个防掉落挂钩，安装好后可挂在吊架上，保证安全无掉落风险。光源使用双蓝光光谱，有效减少蓝光危害。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3、LED教室灯驱动电源需为隔离型恒流驱动，电源有外壳并可靠固定。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4、LED教室灯功率＜45W。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5、LED教室灯光效（或灯具效能）≥80 lm/W。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6、LED教室灯色温（或相关色温）4300K-5300K。</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7、LED教室灯显色指数Ra＞90、R9＞50。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8、LED教室灯色容差（色品容差）≤5 SDCM。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9、LED教室灯通过人体电磁辐射测试。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10、LED教室灯蓝光危害等级为RG0（或0类危险）。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11、LED教室灯频闪无危害或无显著影响或无频闪危害。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12、LED教室灯至少依据《GB/T 26572》标准通过电器电子产品认证。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★13、LED教室灯选用足够数量小功率LED灯珠，灯珠实际使用功率不宜超过额定功率的50%，以提高其发光效率和降低灯具光衰，且LED教室灯须通过CCC认证。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14、LED教室灯在大气压力≥100kPa，平均湿度≥50%RH、极值空气温度≤-20℃及相对温差≥33℃的实地自然环境条件下至少持续运行400小时，至少依据《GB/T9468》标准满足光通量的实测值与初始值的偏差不超过-10%。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15、LED教室灯在大气压力≥100kPa，平均湿度≥50%RH、极值空气温度≤-20℃及相对温差≥33℃的实地自然环境条件下至少持续运行400小时，至少依据《GB/T36979》满足空间颜色非均匀性△u’v’≤0.007。</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LED教室灯在大气压力≥100kPa，平均湿度≥50%RH、极值空气温度≤-20℃及相对温差≥33℃的实地自然环境条件下至少持续运行400小时，至少依据《GB/T9468》标准满足光束角C0-C180及C90-C270的实测值与初始值偏差均不超过±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17、LED教室灯在大气压力≥100kPa，平均湿度≥50%RH、极值空气温度≤-20℃及相对温差≥33℃的实地自然环境条件下至少持续运行400小时，至少依据《GB/T 18595》标准满足浪涌性能达到C或以上等级。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18、LED教室灯在大气压力≥100kPa，平均湿度≥50%RH、极值空气温度≤-20℃及相对温差≥33℃的实地自然环境条件下至少持续运行400小时，至少依据《GB/T6882》标准满足噪声＜17dB（A）。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19、LED教室灯依据《GB40070》标准并符合《CQC16-465145-2021》认证规则通过近视防控认证。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备注：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▲序号1至序号3投标人须提供相关佐证材料，包含但不限于产品彩页或技术参数确认函。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序号9投标人须提供第三方检测机构出具的封面带有CMA及CNAS标志的检测报告及检测报告编号在全国认证认可信息公共服务平台的查询证明复印件，同时提供报告所引用检测标准依据在中国合格评定国家认可委员会官网查询的能力范围证明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序号10至序号19投标人须提供第三方认证机构出具的认证证书及全国认证认可信息公共服务平台证书状态为“有效”查询证明复印件（证书与查询证明文件上均须同时体现产品型号及认证标准；若有要求实地自然环境条件的，证书上须体现“实地验证”）。</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576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盏</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930F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22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DA5560">
            <w:pPr>
              <w:jc w:val="center"/>
              <w:rPr>
                <w:rFonts w:hint="eastAsia" w:ascii="宋体" w:hAnsi="宋体" w:eastAsia="宋体" w:cs="宋体"/>
                <w:i w:val="0"/>
                <w:iCs w:val="0"/>
                <w:color w:val="000000"/>
                <w:sz w:val="18"/>
                <w:szCs w:val="18"/>
                <w:u w:val="none"/>
              </w:rPr>
            </w:pPr>
          </w:p>
        </w:tc>
      </w:tr>
      <w:tr w14:paraId="492C2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8" w:hRule="atLeast"/>
        </w:trPr>
        <w:tc>
          <w:tcPr>
            <w:tcW w:w="4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7C9D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CCB8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文化窗帘</w:t>
            </w:r>
          </w:p>
        </w:tc>
        <w:tc>
          <w:tcPr>
            <w:tcW w:w="53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9BC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文化窗帘</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015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FE7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ADE791">
            <w:pPr>
              <w:jc w:val="center"/>
              <w:rPr>
                <w:rFonts w:hint="eastAsia" w:ascii="宋体" w:hAnsi="宋体" w:eastAsia="宋体" w:cs="宋体"/>
                <w:i w:val="0"/>
                <w:iCs w:val="0"/>
                <w:color w:val="000000"/>
                <w:sz w:val="18"/>
                <w:szCs w:val="18"/>
                <w:u w:val="none"/>
              </w:rPr>
            </w:pPr>
          </w:p>
        </w:tc>
      </w:tr>
    </w:tbl>
    <w:p w14:paraId="28027100">
      <w:pPr>
        <w:rPr>
          <w:rFonts w:hint="eastAsia" w:ascii="宋体" w:hAnsi="宋体" w:eastAsia="宋体" w:cs="宋体"/>
          <w:sz w:val="18"/>
          <w:szCs w:val="18"/>
        </w:rPr>
      </w:pPr>
    </w:p>
    <w:tbl>
      <w:tblPr>
        <w:tblStyle w:val="2"/>
        <w:tblW w:w="10065" w:type="dxa"/>
        <w:tblInd w:w="-71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0"/>
        <w:gridCol w:w="795"/>
        <w:gridCol w:w="5430"/>
        <w:gridCol w:w="465"/>
        <w:gridCol w:w="690"/>
        <w:gridCol w:w="2235"/>
      </w:tblGrid>
      <w:tr w14:paraId="7BF93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065" w:type="dxa"/>
            <w:gridSpan w:val="6"/>
            <w:tcBorders>
              <w:top w:val="single" w:color="000000" w:sz="4" w:space="0"/>
              <w:left w:val="single" w:color="000000" w:sz="4" w:space="0"/>
              <w:bottom w:val="single" w:color="000000" w:sz="4" w:space="0"/>
              <w:right w:val="single" w:color="000000" w:sz="4" w:space="0"/>
            </w:tcBorders>
            <w:noWrap/>
            <w:vAlign w:val="center"/>
          </w:tcPr>
          <w:p w14:paraId="4B8FA2C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物理创新实验室 清单（56座/间）</w:t>
            </w:r>
          </w:p>
        </w:tc>
      </w:tr>
      <w:tr w14:paraId="3274A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218993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14:paraId="0C7B7A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货物名称</w:t>
            </w:r>
          </w:p>
        </w:tc>
        <w:tc>
          <w:tcPr>
            <w:tcW w:w="5430" w:type="dxa"/>
            <w:tcBorders>
              <w:top w:val="single" w:color="000000" w:sz="4" w:space="0"/>
              <w:left w:val="single" w:color="000000" w:sz="4" w:space="0"/>
              <w:bottom w:val="single" w:color="000000" w:sz="4" w:space="0"/>
              <w:right w:val="single" w:color="000000" w:sz="4" w:space="0"/>
            </w:tcBorders>
            <w:noWrap w:val="0"/>
            <w:vAlign w:val="center"/>
          </w:tcPr>
          <w:p w14:paraId="2B14D0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技术参数</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4B924A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E2877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54582051">
            <w:pPr>
              <w:keepNext w:val="0"/>
              <w:keepLines w:val="0"/>
              <w:widowControl/>
              <w:suppressLineNumbers w:val="0"/>
              <w:jc w:val="center"/>
              <w:textAlignment w:val="center"/>
              <w:rPr>
                <w:rFonts w:hint="default" w:ascii="宋体" w:hAnsi="宋体" w:eastAsia="宋体" w:cs="宋体"/>
                <w:i w:val="0"/>
                <w:iCs w:val="0"/>
                <w:color w:val="FF0000"/>
                <w:sz w:val="18"/>
                <w:szCs w:val="18"/>
                <w:u w:val="none"/>
                <w:lang w:val="en-US"/>
              </w:rPr>
            </w:pPr>
          </w:p>
        </w:tc>
      </w:tr>
      <w:tr w14:paraId="5B71B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10065"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EDEB8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教师演示控制</w:t>
            </w:r>
          </w:p>
        </w:tc>
      </w:tr>
      <w:tr w14:paraId="41203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8"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9FE7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0864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教师演示台</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172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规格：2800×700×850mm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台面：采用≥12.7mm厚实芯理化板，边沿加厚至≧25.4mm，表面光滑、平整，整体美观大方。耐酸碱、耐高温、耐腐蚀、不吸水、防火、抗老化、无毒、不褪色、材质坚硬，确保柜身台面不受潮，牢固可靠。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结构：演示台设有储物柜，中间为演示台，设置电源系统、水嘴、水槽、多媒体设备（主机、显示器、中控、功放、交换机）的位置预留。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桌身：整体采用≥0.9mm厚优质冷轧钢板，全部钢制件纳米陶瓷镀膜防锈处理。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滑道：抽屉全部采用优质三节承重式滚珠滑道开合十万次不变形。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铰链：采用优质铰链，开合十万次不变形。</w:t>
            </w:r>
          </w:p>
        </w:tc>
        <w:tc>
          <w:tcPr>
            <w:tcW w:w="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BE9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56A5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35B6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4EEB3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1B05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AFE5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主控电源</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8508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1、教师端主控，含主机，主机采用铁制机箱，机械抽屉式。控制显示采用液晶真彩触摸屏和数据显示一体化。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2、具备1个220V交流电源输出插座。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3、系统具备漏电保护功能。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4、有自动关机时间设置功能，时间到时自动声音提示。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5、密码控制，本产品由教师输入正确的密码，方可启动实验电源的控制系统（教师可自定密码），对电源控制台进行操作防误操作方便教师合理安排实验。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6、教师主控可实现对学生低压交直流电压的设置和分组控制，学生的锁定。多媒体为拓展功能。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7、通过教师控制界面可设置直流0-30V分辨率0.1V,交流1-30V分辨率1V，具备过载保护点智能侦测功能，电流高于过载保护功点则自动保护，电流低于过载保护点则自动恢复至设定值。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8、直流高压240、300V两档100ma，直流大电流9V/40A,20S自动关断。</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9、电源主控台与教师演示台一体化。</w:t>
            </w:r>
          </w:p>
        </w:tc>
        <w:tc>
          <w:tcPr>
            <w:tcW w:w="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8B7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7431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2DB8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5BFDE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6"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D4F7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FA44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教师椅</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8FB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椅面、靠背选用优质网布面料，透气性强、无异味。背垫、座垫采用高密度发泡成型棉，回弹性好、不易变形，不老化，依人体坐姿特别设计，符合人体工学。艺术造型扶手，优质圆五星脚配活动脚轮，气压调节座位高度。</w:t>
            </w:r>
          </w:p>
        </w:tc>
        <w:tc>
          <w:tcPr>
            <w:tcW w:w="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CA2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7ABA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9002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6E93E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E18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F676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水槽</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81D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外径：550×450×310mm，内径：480×380×290mm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采用环保型PP材料一次性注塑成型，耐强酸碱及有机溶剂，壁厚6mm。</w:t>
            </w:r>
          </w:p>
        </w:tc>
        <w:tc>
          <w:tcPr>
            <w:tcW w:w="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3DC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5902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0382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553CA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3"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8CE4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5A46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水嘴</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24BE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采用实验室专用三联水嘴，陶瓷阀芯90°旋转，铜质表面烤漆处理，增强耐酸碱防腐蚀以及防锈性能，特制鹅颈管可360度旋转。</w:t>
            </w:r>
          </w:p>
        </w:tc>
        <w:tc>
          <w:tcPr>
            <w:tcW w:w="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D37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CD2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FB09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7DB36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0065"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481BAA">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p>
        </w:tc>
      </w:tr>
      <w:tr w14:paraId="1E5D5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24"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477E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49D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学生实验桌</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694C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1、规格：1200×600×780mm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2、台面采用12.7mm厚双面膜耐腐蚀实芯理化板制作，实验台前端两角倒R20圆角，安全美观，耐酸碱、耐冲击、韧性强等特点。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3、台面前挡板整体采用厚2.0mm挤出成型铝合金，尺寸：1068*30.8*98.5mm金属表面经高温塑粉烤漆处理。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4、左右两侧设有挡板，采用ABS工程塑料一体成型，尺寸：215*30.8*98.5mm；外观流线简洁美观，易碰撞处全部采用倒圆角处理。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5、桌架整体采用塑钢结构、“Z"型造型：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5.1、桌面支撑固定方管尺寸:30*30*厚1.5mm；左右侧边支管加强连接件金属尺寸：198*71*32*厚3mm；台面左右两侧桌架增设防腐、防撞保护，材质为ABS工程塑料，尺寸：573*49.3*43.8mm，整体外观造型简洁时尚，配PVC丝印造型识别面贴，凸显产品个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5.2、左右侧边支管立管及中间横杆椭圆管尺寸：80*40厚1.5mm；左右侧边支杆底管尺寸：60*30*厚1.8mm；桌脚外侧安装ABS工程塑料护套，外观流线简洁美观，易碰撞处全部采用倒圆角处理，整体设计美观、合理、安全、牢固、耐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5.3、前后脚采用调整脚垫直径56.5*h8.6mm，加装与地面固定，防止桌移动。金属表面经高温粉体烤漆处理。承重性能强、耐酸碱、耐腐蚀。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6、书包斗：采用环保型ABS工程塑料，壁厚4.6mm，镂空设计，有挂凳口，一次性注塑成型。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7、前脚加装定向移动静音滑轮，方便移动，静音滑轮采用ABS工程塑料与橡胶材质一体包覆，坚固耐用不易脱落；当移动桌子时可有效防止摩擦地面所产生的噪音。</w:t>
            </w:r>
          </w:p>
        </w:tc>
        <w:tc>
          <w:tcPr>
            <w:tcW w:w="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908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431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8C66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0C7A3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5"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AC3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AF0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学生凳</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C3CB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1、规格：φ300×（450）500mm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2、凳面：ф300mm×厚30mm，采用环保型ABS改性塑料一次性注塑成型，表面细纹咬花，防滑不发光。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3、钢架：17×34×1.5mm，椭圆形无缝钢管，全圆满焊接完成，结构牢固，经高温粉体烤漆处理，长时间使用也不会产生表面烤漆剥落现象。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4、脚垫：采用PP加耐磨纤维质塑料，实心倒勾式一体射出成型。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5、升降：高度可在450mm-500mm范围内自由调整。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6、学生凳技术要求满足：GB/T 3325-2017《金属家具通用技术条件》。</w:t>
            </w:r>
          </w:p>
        </w:tc>
        <w:tc>
          <w:tcPr>
            <w:tcW w:w="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A10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A236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3B7C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1FCF2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0065"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C2B2AE">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智能升降电源</w:t>
            </w:r>
          </w:p>
        </w:tc>
      </w:tr>
      <w:tr w14:paraId="31AC0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5"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F3A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FA2F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智能系统控制柜</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8D0A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规格：450*200*600mm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1、外壳：采用厚1.0mm（含）以上优质镀锌钢板冲压成型制作，表面经耐酸碱环氧树脂喷涂处理；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2、内设置中央处理器一套，总漏电保护一组、分组漏电保护器十六组，紧急控制系统一套、工作指示灯一套、工业串口模块一个</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3、10寸控制屏一套，用于显示控制操作系统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（1）可显示系统设置、系统初始化、密码更改、分组设置等功能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（2）可显示220V电源控制系统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（3）可显示交直流低压控制系统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（4）可显示智能升降机构升降控制系统</w:t>
            </w:r>
          </w:p>
        </w:tc>
        <w:tc>
          <w:tcPr>
            <w:tcW w:w="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87E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85F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0CBA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812864" behindDoc="0" locked="0" layoutInCell="1" allowOverlap="1">
                  <wp:simplePos x="0" y="0"/>
                  <wp:positionH relativeFrom="column">
                    <wp:posOffset>0</wp:posOffset>
                  </wp:positionH>
                  <wp:positionV relativeFrom="paragraph">
                    <wp:posOffset>0</wp:posOffset>
                  </wp:positionV>
                  <wp:extent cx="0" cy="1209675"/>
                  <wp:effectExtent l="0" t="0" r="0" b="0"/>
                  <wp:wrapNone/>
                  <wp:docPr id="117" name="Picture_2"/>
                  <wp:cNvGraphicFramePr/>
                  <a:graphic xmlns:a="http://schemas.openxmlformats.org/drawingml/2006/main">
                    <a:graphicData uri="http://schemas.openxmlformats.org/drawingml/2006/picture">
                      <pic:pic xmlns:pic="http://schemas.openxmlformats.org/drawingml/2006/picture">
                        <pic:nvPicPr>
                          <pic:cNvPr id="117" name="Picture_2"/>
                          <pic:cNvPicPr/>
                        </pic:nvPicPr>
                        <pic:blipFill>
                          <a:blip r:embed="rId4"/>
                          <a:stretch>
                            <a:fillRect/>
                          </a:stretch>
                        </pic:blipFill>
                        <pic:spPr>
                          <a:xfrm>
                            <a:off x="0" y="0"/>
                            <a:ext cx="0" cy="1209675"/>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0" cy="1176020"/>
                  <wp:effectExtent l="0" t="0" r="0" b="0"/>
                  <wp:wrapNone/>
                  <wp:docPr id="116" name="Picture_2_SpCnt_1"/>
                  <wp:cNvGraphicFramePr/>
                  <a:graphic xmlns:a="http://schemas.openxmlformats.org/drawingml/2006/main">
                    <a:graphicData uri="http://schemas.openxmlformats.org/drawingml/2006/picture">
                      <pic:pic xmlns:pic="http://schemas.openxmlformats.org/drawingml/2006/picture">
                        <pic:nvPicPr>
                          <pic:cNvPr id="116" name="Picture_2_SpCnt_1"/>
                          <pic:cNvPicPr/>
                        </pic:nvPicPr>
                        <pic:blipFill>
                          <a:blip r:embed="rId5"/>
                          <a:stretch>
                            <a:fillRect/>
                          </a:stretch>
                        </pic:blipFill>
                        <pic:spPr>
                          <a:xfrm>
                            <a:off x="0" y="0"/>
                            <a:ext cx="0" cy="1176020"/>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0" cy="1209675"/>
                  <wp:effectExtent l="0" t="0" r="0" b="0"/>
                  <wp:wrapNone/>
                  <wp:docPr id="118" name="Picture_2_SpCnt_2"/>
                  <wp:cNvGraphicFramePr/>
                  <a:graphic xmlns:a="http://schemas.openxmlformats.org/drawingml/2006/main">
                    <a:graphicData uri="http://schemas.openxmlformats.org/drawingml/2006/picture">
                      <pic:pic xmlns:pic="http://schemas.openxmlformats.org/drawingml/2006/picture">
                        <pic:nvPicPr>
                          <pic:cNvPr id="118" name="Picture_2_SpCnt_2"/>
                          <pic:cNvPicPr/>
                        </pic:nvPicPr>
                        <pic:blipFill>
                          <a:blip r:embed="rId5"/>
                          <a:stretch>
                            <a:fillRect/>
                          </a:stretch>
                        </pic:blipFill>
                        <pic:spPr>
                          <a:xfrm>
                            <a:off x="0" y="0"/>
                            <a:ext cx="0" cy="1209675"/>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0" cy="1176020"/>
                  <wp:effectExtent l="0" t="0" r="0" b="0"/>
                  <wp:wrapNone/>
                  <wp:docPr id="119" name="Picture_2_SpCnt_3"/>
                  <wp:cNvGraphicFramePr/>
                  <a:graphic xmlns:a="http://schemas.openxmlformats.org/drawingml/2006/main">
                    <a:graphicData uri="http://schemas.openxmlformats.org/drawingml/2006/picture">
                      <pic:pic xmlns:pic="http://schemas.openxmlformats.org/drawingml/2006/picture">
                        <pic:nvPicPr>
                          <pic:cNvPr id="119" name="Picture_2_SpCnt_3"/>
                          <pic:cNvPicPr/>
                        </pic:nvPicPr>
                        <pic:blipFill>
                          <a:blip r:embed="rId5"/>
                          <a:stretch>
                            <a:fillRect/>
                          </a:stretch>
                        </pic:blipFill>
                        <pic:spPr>
                          <a:xfrm>
                            <a:off x="0" y="0"/>
                            <a:ext cx="0" cy="1176020"/>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0" cy="1209675"/>
                  <wp:effectExtent l="0" t="0" r="0" b="0"/>
                  <wp:wrapNone/>
                  <wp:docPr id="120" name="Picture_2_SpCnt_4"/>
                  <wp:cNvGraphicFramePr/>
                  <a:graphic xmlns:a="http://schemas.openxmlformats.org/drawingml/2006/main">
                    <a:graphicData uri="http://schemas.openxmlformats.org/drawingml/2006/picture">
                      <pic:pic xmlns:pic="http://schemas.openxmlformats.org/drawingml/2006/picture">
                        <pic:nvPicPr>
                          <pic:cNvPr id="120" name="Picture_2_SpCnt_4"/>
                          <pic:cNvPicPr/>
                        </pic:nvPicPr>
                        <pic:blipFill>
                          <a:blip r:embed="rId5"/>
                          <a:stretch>
                            <a:fillRect/>
                          </a:stretch>
                        </pic:blipFill>
                        <pic:spPr>
                          <a:xfrm>
                            <a:off x="0" y="0"/>
                            <a:ext cx="0" cy="1209675"/>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0" cy="1209675"/>
                  <wp:effectExtent l="0" t="0" r="0" b="0"/>
                  <wp:wrapNone/>
                  <wp:docPr id="133" name="Picture_2_SpCnt_5"/>
                  <wp:cNvGraphicFramePr/>
                  <a:graphic xmlns:a="http://schemas.openxmlformats.org/drawingml/2006/main">
                    <a:graphicData uri="http://schemas.openxmlformats.org/drawingml/2006/picture">
                      <pic:pic xmlns:pic="http://schemas.openxmlformats.org/drawingml/2006/picture">
                        <pic:nvPicPr>
                          <pic:cNvPr id="133" name="Picture_2_SpCnt_5"/>
                          <pic:cNvPicPr/>
                        </pic:nvPicPr>
                        <pic:blipFill>
                          <a:blip r:embed="rId5"/>
                          <a:stretch>
                            <a:fillRect/>
                          </a:stretch>
                        </pic:blipFill>
                        <pic:spPr>
                          <a:xfrm>
                            <a:off x="0" y="0"/>
                            <a:ext cx="0" cy="1209675"/>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0" cy="1176020"/>
                  <wp:effectExtent l="0" t="0" r="0" b="0"/>
                  <wp:wrapNone/>
                  <wp:docPr id="134" name="Picture_2_SpCnt_6"/>
                  <wp:cNvGraphicFramePr/>
                  <a:graphic xmlns:a="http://schemas.openxmlformats.org/drawingml/2006/main">
                    <a:graphicData uri="http://schemas.openxmlformats.org/drawingml/2006/picture">
                      <pic:pic xmlns:pic="http://schemas.openxmlformats.org/drawingml/2006/picture">
                        <pic:nvPicPr>
                          <pic:cNvPr id="134" name="Picture_2_SpCnt_6"/>
                          <pic:cNvPicPr/>
                        </pic:nvPicPr>
                        <pic:blipFill>
                          <a:blip r:embed="rId5"/>
                          <a:stretch>
                            <a:fillRect/>
                          </a:stretch>
                        </pic:blipFill>
                        <pic:spPr>
                          <a:xfrm>
                            <a:off x="0" y="0"/>
                            <a:ext cx="0" cy="1176020"/>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0" cy="1209675"/>
                  <wp:effectExtent l="0" t="0" r="0" b="0"/>
                  <wp:wrapNone/>
                  <wp:docPr id="124" name="Picture_2_SpCnt_7"/>
                  <wp:cNvGraphicFramePr/>
                  <a:graphic xmlns:a="http://schemas.openxmlformats.org/drawingml/2006/main">
                    <a:graphicData uri="http://schemas.openxmlformats.org/drawingml/2006/picture">
                      <pic:pic xmlns:pic="http://schemas.openxmlformats.org/drawingml/2006/picture">
                        <pic:nvPicPr>
                          <pic:cNvPr id="124" name="Picture_2_SpCnt_7"/>
                          <pic:cNvPicPr/>
                        </pic:nvPicPr>
                        <pic:blipFill>
                          <a:blip r:embed="rId5"/>
                          <a:stretch>
                            <a:fillRect/>
                          </a:stretch>
                        </pic:blipFill>
                        <pic:spPr>
                          <a:xfrm>
                            <a:off x="0" y="0"/>
                            <a:ext cx="0" cy="1209675"/>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666432" behindDoc="0" locked="0" layoutInCell="1" allowOverlap="1">
                  <wp:simplePos x="0" y="0"/>
                  <wp:positionH relativeFrom="column">
                    <wp:posOffset>0</wp:posOffset>
                  </wp:positionH>
                  <wp:positionV relativeFrom="paragraph">
                    <wp:posOffset>0</wp:posOffset>
                  </wp:positionV>
                  <wp:extent cx="0" cy="1176020"/>
                  <wp:effectExtent l="0" t="0" r="0" b="0"/>
                  <wp:wrapNone/>
                  <wp:docPr id="136" name="Picture_2_SpCnt_8"/>
                  <wp:cNvGraphicFramePr/>
                  <a:graphic xmlns:a="http://schemas.openxmlformats.org/drawingml/2006/main">
                    <a:graphicData uri="http://schemas.openxmlformats.org/drawingml/2006/picture">
                      <pic:pic xmlns:pic="http://schemas.openxmlformats.org/drawingml/2006/picture">
                        <pic:nvPicPr>
                          <pic:cNvPr id="136" name="Picture_2_SpCnt_8"/>
                          <pic:cNvPicPr/>
                        </pic:nvPicPr>
                        <pic:blipFill>
                          <a:blip r:embed="rId5"/>
                          <a:stretch>
                            <a:fillRect/>
                          </a:stretch>
                        </pic:blipFill>
                        <pic:spPr>
                          <a:xfrm>
                            <a:off x="0" y="0"/>
                            <a:ext cx="0" cy="1176020"/>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667456" behindDoc="0" locked="0" layoutInCell="1" allowOverlap="1">
                  <wp:simplePos x="0" y="0"/>
                  <wp:positionH relativeFrom="column">
                    <wp:posOffset>0</wp:posOffset>
                  </wp:positionH>
                  <wp:positionV relativeFrom="paragraph">
                    <wp:posOffset>0</wp:posOffset>
                  </wp:positionV>
                  <wp:extent cx="0" cy="1209675"/>
                  <wp:effectExtent l="0" t="0" r="0" b="0"/>
                  <wp:wrapNone/>
                  <wp:docPr id="126" name="Picture_2_SpCnt_9"/>
                  <wp:cNvGraphicFramePr/>
                  <a:graphic xmlns:a="http://schemas.openxmlformats.org/drawingml/2006/main">
                    <a:graphicData uri="http://schemas.openxmlformats.org/drawingml/2006/picture">
                      <pic:pic xmlns:pic="http://schemas.openxmlformats.org/drawingml/2006/picture">
                        <pic:nvPicPr>
                          <pic:cNvPr id="126" name="Picture_2_SpCnt_9"/>
                          <pic:cNvPicPr/>
                        </pic:nvPicPr>
                        <pic:blipFill>
                          <a:blip r:embed="rId6"/>
                          <a:stretch>
                            <a:fillRect/>
                          </a:stretch>
                        </pic:blipFill>
                        <pic:spPr>
                          <a:xfrm>
                            <a:off x="0" y="0"/>
                            <a:ext cx="0" cy="1209675"/>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668480" behindDoc="0" locked="0" layoutInCell="1" allowOverlap="1">
                  <wp:simplePos x="0" y="0"/>
                  <wp:positionH relativeFrom="column">
                    <wp:posOffset>0</wp:posOffset>
                  </wp:positionH>
                  <wp:positionV relativeFrom="paragraph">
                    <wp:posOffset>0</wp:posOffset>
                  </wp:positionV>
                  <wp:extent cx="0" cy="1176020"/>
                  <wp:effectExtent l="0" t="0" r="0" b="0"/>
                  <wp:wrapNone/>
                  <wp:docPr id="142" name="Picture_2_SpCnt_10"/>
                  <wp:cNvGraphicFramePr/>
                  <a:graphic xmlns:a="http://schemas.openxmlformats.org/drawingml/2006/main">
                    <a:graphicData uri="http://schemas.openxmlformats.org/drawingml/2006/picture">
                      <pic:pic xmlns:pic="http://schemas.openxmlformats.org/drawingml/2006/picture">
                        <pic:nvPicPr>
                          <pic:cNvPr id="142" name="Picture_2_SpCnt_10"/>
                          <pic:cNvPicPr/>
                        </pic:nvPicPr>
                        <pic:blipFill>
                          <a:blip r:embed="rId5"/>
                          <a:stretch>
                            <a:fillRect/>
                          </a:stretch>
                        </pic:blipFill>
                        <pic:spPr>
                          <a:xfrm>
                            <a:off x="0" y="0"/>
                            <a:ext cx="0" cy="1176020"/>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669504" behindDoc="0" locked="0" layoutInCell="1" allowOverlap="1">
                  <wp:simplePos x="0" y="0"/>
                  <wp:positionH relativeFrom="column">
                    <wp:posOffset>0</wp:posOffset>
                  </wp:positionH>
                  <wp:positionV relativeFrom="paragraph">
                    <wp:posOffset>0</wp:posOffset>
                  </wp:positionV>
                  <wp:extent cx="0" cy="1209675"/>
                  <wp:effectExtent l="0" t="0" r="0" b="0"/>
                  <wp:wrapNone/>
                  <wp:docPr id="145" name="Picture_2_SpCnt_11"/>
                  <wp:cNvGraphicFramePr/>
                  <a:graphic xmlns:a="http://schemas.openxmlformats.org/drawingml/2006/main">
                    <a:graphicData uri="http://schemas.openxmlformats.org/drawingml/2006/picture">
                      <pic:pic xmlns:pic="http://schemas.openxmlformats.org/drawingml/2006/picture">
                        <pic:nvPicPr>
                          <pic:cNvPr id="145" name="Picture_2_SpCnt_11"/>
                          <pic:cNvPicPr/>
                        </pic:nvPicPr>
                        <pic:blipFill>
                          <a:blip r:embed="rId7"/>
                          <a:stretch>
                            <a:fillRect/>
                          </a:stretch>
                        </pic:blipFill>
                        <pic:spPr>
                          <a:xfrm>
                            <a:off x="0" y="0"/>
                            <a:ext cx="0" cy="1209675"/>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670528" behindDoc="0" locked="0" layoutInCell="1" allowOverlap="1">
                  <wp:simplePos x="0" y="0"/>
                  <wp:positionH relativeFrom="column">
                    <wp:posOffset>0</wp:posOffset>
                  </wp:positionH>
                  <wp:positionV relativeFrom="paragraph">
                    <wp:posOffset>0</wp:posOffset>
                  </wp:positionV>
                  <wp:extent cx="0" cy="1209675"/>
                  <wp:effectExtent l="0" t="0" r="0" b="0"/>
                  <wp:wrapNone/>
                  <wp:docPr id="135" name="Picture_2_SpCnt_12"/>
                  <wp:cNvGraphicFramePr/>
                  <a:graphic xmlns:a="http://schemas.openxmlformats.org/drawingml/2006/main">
                    <a:graphicData uri="http://schemas.openxmlformats.org/drawingml/2006/picture">
                      <pic:pic xmlns:pic="http://schemas.openxmlformats.org/drawingml/2006/picture">
                        <pic:nvPicPr>
                          <pic:cNvPr id="135" name="Picture_2_SpCnt_12"/>
                          <pic:cNvPicPr/>
                        </pic:nvPicPr>
                        <pic:blipFill>
                          <a:blip r:embed="rId5"/>
                          <a:stretch>
                            <a:fillRect/>
                          </a:stretch>
                        </pic:blipFill>
                        <pic:spPr>
                          <a:xfrm>
                            <a:off x="0" y="0"/>
                            <a:ext cx="0" cy="1209675"/>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671552" behindDoc="0" locked="0" layoutInCell="1" allowOverlap="1">
                  <wp:simplePos x="0" y="0"/>
                  <wp:positionH relativeFrom="column">
                    <wp:posOffset>0</wp:posOffset>
                  </wp:positionH>
                  <wp:positionV relativeFrom="paragraph">
                    <wp:posOffset>0</wp:posOffset>
                  </wp:positionV>
                  <wp:extent cx="0" cy="1209675"/>
                  <wp:effectExtent l="0" t="0" r="0" b="0"/>
                  <wp:wrapNone/>
                  <wp:docPr id="125" name="Picture_2_SpCnt_13"/>
                  <wp:cNvGraphicFramePr/>
                  <a:graphic xmlns:a="http://schemas.openxmlformats.org/drawingml/2006/main">
                    <a:graphicData uri="http://schemas.openxmlformats.org/drawingml/2006/picture">
                      <pic:pic xmlns:pic="http://schemas.openxmlformats.org/drawingml/2006/picture">
                        <pic:nvPicPr>
                          <pic:cNvPr id="125" name="Picture_2_SpCnt_13"/>
                          <pic:cNvPicPr/>
                        </pic:nvPicPr>
                        <pic:blipFill>
                          <a:blip r:embed="rId5"/>
                          <a:stretch>
                            <a:fillRect/>
                          </a:stretch>
                        </pic:blipFill>
                        <pic:spPr>
                          <a:xfrm>
                            <a:off x="0" y="0"/>
                            <a:ext cx="0" cy="1209675"/>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672576" behindDoc="0" locked="0" layoutInCell="1" allowOverlap="1">
                  <wp:simplePos x="0" y="0"/>
                  <wp:positionH relativeFrom="column">
                    <wp:posOffset>0</wp:posOffset>
                  </wp:positionH>
                  <wp:positionV relativeFrom="paragraph">
                    <wp:posOffset>0</wp:posOffset>
                  </wp:positionV>
                  <wp:extent cx="0" cy="1176020"/>
                  <wp:effectExtent l="0" t="0" r="0" b="0"/>
                  <wp:wrapNone/>
                  <wp:docPr id="121" name="Picture_2_SpCnt_14"/>
                  <wp:cNvGraphicFramePr/>
                  <a:graphic xmlns:a="http://schemas.openxmlformats.org/drawingml/2006/main">
                    <a:graphicData uri="http://schemas.openxmlformats.org/drawingml/2006/picture">
                      <pic:pic xmlns:pic="http://schemas.openxmlformats.org/drawingml/2006/picture">
                        <pic:nvPicPr>
                          <pic:cNvPr id="121" name="Picture_2_SpCnt_14"/>
                          <pic:cNvPicPr/>
                        </pic:nvPicPr>
                        <pic:blipFill>
                          <a:blip r:embed="rId5"/>
                          <a:stretch>
                            <a:fillRect/>
                          </a:stretch>
                        </pic:blipFill>
                        <pic:spPr>
                          <a:xfrm>
                            <a:off x="0" y="0"/>
                            <a:ext cx="0" cy="1176020"/>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673600" behindDoc="0" locked="0" layoutInCell="1" allowOverlap="1">
                  <wp:simplePos x="0" y="0"/>
                  <wp:positionH relativeFrom="column">
                    <wp:posOffset>0</wp:posOffset>
                  </wp:positionH>
                  <wp:positionV relativeFrom="paragraph">
                    <wp:posOffset>0</wp:posOffset>
                  </wp:positionV>
                  <wp:extent cx="0" cy="1209675"/>
                  <wp:effectExtent l="0" t="0" r="0" b="0"/>
                  <wp:wrapNone/>
                  <wp:docPr id="143" name="Picture_2_SpCnt_15"/>
                  <wp:cNvGraphicFramePr/>
                  <a:graphic xmlns:a="http://schemas.openxmlformats.org/drawingml/2006/main">
                    <a:graphicData uri="http://schemas.openxmlformats.org/drawingml/2006/picture">
                      <pic:pic xmlns:pic="http://schemas.openxmlformats.org/drawingml/2006/picture">
                        <pic:nvPicPr>
                          <pic:cNvPr id="143" name="Picture_2_SpCnt_15"/>
                          <pic:cNvPicPr/>
                        </pic:nvPicPr>
                        <pic:blipFill>
                          <a:blip r:embed="rId8"/>
                          <a:stretch>
                            <a:fillRect/>
                          </a:stretch>
                        </pic:blipFill>
                        <pic:spPr>
                          <a:xfrm>
                            <a:off x="0" y="0"/>
                            <a:ext cx="0" cy="1209675"/>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674624" behindDoc="0" locked="0" layoutInCell="1" allowOverlap="1">
                  <wp:simplePos x="0" y="0"/>
                  <wp:positionH relativeFrom="column">
                    <wp:posOffset>0</wp:posOffset>
                  </wp:positionH>
                  <wp:positionV relativeFrom="paragraph">
                    <wp:posOffset>0</wp:posOffset>
                  </wp:positionV>
                  <wp:extent cx="0" cy="1209675"/>
                  <wp:effectExtent l="0" t="0" r="0" b="0"/>
                  <wp:wrapNone/>
                  <wp:docPr id="144" name="Picture_2_SpCnt_16"/>
                  <wp:cNvGraphicFramePr/>
                  <a:graphic xmlns:a="http://schemas.openxmlformats.org/drawingml/2006/main">
                    <a:graphicData uri="http://schemas.openxmlformats.org/drawingml/2006/picture">
                      <pic:pic xmlns:pic="http://schemas.openxmlformats.org/drawingml/2006/picture">
                        <pic:nvPicPr>
                          <pic:cNvPr id="144" name="Picture_2_SpCnt_16"/>
                          <pic:cNvPicPr/>
                        </pic:nvPicPr>
                        <pic:blipFill>
                          <a:blip r:embed="rId4"/>
                          <a:stretch>
                            <a:fillRect/>
                          </a:stretch>
                        </pic:blipFill>
                        <pic:spPr>
                          <a:xfrm>
                            <a:off x="0" y="0"/>
                            <a:ext cx="0" cy="1209675"/>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675648" behindDoc="0" locked="0" layoutInCell="1" allowOverlap="1">
                  <wp:simplePos x="0" y="0"/>
                  <wp:positionH relativeFrom="column">
                    <wp:posOffset>0</wp:posOffset>
                  </wp:positionH>
                  <wp:positionV relativeFrom="paragraph">
                    <wp:posOffset>0</wp:posOffset>
                  </wp:positionV>
                  <wp:extent cx="0" cy="1209675"/>
                  <wp:effectExtent l="0" t="0" r="0" b="0"/>
                  <wp:wrapNone/>
                  <wp:docPr id="131" name="Picture_2_SpCnt_17"/>
                  <wp:cNvGraphicFramePr/>
                  <a:graphic xmlns:a="http://schemas.openxmlformats.org/drawingml/2006/main">
                    <a:graphicData uri="http://schemas.openxmlformats.org/drawingml/2006/picture">
                      <pic:pic xmlns:pic="http://schemas.openxmlformats.org/drawingml/2006/picture">
                        <pic:nvPicPr>
                          <pic:cNvPr id="131" name="Picture_2_SpCnt_17"/>
                          <pic:cNvPicPr/>
                        </pic:nvPicPr>
                        <pic:blipFill>
                          <a:blip r:embed="rId4"/>
                          <a:stretch>
                            <a:fillRect/>
                          </a:stretch>
                        </pic:blipFill>
                        <pic:spPr>
                          <a:xfrm>
                            <a:off x="0" y="0"/>
                            <a:ext cx="0" cy="1209675"/>
                          </a:xfrm>
                          <a:prstGeom prst="rect">
                            <a:avLst/>
                          </a:prstGeom>
                          <a:noFill/>
                          <a:ln>
                            <a:noFill/>
                          </a:ln>
                        </pic:spPr>
                      </pic:pic>
                    </a:graphicData>
                  </a:graphic>
                </wp:anchor>
              </w:drawing>
            </w:r>
          </w:p>
        </w:tc>
      </w:tr>
      <w:tr w14:paraId="175A1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9"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F814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DE8A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智能升降电源控制系统</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3E68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1、可进行系统设置、系统初始化、密码更改、分组设置等功能；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2、可控制220V电源系统：控制学生端220V供电开关，每组可以单独控制，可以组合控制，可以全部同时控制。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3、可控制交直流低压控制系统：控制学生端交直流低压，每组可以单独控制，可以组合控制，可以全部同时控制，教师锁定时,学生自己无法操作。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4、可控制智能升降机构升降：每组可以单独控制，可以组合控制，可以全部同时控制。</w:t>
            </w:r>
          </w:p>
        </w:tc>
        <w:tc>
          <w:tcPr>
            <w:tcW w:w="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154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05D6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B68DCA">
            <w:pPr>
              <w:jc w:val="center"/>
              <w:rPr>
                <w:rFonts w:hint="eastAsia" w:ascii="宋体" w:hAnsi="宋体" w:eastAsia="宋体" w:cs="宋体"/>
                <w:i w:val="0"/>
                <w:iCs w:val="0"/>
                <w:color w:val="000000"/>
                <w:sz w:val="18"/>
                <w:szCs w:val="18"/>
                <w:u w:val="none"/>
              </w:rPr>
            </w:pPr>
          </w:p>
        </w:tc>
      </w:tr>
      <w:tr w14:paraId="55AB5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8"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207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4B72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顶部多模块电源供应装置</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E462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采用ABS材质，模具一体成型。模块内预留2组高压、2组低压安装位置。内装限位器，具备保护功能</w:t>
            </w:r>
          </w:p>
        </w:tc>
        <w:tc>
          <w:tcPr>
            <w:tcW w:w="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06C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1D18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E924A3">
            <w:pPr>
              <w:jc w:val="center"/>
              <w:rPr>
                <w:rFonts w:hint="eastAsia" w:ascii="宋体" w:hAnsi="宋体" w:eastAsia="宋体" w:cs="宋体"/>
                <w:i w:val="0"/>
                <w:iCs w:val="0"/>
                <w:color w:val="000000"/>
                <w:sz w:val="18"/>
                <w:szCs w:val="18"/>
                <w:u w:val="none"/>
              </w:rPr>
            </w:pPr>
          </w:p>
        </w:tc>
      </w:tr>
      <w:tr w14:paraId="35550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8"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7E01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0A5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模块储藏装置</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9D2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采用ABS材质，模具一体成型。四周带氛围灯设计。</w:t>
            </w:r>
          </w:p>
        </w:tc>
        <w:tc>
          <w:tcPr>
            <w:tcW w:w="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191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40C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016825">
            <w:pPr>
              <w:jc w:val="center"/>
              <w:rPr>
                <w:rFonts w:hint="eastAsia" w:ascii="宋体" w:hAnsi="宋体" w:eastAsia="宋体" w:cs="宋体"/>
                <w:i w:val="0"/>
                <w:iCs w:val="0"/>
                <w:color w:val="000000"/>
                <w:sz w:val="18"/>
                <w:szCs w:val="18"/>
                <w:u w:val="none"/>
              </w:rPr>
            </w:pPr>
          </w:p>
        </w:tc>
      </w:tr>
      <w:tr w14:paraId="79649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9"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BA76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690B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智能升降电源低压模块</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91A8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1、教师主控型，学生低压电源都可接收主控电源发送的锁定信号，在锁定指示灯点亮后，学生接收老师输送的设定电源电压，教师锁定时,学生自己无法操作，这样可避免学生的误操作。可以分组或独立控制；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2、学生电源采用耐磨、耐腐蚀、耐高温的PC亮光薄膜面板，学生电源的控制采用按钮式按键，可以随意设置电压，贴片元件生产技术，微电脑控制，采用1.54寸液晶显示电源学生交直流电压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3、学生交流电源通过上下键0～24V电压，最小调节单元可达1V,额定电流2A，具有过载保护智能检测功能（电流高于过载点则自动保护，电流低于过载点则自动恢复至设定值）；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4、学生直流电源也是通过上下键选取，调节范围为1.5～24V，分辨率可达0.1V,额定电流2.5A，亦具有过载保护智能检测功能。</w:t>
            </w:r>
          </w:p>
        </w:tc>
        <w:tc>
          <w:tcPr>
            <w:tcW w:w="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A43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654E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ABEFC4">
            <w:pPr>
              <w:jc w:val="center"/>
              <w:rPr>
                <w:rFonts w:hint="eastAsia" w:ascii="宋体" w:hAnsi="宋体" w:eastAsia="宋体" w:cs="宋体"/>
                <w:i w:val="0"/>
                <w:iCs w:val="0"/>
                <w:color w:val="000000"/>
                <w:sz w:val="18"/>
                <w:szCs w:val="18"/>
                <w:u w:val="none"/>
              </w:rPr>
            </w:pPr>
          </w:p>
        </w:tc>
      </w:tr>
      <w:tr w14:paraId="36132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8"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9B2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2B3F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智能升降电源高压模块</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13A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采用220V多功能安全插座，每组含2个插座</w:t>
            </w:r>
          </w:p>
        </w:tc>
        <w:tc>
          <w:tcPr>
            <w:tcW w:w="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97C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B5D5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F3F98A">
            <w:pPr>
              <w:jc w:val="center"/>
              <w:rPr>
                <w:rFonts w:hint="eastAsia" w:ascii="宋体" w:hAnsi="宋体" w:eastAsia="宋体" w:cs="宋体"/>
                <w:i w:val="0"/>
                <w:iCs w:val="0"/>
                <w:color w:val="000000"/>
                <w:sz w:val="18"/>
                <w:szCs w:val="18"/>
                <w:u w:val="none"/>
              </w:rPr>
            </w:pPr>
          </w:p>
        </w:tc>
      </w:tr>
      <w:tr w14:paraId="124FB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7"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FA01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307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智能升降电源升降机构</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C095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升降控制机构：教师主控型，智能升降电源接收教师主控发出指令，进行升降处理，升降机构内安装分组独立控制器：控制器可对学生端的电源模块、智能升降电源控制系统进行独立分组控制，实现全选、反选、单选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2、采用自动升降系统，旋转线槽模块采用轮毂式，设备自带限位器，具备保护功能</w:t>
            </w:r>
          </w:p>
        </w:tc>
        <w:tc>
          <w:tcPr>
            <w:tcW w:w="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6A8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5186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139CB8">
            <w:pPr>
              <w:jc w:val="center"/>
              <w:rPr>
                <w:rFonts w:hint="eastAsia" w:ascii="宋体" w:hAnsi="宋体" w:eastAsia="宋体" w:cs="宋体"/>
                <w:i w:val="0"/>
                <w:iCs w:val="0"/>
                <w:color w:val="000000"/>
                <w:sz w:val="18"/>
                <w:szCs w:val="18"/>
                <w:u w:val="none"/>
              </w:rPr>
            </w:pPr>
          </w:p>
        </w:tc>
      </w:tr>
      <w:tr w14:paraId="3CF01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8"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905B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E5FA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综合布线</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DA72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220V供电：采用2.5平方电线；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控制线：采用1平方屏蔽电源线；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低压供电：采用1.5平房电线；</w:t>
            </w:r>
          </w:p>
        </w:tc>
        <w:tc>
          <w:tcPr>
            <w:tcW w:w="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DA6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8F9C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E748A2">
            <w:pPr>
              <w:jc w:val="center"/>
              <w:rPr>
                <w:rFonts w:hint="eastAsia" w:ascii="宋体" w:hAnsi="宋体" w:eastAsia="宋体" w:cs="宋体"/>
                <w:i w:val="0"/>
                <w:iCs w:val="0"/>
                <w:color w:val="000000"/>
                <w:sz w:val="18"/>
                <w:szCs w:val="18"/>
                <w:u w:val="none"/>
              </w:rPr>
            </w:pPr>
          </w:p>
        </w:tc>
      </w:tr>
      <w:tr w14:paraId="672ED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8"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375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217D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安装辅件及支架</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34E1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1、支架采用环氧树脂喷涂金属吊杆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2、其它安装辅件，采用国标五金件</w:t>
            </w:r>
          </w:p>
        </w:tc>
        <w:tc>
          <w:tcPr>
            <w:tcW w:w="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D44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式</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F3FB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E0A071">
            <w:pPr>
              <w:jc w:val="center"/>
              <w:rPr>
                <w:rFonts w:hint="eastAsia" w:ascii="宋体" w:hAnsi="宋体" w:eastAsia="宋体" w:cs="宋体"/>
                <w:i w:val="0"/>
                <w:iCs w:val="0"/>
                <w:color w:val="000000"/>
                <w:sz w:val="18"/>
                <w:szCs w:val="18"/>
                <w:u w:val="none"/>
              </w:rPr>
            </w:pPr>
          </w:p>
        </w:tc>
      </w:tr>
      <w:tr w14:paraId="4D04C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1"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34F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0FA1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系统调试安装</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5FA7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1、标准化安装，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2、系统结构调试；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3、系统控制调试；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4、供电系统调试；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5、升降调试</w:t>
            </w:r>
          </w:p>
        </w:tc>
        <w:tc>
          <w:tcPr>
            <w:tcW w:w="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501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式</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B63E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26D9F7">
            <w:pPr>
              <w:jc w:val="center"/>
              <w:rPr>
                <w:rFonts w:hint="eastAsia" w:ascii="宋体" w:hAnsi="宋体" w:eastAsia="宋体" w:cs="宋体"/>
                <w:i w:val="0"/>
                <w:iCs w:val="0"/>
                <w:color w:val="000000"/>
                <w:sz w:val="18"/>
                <w:szCs w:val="18"/>
                <w:u w:val="none"/>
              </w:rPr>
            </w:pPr>
          </w:p>
        </w:tc>
      </w:tr>
      <w:tr w14:paraId="4ACDA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trPr>
        <w:tc>
          <w:tcPr>
            <w:tcW w:w="10065"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D7FFC1">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基础装修部分</w:t>
            </w:r>
          </w:p>
        </w:tc>
      </w:tr>
      <w:tr w14:paraId="20247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9"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6A66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F64F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布线系统（地下部分）</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C482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线2.5平方、4平方、6平方插排、PVC管、网线、空气开关、网络接口Rosenberger超五类模块；开槽暗敷，电线连接部分采用焊接方式防水胶布2层，绝缘胶布2层，加以保护，配电采用铝塑管护套,内穿BV塑铜线，多媒体产品安装、调试</w:t>
            </w:r>
          </w:p>
        </w:tc>
        <w:tc>
          <w:tcPr>
            <w:tcW w:w="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8DC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5EF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104251">
            <w:pPr>
              <w:jc w:val="center"/>
              <w:rPr>
                <w:rFonts w:hint="eastAsia" w:ascii="宋体" w:hAnsi="宋体" w:eastAsia="宋体" w:cs="宋体"/>
                <w:i w:val="0"/>
                <w:iCs w:val="0"/>
                <w:color w:val="000000"/>
                <w:sz w:val="18"/>
                <w:szCs w:val="18"/>
                <w:u w:val="none"/>
              </w:rPr>
            </w:pPr>
          </w:p>
        </w:tc>
      </w:tr>
      <w:tr w14:paraId="62D46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8"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C232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6A32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给排水系统（地下部分）</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632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给水采用φ25㎜优质PPR(国标)管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排水采用φ50㎜优质PVC(国标)管，暗敷，安装调试（含辅料及耗材）。符合安全用水要求</w:t>
            </w:r>
          </w:p>
        </w:tc>
        <w:tc>
          <w:tcPr>
            <w:tcW w:w="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8CC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061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5696B7">
            <w:pPr>
              <w:jc w:val="center"/>
              <w:rPr>
                <w:rFonts w:hint="eastAsia" w:ascii="宋体" w:hAnsi="宋体" w:eastAsia="宋体" w:cs="宋体"/>
                <w:i w:val="0"/>
                <w:iCs w:val="0"/>
                <w:color w:val="000000"/>
                <w:sz w:val="18"/>
                <w:szCs w:val="18"/>
                <w:u w:val="none"/>
              </w:rPr>
            </w:pPr>
          </w:p>
        </w:tc>
      </w:tr>
      <w:tr w14:paraId="6501C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6"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118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A146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文化窗帘</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71D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文化窗帘</w:t>
            </w:r>
          </w:p>
        </w:tc>
        <w:tc>
          <w:tcPr>
            <w:tcW w:w="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06B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EFF9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A47BE5">
            <w:pPr>
              <w:jc w:val="center"/>
              <w:rPr>
                <w:rFonts w:hint="eastAsia" w:ascii="宋体" w:hAnsi="宋体" w:eastAsia="宋体" w:cs="宋体"/>
                <w:i w:val="0"/>
                <w:iCs w:val="0"/>
                <w:color w:val="000000"/>
                <w:sz w:val="18"/>
                <w:szCs w:val="18"/>
                <w:u w:val="none"/>
              </w:rPr>
            </w:pPr>
          </w:p>
        </w:tc>
      </w:tr>
    </w:tbl>
    <w:p w14:paraId="3626011C">
      <w:pPr>
        <w:rPr>
          <w:rFonts w:hint="eastAsia" w:ascii="宋体" w:hAnsi="宋体" w:eastAsia="宋体" w:cs="宋体"/>
          <w:sz w:val="18"/>
          <w:szCs w:val="18"/>
        </w:rPr>
      </w:pPr>
    </w:p>
    <w:tbl>
      <w:tblPr>
        <w:tblStyle w:val="2"/>
        <w:tblW w:w="10200" w:type="dxa"/>
        <w:tblInd w:w="-83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70"/>
        <w:gridCol w:w="780"/>
        <w:gridCol w:w="7755"/>
        <w:gridCol w:w="570"/>
        <w:gridCol w:w="525"/>
      </w:tblGrid>
      <w:tr w14:paraId="2FEDA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10200" w:type="dxa"/>
            <w:gridSpan w:val="5"/>
            <w:tcBorders>
              <w:top w:val="single" w:color="000000" w:sz="4" w:space="0"/>
              <w:left w:val="single" w:color="000000" w:sz="4" w:space="0"/>
              <w:bottom w:val="single" w:color="000000" w:sz="4" w:space="0"/>
              <w:right w:val="nil"/>
            </w:tcBorders>
            <w:noWrap/>
            <w:vAlign w:val="center"/>
          </w:tcPr>
          <w:p w14:paraId="5258A05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物理新课标实验目录专题实验箱配置清单（单室配置）</w:t>
            </w:r>
          </w:p>
        </w:tc>
      </w:tr>
      <w:tr w14:paraId="7EC3F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0200" w:type="dxa"/>
            <w:gridSpan w:val="5"/>
            <w:tcBorders>
              <w:top w:val="single" w:color="000000" w:sz="4" w:space="0"/>
              <w:left w:val="single" w:color="000000" w:sz="4" w:space="0"/>
              <w:bottom w:val="single" w:color="000000" w:sz="4" w:space="0"/>
              <w:right w:val="nil"/>
            </w:tcBorders>
            <w:noWrap w:val="0"/>
            <w:vAlign w:val="center"/>
          </w:tcPr>
          <w:p w14:paraId="1A2F93E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     根据学校实际需求，现按56名学生4人一组计14组，加教师1组共计15组配置。</w:t>
            </w:r>
          </w:p>
        </w:tc>
      </w:tr>
      <w:tr w14:paraId="33462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570" w:type="dxa"/>
            <w:tcBorders>
              <w:top w:val="single" w:color="000000" w:sz="4" w:space="0"/>
              <w:left w:val="single" w:color="000000" w:sz="4" w:space="0"/>
              <w:bottom w:val="single" w:color="000000" w:sz="4" w:space="0"/>
              <w:right w:val="single" w:color="000000" w:sz="4" w:space="0"/>
            </w:tcBorders>
            <w:noWrap w:val="0"/>
            <w:vAlign w:val="center"/>
          </w:tcPr>
          <w:p w14:paraId="2D8E5C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编号</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E9BB1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名称</w:t>
            </w:r>
          </w:p>
        </w:tc>
        <w:tc>
          <w:tcPr>
            <w:tcW w:w="7755" w:type="dxa"/>
            <w:tcBorders>
              <w:top w:val="single" w:color="000000" w:sz="4" w:space="0"/>
              <w:left w:val="single" w:color="000000" w:sz="4" w:space="0"/>
              <w:bottom w:val="single" w:color="000000" w:sz="4" w:space="0"/>
              <w:right w:val="single" w:color="000000" w:sz="4" w:space="0"/>
            </w:tcBorders>
            <w:noWrap w:val="0"/>
            <w:vAlign w:val="center"/>
          </w:tcPr>
          <w:p w14:paraId="389A0C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技术参数</w:t>
            </w:r>
          </w:p>
        </w:tc>
        <w:tc>
          <w:tcPr>
            <w:tcW w:w="570" w:type="dxa"/>
            <w:tcBorders>
              <w:top w:val="single" w:color="000000" w:sz="4" w:space="0"/>
              <w:left w:val="single" w:color="000000" w:sz="4" w:space="0"/>
              <w:bottom w:val="single" w:color="000000" w:sz="4" w:space="0"/>
              <w:right w:val="single" w:color="000000" w:sz="4" w:space="0"/>
            </w:tcBorders>
            <w:noWrap w:val="0"/>
            <w:vAlign w:val="center"/>
          </w:tcPr>
          <w:p w14:paraId="641DA7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3170AB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r>
      <w:tr w14:paraId="222A8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85" w:hRule="atLeast"/>
        </w:trPr>
        <w:tc>
          <w:tcPr>
            <w:tcW w:w="570" w:type="dxa"/>
            <w:tcBorders>
              <w:top w:val="single" w:color="000000" w:sz="4" w:space="0"/>
              <w:left w:val="single" w:color="000000" w:sz="4" w:space="0"/>
              <w:bottom w:val="single" w:color="000000" w:sz="4" w:space="0"/>
              <w:right w:val="single" w:color="000000" w:sz="4" w:space="0"/>
            </w:tcBorders>
            <w:noWrap w:val="0"/>
            <w:vAlign w:val="center"/>
          </w:tcPr>
          <w:p w14:paraId="35D597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F8F4D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高中物理工具与仪表实验箱</w:t>
            </w:r>
          </w:p>
        </w:tc>
        <w:tc>
          <w:tcPr>
            <w:tcW w:w="7755" w:type="dxa"/>
            <w:tcBorders>
              <w:top w:val="single" w:color="000000" w:sz="4" w:space="0"/>
              <w:left w:val="single" w:color="000000" w:sz="4" w:space="0"/>
              <w:bottom w:val="single" w:color="000000" w:sz="4" w:space="0"/>
              <w:right w:val="single" w:color="000000" w:sz="4" w:space="0"/>
            </w:tcBorders>
            <w:noWrap w:val="0"/>
            <w:vAlign w:val="center"/>
          </w:tcPr>
          <w:p w14:paraId="103130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3、底部滑轮，便携把手，一体式顶盖。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二、器材清单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铁架台底座*1、支撑杆（L=600mm，公母杆，可拆分）*2、支撑杆（L=250mm）*1、支撑杆（L=145mm）*1、带孔支撑杆*1、转接头*1、塑料水槽*1、A4纸*2、三角板*1（含30°-60°-90°、45°-45°-90°各1块）、火柴*1、食盐*1、洗衣皂*1、直尺*1、镊子*1、电阻箱*1、透明胶带*1、指针式万用表*1、一字螺丝刀*1、螺旋测微器*1、游标卡尺*1、秒表*1、槽码托*2、槽码50g*4、槽码10g*4、橡皮筋*50、刻度尺夹*1、卷尺*1、红墨水*1、高精度电子秤*1、6.2V小灯泡（6.2V/0.5A）*3、3.8V小灯泡（3.8V/0.3A）*3、1.5V小灯泡（1.5V/0.3A）*3、灵敏小灯泡（4V；0.04A）*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三、主要器材配置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铁架台底座：外形尺寸≥200*100mm，ABS材质，配有2个横杆紧固扳手以及1个立杆紧锁螺丝，2个为一套组装使用，可组装成不同形态，满足理化生各种支撑类实验需求。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塑料水槽：尺寸：175*175*68mm。半透明塑料材质。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指针式万用表：尺寸：150*80*37mm。5828基础款。可进行交流电压、直流电压测量，电容、三极管、通断蜂鸣测试。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电阻箱：尺寸：140×103×70mm，量程：0~9999Ω，分辨率：1Ω。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四、功能和应用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作为工具箱，可辅助其他实验箱，完成各类实验。并提供易耗品的补充。▲提供具有CMA和CNAS认证的第三方检测机构出具的满足参数要求的检测报告。</w:t>
            </w: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4A870A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1274FA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18CF2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17" w:hRule="atLeast"/>
        </w:trPr>
        <w:tc>
          <w:tcPr>
            <w:tcW w:w="570" w:type="dxa"/>
            <w:tcBorders>
              <w:top w:val="single" w:color="000000" w:sz="4" w:space="0"/>
              <w:left w:val="single" w:color="000000" w:sz="4" w:space="0"/>
              <w:bottom w:val="single" w:color="000000" w:sz="4" w:space="0"/>
              <w:right w:val="single" w:color="000000" w:sz="4" w:space="0"/>
            </w:tcBorders>
            <w:noWrap w:val="0"/>
            <w:vAlign w:val="center"/>
          </w:tcPr>
          <w:p w14:paraId="540BC0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7677E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高中物理直线运动与机械能实验箱</w:t>
            </w:r>
          </w:p>
        </w:tc>
        <w:tc>
          <w:tcPr>
            <w:tcW w:w="7755" w:type="dxa"/>
            <w:tcBorders>
              <w:top w:val="single" w:color="000000" w:sz="4" w:space="0"/>
              <w:left w:val="single" w:color="000000" w:sz="4" w:space="0"/>
              <w:bottom w:val="single" w:color="000000" w:sz="4" w:space="0"/>
              <w:right w:val="single" w:color="000000" w:sz="4" w:space="0"/>
            </w:tcBorders>
            <w:noWrap w:val="0"/>
            <w:vAlign w:val="center"/>
          </w:tcPr>
          <w:p w14:paraId="0701CE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3、底部滑轮，便携把手，一体式顶盖。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二、器材清单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红色小车*2、圆环*2、铅封螺丝*2、U型支架*1、电火花打点计时器*1、完全非弹性碰撞组件*1、纸带连接器*1、缓冲器挡板*1、碰撞架*1、L型支架*2、20mm挡光板*2、通用夹具*1、小汽车车轮*4、M6×15手紧螺丝*2、M6×10手紧螺丝*8、M4×8手紧螺丝*2、小龙虾扣*2、M6蝶形螺母*1、蝶形螺丝【M4×35】*1、水平泡*1、1g槽码托*1、1g槽码*4、20N/m螺旋弹簧*1、固定杆*1、导轨1.2m*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三、主要器材配置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红色小车：四轮，尾部带磁铁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电火花打点计时器：220V±10V，20Hz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缓冲器挡板：带2个弹簧和1个滑轮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挡光板：挡板宽度20mm，铝合金，黑色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螺旋弹簧：20N/m，弹簧钢、电镀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导轨：L=1.2m，铝合金，带刻度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四、功能和应用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1.练习使用打点计时器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2.测量纸带的平均速度和瞬时速度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3.测量做直线运动物体的瞬时速度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4.探究小车速度随时间的变化的规律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5.探究小车位移随时间的变化的规律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6.通过位移之比测量加速度之比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7.人的反应时间测量尺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8.研究自由落体运动的规律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9.探究加速度与质量的关系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10.探究加速度与力的关系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11.探究动能表达式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12.研究小车碰撞前后的动能变化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13.验证机械能守恒定律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14.探究功与物体速度变化的关系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15.探究弹性势能与动能的转化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16.探究重力势能与弹性势能的相互转化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17.用小车探究弹性碰撞与非弹性碰撞</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18.研究小车碰撞前后的动量变化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19.冲量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20.用打点计时器研究碰撞中的不变量  ▲提供具有CMA和CNAS认证的第三方检测机构出具的满足参数要求的检测报告。</w:t>
            </w: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1ED7B6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726FBC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422F1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75" w:hRule="atLeast"/>
        </w:trPr>
        <w:tc>
          <w:tcPr>
            <w:tcW w:w="570" w:type="dxa"/>
            <w:tcBorders>
              <w:top w:val="single" w:color="000000" w:sz="4" w:space="0"/>
              <w:left w:val="single" w:color="000000" w:sz="4" w:space="0"/>
              <w:bottom w:val="single" w:color="000000" w:sz="4" w:space="0"/>
              <w:right w:val="single" w:color="000000" w:sz="4" w:space="0"/>
            </w:tcBorders>
            <w:noWrap w:val="0"/>
            <w:vAlign w:val="center"/>
          </w:tcPr>
          <w:p w14:paraId="6E67E6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B11E6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高中物理相互作用实验箱</w:t>
            </w:r>
          </w:p>
        </w:tc>
        <w:tc>
          <w:tcPr>
            <w:tcW w:w="7755" w:type="dxa"/>
            <w:tcBorders>
              <w:top w:val="single" w:color="000000" w:sz="4" w:space="0"/>
              <w:left w:val="single" w:color="000000" w:sz="4" w:space="0"/>
              <w:bottom w:val="single" w:color="000000" w:sz="4" w:space="0"/>
              <w:right w:val="single" w:color="000000" w:sz="4" w:space="0"/>
            </w:tcBorders>
            <w:noWrap w:val="0"/>
            <w:vAlign w:val="center"/>
          </w:tcPr>
          <w:p w14:paraId="19BFCD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3、底部滑轮，便携把手，一体式顶盖。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二、器材清单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摩擦块*1、摩擦板*1、激光笔套装*1、3N/m弹簧*2、力的合成实验板*1、弹簧测力计固定座*2、反射镜*2、1N弹簧测力计*1、2N弹簧测力计*2、5N弹簧测力计*1、A5卡纸*5、固定杆*1、10寸气球*5、18寸气球*3、φ=16mm带孔钢球*1、φ=16mm实心钢球*2、φ=16mm带孔塑料球*1、气球反冲小车*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三、主要器材配置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摩擦块：一面木头、一面橡胶，带钩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摩擦板：L=410mm，两侧带魔术贴，附带丝绸、棉布各1条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弹簧：3N/m，带指针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力的合成实验板：415×250×5mm，透明亚克力，板上有1个螺钉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弹簧测力计：圆筒型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四、功能和应用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1.通过平面镜观察桌面的微小形变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2.探究形变的种类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3.探究弹簧力与形变量的关系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4.探究弹簧的串联和并联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5.验证三角形的重心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6.探究不规则纸板的重心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7.静摩擦力的大小随拉力的变化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8.用弹簧测力计探究作用力和反作用力的关系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9.测量摩擦系数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10.探究两个互成角度的力的合成规律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11.探究一个力可以分解为无数组力</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12.物体受力的初步分析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13.惯性参考系——小钢球抽纸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14.超重和失重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15.竖直加速度测量仪</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16.球形物体空气阻力大小与速率关系的研究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17.橡皮筋的伸长与拉力大小的关系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18.弹簧的弹性势能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19.小球碰撞前后速度的变化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20.反冲现象  ▲提供具有CMA和CNAS认证的第三方检测机构出具的满足参数要求的检测报告。</w:t>
            </w: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497E43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7C8F70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3AF97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65" w:hRule="atLeast"/>
        </w:trPr>
        <w:tc>
          <w:tcPr>
            <w:tcW w:w="570" w:type="dxa"/>
            <w:tcBorders>
              <w:top w:val="single" w:color="000000" w:sz="4" w:space="0"/>
              <w:left w:val="single" w:color="000000" w:sz="4" w:space="0"/>
              <w:bottom w:val="single" w:color="000000" w:sz="4" w:space="0"/>
              <w:right w:val="single" w:color="000000" w:sz="4" w:space="0"/>
            </w:tcBorders>
            <w:noWrap w:val="0"/>
            <w:vAlign w:val="center"/>
          </w:tcPr>
          <w:p w14:paraId="48D466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92EDF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高中物理曲线运动实验箱</w:t>
            </w:r>
          </w:p>
        </w:tc>
        <w:tc>
          <w:tcPr>
            <w:tcW w:w="7755" w:type="dxa"/>
            <w:tcBorders>
              <w:top w:val="single" w:color="000000" w:sz="4" w:space="0"/>
              <w:left w:val="single" w:color="000000" w:sz="4" w:space="0"/>
              <w:bottom w:val="single" w:color="000000" w:sz="4" w:space="0"/>
              <w:right w:val="single" w:color="000000" w:sz="4" w:space="0"/>
            </w:tcBorders>
            <w:noWrap w:val="0"/>
            <w:vAlign w:val="center"/>
          </w:tcPr>
          <w:p w14:paraId="3E0817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3、底部滑轮，便携把手，一体式顶盖。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二、器材清单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白卷纸*1、φ=16mm玻璃球*2、手摇轮手柄*1、小齿轮20齿*1、大齿轮40齿*1、M6蝶形螺母*1、动量守恒轨道*1、16K复写纸10张*1、φ=16mm钢球*2、固定轴*2、滚花不锈钢棒*1、回形针*2、塑料漏斗*1、平抛轨道*1、M3x25手紧螺丝*2、M3手拧螺母*2、台阶螺杆*1、条形磁铁强磁*1、铁钉*2、铜锥*1、平抛运动实验器*1、向心力实验器*1、黄蜂蜡*1、硅胶堵头*2、30cm亚克力管*1、直线曲线轨道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三、主要器材配置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平抛运动实验器：20cm*25cm*37cm（含底座），含磁吸条2根、塑料挡板等部件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动量守恒轨道：带定位孔，弧形，配合平抛运动实验器使用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平抛轨道：带夹子，弧形，配合平抛运动实验器使用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向心力实验器：底座12*24cm，带导杆、周期测定盘、配重、半径指示器等部件。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亚克力管：外φ16内φ12mm，L=30cm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直线曲线轨道：二弯二直，两个小球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四、功能和应用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1.观察做曲线运动物体的速度方向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2.观察钢球的运动轨迹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3.用飞镖显示曲线运动的速度方向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4.观察蜡块的运动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5.探究平抛运动的特点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6.观察钢球的运动轨迹是否为抛物线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7.自行车大小齿轮上的点运动的快慢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8.感受向心力</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9.探究向心力大小的表达式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10.漏斗内小球做匀速圆周运动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11.验证动量守恒定律</w:t>
            </w: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3B624F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2315DE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0A5D2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49" w:hRule="atLeast"/>
        </w:trPr>
        <w:tc>
          <w:tcPr>
            <w:tcW w:w="570" w:type="dxa"/>
            <w:tcBorders>
              <w:top w:val="single" w:color="000000" w:sz="4" w:space="0"/>
              <w:left w:val="single" w:color="000000" w:sz="4" w:space="0"/>
              <w:bottom w:val="single" w:color="000000" w:sz="4" w:space="0"/>
              <w:right w:val="single" w:color="000000" w:sz="4" w:space="0"/>
            </w:tcBorders>
            <w:noWrap w:val="0"/>
            <w:vAlign w:val="center"/>
          </w:tcPr>
          <w:p w14:paraId="711DCA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6A81F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高中物理静电场实验箱</w:t>
            </w:r>
          </w:p>
        </w:tc>
        <w:tc>
          <w:tcPr>
            <w:tcW w:w="7755" w:type="dxa"/>
            <w:tcBorders>
              <w:top w:val="single" w:color="000000" w:sz="4" w:space="0"/>
              <w:left w:val="single" w:color="000000" w:sz="4" w:space="0"/>
              <w:bottom w:val="single" w:color="000000" w:sz="4" w:space="0"/>
              <w:right w:val="single" w:color="000000" w:sz="4" w:space="0"/>
            </w:tcBorders>
            <w:noWrap w:val="0"/>
            <w:vAlign w:val="center"/>
          </w:tcPr>
          <w:p w14:paraId="1B1C34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3、底部滑轮，便携把手，一体式顶盖。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二、器材清单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刀双掷开关模块*1、5Ω电阻模块*1、4700μF电容模块*1、碳纸*1、验电器*1、枕形导体*1、指针式电压表*1、指针式灵敏电流计*1、拼接式电池盒*2、复写纸*10、1号电池*2、探针*2、红色导线（500mm）*4、黑色导线（500mm）*4、红色导线（250mm）*1、黑色导线（250mm）*1、塑料棒*2、鳄鱼夹*2、丝绸*1、透明绝缘片*1、铝箔片*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三、主要器材配置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验电器：验电器支架铝合金材质，支架底座聚甲醛材质，静电指针，L=110mm，铝合金，静电指针转动杆，φ0.6-23.8，铝合金；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红色导线：硅胶线，32A，500mm，φ4全铜枪式灯笼头，2.5平线径；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黑色导线：硅胶线，32A，500mm，φ4全铜枪式灯笼头，2.5平线径；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红色导线：硅胶线，32A，250mm，φ4全铜枪式灯笼头，2.5平线径；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黑色导线：硅胶线，32A，250mm，φ4全铜枪式灯笼头，2.5平线径；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单刀双掷开关模块：白色上下壳116mm*60mm*30mm，E10螺口灯座，正（红）负（黑）极安全插座，底部磁吸，底部四角带有脚垫，PVC蓝色贴膜，白色丝印电路图；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5Ω水泥电阻模块：白色上下壳116mm*60mm*30mm，陶瓷水泥电阻5R-1%-10W，正（红）负（黑）极安全插座，底部磁吸，底部四角带有脚垫，PVC蓝色贴膜，白色丝印电路图；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4700μF电容模块*1：白色上下壳116mm*60mm*30mm，电容4700μF-20%,E10螺口灯座，正（红）负（黑）极安全插座，底部磁吸，底部四角带有脚垫，PVC蓝色贴膜，白色丝印电路图；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拼接式电池盒：尺寸：122mm*48mm*45mm。可放入1个1号电池。带有正（红）负（黑）极安全插座，可实现电池盒间的串联和并联。底部带有两个圆饼状磁铁，可实现磁吸功能；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指针式电压表：135mm*100mm*100mm，2.5级，3V/15V，正（红）负（黑）极香蕉插座，镀镍，20A纯铜接线柱；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指针式灵敏电流计：135mm*100mm*100mm，2.5级，300μA，正（红）负（黑）极香蕉插座，镀镍，20A纯铜接线柱；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四、功能和应用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1.观察静电感应现象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2.用验电器检测物体是否带电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3.电场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4.电场强度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5.模拟电场线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6.用碳纸描点法描绘电场线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7.尖端放电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8.静电屏蔽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9.等势面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10.观察电容器的充、放电现象 </w:t>
            </w: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1D8B9A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70898C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486F4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7" w:hRule="atLeast"/>
        </w:trPr>
        <w:tc>
          <w:tcPr>
            <w:tcW w:w="570" w:type="dxa"/>
            <w:tcBorders>
              <w:top w:val="single" w:color="000000" w:sz="4" w:space="0"/>
              <w:left w:val="single" w:color="000000" w:sz="4" w:space="0"/>
              <w:bottom w:val="single" w:color="000000" w:sz="4" w:space="0"/>
              <w:right w:val="single" w:color="000000" w:sz="4" w:space="0"/>
            </w:tcBorders>
            <w:noWrap w:val="0"/>
            <w:vAlign w:val="center"/>
          </w:tcPr>
          <w:p w14:paraId="5B865F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D5DD0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高中物理电路实验箱</w:t>
            </w:r>
          </w:p>
        </w:tc>
        <w:tc>
          <w:tcPr>
            <w:tcW w:w="7755" w:type="dxa"/>
            <w:tcBorders>
              <w:top w:val="single" w:color="000000" w:sz="4" w:space="0"/>
              <w:left w:val="single" w:color="000000" w:sz="4" w:space="0"/>
              <w:bottom w:val="single" w:color="000000" w:sz="4" w:space="0"/>
              <w:right w:val="single" w:color="000000" w:sz="4" w:space="0"/>
            </w:tcBorders>
            <w:noWrap w:val="0"/>
            <w:vAlign w:val="center"/>
          </w:tcPr>
          <w:p w14:paraId="7F8D3E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3、底部滑轮，便携把手，一体式顶盖。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二、器材清单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刀单掷开关模块*1、5Ω电阻模块*1、10Ω电阻模块*1、20Ω电阻模块*1、指针式电压表*1、指针式电流表*1、圆柱管*1、电学元件包*1、拼接式电池盒*4、1号电池*4、0.4mm康铜丝*1、0.4mm镍铬丝*1、0.6mm镍铬丝*1、红色导线（500mm）*5、黑色导线（500mm）*5、红色导线（250mm）*1、黑色导线（250mm）*1、鳄鱼夹*8、滑动变阻器*1、钨丝灯泡*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三、主要器材配置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电学元件包：含：定值电阻510Ω、1kΩ、10kΩ各2个；二极管2个；干簧管1个。用1个自封袋包装。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红色导线：硅胶线，32A，500mm，φ4全铜枪式灯笼头，2.5平线径；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黑色导线：硅胶线，32A，500mm，φ4全铜枪式灯笼头，2.5平线径；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红色导线：硅胶线，32A，250mm，φ4全铜枪式灯笼头，2.5平线径；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黑色导线：硅胶线，32A，250mm，φ4全铜枪式灯笼头，2.5平线径；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小灯泡模块：白色上下壳116mm*60mm*30mm，E10螺口灯座，正（红）负（黑）极安全插座，底部磁吸，底部四角带有脚垫，PVC蓝色贴膜，白色丝印电路图；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5Ω水泥电阻模块：白色上下壳116mm*60mm*30mm，陶瓷水泥电阻5R-1%-10W，正（红）负（黑）极安全插座，底部磁吸，底部四角带有脚垫，PVC蓝色贴膜，白色丝印电路图；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10Ω水泥电阻模块：白色上下壳116mm*60mm*30mm，陶瓷水泥电阻10R-1%-10W，正（红）负（黑）极安全插座，底部磁吸，底部四角带有脚垫，PVC蓝色贴膜，白色丝印电路图；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20Ω水泥电阻模块：白色上下壳116mm*60mm*30mm，陶瓷水泥电阻20R-1%-10W，正（红）负（黑）极安全插座，底部磁吸，底部四角带有脚垫，PVC蓝色贴膜，白色丝印电路图；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单刀单掷开关盒模块：白色上下壳116mm*60mm*30mm，单刀单掷开关闸刀，正（红）负（黑）极安全插座，底部磁吸，底部四角带有脚垫，PVC蓝色贴膜，白色丝印电路图；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拼接式电池盒：尺寸：122mm*48mm*45mm。可放入1个1号电池。带有正（红）负（黑）极安全插座，可实现电池盒间的串联和并联。底部带有两个圆饼状磁铁，可实现磁吸功能；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指针式电压表：135mm*100mm*100mm，2.5级，3V/15V，正（红）负（黑）极香蕉插座，镀镍，20A纯铜接线柱；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指针式电流表：135mm*100mm*100mm，2.5级，0.6A/3A，正（红）负（黑）极香蕉插座，镀镍，20A纯铜接线柱；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滑动变阻器：20Ω，230mm*55mm*85mm，康铜丝，合金铝支架，铜质接触片，瓷管尺寸Φ30*185mm；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四、功能和应用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1.探究影响导体电阻的因素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2.闭合电路的欧姆定律实验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2.探究导体的伏安特性曲线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3.长度的测量及测量工具的选用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4.金属丝电阻率的测量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5.探究串并联电路中各部分电阻的关系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6.练习使用多用电表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7.利用多用电表检测、排除电路故障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8.电池电动势和内阻的测量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9.测绘小灯泡的伏安特性曲线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10.测绘二极管的伏安特性曲线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11.测量小灯泡电功率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12.认识常用电子元器件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13.探究金属导体与材料、横截面积、长度的定量关系</w:t>
            </w: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3E1FA2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6E610E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0A5DB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6" w:hRule="atLeast"/>
        </w:trPr>
        <w:tc>
          <w:tcPr>
            <w:tcW w:w="570" w:type="dxa"/>
            <w:tcBorders>
              <w:top w:val="single" w:color="000000" w:sz="4" w:space="0"/>
              <w:left w:val="single" w:color="000000" w:sz="4" w:space="0"/>
              <w:bottom w:val="single" w:color="000000" w:sz="4" w:space="0"/>
              <w:right w:val="single" w:color="000000" w:sz="4" w:space="0"/>
            </w:tcBorders>
            <w:noWrap w:val="0"/>
            <w:vAlign w:val="center"/>
          </w:tcPr>
          <w:p w14:paraId="0891FE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2BD51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高中物理电磁实验箱</w:t>
            </w:r>
          </w:p>
        </w:tc>
        <w:tc>
          <w:tcPr>
            <w:tcW w:w="7755" w:type="dxa"/>
            <w:tcBorders>
              <w:top w:val="single" w:color="000000" w:sz="4" w:space="0"/>
              <w:left w:val="single" w:color="000000" w:sz="4" w:space="0"/>
              <w:bottom w:val="single" w:color="000000" w:sz="4" w:space="0"/>
              <w:right w:val="single" w:color="000000" w:sz="4" w:space="0"/>
            </w:tcBorders>
            <w:noWrap w:val="0"/>
            <w:vAlign w:val="center"/>
          </w:tcPr>
          <w:p w14:paraId="1F5876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3、底部滑轮，便携把手，一体式顶盖。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二、器材清单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1600匝线圈*1、直铁芯*1、单刀单掷开关模块*1、单刀双掷开关模块*1、50Ω电阻模块*1、小灯泡模块*2、4700μF电容模块*1、指针式灵敏电流计*1、收音机*1、圆柱磁铁*1、方柱磁铁*1、铁粉（瓶装，带喷头）*1、小磁针*8、拼接式电池盒*2、1号电池*2、红色导线（500mm）*3、黑色导线（500mm）*3、红色导线（250mm）*1、黑色导线（250mm）*1、鳄鱼夹*8、滑动变阻器*1、安培力实验器*1、霓虹灯*1、塑料板*1、铝环*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三、主要器材配置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1600匝线圈：1600匝，45Ω，正负极有白色安全插座，最大电流0.25A，上壳红色；。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红色导线：硅胶线，32A，500mm，φ4全铜枪式灯笼头，2.5平线径；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黑色导线：硅胶线，32A，500mm，φ4全铜枪式灯笼头，2.5平线径；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红色导线：硅胶线，32A，250mm，φ4全铜枪式灯笼头，2.5平线径；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黑色导线：硅胶线，32A，250mm，φ4全铜枪式灯笼头，2.5平线径；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小灯泡模块：白色上下壳116mm*60mm*30mm，E10螺口灯座，正（红）负（黑）极安全插座，底部磁吸，底部四角带有脚垫，PVC蓝色贴膜，白色丝印电路图；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50Ω水泥电阻模块：白色上下壳116mm*60mm*30mm，陶瓷水泥电阻50R-1%-10W，正（红）负（黑）极安全插座，底部磁吸，底部四角带有脚垫，PVC蓝色贴膜，白色丝印电路图；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单刀单掷开关盒模块：白色上下壳116mm*60mm*30mm，单刀单掷开关闸刀，正（红）负（黑）极安全插座，底部磁吸，底部四角带有脚垫，PVC蓝色贴膜，白色丝印电路图；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单刀双掷开关盒模块：白色上下壳116mm*60mm*30mm，单刀单掷开关闸刀，正（红）负（黑）极安全插座，底部磁吸，底部四角带有脚垫，PVC蓝色贴膜，白色丝印电路图；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拼接式电池盒：尺寸：122mm*48mm*45mm。可放入1个1号电池。带有正（红）负（黑）极安全插座，可实现电池盒间的串联和并联。底部带有两个圆饼状磁铁，可实现磁吸功能；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滑动变阻器：20Ω，230mm*55mm*85mm，康铜丝，合金铝支架，铜质接触片，瓷管尺寸Φ30*185mm；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安培力实验器：120mm*90mm，含：导体棒/线圈/U型磁铁，DV4—6V。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四、功能和应用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1.通电导线使小磁针偏转</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2.观察常见磁场的分布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3.探究影响通电导线受力的因素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4.探究感应电流产生的条件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5.捕捉电磁波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7.安培力的方向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8.探究影响感应电流方向的因素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9.磁铁靠近或远离铝环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10.观察两个灯泡的发光情况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11.观察开关断开时灯泡的亮度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12.观察振荡电路中电压的波形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13.电磁阻尼和电磁驱动</w:t>
            </w: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44610A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7658F9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3D4D2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570" w:type="dxa"/>
            <w:tcBorders>
              <w:top w:val="single" w:color="000000" w:sz="4" w:space="0"/>
              <w:left w:val="single" w:color="000000" w:sz="4" w:space="0"/>
              <w:bottom w:val="single" w:color="000000" w:sz="4" w:space="0"/>
              <w:right w:val="single" w:color="000000" w:sz="4" w:space="0"/>
            </w:tcBorders>
            <w:noWrap w:val="0"/>
            <w:vAlign w:val="center"/>
          </w:tcPr>
          <w:p w14:paraId="3C206A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FD1B8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高中物理交变电流与传感器实验箱</w:t>
            </w:r>
          </w:p>
        </w:tc>
        <w:tc>
          <w:tcPr>
            <w:tcW w:w="7755" w:type="dxa"/>
            <w:tcBorders>
              <w:top w:val="single" w:color="000000" w:sz="4" w:space="0"/>
              <w:left w:val="single" w:color="000000" w:sz="4" w:space="0"/>
              <w:bottom w:val="single" w:color="000000" w:sz="4" w:space="0"/>
              <w:right w:val="single" w:color="000000" w:sz="4" w:space="0"/>
            </w:tcBorders>
            <w:noWrap w:val="0"/>
            <w:vAlign w:val="center"/>
          </w:tcPr>
          <w:p w14:paraId="303FEA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3、底部滑轮，便携把手，一体式顶盖。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二、器材清单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400匝线圈*1、800匝线圈*1、直铁芯*1、U型铁芯*1、拧紧螺钉*1、单刀单掷开关模块*1、小灯泡模块*2、电磁继电器模块*1、NTC热敏电阻模块*1、光敏电阻模块*1、发光二极管模块*1、圆柱磁铁*1、电学元件包*1、电学元件包2*1、拼接式电池盒*1、1号电池*1、红色导线（500mm）*5、黑色导线（500mm）*5、红色导线（250mm）*2、黑色导线（250mm）*2、鳄鱼夹*8。</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三、主要器材配置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400匝线圈：400匝，3Ω，正负极有白色安全插座，最大电流1A，上壳黄色；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800匝线圈：800匝，8Ω，正负极有白色安全插座，最大电流0.75A，上壳象牙白色；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红色导线：硅胶线，32A，500mm，φ4全铜枪式灯笼头，2.5平线径；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黑色导线：硅胶线，32A，500mm，φ4全铜枪式灯笼头，2.5平线径；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红色导线：硅胶线，32A，250mm，φ4全铜枪式灯笼头，2.5平线径；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黑色导线：硅胶线，32A，250mm，φ4全铜枪式灯笼头，2.5平线径；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小灯泡模块：白色上下壳116mm*60mm*30mm，E10螺口灯座，正（红）负（黑）极安全插座，底部磁吸，底部四角带有脚垫，PVC蓝色贴膜，白色丝印电路图；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电磁继电器模块：白色上下壳116mm*60mm*30mm，5V切换电路，全部接线为安全插座，底部磁吸，底部四角带有脚垫，PVC蓝色贴膜，白色丝印电路图；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单刀单掷开关盒模块：白色上下壳116mm*60mm*30mm，单刀单掷开关闸刀，正（红）负（黑）极安全插座，底部磁吸，底部四角带有脚垫，PVC蓝色贴膜，白色丝印电路图；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NTC热敏电阻模块：白色上下壳116mm*60mm*30mm，正（红）负（黑）极安全插座，底部磁吸，底部四角带有脚垫，PVC蓝色贴膜，白色丝印电路图；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光敏电阻模块：白色上下壳116mm*60mm*30mm，正（红）负（黑）极安全插座，底部磁吸，底部四角带有脚垫，PVC蓝色贴膜，白色丝印电路图；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发光二极管模块：白色上下壳116mm*60mm*30mm，正（红）负（黑）极安全插座，底部磁吸，底部四角带有脚垫，PVC蓝色贴膜，白色丝印电路图；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拼接式电池盒：尺寸：122mm*48mm*45mm。可放入1个1号电池。带有正（红）负（黑）极安全插座，可实现电池盒间的串联和并联。底部带有两个圆饼状磁铁，可实现磁吸功能；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四、功能和应用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1.观察交变电流的方向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2.观察交流电的波形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3.用软件积分验证交流电的有效值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4.探究变压器原、副线圈电压与匝数的关系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5.认识干簧管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6.观察光敏电阻的特性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7.观察热敏电阻的特性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8.门窗防盗报警装置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9.光控开关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10.热控开关。</w:t>
            </w: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129525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02D626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2907A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9" w:hRule="atLeast"/>
        </w:trPr>
        <w:tc>
          <w:tcPr>
            <w:tcW w:w="570" w:type="dxa"/>
            <w:tcBorders>
              <w:top w:val="single" w:color="000000" w:sz="4" w:space="0"/>
              <w:left w:val="single" w:color="000000" w:sz="4" w:space="0"/>
              <w:bottom w:val="single" w:color="000000" w:sz="4" w:space="0"/>
              <w:right w:val="single" w:color="000000" w:sz="4" w:space="0"/>
            </w:tcBorders>
            <w:noWrap w:val="0"/>
            <w:vAlign w:val="center"/>
          </w:tcPr>
          <w:p w14:paraId="010B41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EF3D7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高中物理机械振动与机械波实验箱</w:t>
            </w:r>
          </w:p>
        </w:tc>
        <w:tc>
          <w:tcPr>
            <w:tcW w:w="7755" w:type="dxa"/>
            <w:tcBorders>
              <w:top w:val="single" w:color="000000" w:sz="4" w:space="0"/>
              <w:left w:val="single" w:color="000000" w:sz="4" w:space="0"/>
              <w:bottom w:val="single" w:color="000000" w:sz="4" w:space="0"/>
              <w:right w:val="single" w:color="000000" w:sz="4" w:space="0"/>
            </w:tcBorders>
            <w:noWrap w:val="0"/>
            <w:vAlign w:val="center"/>
          </w:tcPr>
          <w:p w14:paraId="0FD0F3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3、底部滑轮，便携把手，一体式顶盖。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二、器材清单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多普勒源*1、9V电池*1、5ml注射器*1、纵波演示弹簧*1、20N/m螺旋弹簧*1、3N/m螺旋弹簧*2、φ12mm带孔小球【不锈钢/外径/孔径3mm】*3、音叉880HZ*1、音叉440HZ*1、音叉锤*1、单摆球盒*1、固定杆*1、软绳*1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三、主要器材配置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多普勒源：4.6kHz/19kHz两种声源可切换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音叉880Hz：总长约101mm，叉长约61mm进口钢材，无共鸣盒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音叉440Hz：总长约126mm，叉长约87mm，进口钢材，无共鸣盒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单摆球盒：含棉线、3个塑料球、2个铁球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四、功能和应用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1.测量小球振动的周期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2.观察两个小球的振动情况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3.观察墨汁图样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4.探究单摆周期与摆长之间的关系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5.用单摆测量重力加速度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6.研究受迫振动的频率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7.演示共振现象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8.观察绳波的产生和传播</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9.观察弹簧形成的波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10.观察水波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11.观察波的叠加现象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12.观察水波的干涉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13.横波与纵波的传递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14.蜂鸣器音调的变化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15.弹簧振子运动周期实验研究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16.阻尼振动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17.耦合摆系统 </w:t>
            </w: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73ACB1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77B7FC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79FBE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8" w:hRule="atLeast"/>
        </w:trPr>
        <w:tc>
          <w:tcPr>
            <w:tcW w:w="570" w:type="dxa"/>
            <w:tcBorders>
              <w:top w:val="single" w:color="000000" w:sz="4" w:space="0"/>
              <w:left w:val="single" w:color="000000" w:sz="4" w:space="0"/>
              <w:bottom w:val="single" w:color="000000" w:sz="4" w:space="0"/>
              <w:right w:val="single" w:color="000000" w:sz="4" w:space="0"/>
            </w:tcBorders>
            <w:noWrap w:val="0"/>
            <w:vAlign w:val="center"/>
          </w:tcPr>
          <w:p w14:paraId="7AE00D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25132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高中物理光学实验箱</w:t>
            </w:r>
          </w:p>
        </w:tc>
        <w:tc>
          <w:tcPr>
            <w:tcW w:w="7755" w:type="dxa"/>
            <w:tcBorders>
              <w:top w:val="single" w:color="000000" w:sz="4" w:space="0"/>
              <w:left w:val="single" w:color="000000" w:sz="4" w:space="0"/>
              <w:bottom w:val="single" w:color="000000" w:sz="4" w:space="0"/>
              <w:right w:val="single" w:color="000000" w:sz="4" w:space="0"/>
            </w:tcBorders>
            <w:noWrap w:val="0"/>
            <w:vAlign w:val="center"/>
          </w:tcPr>
          <w:p w14:paraId="3462D8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3、底部滑轮，便携把手，一体式顶盖。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二、器材清单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激光笔套装*1、痱子粉*1、大头针*10、平行玻璃砖*1、烧杯*1、塑料棒*1、刻度盘*1、半圆透镜*1、三角透镜*1、光纤*1、具支试管*1、光的干涉衍射组件*1、光屏*1、滑动安装座*1、铁圈*1、光栅*4、牛顿环*1、衍射膜片*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三、主要器材配置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平行玻璃砖：外形尺寸：120*60*30mm。光学玻璃材质。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半圆透镜：直径：60mm。光学玻璃材质。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三角透镜：斜边：60mm。光学玻璃材质。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角度盘：塑料，圆形，d=205mm，h=3mm，白底黑色丝印。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光屏：尺寸：150*150mm，白色，下方有支撑杆。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光的干涉衍射组件：红色激光，带有1组双缝膜片和1组单缝膜片。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四、功能和应用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1、光在水中的折射现象；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2、测定玻璃的折射率；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3、观察筷子插入装水的玻璃杯中的折射现象；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4、观察全反射现象；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5、全反射棱镜；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6、棱镜的折射；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7、观察激光的特性；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8、观察光在弯曲的有机玻璃棒中传播的路径；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9、水流导光；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10、光的双缝干涉；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11、用肥皂膜做薄膜干涉实验；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12、用双缝干涉测量光的波长；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13、光的单缝衍射；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14、光的光栅衍射；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15、不同间距光栅衍射条纹的对比；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16、泊松亮斑趣事；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17、用激光产生泊松亮斑；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18、观察光的偏振现象；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19、偏振滤光片减弱玻璃表面反射光的影响；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20、透过偏振片并旋转它，观察自然光、桌面反射光和手机液晶屏。</w:t>
            </w: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7E431E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062215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22E00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2" w:hRule="atLeast"/>
        </w:trPr>
        <w:tc>
          <w:tcPr>
            <w:tcW w:w="570" w:type="dxa"/>
            <w:tcBorders>
              <w:top w:val="single" w:color="000000" w:sz="4" w:space="0"/>
              <w:left w:val="single" w:color="000000" w:sz="4" w:space="0"/>
              <w:bottom w:val="single" w:color="000000" w:sz="4" w:space="0"/>
              <w:right w:val="single" w:color="000000" w:sz="4" w:space="0"/>
            </w:tcBorders>
            <w:noWrap w:val="0"/>
            <w:vAlign w:val="center"/>
          </w:tcPr>
          <w:p w14:paraId="1CBAE2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5D990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高中物理分子动理论与热力学定律实验箱</w:t>
            </w:r>
          </w:p>
        </w:tc>
        <w:tc>
          <w:tcPr>
            <w:tcW w:w="7755" w:type="dxa"/>
            <w:tcBorders>
              <w:top w:val="single" w:color="000000" w:sz="4" w:space="0"/>
              <w:left w:val="single" w:color="000000" w:sz="4" w:space="0"/>
              <w:bottom w:val="single" w:color="000000" w:sz="4" w:space="0"/>
              <w:right w:val="single" w:color="000000" w:sz="4" w:space="0"/>
            </w:tcBorders>
            <w:noWrap w:val="0"/>
            <w:vAlign w:val="center"/>
          </w:tcPr>
          <w:p w14:paraId="248D2D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3、底部滑轮，便携把手，一体式顶盖。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二、器材清单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白板笔*1、打气筒*1、橡胶塞*1、单向阀*1、痱子粉*1、钢珠*1、φ7*10mm硅胶管*1、胶头滴管*1、空气压缩引火仪*1、10mL量筒*1、100mL量筒*1、50mL量筒*1、棉纱布*2、400mL烧杯*1、250mL烧杯*1、盛水浅盘*1、网格板*1、饮水鸟*1、油酸酒精溶液瓶*1、5mL注射器*2、锥形瓶*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三、主要器材配置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空气压缩引火仪：由手柄、活塞筒、底座等部分组成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10mL量筒：塑料，H=145mm，筒身蓝线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100mL量筒：塑料，H=250mm，筒身蓝线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50mL量筒：塑料，H=200mm，筒身蓝线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400mL烧杯：玻璃，低型，H=112mm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250mL烧杯：玻璃，低型，H=95mm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盛水浅盘：塑料，25cm*25cm*4cm，黑色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四、功能和应用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1.液体混合前后体积的变化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2.用油膜法估测油酸分子的大小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3.模拟气体压强产生的机理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4.空气压缩引火实验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5.观察橡胶塞跳出时瓶内的变化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6.有色颜料在清水中的扩散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7.饮水鸟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8.探究影响扩散快慢的因素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9.液体膨胀系数</w:t>
            </w: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1DE760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231F78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528F1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40" w:hRule="atLeast"/>
        </w:trPr>
        <w:tc>
          <w:tcPr>
            <w:tcW w:w="570" w:type="dxa"/>
            <w:tcBorders>
              <w:top w:val="single" w:color="000000" w:sz="4" w:space="0"/>
              <w:left w:val="single" w:color="000000" w:sz="4" w:space="0"/>
              <w:bottom w:val="single" w:color="000000" w:sz="4" w:space="0"/>
              <w:right w:val="single" w:color="000000" w:sz="4" w:space="0"/>
            </w:tcBorders>
            <w:noWrap w:val="0"/>
            <w:vAlign w:val="center"/>
          </w:tcPr>
          <w:p w14:paraId="61E39B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B3FFB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高中物理气体、液体和固体实验箱</w:t>
            </w:r>
          </w:p>
        </w:tc>
        <w:tc>
          <w:tcPr>
            <w:tcW w:w="7755" w:type="dxa"/>
            <w:tcBorders>
              <w:top w:val="single" w:color="000000" w:sz="4" w:space="0"/>
              <w:left w:val="single" w:color="000000" w:sz="4" w:space="0"/>
              <w:bottom w:val="single" w:color="000000" w:sz="4" w:space="0"/>
              <w:right w:val="single" w:color="000000" w:sz="4" w:space="0"/>
            </w:tcBorders>
            <w:noWrap w:val="0"/>
            <w:vAlign w:val="center"/>
          </w:tcPr>
          <w:p w14:paraId="39DA51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3、底部滑轮，便携把手，一体式顶盖。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二、器材清单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铁圈*1、云母片*2、黄蜂蜡*1、白板笔*1、80mm玻璃管*1、250mm玻璃管*1、玻意耳定律实验器*1、带鲁尔头硅胶管*1、单孔橡胶塞*1、多管夹*1、鳄鱼夹*2、缝衣针*2、盖玻片*2、钢珠*1、固定杆*1、φ3*6mm硅胶管*3、φ7*10mm硅胶管*1、海波*1、黑色导线*1、红色导线*1、火柴*2、剪刀*1、搅拌棒*1、酒精灯*1、0.4mm康铜丝*1、毛细管*1、400mL烧杯*1、250mL烧杯*1、陶土网*1、18×150mm试管*1、试管夹*1、四爪夹*1、支撑环*1、铁丝*1、温度计-10℃~+110℃*2、单孔橡胶塞*1、铁圈*1、药匙*1、指针式压强计*1、锥形瓶*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三、主要器材配置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玻意耳定律实验器：由支架、活塞架、针筒构成，针筒50mL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红色导线：硅胶线，32A，500mm，φ4全铜枪式灯笼头，2.5平线径；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黑色导线：硅胶线，32A，500mm，φ4全铜枪式灯笼头，2.5平线径；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酒精灯：玻璃，150mL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毛细管：含内径0.4mm、0.6mm、0.8mm、1.2mm各一根，外径φ6mm，L=150mm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400mL烧杯：玻璃，低型，H=112mm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250mL烧杯：玻璃，低型，H=95mm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试管：玻璃，18×150mm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温度计：红水，量程-10℃~+110℃，L=235mm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指针式压强计：表盘φ60mm，压力范围-0.1~0.5mPa，带宝塔接头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锥形瓶：玻璃，100mL，标口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四、功能和应用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1.热电偶温度计的原理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2.探究气体等温变化的规律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3.观察气体的等压变化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4.气体的等容变化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5.观察玻璃和云母片上石蜡熔化区域的形状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6.水的表面张力</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7.观察肥皂膜和棉线的变化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8.观察毛细现象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9.探究液体的浸润与不浸润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10.水面浮针</w:t>
            </w: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22D2EE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174858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0FB8B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7" w:hRule="atLeast"/>
        </w:trPr>
        <w:tc>
          <w:tcPr>
            <w:tcW w:w="570" w:type="dxa"/>
            <w:tcBorders>
              <w:top w:val="single" w:color="000000" w:sz="4" w:space="0"/>
              <w:left w:val="single" w:color="000000" w:sz="4" w:space="0"/>
              <w:bottom w:val="single" w:color="000000" w:sz="4" w:space="0"/>
              <w:right w:val="single" w:color="000000" w:sz="4" w:space="0"/>
            </w:tcBorders>
            <w:noWrap w:val="0"/>
            <w:vAlign w:val="center"/>
          </w:tcPr>
          <w:p w14:paraId="257D90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BD04B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高中物理新能源与新材料实验箱</w:t>
            </w:r>
          </w:p>
        </w:tc>
        <w:tc>
          <w:tcPr>
            <w:tcW w:w="7755" w:type="dxa"/>
            <w:tcBorders>
              <w:top w:val="single" w:color="000000" w:sz="4" w:space="0"/>
              <w:left w:val="single" w:color="000000" w:sz="4" w:space="0"/>
              <w:bottom w:val="single" w:color="000000" w:sz="4" w:space="0"/>
              <w:right w:val="single" w:color="000000" w:sz="4" w:space="0"/>
            </w:tcBorders>
            <w:noWrap w:val="0"/>
            <w:vAlign w:val="center"/>
          </w:tcPr>
          <w:p w14:paraId="287DC5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3、底部滑轮，便携把手，一体式顶盖。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二、器材清单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小灯泡底座、直流小电机、卤素灯、太阳能电池板（5×2.5cm）、发电机、黑色导线（500mm）、红色导线（500mm）、转叶（3个叶片）、鼓风机、水泵、注射器（20mL，含：带鲁尔头的硅胶管）、温度计、玻耳帖元件套件、黑色小桶、银色小桶、烧杯、支持杆、太阳能聚集器套件、支撑杆（L=250mm）、带孔支撑杆（L=100mm）、弹簧测力计夹、镍钛合金记忆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三、主要器材配置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卤素灯：黑色外壳，12V。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鼓风机：黑色金属外壳，带安装插头，12V。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玻耳贴元件套件：含：铝热片（带安全插头的导线）、导热座、夹子。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太阳能聚集其套件：含：试管（带盖和黑色涂层）、金属反射面（带试管夹）。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四、功能和应用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1.太阳能发电实验；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2.风力发电实验；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3.热能转化为电能；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4.使用抛物槽太阳能集热器加热水；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5.抛物槽中吸热器位置对加热的影响；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6.记忆合金的材料特性实验；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7.使用太阳能电池将光转化为动能；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8.负载下风力发电现象的观测；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9.风速对风力发电的影响；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10.风向对风力发电的影响；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11.风轮叶片数量的影响；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12.机械能转化为电能；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13.热能转化为动能；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14.珀耳帖效应：冷却发动机；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15.珀耳帖效应：热泵；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16.温度对珀耳帖热泵的影响；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17.泵将电能转化为势能方面的效率；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18.用风能抽水；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19.自来水驱动发电机。</w:t>
            </w: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27BA08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73EABF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r>
      <w:tr w14:paraId="7BC2C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74" w:hRule="atLeast"/>
        </w:trPr>
        <w:tc>
          <w:tcPr>
            <w:tcW w:w="570" w:type="dxa"/>
            <w:tcBorders>
              <w:top w:val="single" w:color="000000" w:sz="4" w:space="0"/>
              <w:left w:val="single" w:color="000000" w:sz="4" w:space="0"/>
              <w:bottom w:val="single" w:color="000000" w:sz="4" w:space="0"/>
              <w:right w:val="single" w:color="000000" w:sz="4" w:space="0"/>
            </w:tcBorders>
            <w:noWrap w:val="0"/>
            <w:vAlign w:val="center"/>
          </w:tcPr>
          <w:p w14:paraId="0199CF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01D59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高中物理原子物理实验箱</w:t>
            </w:r>
          </w:p>
        </w:tc>
        <w:tc>
          <w:tcPr>
            <w:tcW w:w="7755" w:type="dxa"/>
            <w:tcBorders>
              <w:top w:val="single" w:color="000000" w:sz="4" w:space="0"/>
              <w:left w:val="single" w:color="000000" w:sz="4" w:space="0"/>
              <w:bottom w:val="single" w:color="000000" w:sz="4" w:space="0"/>
              <w:right w:val="single" w:color="000000" w:sz="4" w:space="0"/>
            </w:tcBorders>
            <w:noWrap w:val="0"/>
            <w:vAlign w:val="center"/>
          </w:tcPr>
          <w:p w14:paraId="4A5A4C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3、底部滑轮，便携把手，一体式顶盖。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二、器材清单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由探头管夹安装座、G-M传感器、玻璃结晶皿（Φ35mm）、固定座、磁铁固定座、固定架、塑料瓶（100mL）、放射性底板、药匙（L=150mm）、type-c数据线（L=1m）、天然矿石、亚克力板、铝板、铅板、铁板、电源适配器（DC5V/2A）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三、主要器材配置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G-M传感器：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1.量程：0~40000c/min</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2.分辨率：1c/min</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3.采样速率：10次/秒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4.连续使用时间：≥20小时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5.通讯距离：≥30m（空旷无遮挡）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6.可充电锂电池，电池型号：3.7V 250mAh</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四、功能和应用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1、背景辐射；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2、概率计数与统计；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3、盐的辐射；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4、物质多少对辐射强度的影响；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5、放射性矿物的辐射；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6、距离对辐射强度的影响；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7、屏蔽β辐射等等。</w:t>
            </w: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260AC0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28594B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r>
      <w:tr w14:paraId="15881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4" w:hRule="atLeast"/>
        </w:trPr>
        <w:tc>
          <w:tcPr>
            <w:tcW w:w="570" w:type="dxa"/>
            <w:tcBorders>
              <w:top w:val="single" w:color="000000" w:sz="4" w:space="0"/>
              <w:left w:val="single" w:color="000000" w:sz="4" w:space="0"/>
              <w:bottom w:val="single" w:color="000000" w:sz="4" w:space="0"/>
              <w:right w:val="single" w:color="000000" w:sz="4" w:space="0"/>
            </w:tcBorders>
            <w:noWrap w:val="0"/>
            <w:vAlign w:val="center"/>
          </w:tcPr>
          <w:p w14:paraId="3A35F1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E70F2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向心力实验器</w:t>
            </w:r>
          </w:p>
        </w:tc>
        <w:tc>
          <w:tcPr>
            <w:tcW w:w="7755" w:type="dxa"/>
            <w:tcBorders>
              <w:top w:val="single" w:color="000000" w:sz="4" w:space="0"/>
              <w:left w:val="single" w:color="000000" w:sz="4" w:space="0"/>
              <w:bottom w:val="single" w:color="000000" w:sz="4" w:space="0"/>
              <w:right w:val="single" w:color="000000" w:sz="4" w:space="0"/>
            </w:tcBorders>
            <w:noWrap w:val="0"/>
            <w:vAlign w:val="center"/>
          </w:tcPr>
          <w:p w14:paraId="17E1D9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由机座、传动轮、变速盘、旋臂、弹簧、标尺、横臂及3个金属小球组成二、功能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可以通过手摇旋转转盘，用弹簧测量出钢球做圆周运动所需要的向心力。钢球旋转的半径可以改变，转速也可以通过手摇速度来改变。可以同时旋转两个刚球（每个转盘1个），来进行控制变量的对比实验。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探究向心力和半径、质量的关系。</w:t>
            </w: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0DBF72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29D57D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07A88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570" w:type="dxa"/>
            <w:tcBorders>
              <w:top w:val="single" w:color="000000" w:sz="4" w:space="0"/>
              <w:left w:val="single" w:color="000000" w:sz="4" w:space="0"/>
              <w:bottom w:val="single" w:color="000000" w:sz="4" w:space="0"/>
              <w:right w:val="single" w:color="000000" w:sz="4" w:space="0"/>
            </w:tcBorders>
            <w:noWrap w:val="0"/>
            <w:vAlign w:val="center"/>
          </w:tcPr>
          <w:p w14:paraId="1BAC20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F3CAA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静电感应起电机</w:t>
            </w:r>
          </w:p>
        </w:tc>
        <w:tc>
          <w:tcPr>
            <w:tcW w:w="7755" w:type="dxa"/>
            <w:tcBorders>
              <w:top w:val="single" w:color="000000" w:sz="4" w:space="0"/>
              <w:left w:val="single" w:color="000000" w:sz="4" w:space="0"/>
              <w:bottom w:val="single" w:color="000000" w:sz="4" w:space="0"/>
              <w:right w:val="single" w:color="000000" w:sz="4" w:space="0"/>
            </w:tcBorders>
            <w:noWrap w:val="0"/>
            <w:vAlign w:val="center"/>
          </w:tcPr>
          <w:p w14:paraId="34B589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尺寸：长27cm，宽18cm，高34cm；由电刷、电刷杆，受动轮、驱动轮、导电层、放电杆、支架、底座等组成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二、可参与完成实验：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模拟电场线。</w:t>
            </w: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6935D3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0ABF6B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5E7DD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3" w:hRule="atLeast"/>
        </w:trPr>
        <w:tc>
          <w:tcPr>
            <w:tcW w:w="570" w:type="dxa"/>
            <w:tcBorders>
              <w:top w:val="single" w:color="000000" w:sz="4" w:space="0"/>
              <w:left w:val="single" w:color="000000" w:sz="4" w:space="0"/>
              <w:bottom w:val="single" w:color="000000" w:sz="4" w:space="0"/>
              <w:right w:val="single" w:color="000000" w:sz="4" w:space="0"/>
            </w:tcBorders>
            <w:noWrap w:val="0"/>
            <w:vAlign w:val="center"/>
          </w:tcPr>
          <w:p w14:paraId="4FD894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BB9CA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电场线演示器</w:t>
            </w:r>
          </w:p>
        </w:tc>
        <w:tc>
          <w:tcPr>
            <w:tcW w:w="7755" w:type="dxa"/>
            <w:tcBorders>
              <w:top w:val="single" w:color="000000" w:sz="4" w:space="0"/>
              <w:left w:val="single" w:color="000000" w:sz="4" w:space="0"/>
              <w:bottom w:val="single" w:color="000000" w:sz="4" w:space="0"/>
              <w:right w:val="single" w:color="000000" w:sz="4" w:space="0"/>
            </w:tcBorders>
            <w:noWrap w:val="0"/>
            <w:vAlign w:val="center"/>
          </w:tcPr>
          <w:p w14:paraId="7484E2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5块不同类型的演示板。每块尺寸：100*80*7mm。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通过接电源正极或同时接正负极，在板上借助完全浸没在油中的铁削，模拟呈现各类电场线的形状。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各类电场线的模拟演示。</w:t>
            </w: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7A4116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385F6D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5F097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5" w:hRule="atLeast"/>
        </w:trPr>
        <w:tc>
          <w:tcPr>
            <w:tcW w:w="570" w:type="dxa"/>
            <w:tcBorders>
              <w:top w:val="single" w:color="000000" w:sz="4" w:space="0"/>
              <w:left w:val="single" w:color="000000" w:sz="4" w:space="0"/>
              <w:bottom w:val="single" w:color="000000" w:sz="4" w:space="0"/>
              <w:right w:val="single" w:color="000000" w:sz="4" w:space="0"/>
            </w:tcBorders>
            <w:noWrap w:val="0"/>
            <w:vAlign w:val="center"/>
          </w:tcPr>
          <w:p w14:paraId="15C1F2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50A47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电磁驱动演示器</w:t>
            </w:r>
          </w:p>
        </w:tc>
        <w:tc>
          <w:tcPr>
            <w:tcW w:w="7755" w:type="dxa"/>
            <w:tcBorders>
              <w:top w:val="single" w:color="000000" w:sz="4" w:space="0"/>
              <w:left w:val="single" w:color="000000" w:sz="4" w:space="0"/>
              <w:bottom w:val="single" w:color="000000" w:sz="4" w:space="0"/>
              <w:right w:val="single" w:color="000000" w:sz="4" w:space="0"/>
            </w:tcBorders>
            <w:noWrap w:val="0"/>
            <w:vAlign w:val="center"/>
          </w:tcPr>
          <w:p w14:paraId="59546D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尺寸：长18cm，宽12.5cm，高24cm；由金属铝铜、磁铁组成。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二、可参与完成实验：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观察铝框的运动。</w:t>
            </w: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7E6A38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5029B3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5FBA4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32" w:hRule="atLeast"/>
        </w:trPr>
        <w:tc>
          <w:tcPr>
            <w:tcW w:w="570" w:type="dxa"/>
            <w:tcBorders>
              <w:top w:val="single" w:color="000000" w:sz="4" w:space="0"/>
              <w:left w:val="single" w:color="000000" w:sz="4" w:space="0"/>
              <w:bottom w:val="single" w:color="000000" w:sz="4" w:space="0"/>
              <w:right w:val="single" w:color="000000" w:sz="4" w:space="0"/>
            </w:tcBorders>
            <w:noWrap w:val="0"/>
            <w:vAlign w:val="center"/>
          </w:tcPr>
          <w:p w14:paraId="6565A6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71F95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伽尔顿板</w:t>
            </w:r>
          </w:p>
        </w:tc>
        <w:tc>
          <w:tcPr>
            <w:tcW w:w="7755" w:type="dxa"/>
            <w:tcBorders>
              <w:top w:val="single" w:color="000000" w:sz="4" w:space="0"/>
              <w:left w:val="single" w:color="000000" w:sz="4" w:space="0"/>
              <w:bottom w:val="single" w:color="000000" w:sz="4" w:space="0"/>
              <w:right w:val="single" w:color="000000" w:sz="4" w:space="0"/>
            </w:tcBorders>
            <w:noWrap w:val="0"/>
            <w:vAlign w:val="center"/>
          </w:tcPr>
          <w:p w14:paraId="66C128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本仪器由有机玻璃板、阵列钉子、V型槽、插板、狭槽等组成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伽尔顿板是英国生物学家道尔顿设计的用来研究随机现象的模型，来说明气体分子运动速率分布统计规律性的教学仪器。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用伽尔顿板研究随机现象</w:t>
            </w: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4C5AE6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061EAD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15395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9" w:hRule="atLeast"/>
        </w:trPr>
        <w:tc>
          <w:tcPr>
            <w:tcW w:w="570" w:type="dxa"/>
            <w:tcBorders>
              <w:top w:val="single" w:color="000000" w:sz="4" w:space="0"/>
              <w:left w:val="single" w:color="000000" w:sz="4" w:space="0"/>
              <w:bottom w:val="single" w:color="000000" w:sz="4" w:space="0"/>
              <w:right w:val="single" w:color="000000" w:sz="4" w:space="0"/>
            </w:tcBorders>
            <w:noWrap w:val="0"/>
            <w:vAlign w:val="center"/>
          </w:tcPr>
          <w:p w14:paraId="487749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53892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伽利略理想斜面演示器</w:t>
            </w:r>
          </w:p>
        </w:tc>
        <w:tc>
          <w:tcPr>
            <w:tcW w:w="7755" w:type="dxa"/>
            <w:tcBorders>
              <w:top w:val="single" w:color="000000" w:sz="4" w:space="0"/>
              <w:left w:val="single" w:color="000000" w:sz="4" w:space="0"/>
              <w:bottom w:val="single" w:color="000000" w:sz="4" w:space="0"/>
              <w:right w:val="single" w:color="000000" w:sz="4" w:space="0"/>
            </w:tcBorders>
            <w:noWrap w:val="0"/>
            <w:vAlign w:val="center"/>
          </w:tcPr>
          <w:p w14:paraId="45EE99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伽利略理想斜面演示器由塑料合金外框、1200mm塑料平滑轨道、高度调节器、指示面板和钢球等部件组成。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伽利略为了说明他的思想，让小球沿一个斜面从静止状态开始滚下，小球将滚上另一斜面，如果没有摩擦，小球将上升到原来的高度。调节高度调节器减小后一斜面的倾角，小球在这个斜面上仍达到同一高度，但这时它要滚得远些。继续减小第二斜面的倾角，小球达到同一高度时就会离得更远。若将斜面放平，小球将永远滚动下去。这就是说，力不是维持物体运动的原因，也就是说，力不是维持物体的速度的原因，而恰恰是改变物体运动状态，即改变物体速度的原因。因此，一旦物体具有某一速度，如果它不受力，就将以这一速度匀速直线地运动下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伽利略理想斜面实验 </w:t>
            </w:r>
          </w:p>
        </w:tc>
        <w:tc>
          <w:tcPr>
            <w:tcW w:w="570" w:type="dxa"/>
            <w:tcBorders>
              <w:top w:val="single" w:color="000000" w:sz="4" w:space="0"/>
              <w:left w:val="single" w:color="000000" w:sz="4" w:space="0"/>
              <w:bottom w:val="single" w:color="000000" w:sz="4" w:space="0"/>
              <w:right w:val="single" w:color="000000" w:sz="4" w:space="0"/>
            </w:tcBorders>
            <w:noWrap/>
            <w:vAlign w:val="center"/>
          </w:tcPr>
          <w:p w14:paraId="6376E5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3AAC0F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bl>
    <w:p w14:paraId="6415BE1C">
      <w:pPr>
        <w:rPr>
          <w:rFonts w:hint="eastAsia" w:ascii="宋体" w:hAnsi="宋体" w:eastAsia="宋体" w:cs="宋体"/>
          <w:sz w:val="18"/>
          <w:szCs w:val="18"/>
        </w:rPr>
      </w:pPr>
    </w:p>
    <w:tbl>
      <w:tblPr>
        <w:tblStyle w:val="2"/>
        <w:tblW w:w="10185" w:type="dxa"/>
        <w:tblInd w:w="-81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85"/>
        <w:gridCol w:w="765"/>
        <w:gridCol w:w="5715"/>
        <w:gridCol w:w="405"/>
        <w:gridCol w:w="420"/>
        <w:gridCol w:w="2295"/>
      </w:tblGrid>
      <w:tr w14:paraId="31E64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185" w:type="dxa"/>
            <w:gridSpan w:val="6"/>
            <w:tcBorders>
              <w:top w:val="single" w:color="000000" w:sz="4" w:space="0"/>
              <w:left w:val="single" w:color="000000" w:sz="4" w:space="0"/>
              <w:bottom w:val="single" w:color="000000" w:sz="4" w:space="0"/>
              <w:right w:val="single" w:color="000000" w:sz="4" w:space="0"/>
            </w:tcBorders>
            <w:noWrap/>
            <w:vAlign w:val="center"/>
          </w:tcPr>
          <w:p w14:paraId="32B6D92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物理数字化实验系统配置清单</w:t>
            </w:r>
          </w:p>
        </w:tc>
      </w:tr>
      <w:tr w14:paraId="638D5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185" w:type="dxa"/>
            <w:gridSpan w:val="6"/>
            <w:tcBorders>
              <w:top w:val="single" w:color="000000" w:sz="4" w:space="0"/>
              <w:left w:val="single" w:color="000000" w:sz="4" w:space="0"/>
              <w:bottom w:val="single" w:color="000000" w:sz="4" w:space="0"/>
              <w:right w:val="single" w:color="000000" w:sz="4" w:space="0"/>
            </w:tcBorders>
            <w:noWrap w:val="0"/>
            <w:vAlign w:val="center"/>
          </w:tcPr>
          <w:p w14:paraId="517AE41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     根据学校实际需求，现按56名学生4人一组计14组，加教师1组共计15组配置。</w:t>
            </w:r>
          </w:p>
        </w:tc>
      </w:tr>
      <w:tr w14:paraId="306CB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422E93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编号</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64C85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名称</w:t>
            </w:r>
          </w:p>
        </w:tc>
        <w:tc>
          <w:tcPr>
            <w:tcW w:w="5715" w:type="dxa"/>
            <w:tcBorders>
              <w:top w:val="single" w:color="000000" w:sz="4" w:space="0"/>
              <w:left w:val="single" w:color="000000" w:sz="4" w:space="0"/>
              <w:bottom w:val="single" w:color="000000" w:sz="4" w:space="0"/>
              <w:right w:val="single" w:color="000000" w:sz="4" w:space="0"/>
            </w:tcBorders>
            <w:noWrap w:val="0"/>
            <w:vAlign w:val="center"/>
          </w:tcPr>
          <w:p w14:paraId="4657F5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技术参数</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191C25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49EF2C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439C64A4">
            <w:pPr>
              <w:keepNext w:val="0"/>
              <w:keepLines w:val="0"/>
              <w:widowControl/>
              <w:suppressLineNumbers w:val="0"/>
              <w:jc w:val="center"/>
              <w:textAlignment w:val="center"/>
              <w:rPr>
                <w:rFonts w:hint="eastAsia" w:ascii="宋体" w:hAnsi="宋体" w:eastAsia="宋体" w:cs="宋体"/>
                <w:i w:val="0"/>
                <w:iCs w:val="0"/>
                <w:color w:val="FF0000"/>
                <w:sz w:val="18"/>
                <w:szCs w:val="18"/>
                <w:u w:val="none"/>
              </w:rPr>
            </w:pPr>
          </w:p>
        </w:tc>
      </w:tr>
      <w:tr w14:paraId="2C6DD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7E3CE3F5">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2596C62">
            <w:pPr>
              <w:jc w:val="center"/>
              <w:rPr>
                <w:rFonts w:hint="eastAsia" w:ascii="宋体" w:hAnsi="宋体" w:eastAsia="宋体" w:cs="宋体"/>
                <w:i w:val="0"/>
                <w:iCs w:val="0"/>
                <w:color w:val="000000"/>
                <w:sz w:val="18"/>
                <w:szCs w:val="18"/>
                <w:u w:val="none"/>
              </w:rPr>
            </w:pPr>
          </w:p>
        </w:tc>
        <w:tc>
          <w:tcPr>
            <w:tcW w:w="5715" w:type="dxa"/>
            <w:tcBorders>
              <w:top w:val="single" w:color="000000" w:sz="4" w:space="0"/>
              <w:left w:val="single" w:color="000000" w:sz="4" w:space="0"/>
              <w:bottom w:val="single" w:color="000000" w:sz="4" w:space="0"/>
              <w:right w:val="single" w:color="000000" w:sz="4" w:space="0"/>
            </w:tcBorders>
            <w:noWrap w:val="0"/>
            <w:vAlign w:val="center"/>
          </w:tcPr>
          <w:p w14:paraId="6F98C1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教师端</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696C1829">
            <w:pPr>
              <w:jc w:val="center"/>
              <w:rPr>
                <w:rFonts w:hint="eastAsia" w:ascii="宋体" w:hAnsi="宋体" w:eastAsia="宋体" w:cs="宋体"/>
                <w:i w:val="0"/>
                <w:iCs w:val="0"/>
                <w:color w:val="000000"/>
                <w:sz w:val="18"/>
                <w:szCs w:val="18"/>
                <w:u w:val="none"/>
              </w:rPr>
            </w:pP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22F0F275">
            <w:pPr>
              <w:jc w:val="center"/>
              <w:rPr>
                <w:rFonts w:hint="eastAsia" w:ascii="宋体" w:hAnsi="宋体" w:eastAsia="宋体" w:cs="宋体"/>
                <w:i w:val="0"/>
                <w:iCs w:val="0"/>
                <w:color w:val="000000"/>
                <w:sz w:val="18"/>
                <w:szCs w:val="18"/>
                <w:u w:val="none"/>
              </w:rPr>
            </w:pP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711F24A8">
            <w:pPr>
              <w:keepNext w:val="0"/>
              <w:keepLines w:val="0"/>
              <w:widowControl/>
              <w:suppressLineNumbers w:val="0"/>
              <w:jc w:val="center"/>
              <w:textAlignment w:val="center"/>
              <w:rPr>
                <w:rFonts w:hint="eastAsia" w:ascii="宋体" w:hAnsi="宋体" w:eastAsia="宋体" w:cs="宋体"/>
                <w:i w:val="0"/>
                <w:iCs w:val="0"/>
                <w:color w:val="FF0000"/>
                <w:sz w:val="18"/>
                <w:szCs w:val="18"/>
                <w:u w:val="none"/>
              </w:rPr>
            </w:pPr>
          </w:p>
        </w:tc>
      </w:tr>
      <w:tr w14:paraId="3602C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5BBF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4CC7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教师用物理智能实验探究者</w:t>
            </w:r>
          </w:p>
        </w:tc>
        <w:tc>
          <w:tcPr>
            <w:tcW w:w="57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DBE2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智能实验探究者：智能数字实验盘是一款功能强大、小巧轻便的数字化实验数据采集设备，可满足中小学各个学科的实验需求；支持有线、无线两种传输模式；内置功能完整的实验操作平台，支持脱离终端设备进行独立实验，支持实验保存，并可随时在智能数字实验盘上查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一、结构及外观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一体化设计，3.5英寸显示屏居中，7个传感器模块环绕分布；采集器与传感器之间采用Lightning接口，采用环绕式可插拔设计，可任意更换传感器，无需数据线连接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二、规格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支持平台：Windows、Android、iOS/iPadOS、MacOS、 Linux、Harmony OS、统信UOS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显示屏：3.5英寸TFT 480*320 电容屏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最大采样速率：100,000次/秒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采样解析度：12-bit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内存：16M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传感器接口：7 个</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有线连接：USB 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无线连接：蓝牙2.0/4.2双模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内置电池：3000mAh 锂电池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待机时间：6个月以上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使用温度范围：-20℃~70℃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电源适配器：100V~240V AC / 5V DC 2A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软件：iLabV12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固件升级：固件可通过USB接口进行升级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内置传感器：三轴加速度、GPS、气压计、相对高度计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·三轴加速度传感器：量程 -8g~+8g,精度2.5%，可测量空间三个垂直方向上的加速度值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GPS：最大导航更新率（Maximum Navigation update rate）：5Hz；平面位置精度（Horizontal position accuracy）：2.5m；速度准确度（Velocity accuracy）：0.1m/s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·气压计：量程 50~110kPa，精度 ±4kPa (相对精度: 0.05kPa)，可用于测量周围环境的大气压强，能够灵敏反映因海拔变化引起的大气压的变化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·相对高度计：分辨率 0.3m，用于测量相对海拔高度，比如，可以获得从某一高度上升或下降到另一高度的具体高度值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颠覆传统采集器需连接终端设备使用的模式，智能数字实验盘在自身强大的软、硬件支撑下，既可连接外接终端设备，也可脱离终端独立进行数据采集、实验操作，支持有线、无线传输，自成一个功能完整且独立的实验平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2、内置3.5英寸电容屏，支持手势操作，触控灵敏、交互便捷，为数据显示、实验采集提供良好的图形界面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一体化设计，机身设计有7个传感器接口，支持热插拔；支持近60种传感器，遍及力学、热学、光学、电学、化学、生物等多个领域；内置三轴加速度、GPS、环境温度、气压计、相对高度计等传感器；内置传感器与外接传感器模块可并行采集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高度自由的实验操作。独立使用时，支持实验采集功能，提供图像、表格两种模式。图像模式支持对X轴、Y轴自定义，且Y轴支持传感器多选；支持双Y轴设置，优化选择多个传感器且数值相差较大时的图像显示，适应多样需求；支持曲线镜像显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5、支持对采集间隔、采集时间进行设置，支持手动采集、定时采集等不同模式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6、实验采集支持保存与读取，方便随时对实验进行复盘分析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7、支持7种外接传感器和5种内置传感器同时工作，并在内置屏上同步数据显示；支持数字、图线、指针盘3种显示模式；支持从传感器实时显示界面直接跳转进入快速实验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8、支持脱离终端设备，利用内置实验操作平台对部分传感器进行校准或标定等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9、具有通用接口模块，可外扩其他类型的传感器，通用接口采用Lightning接口,外扩传感器插头采用双面设计，支持正反盲插接入通用接口，无需关心插入的方向，易插易用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10、充电方式：支持USB充电，支持触点充电，搭配专用充电坞，可实现同时对5个智能数字实验盘进行充电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11、正面设有电源指示灯，背面设有支脚架、固定螺纹孔、复位孔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12、固件升级：固件可通过USB接口进行升级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13、包含15种传感器：电压：量程：-1~1A；精度：±1%、电流：量程-30~30V；精度：±1%、微电流：量程：-10μA~10μA，精度：±1%、磁感应强度：量程：-64~64mT；精度：±3%、分体式位移：量程：0 ~ 2m ，分辨率：1mm、位移：量程：20~600cm；精度：±2%、绝对压强：量程：0~400kPa；精度：±6kPa、光强：量程：0~55000Lux；精度：±5%、快速温度：量程：-25~100℃；精度：±0.8℃、电荷：量程：0~220nC；分辨率：0.1nC、光强分布：量程：125Dot/mm @29.1mm，分辨率：8μm各一套，力：量程：-50~50N；精度：±1%、光电门：量程：0~∞S；精度：±1us、力倾角：量程：-20N～20N/0°~180°，精度1%各二套，温度：量程：-40~135℃；精度：±0.6℃一套，通用接口二套；</w:t>
            </w:r>
          </w:p>
        </w:tc>
        <w:tc>
          <w:tcPr>
            <w:tcW w:w="40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C356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D5F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B0AA2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3169D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2910AB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60BD39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小车导轨</w:t>
            </w:r>
          </w:p>
        </w:tc>
        <w:tc>
          <w:tcPr>
            <w:tcW w:w="5715" w:type="dxa"/>
            <w:tcBorders>
              <w:top w:val="single" w:color="000000" w:sz="4" w:space="0"/>
              <w:left w:val="single" w:color="000000" w:sz="4" w:space="0"/>
              <w:bottom w:val="single" w:color="000000" w:sz="4" w:space="0"/>
              <w:right w:val="single" w:color="000000" w:sz="4" w:space="0"/>
            </w:tcBorders>
            <w:noWrap w:val="0"/>
            <w:vAlign w:val="center"/>
          </w:tcPr>
          <w:p w14:paraId="294530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微型L型支架1个、多功能导轨1个（1.2m）、动力学小车1个、L型支架2个、宽L型支架、L型滑轮组、砝码5个（2g）、钩码1个（10g）、钩码1个（20g）、砝码3个（50g）、小龙虾扣2个、细绳1卷、U型挡光片1个、小桶1个、缓冲器组件1个、U型滑轮组件1个、紧固件1宗、梅花螺丝2个（M6*15mm）、六角螺丝1个（M6*35mm）、六角螺丝5个（M6*20mm）、手紧螺丝1个（M4*16mm）、手紧螺丝2个（M6*12mm）、螺杆螺母1套（M4*45mm）、蝶形螺母6个（M6），备用小车轮2个、燕尾螺丝1个（M5*15mm）、手紧螺丝1个（M6*8mm）、蝶形螺丝1个（M4*35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1.用于动力学为核心的包含位移、时间、速度、加速度等物理量等实验。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小车导轨是一套能轻松完成初高中动力学实验的实验平台，实验器功能多样，配件齐全，轨道预留多种传感器固定孔及光电门固定支架，可搭配位移传感器、分体式位移传感器、光电门传感器等不同组合进行实验，测得小车各类运动数据，并在Windows、安卓、iOS系统终端上实时呈现数据，支持各类动力学DIY设计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3.专用动力学小车，车轮刀片式设计，与轨道摩擦小，具有弹簧减震结构，有效保证小车在同一平面直线运动。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4.动力学小车预留力钩柱、紧固件螺口、挡光片的专用手拧螺丝接口，可快速安装对应的拉力组件、砝码、挡光片等配件。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5.滑轮及车轮轮轴摩擦力极小，能有效减小轮轴摩擦对实验的影响。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6.导轨采用铝型材，坚固耐用，导轨两侧标有清晰的刻度，可直接读取小车运动距离，导轨面具有小车运动槽，保证小车不脱轨。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7.配套专用实验软件，预设模板，以表格和曲线等形式自动记录数据变化情况，实验结果更直观明显。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匀变速直线运动的位移与时间的关系、借助传感器用计算机测速度、匀速直线运动的位移、匀变速直线运动的速度与时间的关系、探究加速度与拉力的关系、 探究加速度与质量的关系、用两个光电门测加速度等实验</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598792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48EBA1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2C1BC8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5D13B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17153C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03BB76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胡克定律实验器</w:t>
            </w:r>
          </w:p>
        </w:tc>
        <w:tc>
          <w:tcPr>
            <w:tcW w:w="5715" w:type="dxa"/>
            <w:tcBorders>
              <w:top w:val="single" w:color="000000" w:sz="4" w:space="0"/>
              <w:left w:val="single" w:color="000000" w:sz="4" w:space="0"/>
              <w:bottom w:val="single" w:color="000000" w:sz="4" w:space="0"/>
              <w:right w:val="single" w:color="000000" w:sz="4" w:space="0"/>
            </w:tcBorders>
            <w:noWrap w:val="0"/>
            <w:vAlign w:val="center"/>
          </w:tcPr>
          <w:p w14:paraId="25271A4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实验器主体（含面板、铁架台、传感器固定座）、弹簧组件（内置拉力限量和弹力系数不同的5个弹簧）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1.用于探究弹簧的伸长特性、弹簧伸长量与弹力的关系等实验。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2.配合力传感器和位移传感器使用可得到更加准确的数据，并在Windows、安卓、iOS系统终端上实时呈现数据，实验结果明显。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3.面板标有刻度，清晰耐用，学生使用过程中可根据刻度计算，加深学生对实验的理解。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4.实验器具有传感器固定座，与传感器适配性高，搭建简单，减轻器材准备负担，轻松满足演示及分组实验，让课堂教学更高效。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5.提供5个弹力系数不同的弹簧，可探究弹性系数对弹力的影响。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6.通过移动终端扫描仪器上的二维码可浏览该仪器配套的实验指导和使用说明。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7.配套专用实验软件，预设模板，以表格和曲线等形式自动记录数据变化情况，实验结果更直观明显。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弹簧的伸长特性、研究弹簧伸长量与弹力的关系等实验</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38D88D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14517D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22839F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2F823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30F8B3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228A03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螺线管</w:t>
            </w:r>
          </w:p>
        </w:tc>
        <w:tc>
          <w:tcPr>
            <w:tcW w:w="5715" w:type="dxa"/>
            <w:tcBorders>
              <w:top w:val="single" w:color="000000" w:sz="4" w:space="0"/>
              <w:left w:val="single" w:color="000000" w:sz="4" w:space="0"/>
              <w:bottom w:val="single" w:color="000000" w:sz="4" w:space="0"/>
              <w:right w:val="single" w:color="000000" w:sz="4" w:space="0"/>
            </w:tcBorders>
            <w:noWrap w:val="0"/>
            <w:vAlign w:val="center"/>
          </w:tcPr>
          <w:p w14:paraId="6847FE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环形线圈、接线柱、透明亚克力支架板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1.用于测量通电螺线管内部的匀强磁场，探究电流大小和线圈匝数与螺线管内部磁场强度的关系。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2.亚克力支架板方便放置小磁针，探究通电螺线管磁感线及磁场方向，并在Windows、安卓、iOS系统终端上实时呈现数据。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3.环形线圈内部预留较大空间方便探究螺线管内部磁场特性。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4.线圈绕制在圆环上，匝数均匀，磁场稳定。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测量通电螺线管内部的匀强磁场、探究通电螺线管磁感线方向等实验</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3AE0DA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525638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56A9DF84">
            <w:pPr>
              <w:rPr>
                <w:rFonts w:hint="eastAsia" w:ascii="宋体" w:hAnsi="宋体" w:eastAsia="宋体" w:cs="宋体"/>
                <w:i w:val="0"/>
                <w:iCs w:val="0"/>
                <w:color w:val="000000"/>
                <w:sz w:val="18"/>
                <w:szCs w:val="18"/>
                <w:u w:val="none"/>
              </w:rPr>
            </w:pPr>
          </w:p>
        </w:tc>
      </w:tr>
      <w:tr w14:paraId="5C53F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542FB2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AEA80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电学实验板 (17块)</w:t>
            </w:r>
          </w:p>
        </w:tc>
        <w:tc>
          <w:tcPr>
            <w:tcW w:w="5715" w:type="dxa"/>
            <w:tcBorders>
              <w:top w:val="single" w:color="000000" w:sz="4" w:space="0"/>
              <w:left w:val="single" w:color="000000" w:sz="4" w:space="0"/>
              <w:bottom w:val="single" w:color="000000" w:sz="4" w:space="0"/>
              <w:right w:val="single" w:color="000000" w:sz="4" w:space="0"/>
            </w:tcBorders>
            <w:noWrap w:val="0"/>
            <w:vAlign w:val="center"/>
          </w:tcPr>
          <w:p w14:paraId="7CEA67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种实验电路板（含RC/RL移相、半波整流与滤波、全波整流与滤波、电容器充放电与串并联、LC振荡、欧姆定律、导体的伏安特性、补偿法测量电池电动势、限流法测灯泡的伏安特性、分压法测灯泡的伏安特性、自感现象、电池电动势与内阻的测量、电阻的串并联、电源输出与负载的关系、伏安法测电阻、电磁感应现象、传感器简单应用）、隔离柱、香蕉头导线*12、鳄鱼夹*6、9V电池、小灯泡若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1.用于电学类实验，如电容器充放电与串并联、LC振荡、欧姆定律、导体的伏安特性、补偿法测量电池电动势等。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2.集成电路，实验方便快捷。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3.插拔式接线口，接线简便牢靠，实验稳定。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4.适配电学类传感器测量数值并在Windows、安卓、iOS系统终端上实时呈现，也可接入指针式电表，满足数字化和传统不同形式实验教学要求，实验设计灵活。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5.实验丰富，基本涵盖电学类初高中分组及演示实验。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RC/RL移相实验、整流与滤波（半波、全波）实验、电容器充放电实验、LC振荡电路探究实验、欧姆定律、导体的伏安特性实验、测量电池电动势实验、限流法测灯泡的伏安特性（限流、分压）实验、自感现象探究实验、测量电源的电动势和内阻实验、电阻的串并联实验、电源输出与负载的关系实验、伏安法测电阻实验、电磁感应现象探究等实验</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201F83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783854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751B75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34BFE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3A1EB4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B6FB9A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数字化机械能守恒实验器</w:t>
            </w:r>
          </w:p>
        </w:tc>
        <w:tc>
          <w:tcPr>
            <w:tcW w:w="5715" w:type="dxa"/>
            <w:tcBorders>
              <w:top w:val="single" w:color="000000" w:sz="4" w:space="0"/>
              <w:left w:val="single" w:color="000000" w:sz="4" w:space="0"/>
              <w:bottom w:val="single" w:color="000000" w:sz="4" w:space="0"/>
              <w:right w:val="single" w:color="000000" w:sz="4" w:space="0"/>
            </w:tcBorders>
            <w:noWrap w:val="0"/>
            <w:vAlign w:val="center"/>
          </w:tcPr>
          <w:p w14:paraId="1F7262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主板、挡光柱、收纳装置、光电门传感器部件（0～∞s）、人字形底座、一字胶木螺丝、蝶形螺栓*2、数据线、蓝牙适配器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1.用于探究机械能守恒定律。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方法贴合教材，主板设有等距的10个挡光柱且高度值预设于软件中，摆锤内置光电门传感器，当下落经过挡光柱时，可直接测得瞬时速度，并计算出动能、势能、机械能的数值，在Windows、安卓、iOS系统终端上实时呈现数据。安装简单，无需外接传感器与采集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3.实验操作便捷，下落一次可得到10个点处的动能、势能、机械能，配有专有软件模板，实现智能采集、自动停止、自动记录实验数据并以数值、图像等多种形式呈现，有效提升课堂效率。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4.挡光柱无需拆卸，通过软件即可自由勾选1～10号单个或多个挡光柱，获得多组不同的高度组合，进行多组实验验证。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5.收纳装置，有效防止摆锤下落至底部后回摆造成的实验误差。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6.采用人字形底座，配有调平螺丝，方便调整仪器保持水平。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7.可支持有线、无线两种工作方式。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8.配套专用实验软件，预设模板，以表格和曲线等形式自动记录数据变化情况，实验结果更直观明显。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验证机械能守恒定律等实验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提供数字化机械能守恒实验器设有等距的10个挡光柱且高度值预设于软件中，下落一次可得到10个点处的动能、势能、机械能，配有专有软件模板，通过软件即可自由勾选1～10号单个或多个挡光柱，验证机械能守恒定律等实验实验界面及实验结果截图</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01C64C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107F2C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60879579">
            <w:pPr>
              <w:rPr>
                <w:rFonts w:hint="eastAsia" w:ascii="宋体" w:hAnsi="宋体" w:eastAsia="宋体" w:cs="宋体"/>
                <w:i w:val="0"/>
                <w:iCs w:val="0"/>
                <w:color w:val="000000"/>
                <w:sz w:val="18"/>
                <w:szCs w:val="18"/>
                <w:u w:val="none"/>
              </w:rPr>
            </w:pPr>
          </w:p>
        </w:tc>
      </w:tr>
      <w:tr w14:paraId="2E17C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1EE149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085EF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智能力盘实验器</w:t>
            </w:r>
          </w:p>
        </w:tc>
        <w:tc>
          <w:tcPr>
            <w:tcW w:w="5715" w:type="dxa"/>
            <w:tcBorders>
              <w:top w:val="single" w:color="000000" w:sz="4" w:space="0"/>
              <w:left w:val="single" w:color="000000" w:sz="4" w:space="0"/>
              <w:bottom w:val="single" w:color="000000" w:sz="4" w:space="0"/>
              <w:right w:val="single" w:color="000000" w:sz="4" w:space="0"/>
            </w:tcBorders>
            <w:noWrap w:val="0"/>
            <w:vAlign w:val="center"/>
          </w:tcPr>
          <w:p w14:paraId="3ADA7C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人字形底座、铝合金固定杆、刻度盘、支撑杆、滑轮、连接线组件、钩码、梅花螺丝、手紧螺丝、数据线2根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1.用于力的合成、力的分解实验，探究力合成的平行四边形定则。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2.刻度盘设有两个支撑杆，可轻松改变分力的角度，配合力倾角传感器直接测量力和角度的大小，在Windows、安卓、iOS系统终端上实时呈现数据，探究力的合成与分解实验。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3.单个支撑杆可围绕刻度盘在0°～180°内进行转动，改变力的角度。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4.连接线组件可保证两个力传感器在转动时，交点始终处于刻度盘的圆心位置，设计科学合理。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5.固定杆设有滑轮，可拓展探究合力竖直向上的情况。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6.采用人字形底座，配有调平螺丝，方便调整仪器保持水平。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7.配套专用实验软件，可在坐标系中自动绘制出合力与分力的矢量图，进行“力的合成”与“力的分解”实验。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探究力合成的平行四边形定则、探究力分解的三角形定则等实验</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6E86E0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0F79E6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068F12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3A76E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18194A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332AD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数字法拉第电磁感应定律实验器（动生）</w:t>
            </w:r>
          </w:p>
        </w:tc>
        <w:tc>
          <w:tcPr>
            <w:tcW w:w="5715" w:type="dxa"/>
            <w:tcBorders>
              <w:top w:val="single" w:color="000000" w:sz="4" w:space="0"/>
              <w:left w:val="single" w:color="000000" w:sz="4" w:space="0"/>
              <w:bottom w:val="single" w:color="000000" w:sz="4" w:space="0"/>
              <w:right w:val="single" w:color="000000" w:sz="4" w:space="0"/>
            </w:tcBorders>
            <w:noWrap w:val="0"/>
            <w:vAlign w:val="center"/>
          </w:tcPr>
          <w:p w14:paraId="096D4E1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底座、磁铁、可调匝数的线圈、支架、电压传感器（-4V～4V）、光电门传感器（0～∞s）、数据线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1.用于法拉第电磁感应实验，探究影响感应电动势大小的因素。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2.器材一体化设计，底座上固定有两块磁铁用于提供磁场，内置光电门传感器、电压传感器，可准确测量线圈下落速度及感应电动势大小，无需采集器，可直接与终端连接实时呈现数据。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3.具有可调节匝数的线圈，无需更换线圈，只需通过调整探针接入位置，即可更换100匝、200匝、300匝三种匝数，来探究线圈匝数对感应电动势大小的影响，操作简便。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4.支架两侧标有清晰的刻度，可控制线圈从不同高度下落，得到不同的切割速度，通过光电门传感器可以精准获得线圈下落的速度，探究线圈切割磁感线快慢对感应电动势大小的影响。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5.配套专用实验软件，预设模板，以表格和曲线等形式自动记录数据变化情况，实验结果更直观明显。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探究线圈切割磁感线快慢、线圈匝数对于感应电动势的影响等实验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▲提供数字法拉第电磁感应定律实验器（动生）配套专用实验软件，预设模板，以表格和曲线等形式探究线圈切割磁感线快慢、线圈匝数对于感应电动势的影响实验界面及实验结果截图</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37C4E3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5EF8DB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281715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4DD98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39119A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5F00E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查理定律实验器</w:t>
            </w:r>
          </w:p>
        </w:tc>
        <w:tc>
          <w:tcPr>
            <w:tcW w:w="5715" w:type="dxa"/>
            <w:tcBorders>
              <w:top w:val="single" w:color="000000" w:sz="4" w:space="0"/>
              <w:left w:val="single" w:color="000000" w:sz="4" w:space="0"/>
              <w:bottom w:val="single" w:color="000000" w:sz="4" w:space="0"/>
              <w:right w:val="single" w:color="000000" w:sz="4" w:space="0"/>
            </w:tcBorders>
            <w:noWrap w:val="0"/>
            <w:vAlign w:val="center"/>
          </w:tcPr>
          <w:p w14:paraId="38ED44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探头支架、试管、盖子、快速温度探头、宝塔接头、烧杯（150mL）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1.用于探究一定质量的气体在体积不变的情况下，压强与温度的关系。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器营造等体积实验环境，具有良好的密封性，通过试管内的快速温度探头连接快速温度传感器、宝塔接头连接绝对压强传感器，测得一定质量的气体在体积不变时压强与温度的变化关系，并在Windows、安卓、iOS系统终端上实时呈现数据。减轻准备器材的负担，轻松满足演示及分组实验，让课堂教学更高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3.探头支架底座平稳，采用夹子设计，角度可调，可轻松取下或固定试管。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4.配套专用实验软件，可描绘压强与温度的变化曲线，得出压强与温度成正比关系的实验结论。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查理定律等实验</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0710CD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6C598C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7A4CBF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4261E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20D0A3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7DFFC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电磁波传播实验器</w:t>
            </w:r>
          </w:p>
        </w:tc>
        <w:tc>
          <w:tcPr>
            <w:tcW w:w="5715" w:type="dxa"/>
            <w:tcBorders>
              <w:top w:val="single" w:color="000000" w:sz="4" w:space="0"/>
              <w:left w:val="single" w:color="000000" w:sz="4" w:space="0"/>
              <w:bottom w:val="single" w:color="000000" w:sz="4" w:space="0"/>
              <w:right w:val="single" w:color="000000" w:sz="4" w:space="0"/>
            </w:tcBorders>
            <w:noWrap w:val="0"/>
            <w:vAlign w:val="center"/>
          </w:tcPr>
          <w:p w14:paraId="33756B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发射模块（载波频率200Hz，调制波频率2Hz～20Hz）、接收模块、伸缩式天线*2、5号电池*4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1.用于电磁波传播实验的探究。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2.接收模块配合电压传感器测得发射模块发射出的波形，并在Windows、安卓、iOS系统终端上实时呈现数据，探究电磁波传播实验。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3.发射模块具有正弦波、三角波、方波三种波形选择，频率、幅度可调。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4.器材无需装配，操作简单，方便开展分组实验。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电磁波传播等实验</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717DC9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2DDDDE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70FA44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255CB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0927E1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765" w:type="dxa"/>
            <w:tcBorders>
              <w:top w:val="single" w:color="000000" w:sz="4" w:space="0"/>
              <w:left w:val="single" w:color="000000" w:sz="4" w:space="0"/>
              <w:bottom w:val="single" w:color="000000" w:sz="4" w:space="0"/>
              <w:right w:val="single" w:color="000000" w:sz="4" w:space="0"/>
            </w:tcBorders>
            <w:noWrap/>
            <w:vAlign w:val="center"/>
          </w:tcPr>
          <w:p w14:paraId="43EA5F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无线向心力实验器</w:t>
            </w:r>
          </w:p>
        </w:tc>
        <w:tc>
          <w:tcPr>
            <w:tcW w:w="5715" w:type="dxa"/>
            <w:tcBorders>
              <w:top w:val="single" w:color="000000" w:sz="4" w:space="0"/>
              <w:left w:val="single" w:color="000000" w:sz="4" w:space="0"/>
              <w:bottom w:val="single" w:color="000000" w:sz="4" w:space="0"/>
              <w:right w:val="single" w:color="000000" w:sz="4" w:space="0"/>
            </w:tcBorders>
            <w:noWrap w:val="0"/>
            <w:vAlign w:val="center"/>
          </w:tcPr>
          <w:p w14:paraId="333E79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人字形底座、支撑杆、码盘、角速度传感器（0～35rad/s）、力传感器（-10N～10N）、水平仪、紧固件、刻度条、不锈钢拉杆、铜锤*5（20g*2、30g*2、50g*1）、蓝牙适配器、锂电池、电源适配器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1.用于向心力研究实验，探究向心力与角速度、半径、质量及时间的关系。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2.器材集成度高，内置力传感器和码盘，旋转一周可测量多点向心力和转动角速度，采集频率可调节，并在Windows、安卓、iOS系统终端上实时呈现数据，解决了传统实验中数据测量误差较大的问题。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3.采集过程中无需保持匀速转动且一次数据采集即可探究向心力与角速度的关系，组装式安装，操作便捷。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4.配置3种不同规格铜锤，可组成5组及以上不同质量的组合，保持铜锤重心的位置不变，探究向心力与物体质量的关系。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5.实验器设有刻度条，并且铜锤中心位置有凹槽标记，可改变5组及以上不同转动半径，探究向心力与转动半径的关系。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6.内置水平和垂直两个方向上的水平仪，支持探究水平方向和竖直方向的圆周运动，满足更多实验需求。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7.旋转臂可在0°～90°内自由调节，支持拓展探究向心力与时间成周期性的关系。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8.铜锤卡槽式固定，可轻松移动及更换；中心处有凹槽标记，便于确定铜锤重心位置。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9.内置锂电池和蓝牙，支持有线、无线连接。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10.采用人字形底座，双水平泡设计，配有调平螺丝，方便调整仪器保持水平。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11.配套专用实验软件，预设模板，以表格和曲线等形式自动记录数据变化情况，实验结果更直观明显。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探究水平面内的圆周运动规律、探究向心力与转动角速度的关系、探究向心力与物体质量的关系、探究向心力与转动半径的关系、探究竖直平面内的圆周运动规律等实验的</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379207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5713DB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100FAE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43938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09146B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2C2CD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数字化安培力实验器</w:t>
            </w:r>
          </w:p>
        </w:tc>
        <w:tc>
          <w:tcPr>
            <w:tcW w:w="5715" w:type="dxa"/>
            <w:tcBorders>
              <w:top w:val="single" w:color="000000" w:sz="4" w:space="0"/>
              <w:left w:val="single" w:color="000000" w:sz="4" w:space="0"/>
              <w:bottom w:val="single" w:color="000000" w:sz="4" w:space="0"/>
              <w:right w:val="single" w:color="000000" w:sz="4" w:space="0"/>
            </w:tcBorders>
            <w:noWrap w:val="0"/>
            <w:vAlign w:val="center"/>
          </w:tcPr>
          <w:p w14:paraId="3EBB6D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底座、显示屏、电位器（电流可调电源）、调节按钮、强磁铁1对、电流传感器（0～1A）、磁感应强度传感器（-64mT～64mT）、微力传感器（-1N～1N）、角度盘、线圈*3（37.5mm/100匝、50mm/100匝、25mm/100匝/200匝）、电源适配器、数据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1.用于安培力的研究，探究公式F=nBILsinθ中F和各个量之间的关系，也可以验证公式本身。</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2.实验器搭建简便，无需外接传感器和采集器，通过内置的微力传感器和磁感应强度传感器，测量通电导线在磁场中所受到的安培力大小及方向，并在Windows、安卓、iOS系统终端上实时呈现数据。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3.设有电流调节按钮，可从零开始无极调节通过线圈的电流大小，从而探究通电导线中电流大小I对安培力的影响。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4.具有供3种不同的线圈，可控制线圈匝数不变，选择不同的有效长度，探究磁场中通电导线的有效长度L对安培力的影响；也可控制线圈有效长度不变，改变线圈匝数，探究线圈匝数n对安培力的影响。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5.强磁铁通过角度盘可0°～360°自由转动来改变磁场与线圈的夹角，角度盘标有清晰的刻度可轻松读出夹角大小，从而探究通电导线电流方向与磁场方向的夹角对安培力的影响。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6.线圈匝数更换简便，轻松拨动按钮即可进行100匝和200匝的转换。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7.实验器设有数字显示屏，可以实时显示电流、磁感应强度、安培力大小。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8.设有校零按钮，可通过硬件校零按钮对传感器一键校零，也可使用软件进行校零。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9.通过移动终端扫描仪器上的二维码可浏览该仪器配套的实验指导和使用说明。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10.可支持有线、无线两种工作方式。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11.配套专用实验软件，预设模板，以表格和曲线等形式自动记录数据变化情况，实验结果更直观明显。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用于探究磁场中的通电导线的匝数、长度、电流大小、电流方向与磁场方向的夹角等因素对安培力的影响等实验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提供数字化安培力实验器配套专用实验软件，预设模板，无需外接传感器和采集器，通过内置的微力传感器和磁感应强度传感器，测量通电导线在磁场中所受到的安培力大小及方向，并在Windows、安卓、iOS系统终端上实时呈现数据。用于探究磁场中的通电导线的匝数、长度、电流大小、电流方向与磁场方向的夹角等因素对安培力的影响等实验的实验界面及实验结果截图</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411E15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0E756F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74166384">
            <w:pPr>
              <w:rPr>
                <w:rFonts w:hint="eastAsia" w:ascii="宋体" w:hAnsi="宋体" w:eastAsia="宋体" w:cs="宋体"/>
                <w:i w:val="0"/>
                <w:iCs w:val="0"/>
                <w:color w:val="000000"/>
                <w:sz w:val="18"/>
                <w:szCs w:val="18"/>
                <w:u w:val="none"/>
              </w:rPr>
            </w:pPr>
          </w:p>
        </w:tc>
      </w:tr>
      <w:tr w14:paraId="09AAA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7730FF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56604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光的干涉衍射实验器</w:t>
            </w:r>
          </w:p>
        </w:tc>
        <w:tc>
          <w:tcPr>
            <w:tcW w:w="5715" w:type="dxa"/>
            <w:tcBorders>
              <w:top w:val="single" w:color="000000" w:sz="4" w:space="0"/>
              <w:left w:val="single" w:color="000000" w:sz="4" w:space="0"/>
              <w:bottom w:val="single" w:color="000000" w:sz="4" w:space="0"/>
              <w:right w:val="single" w:color="000000" w:sz="4" w:space="0"/>
            </w:tcBorders>
            <w:noWrap w:val="0"/>
            <w:vAlign w:val="center"/>
          </w:tcPr>
          <w:p w14:paraId="41EEB9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光屏、激光器、光学元件（含干涉片、衍射片1、衍射片2）、7号干电池、偏振片*2、皮尺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1.用于探究光在透过单缝和双缝时，发生衍射和干涉的现象。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2.激光器能发射满足相关条件的激光，通过机身前端的光学元件，产生干涉或衍射现象，可在光屏上观察干涉或衍射图像，配合光强分布传感器可测量并计算出光波波长，并在终端上实时呈现数据。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3.激光器前端具有可左右移动的卡槽，方便光学元件的插入及滑动。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4.干涉片具有不同缝宽的双缝、三缝、四缝，可进行杨氏双缝干涉实验，同时能拓展进行三缝、四缝干涉实验。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5.衍射片具有狭缝、圆孔、矩形孔、方形孔、三角孔、单丝、圆屏、刀口等图形，可观察到明显的光的衍射现象。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6.配有软性150cm长皮尺，方便测量激光器到光强分布传感器的距离，用于计算光波波长。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杨氏双缝干涉、单缝衍射、用光强分布传感器做双缝干涉等实验</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02B579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4BDC74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0C2EE66B">
            <w:pPr>
              <w:rPr>
                <w:rFonts w:hint="eastAsia" w:ascii="宋体" w:hAnsi="宋体" w:eastAsia="宋体" w:cs="宋体"/>
                <w:i w:val="0"/>
                <w:iCs w:val="0"/>
                <w:color w:val="000000"/>
                <w:sz w:val="18"/>
                <w:szCs w:val="18"/>
                <w:u w:val="none"/>
              </w:rPr>
            </w:pPr>
          </w:p>
        </w:tc>
      </w:tr>
      <w:tr w14:paraId="3268E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786B1E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05550D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平抛运动实验器</w:t>
            </w:r>
          </w:p>
        </w:tc>
        <w:tc>
          <w:tcPr>
            <w:tcW w:w="5715" w:type="dxa"/>
            <w:tcBorders>
              <w:top w:val="single" w:color="000000" w:sz="4" w:space="0"/>
              <w:left w:val="single" w:color="000000" w:sz="4" w:space="0"/>
              <w:bottom w:val="single" w:color="000000" w:sz="4" w:space="0"/>
              <w:right w:val="single" w:color="000000" w:sz="4" w:space="0"/>
            </w:tcBorders>
            <w:noWrap w:val="0"/>
            <w:vAlign w:val="center"/>
          </w:tcPr>
          <w:p w14:paraId="68F1BCF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平抛轨道组件（含平抛轨道、轨道固定块、光电门托板、螺丝、三角螺栓）、落点接球盒组件（含板夹、复写纸、白纸、接球盒）、定位螺栓、蝶形螺母、钢球组、软尺、铁架台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1.用于探究平抛运动的规律。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2.通过光电门传感器珂直接测量小球水平初速度，利用软尺测量高度和水平位移并输入在软件变量列中，在Windows、安卓、iOS系统终端上实时呈现数据，探究平抛运动的规律。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3.落球盒组件可清晰记录落点位置，得出小球准确的水平位移，有效减少实验误差。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4.平抛轨道设有定位螺栓，可保证在同一高度重复多次实验时小球位置不变。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平抛运动的规律等实验</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6CB92B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4A39CF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63CFB2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76E65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5869AE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07FE9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数字化光电效应实验器</w:t>
            </w:r>
          </w:p>
        </w:tc>
        <w:tc>
          <w:tcPr>
            <w:tcW w:w="5715" w:type="dxa"/>
            <w:tcBorders>
              <w:top w:val="single" w:color="000000" w:sz="4" w:space="0"/>
              <w:left w:val="single" w:color="000000" w:sz="4" w:space="0"/>
              <w:bottom w:val="single" w:color="000000" w:sz="4" w:space="0"/>
              <w:right w:val="single" w:color="000000" w:sz="4" w:space="0"/>
            </w:tcBorders>
            <w:noWrap w:val="0"/>
            <w:vAlign w:val="center"/>
          </w:tcPr>
          <w:p w14:paraId="5AAA9E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光电效应实验器主体（含分压式电路（电压调节范围（-12V～12V））、电压传感器（-20V～20V）、微电流传感器（-200μA～200μA）、电压数字显示屏、微电流数字显示屏、电位器、电源方向调节器、调光器）、光电管罩、光电管、USB灯条、滤光片（红、黄、蓝各1块）、数据线、电源适配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1.用于光的粒子性实验，探究光电效应现象。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器面板印有实验电路图，便于学生理解实验。内置电压、微电流传感器，无需采集器，可直接与终端连接，在专有软件模板上，可实现数据连续记录并以数值、图像等多种形式并在Windows、安卓、iOS系统终端上实时呈现，解决了传统实验中光电流难以测量的问题，方便演示，大大提升了课堂效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3.内置分压式电路，通过旋钮可调节电压大小，探究光电流随电压增加而增加，达到饱和电流的现象。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4.内置调光器，通过旋钮可调节光强大小，探究光强越大，饱和电流越大的现象。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5.配备3种颜色滤光片，定位卡槽设计，安装方便，可以探究不同频率的光照射下的光电流与电压的关系。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6.内置电源方向调节装置，可根据实验调节电压的正反方向，探究遏止电压。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7.面板自带电压、微电流数字显示模块，即可独立使用，也可结合计算机使用完成实验。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8.铝合金光电管罩设计，有效避免其他杂光影响，实验误差小。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9.配套专用实验软件，预设模板，以曲线形式自动记录数据变化情况，实验结果更直观明显。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用于探究光电效应、验证饱和光电流、遏止电压等实验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提供数字化光电效应实验器内置电压、微电流传感器，无需采集器，可直接与终端连接，在专有软件模板上，可实现数据连续记录并以数值、图像等多种形式并在Windows、安卓、iOS系统终端上实时呈现，探究光电效应、验证饱和光电流、遏止电压等实验的实验界面及实验结果截图</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400A70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3F73AA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2B6B88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1AEA7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100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453A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栅栏板</w:t>
            </w:r>
          </w:p>
        </w:tc>
        <w:tc>
          <w:tcPr>
            <w:tcW w:w="57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2840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亚克力板（390×60×3mm、黑条纹宽度25mm、间隔25mm）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配合光电门传感器做自由落体实验。</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4F71BF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6B4981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7A0977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7A063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D2B0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3662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数字法拉第电磁感应定律实验器（感生）</w:t>
            </w:r>
          </w:p>
        </w:tc>
        <w:tc>
          <w:tcPr>
            <w:tcW w:w="57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B7FE3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初级线圈、次级线圈、底座、磁感应强度传感器（-64mT～64mT）、微电压传感器（-60mV～60mV）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1.用于探究法拉第电磁感应定律，通过初级线圈电流的变化，检测次级线圈磁通量的变化，分析磁通量变化率和产生的电动势的正比关系。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与智能电源配合使用，无需外接传感器与采集器，通过内置的磁感应强度传感器、微电压传感器可同时测得线圈中的磁场变化情况及产生的感应电动势大小，并在终端上实时呈现数据，有效解决了传统实验难以直接同时观察磁通变化率与对应感应电动势大小的问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3.通过智能电源在初级线圈中产生特定周期变化的电流，磁场也随之发生改变，进而使次级线圈中的磁通量发生改变，产生感应电动势，能够精准分析磁通量变化率和产生的电动势的正比关系。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4.配套专用实验软件，可自动描绘出磁场和感应电动势的变化曲线，且可在曲线上取值对比不同的磁通量变化率对感应电动势的影响，实验结果更直观明显。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探究法拉第电磁感应定律等实验</w:t>
            </w:r>
          </w:p>
        </w:tc>
        <w:tc>
          <w:tcPr>
            <w:tcW w:w="4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6534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A048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06D1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2BDF9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1B35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642F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智能电源</w:t>
            </w:r>
          </w:p>
        </w:tc>
        <w:tc>
          <w:tcPr>
            <w:tcW w:w="57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458F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电源主体（输入电压AC：220V±10% 50Hz、输出电压DC：1V～20V、额定电流1A、输出频率：1Hz～10000Hz）、电源线、鳄鱼夹线*2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1.可与各种电学实验器材搭配使用完成电磁感应现象、电流磁效应、均匀变化电场与产生磁场的关系、电谐振现象等电磁学物理实验。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2.可提供直流电、正弦波、方波、三角波、梯形波，共5种不同波形的电源电压，输出电压峰值在1V～20V内连续可调。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3.通过面板按钮可实现触发输出1个波形、触发输出2个波形、触发输出3个波形、持续输出四种状态间自由切换。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4.通过频率旋钮可调节输出电压的频率，通过幅度旋钮可调节输出电压的峰值。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5.可通过斜率调节装置改变输出电压波形的上升沿斜率及下降沿斜率。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6.自带过载保护功能，通过过流指示灯显示，电路中电流过大时自动切断电源，保证实验安全。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搭配其他器材可完成：电源电动势及内阻的测量、测量小灯泡的伏安特性、欧姆定律、电阻的串并联、电磁感应现象、感应电流、电容器的串并联及充放电、探究环形线圈产生磁场随电压变化、探究法拉第电磁感应（感生电动势）、电流磁效应、均匀变化电场与产生磁场的关系、电谐振现象等电磁学物理等实验</w:t>
            </w:r>
          </w:p>
        </w:tc>
        <w:tc>
          <w:tcPr>
            <w:tcW w:w="4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EC52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E25F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1B7F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2BF7A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2F2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A59E4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机械能守恒实验器</w:t>
            </w:r>
          </w:p>
        </w:tc>
        <w:tc>
          <w:tcPr>
            <w:tcW w:w="57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0FFE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铁架台（上含塑料固定筒）、透明塑料管（带刻度）、金属挡光柱、转接头、公头支撑杆、橡胶堵头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1、用于验证机械能守恒。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方法贴合教材。用两个光电门，测出金属挡光柱在自由落体过程中，某两个点的速度，得到金属挡光柱在这两个点的动能，得到动能差值。再结合两个光电门的高度差，算出势能差值。动能及势能差值两者相等，从而验证了机械能守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3、透明塑料管保持金属挡光柱的运动竖直向下，大大减小了光电门对其速度的测量误差。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4、铁架台上的固定筒，保持透明塑料管竖直。插入和取出透明塑料管方便，大大简化了实验操作。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可以用自由落体的方式，完成高中物理必修2中的机械能守恒等实验。</w:t>
            </w:r>
          </w:p>
        </w:tc>
        <w:tc>
          <w:tcPr>
            <w:tcW w:w="4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EF2A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1CC6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453C9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603F0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260D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9F3CB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电阻定律实验器Ⅱ</w:t>
            </w:r>
          </w:p>
        </w:tc>
        <w:tc>
          <w:tcPr>
            <w:tcW w:w="57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C787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亚克力底座、镍铬丝（0.2mm）、镍铬丝（0.4mm）、镍铬丝（0.6mm）、锰铜丝（0.6mm）、铁铬丝（0.6mm）、夹式测试钩1对（带4mm插孔钩）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1.用于电阻定律实验，探究电阻的材料、长度、横截面积对导体电阻大小的影响。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2.电阻定律实验器配合电源、电流传感器，通过传感器测得的电流大小来比较接入的金属丝电阻大小，在Windows、安卓、iOS系统终端上实时呈现数据。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3.夹式测试钩可自由选择接入金属丝的长度，探究导体长度对电阻的影响。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4.提供三种材料相同，直径不同的金属丝，便于探究导体横截面积对电阻的影响。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5.提供三条直径相同的材料不同的镍铬丝、锰铜丝、铁铬丝，探究导体材料对电阻的影响。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6.底座标有刻度及金属丝的名称和直径，并在每条金属丝下方标有长度标记，可直接读出长度数值。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7.通过移动终端扫描仪器上的二维码可浏览该仪器配套的实验指导和使用说明。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8.配套专用实验软件，预设模板，以表格和曲线等形式自动记录数据变化情况，实验结果更直观明显。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探究电阻的影响因素等实验</w:t>
            </w:r>
          </w:p>
        </w:tc>
        <w:tc>
          <w:tcPr>
            <w:tcW w:w="4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E3F3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2C21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A2612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60A80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8A4B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3160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动力学系统（高配版）</w:t>
            </w:r>
          </w:p>
        </w:tc>
        <w:tc>
          <w:tcPr>
            <w:tcW w:w="57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BF46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新动力学导轨（1.2m，铝合金）、无线智能小车2辆（内置力传感器（模式一：-50N～50N，模式二：-10N～10N）、加速度传感器（-16g～16g）、光电测距模块、可充电电池）、支架组件、收纳组件、电磁释放组件、碰撞架、策动源组件、磁阻尼组件、配件盒A（含钩码、砝码、小桶、细线、弹簧、碰撞磁铁、碰撞粘合组件、水平仪、螺钉、手拧尼龙螺丝等）、配件盒B（含螺母、螺丝、垫片、弹簧等）、电子秤、橡皮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1.用于研究动力学为核心的一系列实验，包含：位移、时间、速度、加速度、力、动能、动量等物理量。能够完成直线运动类、力与能量类、动量类、电磁阻尼类、振动和共振类等实验。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高集成平台化实验器，无线智能小车具有高信息采集频率，最快可达5000个点/秒，可实时输出力、速度、位移、加速度等物理量，无需外接传感器，采用无线方式与终端软件进行连接即可实现小车运动全过程的数据采集，并在Windows、安卓、iOS系统终端上实时呈现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配件丰富，提供策动源、阻尼板、阻尼磁铁等多种配件，可完成直线运动类、力与能量、动量、电磁阻尼、受迫振动和共振等多种实验并提供12个配套实验方案和实验专用模版，数据可实时显示在表格中，同时在坐标图上描绘出数据曲线并进行拟合，也可自行添加部件进行更多的实验探究与创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4.力传感器具有双测量模式，根据实验需求进行“大量程”与“高精度” 智能调节，精度可达0.01N，最大限度捕捉细微力的变化。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5.无线智能小车车轮采用刀片式设计，运动过程中与导轨之间的摩擦力非常小，减少实验误差。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6.电磁释放组件通过按键开关方式吸附和释放小车，降低弹射发射时的法向力矩，保证小车水平向前，有效减少小车释放时人为因素对小车初始状态的影响，实验数据更精准。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7.旋钮式升降铁架台降低轨道安装难度，利用齿轮调节高度更方便、精确、稳定。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8.收纳组件可保护小车不冲出轨道，提高实验效率，降低实验过程中仪器的损坏率，保证实验流畅性。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9.策动源电机转动频率可无级调节并自带数字显示屏，可显示频率大小，探究受迫振动与共振实验。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10.阻尼板具有全金属、金属开孔、金属齿三段不同的设计，用以研究不同情况下磁阻尼的阻力变化。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位移与平均速度、平均速度与瞬时速度、直线运动的速度及加速度、匀变速直线运动的研究、探究加速度与力、质量的关系、动能定理、功与速度变化的关系（一）、功与速度变化的关系（二）、动量定理、动理守恒定律、电磁阻尼、受迫振动和共振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提供动力学系统完成直线运动类、力与能量、动量、电磁阻尼、受迫振动和共振等多种实验并提供12个配套实验方案和实验专用模版，数据可实时显示在表格中，同时在坐标图上描绘出数据曲线并进行拟合，完成位移与平均速度、平均速度与瞬时速度、直线运动的速度及加速度、匀变速直线运动的研究、探究加速度与力、质量的关系、动能定理、功与速度变化的关系（一）、功与速度变化的关系（二）、动量定理、动理守恒定律、电磁阻尼、受迫振动和共振等实验的实验界面及实验结果截图</w:t>
            </w:r>
          </w:p>
        </w:tc>
        <w:tc>
          <w:tcPr>
            <w:tcW w:w="4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3E45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41EC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AE23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08401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5F1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B149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安培力实验器</w:t>
            </w:r>
          </w:p>
        </w:tc>
        <w:tc>
          <w:tcPr>
            <w:tcW w:w="5715"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BC8FC02">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角度盘、方形铁架台底座、角度盘指针、胶木手拧螺丝、多功能铁架台底座、公母支撑杆、通用夹具、匝线圈*2（800匝、1600匝）、红色导线、黑色导线、定位垫片、转接头、水平仪</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1.用于安培力实验，探究磁场中的通电导线的线圈匝数、电流大小、电流方向与磁场方向的夹角等因素对安培力的影响。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2.实验器提供稳定测量环境，配合电流传感器和微力传感器，测量通电导线的电流大小及其在磁场中所受到的安培力大小及方向，并在Windows、安卓、iOS系统终端上实时呈现数据。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3.线圈预留导线接口，可接入外部电源，从零开始调节通过线圈的电流大小，从而探究通电导线中电流大小对安培力的影响。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4.具有2种不同匝数的线圈，控制线圈有效长度不变，改变线圈匝数，探究线圈匝数对于安培力的影响。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5.磁铁通过角度盘可0°～360°自由转动来改变磁场与线圈的夹角，角度盘标有清晰的刻度可轻松读出夹角大小，从而探究通电导线电流方向与磁场方向的夹角对安培力的影响。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6.设有通用夹具，线圈更换简便。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7.设有定位垫片，可保证更换线圈后仍处于同一高度。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8.可支持有线、无线两种工作方式。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用于探究磁场中的通电导线的线圈匝数、电流大小、电流方向与磁场方向的夹角等因素对安培力的影响等实验</w:t>
            </w:r>
          </w:p>
        </w:tc>
        <w:tc>
          <w:tcPr>
            <w:tcW w:w="4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FA7F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B294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BD30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6E581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54D9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338E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霍尔效应实验器</w:t>
            </w:r>
          </w:p>
        </w:tc>
        <w:tc>
          <w:tcPr>
            <w:tcW w:w="57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20DF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电压传感器（-1.25V～1.25V）、载流元件、面板、LED指示灯、条形磁铁、数据线、USB电源适配器、蓝牙适配器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1.用于霍尔效应实验，探究导电材料中的电流与磁场相互作用而产生电动势的效应。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2.实验器集成度高，内置电压传感器，测量两端电压的大小，无需外接传感器和采集器，直接在Windows、安卓、iOS系统终端上实时呈现数据，探究霍尔效应实验。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3.面板设有原理图，方便理解及观察现象。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4.通过条形磁铁产生磁场，磁场方向改变方便快捷。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5.可支持有线、无线两种工作方式。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探究霍尔效应等实验</w:t>
            </w:r>
          </w:p>
        </w:tc>
        <w:tc>
          <w:tcPr>
            <w:tcW w:w="4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0571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DCDE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E0B4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2658F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E64A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19EA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无线转动实验器</w:t>
            </w:r>
          </w:p>
        </w:tc>
        <w:tc>
          <w:tcPr>
            <w:tcW w:w="57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5ABF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无线转动传感器（0°～360°）、电机组件、滑轮组件、质量块*2、砝码钩*2、传感器夹、手紧螺丝1套、三层塔轮、铝杆、圆饼1套、圆铁环、压盖、梅花手紧螺丝、细线、橡皮筋、O型圈、砝码*3（50g*2、100g）、数据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1.用于力学、机械能、圆周运动方面的实验。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转动传感器配件丰富，无需外接传感器和采集器，可测量角速度、长度、距离、转速、线速度、角加速度等物理量，完成力学、机械能、圆周运动相关的多种物理实验，并在Windows、安卓、iOS系统终端上实时呈现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3.铝杆设有多功能孔，可用于固定传感器、改变物理摆的摆长、改变质量块的转动半径、快速识别重心位置。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4.三层塔轮设计，可提供大中小三种转动半径，探究相同角速度，不同转动半径下线速度的大小关系。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5.三层塔轮与传感器连接处采用切肩开槽防滑设计，安装稳固，转动流畅。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6.圆饼、圆环设有定位孔，可快速定位安装，探究转速测量、角速度测量、角加速度测量、线速度测量实验。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7.电机组件位置可调，可使转动齿轮与传感器转动滑轮在同一水平面，转动稳定，可用于转速的测量实验。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8.定滑轮使用深沟球轴承，摩擦系数小，极限转速高，精度高，能有效减小轮轴摩擦对实验的影响。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9.配套专用实验软件，并提供9个实验专用模版，可完成转速的测量、角速度的测量、验证机械能守恒、物理摆、阿特伍德机等实验。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物理摆测重力加速度、验证机械能量守恒定律、长度及距离测量、阿特伍德机的验证、转速测量、相对旋转角速度测量、线速度的测量、角加速度测量、角速度的测量等实验</w:t>
            </w:r>
          </w:p>
        </w:tc>
        <w:tc>
          <w:tcPr>
            <w:tcW w:w="4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72FC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B6DC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56FCD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2256F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9964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29659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静电学套件</w:t>
            </w:r>
          </w:p>
        </w:tc>
        <w:tc>
          <w:tcPr>
            <w:tcW w:w="57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1AAB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法拉第冰桶、静电屏蔽框、翘边铝板、防静电手环、取电器*3（铝片、PVC片、尼龙片）、亚克力棒*2、丝绸、橡胶棒*2、毛皮、鳄鱼夹线、棉质方巾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1.用于探究电荷守恒等静电学系列实验。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2.实验器贴合教材，兼容电荷传感器，可测量电荷量，并在Windows、安卓、iOS系统终端上实时呈现数据，绘制变化趋势图，探究法拉第冰桶实验。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3.配置防静电手环，避免人体导电带来误差，实验更加准确。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4.配件丰富，提供多种材质的摩擦棒与布料，用于探究摩擦生电实验。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可用于法拉第冰桶实验探究、人体静电的探究、摩擦生电的探究等实验</w:t>
            </w:r>
          </w:p>
        </w:tc>
        <w:tc>
          <w:tcPr>
            <w:tcW w:w="4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89BF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61AC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A7F1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3B707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74F7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262B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电磁定位系统</w:t>
            </w:r>
          </w:p>
        </w:tc>
        <w:tc>
          <w:tcPr>
            <w:tcW w:w="57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AD21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电磁定位板（可测面积521mm*293mm）、信号源、支撑腿、支撑架、铝合金收纳盒、T型水平泡、通信线、USB适配器、Type-C数据线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1.用于测量信号源在有效范围内任意时刻的位置坐标（x，y），可以得到信号源在平面上的运动轨迹、位移、速度和加速度。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器采用电磁定位技术，抗干扰能力强，在定位板区域确定信号源在任意时刻的位置平面坐标（x，y），无需外接传感器和采集器，直接在Windows、安卓、iOS系统终端上实时呈现数据，描绘出信号源的运动轨迹。搭配二维平面单摆运动实验器、二维平面平抛斜抛运动实验器、二维平面自由落体运动实验器，完成多个二维运动类实验，支持拓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3.信号源采用无线发射方式，有效避免数据线对运动的影响。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4.电磁定位板磁吸接口设计，方便插拔，避免弯折接头造成板身损坏。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5.支撑腿可调节定位板的高度，便于根据实验环境调节电磁定位板的位置。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6.提供T型水平泡，可检验定位板是否水平。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7.搭建简单，可轻松开展分组、演示实验。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8.收纳盒内设硅胶垫，防冲撞，有效保护信号源。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9.支持有线、无线两种工作方式。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适用于中学物理实验中的二维运动的位移、速度、加速度等运动学物理量的测量，配合辅材可完成：单摆运动、平抛及斜抛运动、自由落体运动等实验</w:t>
            </w:r>
          </w:p>
        </w:tc>
        <w:tc>
          <w:tcPr>
            <w:tcW w:w="4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DC18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22DA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8DBA1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026C0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E8E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A60EE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二维平面单摆运动实验器</w:t>
            </w:r>
          </w:p>
        </w:tc>
        <w:tc>
          <w:tcPr>
            <w:tcW w:w="57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B157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单摆安装模块、摆杆模块*3（摆长L=50cm、L=40cm、L=35cm各1套）、基体模块、内六角扳手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1.用于单摆测量重力加速度实验。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二维单摆运动实验器提供三根不同长度的摆杆，在信号源安装块中安装信号源，配合电磁定位板，可测量并描绘信号源摆动的周期和轨迹，并在Windows、安卓、iOS系统终端上实时呈现数据，可完成用单摆测重力加速度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3.单摆角度盘标有清晰的角度刻度，便于读取摆角数值，角度可控。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4.摆杆顶部使用深沟球轴承，摩擦系数小，极限转速高，精度高，能有效减小轮轴摩擦对实验的影响。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5.基体模块使用滑块螺母与支撑架连接，方便安装。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6.配套专用实验软件，预设模板，以表格和曲线等形式自动记录数据变化情况，实验结果更直观明显。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用单摆测量重力加速度等实验</w:t>
            </w:r>
          </w:p>
        </w:tc>
        <w:tc>
          <w:tcPr>
            <w:tcW w:w="4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4F1A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E513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86DAF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43487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CAAC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9F31D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二维平面平抛斜抛运动实验器</w:t>
            </w:r>
          </w:p>
        </w:tc>
        <w:tc>
          <w:tcPr>
            <w:tcW w:w="57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7679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弹射器、出射角度盘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1.用于探究平抛运动的规律、探究斜抛运动的规律等实验。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2.弹射器发射信号源，配合电磁定位板，测量并描绘信号源发射后的运动轨迹，并在Windows、安卓、iOS系统终端上实时呈现数据，可完成探究平抛、斜抛的运动规律实验。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3.弹射器具有三档档位，可以给信号源提供不同的水平初速度，探究水平初速度对平抛运动的影响。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4.弹射器角度可调，通过出射角度盘确定角度数值，可以探究斜抛的运动规律。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5.配套专用实验软件，预设模板，以表格和曲线等形式自动记录数据变化情况，实验结果更直观明显。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探究平抛运动的规律、探究斜抛运动的规律等实验</w:t>
            </w:r>
          </w:p>
        </w:tc>
        <w:tc>
          <w:tcPr>
            <w:tcW w:w="4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43EC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54A5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F795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2D65C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D48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F1597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二维平面自由落体运动实验器</w:t>
            </w:r>
          </w:p>
        </w:tc>
        <w:tc>
          <w:tcPr>
            <w:tcW w:w="57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D6B8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电磁释放器、信号源释放保护环、Type-C数据线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1.用于探究自由落体运动的规律实验。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2.电磁释放器吸附信号源，触摸开关使信号源下落，配合电磁定位板测量并描绘信号源运动轨迹，并在Windows、安卓、iOS系统终端上实时呈现数据，可完成研究自由落体运动规律实验。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3.电磁释放器为触摸式开关，可避免用力按压开关而造成的仪器晃动，有效减小实验误差。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4.提供信号源释放保护环，有效防止信号源下落后损坏。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5.配套专用实验软件，预设模板，以表格和曲线等形式自动记录数据变化情况，实验结果更直观明显。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探究自由落体运动的规律等实验</w:t>
            </w:r>
          </w:p>
        </w:tc>
        <w:tc>
          <w:tcPr>
            <w:tcW w:w="4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1EF7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AE78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18C48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5FA8B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8E26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1DE1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摩擦力实验器（高中）</w:t>
            </w:r>
          </w:p>
        </w:tc>
        <w:tc>
          <w:tcPr>
            <w:tcW w:w="57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7BD0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铝合金底座、亚克力面板、力传感器（-50N～50N）、滑块、电机、传送带、调速旋钮、校零按钮、数字显示屏、摩擦板5块（亚克力板、宽铝板、窄铝板、聚甲醛板、泡棉垫板）、脚垫、电子秤、砝码（50g、100g、200g）、数据线、电源适配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1.用于摩擦力实验，探究最大静摩擦力与滑动摩擦力的关系及压力大小、不同摩擦面、接触面积不同对滑动摩擦力的影响。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器搭建简便，通过电机转动使传送带与滑块做相对运动，力传感器测量滑块在运动过程中所受拉力的大小（摩擦力），无需外接传感器和采集器，可在Windows、安卓、iOS系统终端上实时呈现数据，探究最大静摩擦力与滑动摩擦力的关系及滑动摩擦力的影响因素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3.电机可通过调速旋钮进行无级调节，从静止开始调节速度并保持匀速，可测得最大静摩擦力，从而探究滑块受到的最大静摩擦力与滑动摩擦力的关系。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4.提供5块不同的摩擦板，可探究接触面粗糙程度、接触面积对滑动摩擦力的影响，并且滑块设有卡槽，可轻松更换5块不同的摩擦板。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5.提供3种质量不同的砝码，可组合7种不同的质量，探究压力大小对滑动摩擦力的影响。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6.实验器设有数字显示屏，可以实时显示电机转速及滑块受力大小。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7.设有校零按钮，可通过硬件校零按钮对传感器进行校零。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8.配有电子秤，为精确计算提供丰富配件支撑。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9.通过移动终端扫描仪器上的二维码可浏览该仪器配套的实验指导和使用说明。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10.可支持有线、无线两种工作方式。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11.配套专用实验软件，预设模板，以表格和曲线等形式自动记录数据变化情况，实验结果更直观明显。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探究最大静摩擦力与滑动摩擦力的关系，探究压力大小、不同摩擦面、不同接触面积对滑动摩擦力的影响等实验</w:t>
            </w:r>
          </w:p>
        </w:tc>
        <w:tc>
          <w:tcPr>
            <w:tcW w:w="4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7FDE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7E38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75A9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6AFC6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ABE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CB8B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实验箱支架车</w:t>
            </w:r>
          </w:p>
        </w:tc>
        <w:tc>
          <w:tcPr>
            <w:tcW w:w="57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9DCB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承重：60kg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尺寸：410*310*170mm（展开），508*90*170mm（折叠）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质量：约1.3kg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由支架、万向轮组成，配套实验箱使用。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1.专为实验箱设计的移动支架车，可实现多个实验箱的迅速移动，省时省力。</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2.承重60kg，可承载多个实验箱。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3.有5个万向轮，带刹车，移动方便。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4.可折叠，折叠后体积小，便于收纳、运输。</w:t>
            </w:r>
          </w:p>
        </w:tc>
        <w:tc>
          <w:tcPr>
            <w:tcW w:w="4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D630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4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287D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B910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1C544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72CC9D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873D1D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手提式实验箱</w:t>
            </w:r>
          </w:p>
        </w:tc>
        <w:tc>
          <w:tcPr>
            <w:tcW w:w="5715" w:type="dxa"/>
            <w:tcBorders>
              <w:top w:val="single" w:color="000000" w:sz="4" w:space="0"/>
              <w:left w:val="single" w:color="000000" w:sz="4" w:space="0"/>
              <w:bottom w:val="single" w:color="000000" w:sz="4" w:space="0"/>
              <w:right w:val="single" w:color="000000" w:sz="4" w:space="0"/>
            </w:tcBorders>
            <w:noWrap w:val="0"/>
            <w:vAlign w:val="center"/>
          </w:tcPr>
          <w:p w14:paraId="0F4A28A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提式箱式设计，可翻盖，采用ABS材质，外形尺寸（长宽高）：437mm*327mm*170mm（两箱叠加高度H=330mm），最大承重：30-35公斤；箱体底部设有底部凸起，与上部设计凹槽相互咬合，通过独特的纽扣式锁止机构，实现箱子与箱子之前的锁合，可多个垒叠放置，便于携带和搬运，最多可垒5箱；内部含有内衬，保证每个器材都有对应的存放位置，便于快速、高效的整理和收纳；</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4D9B2A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16A717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219F265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16B32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48C5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55EE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智能实验数据采集终端</w:t>
            </w:r>
          </w:p>
        </w:tc>
        <w:tc>
          <w:tcPr>
            <w:tcW w:w="57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0E51B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触摸平板式10.1英寸，10点电容屏，分辨率1920*1200IPS，30000mWh聚合物锂离子电池，连续使用≥8小时，4GDDR4LRAM，64GBROM支持扩展卡，前置2.0M后置5.0MP摄像头，标准USB3.0接口，HDMImini接口，type-C数据接口，3.5mm耳机接口；windows10 64位操作系统。智能采集并保存数据，内置64G存储空间，方便存储实验数据﹔前置后置摄像头，方便拍摄实验图片;支持网络连接，方便传送实验数据﹔内置USB接口和蓝牙模块，支持多种连接方式；</w:t>
            </w:r>
          </w:p>
        </w:tc>
        <w:tc>
          <w:tcPr>
            <w:tcW w:w="40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DBD0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562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9914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1BB29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48D895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EA3150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数字化实验系统</w:t>
            </w:r>
          </w:p>
        </w:tc>
        <w:tc>
          <w:tcPr>
            <w:tcW w:w="5715" w:type="dxa"/>
            <w:tcBorders>
              <w:top w:val="single" w:color="000000" w:sz="4" w:space="0"/>
              <w:left w:val="single" w:color="000000" w:sz="4" w:space="0"/>
              <w:bottom w:val="single" w:color="000000" w:sz="4" w:space="0"/>
              <w:right w:val="single" w:color="000000" w:sz="4" w:space="0"/>
            </w:tcBorders>
            <w:noWrap w:val="0"/>
            <w:vAlign w:val="center"/>
          </w:tcPr>
          <w:p w14:paraId="023528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支持实验设计、数据采集和保存、数据分析计算等，是一款功能强大的教学用实验数据处理软件。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1.支持Windows、Android、iOS/iPadOS、MacOS、 Linux、Harmony OS、统信UOS。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2.支持有线连接，无线蓝牙连接。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3.支持传感器自动识别。</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4.可连接多个采集器，并支持多个采集器同时工作。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5.可支持20个传感器同时采集。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6.通过坐标图像曲线、表格、数值、仪表盘等方式，实时、直观、精确显示实验数据。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7.根据实验需要，可进行公式（变量）编辑，自主添加实验变量（或增量等），并通过公式编辑实现不同物理量之间的转换。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8.可对数据图表操作，包括对图表内数据曲线的移动、缩放、改变曲线颜色及大小等，便于实验前后的数据分析处理，适合于教学中实验结果的精确测定与验证。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9.具有完善的数据处理功能，包含多种数据拟合：直线拟合、抛物线拟合、倒数拟合、积分、重叠显示等。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10.实验结果以图片等不同方式进行保存。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11.包含小学科学、初中物理、初中化学、初中生物、高中物理、高中生物、高中化学7个专用实验模块，超过150个实验专有模板，全定制化的实验界面及实验操作，贴合教学过程。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12.软件可关联“在线实验设计平台”，通过注册和登录，登录之后可使用“在线实验设计平台”，体验功能更为强大的实验自主设计软件。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13.通用界面支持多种功能风格显示，并且可自定义界面风格。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▲14、提供丰富完整的在线实验教学案例，资源数量不少于700个的产品功能截图                                                                                                                 ▲15、提供丰富的在线实验视频，视频数量不少于150个的产品功能截图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▲16、提供在线实验视频既可以通过自有平台浏览，同时也可以通过第三方平台浏览的产品功能截图</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5A903B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4917A6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7E27693E">
            <w:pPr>
              <w:jc w:val="center"/>
              <w:rPr>
                <w:rFonts w:hint="eastAsia" w:ascii="宋体" w:hAnsi="宋体" w:eastAsia="宋体" w:cs="宋体"/>
                <w:i w:val="0"/>
                <w:iCs w:val="0"/>
                <w:color w:val="000000"/>
                <w:sz w:val="18"/>
                <w:szCs w:val="18"/>
                <w:u w:val="none"/>
              </w:rPr>
            </w:pPr>
          </w:p>
        </w:tc>
      </w:tr>
      <w:tr w14:paraId="20103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40B9912C">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861B300">
            <w:pPr>
              <w:jc w:val="left"/>
              <w:rPr>
                <w:rFonts w:hint="eastAsia" w:ascii="宋体" w:hAnsi="宋体" w:eastAsia="宋体" w:cs="宋体"/>
                <w:i w:val="0"/>
                <w:iCs w:val="0"/>
                <w:color w:val="000000"/>
                <w:sz w:val="18"/>
                <w:szCs w:val="18"/>
                <w:u w:val="none"/>
              </w:rPr>
            </w:pPr>
          </w:p>
        </w:tc>
        <w:tc>
          <w:tcPr>
            <w:tcW w:w="5715" w:type="dxa"/>
            <w:tcBorders>
              <w:top w:val="single" w:color="000000" w:sz="4" w:space="0"/>
              <w:left w:val="single" w:color="000000" w:sz="4" w:space="0"/>
              <w:bottom w:val="single" w:color="000000" w:sz="4" w:space="0"/>
              <w:right w:val="single" w:color="000000" w:sz="4" w:space="0"/>
            </w:tcBorders>
            <w:noWrap w:val="0"/>
            <w:vAlign w:val="center"/>
          </w:tcPr>
          <w:p w14:paraId="530EB8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学生端</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2C2334AF">
            <w:pPr>
              <w:jc w:val="center"/>
              <w:rPr>
                <w:rFonts w:hint="eastAsia" w:ascii="宋体" w:hAnsi="宋体" w:eastAsia="宋体" w:cs="宋体"/>
                <w:i w:val="0"/>
                <w:iCs w:val="0"/>
                <w:color w:val="000000"/>
                <w:sz w:val="18"/>
                <w:szCs w:val="18"/>
                <w:u w:val="none"/>
              </w:rPr>
            </w:pP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20707AEF">
            <w:pPr>
              <w:jc w:val="center"/>
              <w:rPr>
                <w:rFonts w:hint="eastAsia" w:ascii="宋体" w:hAnsi="宋体" w:eastAsia="宋体" w:cs="宋体"/>
                <w:i w:val="0"/>
                <w:iCs w:val="0"/>
                <w:color w:val="000000"/>
                <w:sz w:val="18"/>
                <w:szCs w:val="18"/>
                <w:u w:val="none"/>
              </w:rPr>
            </w:pPr>
          </w:p>
        </w:tc>
        <w:tc>
          <w:tcPr>
            <w:tcW w:w="2295" w:type="dxa"/>
            <w:tcBorders>
              <w:top w:val="single" w:color="000000" w:sz="4" w:space="0"/>
              <w:left w:val="single" w:color="000000" w:sz="4" w:space="0"/>
              <w:bottom w:val="single" w:color="000000" w:sz="4" w:space="0"/>
              <w:right w:val="single" w:color="000000" w:sz="4" w:space="0"/>
            </w:tcBorders>
            <w:noWrap/>
            <w:vAlign w:val="center"/>
          </w:tcPr>
          <w:p w14:paraId="11F09FD8">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676672" behindDoc="0" locked="0" layoutInCell="1" allowOverlap="1">
                  <wp:simplePos x="0" y="0"/>
                  <wp:positionH relativeFrom="column">
                    <wp:posOffset>0</wp:posOffset>
                  </wp:positionH>
                  <wp:positionV relativeFrom="paragraph">
                    <wp:posOffset>0</wp:posOffset>
                  </wp:positionV>
                  <wp:extent cx="4445" cy="1189990"/>
                  <wp:effectExtent l="0" t="0" r="0" b="0"/>
                  <wp:wrapNone/>
                  <wp:docPr id="137" name="Picture_2_SpCnt_93"/>
                  <wp:cNvGraphicFramePr/>
                  <a:graphic xmlns:a="http://schemas.openxmlformats.org/drawingml/2006/main">
                    <a:graphicData uri="http://schemas.openxmlformats.org/drawingml/2006/picture">
                      <pic:pic xmlns:pic="http://schemas.openxmlformats.org/drawingml/2006/picture">
                        <pic:nvPicPr>
                          <pic:cNvPr id="137" name="Picture_2_SpCnt_93"/>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677696" behindDoc="0" locked="0" layoutInCell="1" allowOverlap="1">
                  <wp:simplePos x="0" y="0"/>
                  <wp:positionH relativeFrom="column">
                    <wp:posOffset>0</wp:posOffset>
                  </wp:positionH>
                  <wp:positionV relativeFrom="paragraph">
                    <wp:posOffset>0</wp:posOffset>
                  </wp:positionV>
                  <wp:extent cx="4445" cy="1189990"/>
                  <wp:effectExtent l="0" t="0" r="0" b="0"/>
                  <wp:wrapNone/>
                  <wp:docPr id="139" name="Picture_2_SpCnt_94"/>
                  <wp:cNvGraphicFramePr/>
                  <a:graphic xmlns:a="http://schemas.openxmlformats.org/drawingml/2006/main">
                    <a:graphicData uri="http://schemas.openxmlformats.org/drawingml/2006/picture">
                      <pic:pic xmlns:pic="http://schemas.openxmlformats.org/drawingml/2006/picture">
                        <pic:nvPicPr>
                          <pic:cNvPr id="139" name="Picture_2_SpCnt_94"/>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678720" behindDoc="0" locked="0" layoutInCell="1" allowOverlap="1">
                  <wp:simplePos x="0" y="0"/>
                  <wp:positionH relativeFrom="column">
                    <wp:posOffset>0</wp:posOffset>
                  </wp:positionH>
                  <wp:positionV relativeFrom="paragraph">
                    <wp:posOffset>0</wp:posOffset>
                  </wp:positionV>
                  <wp:extent cx="4445" cy="1189990"/>
                  <wp:effectExtent l="0" t="0" r="0" b="0"/>
                  <wp:wrapNone/>
                  <wp:docPr id="130" name="Picture_2_SpCnt_95"/>
                  <wp:cNvGraphicFramePr/>
                  <a:graphic xmlns:a="http://schemas.openxmlformats.org/drawingml/2006/main">
                    <a:graphicData uri="http://schemas.openxmlformats.org/drawingml/2006/picture">
                      <pic:pic xmlns:pic="http://schemas.openxmlformats.org/drawingml/2006/picture">
                        <pic:nvPicPr>
                          <pic:cNvPr id="130" name="Picture_2_SpCnt_95"/>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679744" behindDoc="0" locked="0" layoutInCell="1" allowOverlap="1">
                  <wp:simplePos x="0" y="0"/>
                  <wp:positionH relativeFrom="column">
                    <wp:posOffset>0</wp:posOffset>
                  </wp:positionH>
                  <wp:positionV relativeFrom="paragraph">
                    <wp:posOffset>0</wp:posOffset>
                  </wp:positionV>
                  <wp:extent cx="4445" cy="1189990"/>
                  <wp:effectExtent l="0" t="0" r="0" b="0"/>
                  <wp:wrapNone/>
                  <wp:docPr id="140" name="Picture_2_SpCnt_96"/>
                  <wp:cNvGraphicFramePr/>
                  <a:graphic xmlns:a="http://schemas.openxmlformats.org/drawingml/2006/main">
                    <a:graphicData uri="http://schemas.openxmlformats.org/drawingml/2006/picture">
                      <pic:pic xmlns:pic="http://schemas.openxmlformats.org/drawingml/2006/picture">
                        <pic:nvPicPr>
                          <pic:cNvPr id="140" name="Picture_2_SpCnt_96"/>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680768" behindDoc="0" locked="0" layoutInCell="1" allowOverlap="1">
                  <wp:simplePos x="0" y="0"/>
                  <wp:positionH relativeFrom="column">
                    <wp:posOffset>0</wp:posOffset>
                  </wp:positionH>
                  <wp:positionV relativeFrom="paragraph">
                    <wp:posOffset>0</wp:posOffset>
                  </wp:positionV>
                  <wp:extent cx="4445" cy="1189990"/>
                  <wp:effectExtent l="0" t="0" r="0" b="0"/>
                  <wp:wrapNone/>
                  <wp:docPr id="122" name="Picture_2_SpCnt_97"/>
                  <wp:cNvGraphicFramePr/>
                  <a:graphic xmlns:a="http://schemas.openxmlformats.org/drawingml/2006/main">
                    <a:graphicData uri="http://schemas.openxmlformats.org/drawingml/2006/picture">
                      <pic:pic xmlns:pic="http://schemas.openxmlformats.org/drawingml/2006/picture">
                        <pic:nvPicPr>
                          <pic:cNvPr id="122" name="Picture_2_SpCnt_97"/>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681792" behindDoc="0" locked="0" layoutInCell="1" allowOverlap="1">
                  <wp:simplePos x="0" y="0"/>
                  <wp:positionH relativeFrom="column">
                    <wp:posOffset>0</wp:posOffset>
                  </wp:positionH>
                  <wp:positionV relativeFrom="paragraph">
                    <wp:posOffset>0</wp:posOffset>
                  </wp:positionV>
                  <wp:extent cx="4445" cy="1189990"/>
                  <wp:effectExtent l="0" t="0" r="0" b="0"/>
                  <wp:wrapNone/>
                  <wp:docPr id="132" name="Picture_2_SpCnt_98"/>
                  <wp:cNvGraphicFramePr/>
                  <a:graphic xmlns:a="http://schemas.openxmlformats.org/drawingml/2006/main">
                    <a:graphicData uri="http://schemas.openxmlformats.org/drawingml/2006/picture">
                      <pic:pic xmlns:pic="http://schemas.openxmlformats.org/drawingml/2006/picture">
                        <pic:nvPicPr>
                          <pic:cNvPr id="132" name="Picture_2_SpCnt_98"/>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682816" behindDoc="0" locked="0" layoutInCell="1" allowOverlap="1">
                  <wp:simplePos x="0" y="0"/>
                  <wp:positionH relativeFrom="column">
                    <wp:posOffset>0</wp:posOffset>
                  </wp:positionH>
                  <wp:positionV relativeFrom="paragraph">
                    <wp:posOffset>0</wp:posOffset>
                  </wp:positionV>
                  <wp:extent cx="4445" cy="1189990"/>
                  <wp:effectExtent l="0" t="0" r="0" b="0"/>
                  <wp:wrapNone/>
                  <wp:docPr id="127" name="Picture_2_SpCnt_99"/>
                  <wp:cNvGraphicFramePr/>
                  <a:graphic xmlns:a="http://schemas.openxmlformats.org/drawingml/2006/main">
                    <a:graphicData uri="http://schemas.openxmlformats.org/drawingml/2006/picture">
                      <pic:pic xmlns:pic="http://schemas.openxmlformats.org/drawingml/2006/picture">
                        <pic:nvPicPr>
                          <pic:cNvPr id="127" name="Picture_2_SpCnt_99"/>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683840" behindDoc="0" locked="0" layoutInCell="1" allowOverlap="1">
                  <wp:simplePos x="0" y="0"/>
                  <wp:positionH relativeFrom="column">
                    <wp:posOffset>0</wp:posOffset>
                  </wp:positionH>
                  <wp:positionV relativeFrom="paragraph">
                    <wp:posOffset>0</wp:posOffset>
                  </wp:positionV>
                  <wp:extent cx="4445" cy="1189990"/>
                  <wp:effectExtent l="0" t="0" r="0" b="0"/>
                  <wp:wrapNone/>
                  <wp:docPr id="123" name="Picture_2_SpCnt_100"/>
                  <wp:cNvGraphicFramePr/>
                  <a:graphic xmlns:a="http://schemas.openxmlformats.org/drawingml/2006/main">
                    <a:graphicData uri="http://schemas.openxmlformats.org/drawingml/2006/picture">
                      <pic:pic xmlns:pic="http://schemas.openxmlformats.org/drawingml/2006/picture">
                        <pic:nvPicPr>
                          <pic:cNvPr id="123" name="Picture_2_SpCnt_100"/>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684864" behindDoc="0" locked="0" layoutInCell="1" allowOverlap="1">
                  <wp:simplePos x="0" y="0"/>
                  <wp:positionH relativeFrom="column">
                    <wp:posOffset>0</wp:posOffset>
                  </wp:positionH>
                  <wp:positionV relativeFrom="paragraph">
                    <wp:posOffset>0</wp:posOffset>
                  </wp:positionV>
                  <wp:extent cx="4445" cy="1189990"/>
                  <wp:effectExtent l="0" t="0" r="0" b="0"/>
                  <wp:wrapNone/>
                  <wp:docPr id="128" name="Picture_2_SpCnt_101"/>
                  <wp:cNvGraphicFramePr/>
                  <a:graphic xmlns:a="http://schemas.openxmlformats.org/drawingml/2006/main">
                    <a:graphicData uri="http://schemas.openxmlformats.org/drawingml/2006/picture">
                      <pic:pic xmlns:pic="http://schemas.openxmlformats.org/drawingml/2006/picture">
                        <pic:nvPicPr>
                          <pic:cNvPr id="128" name="Picture_2_SpCnt_101"/>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685888" behindDoc="0" locked="0" layoutInCell="1" allowOverlap="1">
                  <wp:simplePos x="0" y="0"/>
                  <wp:positionH relativeFrom="column">
                    <wp:posOffset>0</wp:posOffset>
                  </wp:positionH>
                  <wp:positionV relativeFrom="paragraph">
                    <wp:posOffset>0</wp:posOffset>
                  </wp:positionV>
                  <wp:extent cx="4445" cy="1189990"/>
                  <wp:effectExtent l="0" t="0" r="0" b="0"/>
                  <wp:wrapNone/>
                  <wp:docPr id="138" name="Picture_2_SpCnt_102"/>
                  <wp:cNvGraphicFramePr/>
                  <a:graphic xmlns:a="http://schemas.openxmlformats.org/drawingml/2006/main">
                    <a:graphicData uri="http://schemas.openxmlformats.org/drawingml/2006/picture">
                      <pic:pic xmlns:pic="http://schemas.openxmlformats.org/drawingml/2006/picture">
                        <pic:nvPicPr>
                          <pic:cNvPr id="138" name="Picture_2_SpCnt_102"/>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686912" behindDoc="0" locked="0" layoutInCell="1" allowOverlap="1">
                  <wp:simplePos x="0" y="0"/>
                  <wp:positionH relativeFrom="column">
                    <wp:posOffset>0</wp:posOffset>
                  </wp:positionH>
                  <wp:positionV relativeFrom="paragraph">
                    <wp:posOffset>0</wp:posOffset>
                  </wp:positionV>
                  <wp:extent cx="4445" cy="1189990"/>
                  <wp:effectExtent l="0" t="0" r="0" b="0"/>
                  <wp:wrapNone/>
                  <wp:docPr id="129" name="Picture_2_SpCnt_103"/>
                  <wp:cNvGraphicFramePr/>
                  <a:graphic xmlns:a="http://schemas.openxmlformats.org/drawingml/2006/main">
                    <a:graphicData uri="http://schemas.openxmlformats.org/drawingml/2006/picture">
                      <pic:pic xmlns:pic="http://schemas.openxmlformats.org/drawingml/2006/picture">
                        <pic:nvPicPr>
                          <pic:cNvPr id="129" name="Picture_2_SpCnt_103"/>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687936" behindDoc="0" locked="0" layoutInCell="1" allowOverlap="1">
                  <wp:simplePos x="0" y="0"/>
                  <wp:positionH relativeFrom="column">
                    <wp:posOffset>0</wp:posOffset>
                  </wp:positionH>
                  <wp:positionV relativeFrom="paragraph">
                    <wp:posOffset>0</wp:posOffset>
                  </wp:positionV>
                  <wp:extent cx="4445" cy="1189990"/>
                  <wp:effectExtent l="0" t="0" r="0" b="0"/>
                  <wp:wrapNone/>
                  <wp:docPr id="146" name="Picture_2_SpCnt_104"/>
                  <wp:cNvGraphicFramePr/>
                  <a:graphic xmlns:a="http://schemas.openxmlformats.org/drawingml/2006/main">
                    <a:graphicData uri="http://schemas.openxmlformats.org/drawingml/2006/picture">
                      <pic:pic xmlns:pic="http://schemas.openxmlformats.org/drawingml/2006/picture">
                        <pic:nvPicPr>
                          <pic:cNvPr id="146" name="Picture_2_SpCnt_104"/>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688960" behindDoc="0" locked="0" layoutInCell="1" allowOverlap="1">
                  <wp:simplePos x="0" y="0"/>
                  <wp:positionH relativeFrom="column">
                    <wp:posOffset>0</wp:posOffset>
                  </wp:positionH>
                  <wp:positionV relativeFrom="paragraph">
                    <wp:posOffset>0</wp:posOffset>
                  </wp:positionV>
                  <wp:extent cx="4445" cy="1189990"/>
                  <wp:effectExtent l="0" t="0" r="0" b="0"/>
                  <wp:wrapNone/>
                  <wp:docPr id="141" name="Picture_2_SpCnt_105"/>
                  <wp:cNvGraphicFramePr/>
                  <a:graphic xmlns:a="http://schemas.openxmlformats.org/drawingml/2006/main">
                    <a:graphicData uri="http://schemas.openxmlformats.org/drawingml/2006/picture">
                      <pic:pic xmlns:pic="http://schemas.openxmlformats.org/drawingml/2006/picture">
                        <pic:nvPicPr>
                          <pic:cNvPr id="141" name="Picture_2_SpCnt_105"/>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689984" behindDoc="0" locked="0" layoutInCell="1" allowOverlap="1">
                  <wp:simplePos x="0" y="0"/>
                  <wp:positionH relativeFrom="column">
                    <wp:posOffset>0</wp:posOffset>
                  </wp:positionH>
                  <wp:positionV relativeFrom="paragraph">
                    <wp:posOffset>0</wp:posOffset>
                  </wp:positionV>
                  <wp:extent cx="4445" cy="1189990"/>
                  <wp:effectExtent l="0" t="0" r="0" b="0"/>
                  <wp:wrapNone/>
                  <wp:docPr id="147" name="Picture_2_SpCnt_106"/>
                  <wp:cNvGraphicFramePr/>
                  <a:graphic xmlns:a="http://schemas.openxmlformats.org/drawingml/2006/main">
                    <a:graphicData uri="http://schemas.openxmlformats.org/drawingml/2006/picture">
                      <pic:pic xmlns:pic="http://schemas.openxmlformats.org/drawingml/2006/picture">
                        <pic:nvPicPr>
                          <pic:cNvPr id="147" name="Picture_2_SpCnt_106"/>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691008" behindDoc="0" locked="0" layoutInCell="1" allowOverlap="1">
                  <wp:simplePos x="0" y="0"/>
                  <wp:positionH relativeFrom="column">
                    <wp:posOffset>0</wp:posOffset>
                  </wp:positionH>
                  <wp:positionV relativeFrom="paragraph">
                    <wp:posOffset>0</wp:posOffset>
                  </wp:positionV>
                  <wp:extent cx="4445" cy="1189990"/>
                  <wp:effectExtent l="0" t="0" r="0" b="0"/>
                  <wp:wrapNone/>
                  <wp:docPr id="150" name="Picture_2_SpCnt_107"/>
                  <wp:cNvGraphicFramePr/>
                  <a:graphic xmlns:a="http://schemas.openxmlformats.org/drawingml/2006/main">
                    <a:graphicData uri="http://schemas.openxmlformats.org/drawingml/2006/picture">
                      <pic:pic xmlns:pic="http://schemas.openxmlformats.org/drawingml/2006/picture">
                        <pic:nvPicPr>
                          <pic:cNvPr id="150" name="Picture_2_SpCnt_107"/>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692032" behindDoc="0" locked="0" layoutInCell="1" allowOverlap="1">
                  <wp:simplePos x="0" y="0"/>
                  <wp:positionH relativeFrom="column">
                    <wp:posOffset>0</wp:posOffset>
                  </wp:positionH>
                  <wp:positionV relativeFrom="paragraph">
                    <wp:posOffset>0</wp:posOffset>
                  </wp:positionV>
                  <wp:extent cx="4445" cy="1189990"/>
                  <wp:effectExtent l="0" t="0" r="0" b="0"/>
                  <wp:wrapNone/>
                  <wp:docPr id="148" name="Picture_2_SpCnt_108"/>
                  <wp:cNvGraphicFramePr/>
                  <a:graphic xmlns:a="http://schemas.openxmlformats.org/drawingml/2006/main">
                    <a:graphicData uri="http://schemas.openxmlformats.org/drawingml/2006/picture">
                      <pic:pic xmlns:pic="http://schemas.openxmlformats.org/drawingml/2006/picture">
                        <pic:nvPicPr>
                          <pic:cNvPr id="148" name="Picture_2_SpCnt_108"/>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693056" behindDoc="0" locked="0" layoutInCell="1" allowOverlap="1">
                  <wp:simplePos x="0" y="0"/>
                  <wp:positionH relativeFrom="column">
                    <wp:posOffset>0</wp:posOffset>
                  </wp:positionH>
                  <wp:positionV relativeFrom="paragraph">
                    <wp:posOffset>0</wp:posOffset>
                  </wp:positionV>
                  <wp:extent cx="4445" cy="1189990"/>
                  <wp:effectExtent l="0" t="0" r="0" b="0"/>
                  <wp:wrapNone/>
                  <wp:docPr id="151" name="Picture_2_SpCnt_109"/>
                  <wp:cNvGraphicFramePr/>
                  <a:graphic xmlns:a="http://schemas.openxmlformats.org/drawingml/2006/main">
                    <a:graphicData uri="http://schemas.openxmlformats.org/drawingml/2006/picture">
                      <pic:pic xmlns:pic="http://schemas.openxmlformats.org/drawingml/2006/picture">
                        <pic:nvPicPr>
                          <pic:cNvPr id="151" name="Picture_2_SpCnt_109"/>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694080" behindDoc="0" locked="0" layoutInCell="1" allowOverlap="1">
                  <wp:simplePos x="0" y="0"/>
                  <wp:positionH relativeFrom="column">
                    <wp:posOffset>0</wp:posOffset>
                  </wp:positionH>
                  <wp:positionV relativeFrom="paragraph">
                    <wp:posOffset>0</wp:posOffset>
                  </wp:positionV>
                  <wp:extent cx="4445" cy="1189990"/>
                  <wp:effectExtent l="0" t="0" r="0" b="0"/>
                  <wp:wrapNone/>
                  <wp:docPr id="149" name="Picture_2_SpCnt_110"/>
                  <wp:cNvGraphicFramePr/>
                  <a:graphic xmlns:a="http://schemas.openxmlformats.org/drawingml/2006/main">
                    <a:graphicData uri="http://schemas.openxmlformats.org/drawingml/2006/picture">
                      <pic:pic xmlns:pic="http://schemas.openxmlformats.org/drawingml/2006/picture">
                        <pic:nvPicPr>
                          <pic:cNvPr id="149" name="Picture_2_SpCnt_110"/>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695104" behindDoc="0" locked="0" layoutInCell="1" allowOverlap="1">
                  <wp:simplePos x="0" y="0"/>
                  <wp:positionH relativeFrom="column">
                    <wp:posOffset>0</wp:posOffset>
                  </wp:positionH>
                  <wp:positionV relativeFrom="paragraph">
                    <wp:posOffset>0</wp:posOffset>
                  </wp:positionV>
                  <wp:extent cx="4445" cy="1189990"/>
                  <wp:effectExtent l="0" t="0" r="0" b="0"/>
                  <wp:wrapNone/>
                  <wp:docPr id="21" name="Picture_2_SpCnt_111"/>
                  <wp:cNvGraphicFramePr/>
                  <a:graphic xmlns:a="http://schemas.openxmlformats.org/drawingml/2006/main">
                    <a:graphicData uri="http://schemas.openxmlformats.org/drawingml/2006/picture">
                      <pic:pic xmlns:pic="http://schemas.openxmlformats.org/drawingml/2006/picture">
                        <pic:nvPicPr>
                          <pic:cNvPr id="21" name="Picture_2_SpCnt_111"/>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696128" behindDoc="0" locked="0" layoutInCell="1" allowOverlap="1">
                  <wp:simplePos x="0" y="0"/>
                  <wp:positionH relativeFrom="column">
                    <wp:posOffset>0</wp:posOffset>
                  </wp:positionH>
                  <wp:positionV relativeFrom="paragraph">
                    <wp:posOffset>0</wp:posOffset>
                  </wp:positionV>
                  <wp:extent cx="4445" cy="1189990"/>
                  <wp:effectExtent l="0" t="0" r="0" b="0"/>
                  <wp:wrapNone/>
                  <wp:docPr id="31" name="Picture_2_SpCnt_112"/>
                  <wp:cNvGraphicFramePr/>
                  <a:graphic xmlns:a="http://schemas.openxmlformats.org/drawingml/2006/main">
                    <a:graphicData uri="http://schemas.openxmlformats.org/drawingml/2006/picture">
                      <pic:pic xmlns:pic="http://schemas.openxmlformats.org/drawingml/2006/picture">
                        <pic:nvPicPr>
                          <pic:cNvPr id="31" name="Picture_2_SpCnt_112"/>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697152" behindDoc="0" locked="0" layoutInCell="1" allowOverlap="1">
                  <wp:simplePos x="0" y="0"/>
                  <wp:positionH relativeFrom="column">
                    <wp:posOffset>0</wp:posOffset>
                  </wp:positionH>
                  <wp:positionV relativeFrom="paragraph">
                    <wp:posOffset>0</wp:posOffset>
                  </wp:positionV>
                  <wp:extent cx="4445" cy="1189990"/>
                  <wp:effectExtent l="0" t="0" r="0" b="0"/>
                  <wp:wrapNone/>
                  <wp:docPr id="1" name="Picture_2_SpCnt_113"/>
                  <wp:cNvGraphicFramePr/>
                  <a:graphic xmlns:a="http://schemas.openxmlformats.org/drawingml/2006/main">
                    <a:graphicData uri="http://schemas.openxmlformats.org/drawingml/2006/picture">
                      <pic:pic xmlns:pic="http://schemas.openxmlformats.org/drawingml/2006/picture">
                        <pic:nvPicPr>
                          <pic:cNvPr id="1" name="Picture_2_SpCnt_113"/>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698176" behindDoc="0" locked="0" layoutInCell="1" allowOverlap="1">
                  <wp:simplePos x="0" y="0"/>
                  <wp:positionH relativeFrom="column">
                    <wp:posOffset>0</wp:posOffset>
                  </wp:positionH>
                  <wp:positionV relativeFrom="paragraph">
                    <wp:posOffset>0</wp:posOffset>
                  </wp:positionV>
                  <wp:extent cx="4445" cy="1189990"/>
                  <wp:effectExtent l="0" t="0" r="0" b="0"/>
                  <wp:wrapNone/>
                  <wp:docPr id="23" name="Picture_2_SpCnt_114"/>
                  <wp:cNvGraphicFramePr/>
                  <a:graphic xmlns:a="http://schemas.openxmlformats.org/drawingml/2006/main">
                    <a:graphicData uri="http://schemas.openxmlformats.org/drawingml/2006/picture">
                      <pic:pic xmlns:pic="http://schemas.openxmlformats.org/drawingml/2006/picture">
                        <pic:nvPicPr>
                          <pic:cNvPr id="23" name="Picture_2_SpCnt_114"/>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699200" behindDoc="0" locked="0" layoutInCell="1" allowOverlap="1">
                  <wp:simplePos x="0" y="0"/>
                  <wp:positionH relativeFrom="column">
                    <wp:posOffset>0</wp:posOffset>
                  </wp:positionH>
                  <wp:positionV relativeFrom="paragraph">
                    <wp:posOffset>0</wp:posOffset>
                  </wp:positionV>
                  <wp:extent cx="4445" cy="1189990"/>
                  <wp:effectExtent l="0" t="0" r="0" b="0"/>
                  <wp:wrapNone/>
                  <wp:docPr id="30" name="Picture_2_SpCnt_115"/>
                  <wp:cNvGraphicFramePr/>
                  <a:graphic xmlns:a="http://schemas.openxmlformats.org/drawingml/2006/main">
                    <a:graphicData uri="http://schemas.openxmlformats.org/drawingml/2006/picture">
                      <pic:pic xmlns:pic="http://schemas.openxmlformats.org/drawingml/2006/picture">
                        <pic:nvPicPr>
                          <pic:cNvPr id="30" name="Picture_2_SpCnt_115"/>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700224" behindDoc="0" locked="0" layoutInCell="1" allowOverlap="1">
                  <wp:simplePos x="0" y="0"/>
                  <wp:positionH relativeFrom="column">
                    <wp:posOffset>0</wp:posOffset>
                  </wp:positionH>
                  <wp:positionV relativeFrom="paragraph">
                    <wp:posOffset>0</wp:posOffset>
                  </wp:positionV>
                  <wp:extent cx="4445" cy="1189990"/>
                  <wp:effectExtent l="0" t="0" r="0" b="0"/>
                  <wp:wrapNone/>
                  <wp:docPr id="12" name="Picture_2_SpCnt_116"/>
                  <wp:cNvGraphicFramePr/>
                  <a:graphic xmlns:a="http://schemas.openxmlformats.org/drawingml/2006/main">
                    <a:graphicData uri="http://schemas.openxmlformats.org/drawingml/2006/picture">
                      <pic:pic xmlns:pic="http://schemas.openxmlformats.org/drawingml/2006/picture">
                        <pic:nvPicPr>
                          <pic:cNvPr id="12" name="Picture_2_SpCnt_116"/>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701248" behindDoc="0" locked="0" layoutInCell="1" allowOverlap="1">
                  <wp:simplePos x="0" y="0"/>
                  <wp:positionH relativeFrom="column">
                    <wp:posOffset>0</wp:posOffset>
                  </wp:positionH>
                  <wp:positionV relativeFrom="paragraph">
                    <wp:posOffset>0</wp:posOffset>
                  </wp:positionV>
                  <wp:extent cx="4445" cy="1189990"/>
                  <wp:effectExtent l="0" t="0" r="0" b="0"/>
                  <wp:wrapNone/>
                  <wp:docPr id="10" name="Picture_2_SpCnt_117"/>
                  <wp:cNvGraphicFramePr/>
                  <a:graphic xmlns:a="http://schemas.openxmlformats.org/drawingml/2006/main">
                    <a:graphicData uri="http://schemas.openxmlformats.org/drawingml/2006/picture">
                      <pic:pic xmlns:pic="http://schemas.openxmlformats.org/drawingml/2006/picture">
                        <pic:nvPicPr>
                          <pic:cNvPr id="10" name="Picture_2_SpCnt_117"/>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702272" behindDoc="0" locked="0" layoutInCell="1" allowOverlap="1">
                  <wp:simplePos x="0" y="0"/>
                  <wp:positionH relativeFrom="column">
                    <wp:posOffset>0</wp:posOffset>
                  </wp:positionH>
                  <wp:positionV relativeFrom="paragraph">
                    <wp:posOffset>0</wp:posOffset>
                  </wp:positionV>
                  <wp:extent cx="4445" cy="1189990"/>
                  <wp:effectExtent l="0" t="0" r="0" b="0"/>
                  <wp:wrapNone/>
                  <wp:docPr id="6" name="Picture_2_SpCnt_118"/>
                  <wp:cNvGraphicFramePr/>
                  <a:graphic xmlns:a="http://schemas.openxmlformats.org/drawingml/2006/main">
                    <a:graphicData uri="http://schemas.openxmlformats.org/drawingml/2006/picture">
                      <pic:pic xmlns:pic="http://schemas.openxmlformats.org/drawingml/2006/picture">
                        <pic:nvPicPr>
                          <pic:cNvPr id="6" name="Picture_2_SpCnt_118"/>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703296" behindDoc="0" locked="0" layoutInCell="1" allowOverlap="1">
                  <wp:simplePos x="0" y="0"/>
                  <wp:positionH relativeFrom="column">
                    <wp:posOffset>0</wp:posOffset>
                  </wp:positionH>
                  <wp:positionV relativeFrom="paragraph">
                    <wp:posOffset>0</wp:posOffset>
                  </wp:positionV>
                  <wp:extent cx="4445" cy="1189990"/>
                  <wp:effectExtent l="0" t="0" r="0" b="0"/>
                  <wp:wrapNone/>
                  <wp:docPr id="2" name="Picture_2_SpCnt_119"/>
                  <wp:cNvGraphicFramePr/>
                  <a:graphic xmlns:a="http://schemas.openxmlformats.org/drawingml/2006/main">
                    <a:graphicData uri="http://schemas.openxmlformats.org/drawingml/2006/picture">
                      <pic:pic xmlns:pic="http://schemas.openxmlformats.org/drawingml/2006/picture">
                        <pic:nvPicPr>
                          <pic:cNvPr id="2" name="Picture_2_SpCnt_119"/>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704320" behindDoc="0" locked="0" layoutInCell="1" allowOverlap="1">
                  <wp:simplePos x="0" y="0"/>
                  <wp:positionH relativeFrom="column">
                    <wp:posOffset>0</wp:posOffset>
                  </wp:positionH>
                  <wp:positionV relativeFrom="paragraph">
                    <wp:posOffset>0</wp:posOffset>
                  </wp:positionV>
                  <wp:extent cx="4445" cy="1189990"/>
                  <wp:effectExtent l="0" t="0" r="0" b="0"/>
                  <wp:wrapNone/>
                  <wp:docPr id="14" name="Picture_2_SpCnt_120"/>
                  <wp:cNvGraphicFramePr/>
                  <a:graphic xmlns:a="http://schemas.openxmlformats.org/drawingml/2006/main">
                    <a:graphicData uri="http://schemas.openxmlformats.org/drawingml/2006/picture">
                      <pic:pic xmlns:pic="http://schemas.openxmlformats.org/drawingml/2006/picture">
                        <pic:nvPicPr>
                          <pic:cNvPr id="14" name="Picture_2_SpCnt_120"/>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705344" behindDoc="0" locked="0" layoutInCell="1" allowOverlap="1">
                  <wp:simplePos x="0" y="0"/>
                  <wp:positionH relativeFrom="column">
                    <wp:posOffset>0</wp:posOffset>
                  </wp:positionH>
                  <wp:positionV relativeFrom="paragraph">
                    <wp:posOffset>0</wp:posOffset>
                  </wp:positionV>
                  <wp:extent cx="4445" cy="1189990"/>
                  <wp:effectExtent l="0" t="0" r="0" b="0"/>
                  <wp:wrapNone/>
                  <wp:docPr id="13" name="Picture_2_SpCnt_121"/>
                  <wp:cNvGraphicFramePr/>
                  <a:graphic xmlns:a="http://schemas.openxmlformats.org/drawingml/2006/main">
                    <a:graphicData uri="http://schemas.openxmlformats.org/drawingml/2006/picture">
                      <pic:pic xmlns:pic="http://schemas.openxmlformats.org/drawingml/2006/picture">
                        <pic:nvPicPr>
                          <pic:cNvPr id="13" name="Picture_2_SpCnt_121"/>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706368" behindDoc="0" locked="0" layoutInCell="1" allowOverlap="1">
                  <wp:simplePos x="0" y="0"/>
                  <wp:positionH relativeFrom="column">
                    <wp:posOffset>0</wp:posOffset>
                  </wp:positionH>
                  <wp:positionV relativeFrom="paragraph">
                    <wp:posOffset>0</wp:posOffset>
                  </wp:positionV>
                  <wp:extent cx="4445" cy="1189990"/>
                  <wp:effectExtent l="0" t="0" r="0" b="0"/>
                  <wp:wrapNone/>
                  <wp:docPr id="7" name="Picture_2_SpCnt_122"/>
                  <wp:cNvGraphicFramePr/>
                  <a:graphic xmlns:a="http://schemas.openxmlformats.org/drawingml/2006/main">
                    <a:graphicData uri="http://schemas.openxmlformats.org/drawingml/2006/picture">
                      <pic:pic xmlns:pic="http://schemas.openxmlformats.org/drawingml/2006/picture">
                        <pic:nvPicPr>
                          <pic:cNvPr id="7" name="Picture_2_SpCnt_122"/>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707392" behindDoc="0" locked="0" layoutInCell="1" allowOverlap="1">
                  <wp:simplePos x="0" y="0"/>
                  <wp:positionH relativeFrom="column">
                    <wp:posOffset>0</wp:posOffset>
                  </wp:positionH>
                  <wp:positionV relativeFrom="paragraph">
                    <wp:posOffset>0</wp:posOffset>
                  </wp:positionV>
                  <wp:extent cx="4445" cy="1189990"/>
                  <wp:effectExtent l="0" t="0" r="0" b="0"/>
                  <wp:wrapNone/>
                  <wp:docPr id="3" name="Picture_2_SpCnt_123"/>
                  <wp:cNvGraphicFramePr/>
                  <a:graphic xmlns:a="http://schemas.openxmlformats.org/drawingml/2006/main">
                    <a:graphicData uri="http://schemas.openxmlformats.org/drawingml/2006/picture">
                      <pic:pic xmlns:pic="http://schemas.openxmlformats.org/drawingml/2006/picture">
                        <pic:nvPicPr>
                          <pic:cNvPr id="3" name="Picture_2_SpCnt_123"/>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708416" behindDoc="0" locked="0" layoutInCell="1" allowOverlap="1">
                  <wp:simplePos x="0" y="0"/>
                  <wp:positionH relativeFrom="column">
                    <wp:posOffset>0</wp:posOffset>
                  </wp:positionH>
                  <wp:positionV relativeFrom="paragraph">
                    <wp:posOffset>0</wp:posOffset>
                  </wp:positionV>
                  <wp:extent cx="4445" cy="1189990"/>
                  <wp:effectExtent l="0" t="0" r="0" b="0"/>
                  <wp:wrapNone/>
                  <wp:docPr id="11" name="Picture_2_SpCnt_124"/>
                  <wp:cNvGraphicFramePr/>
                  <a:graphic xmlns:a="http://schemas.openxmlformats.org/drawingml/2006/main">
                    <a:graphicData uri="http://schemas.openxmlformats.org/drawingml/2006/picture">
                      <pic:pic xmlns:pic="http://schemas.openxmlformats.org/drawingml/2006/picture">
                        <pic:nvPicPr>
                          <pic:cNvPr id="11" name="Picture_2_SpCnt_124"/>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709440" behindDoc="0" locked="0" layoutInCell="1" allowOverlap="1">
                  <wp:simplePos x="0" y="0"/>
                  <wp:positionH relativeFrom="column">
                    <wp:posOffset>0</wp:posOffset>
                  </wp:positionH>
                  <wp:positionV relativeFrom="paragraph">
                    <wp:posOffset>0</wp:posOffset>
                  </wp:positionV>
                  <wp:extent cx="4445" cy="1189990"/>
                  <wp:effectExtent l="0" t="0" r="0" b="0"/>
                  <wp:wrapNone/>
                  <wp:docPr id="4" name="Picture_2_SpCnt_125"/>
                  <wp:cNvGraphicFramePr/>
                  <a:graphic xmlns:a="http://schemas.openxmlformats.org/drawingml/2006/main">
                    <a:graphicData uri="http://schemas.openxmlformats.org/drawingml/2006/picture">
                      <pic:pic xmlns:pic="http://schemas.openxmlformats.org/drawingml/2006/picture">
                        <pic:nvPicPr>
                          <pic:cNvPr id="4" name="Picture_2_SpCnt_125"/>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710464" behindDoc="0" locked="0" layoutInCell="1" allowOverlap="1">
                  <wp:simplePos x="0" y="0"/>
                  <wp:positionH relativeFrom="column">
                    <wp:posOffset>0</wp:posOffset>
                  </wp:positionH>
                  <wp:positionV relativeFrom="paragraph">
                    <wp:posOffset>0</wp:posOffset>
                  </wp:positionV>
                  <wp:extent cx="4445" cy="1189990"/>
                  <wp:effectExtent l="0" t="0" r="0" b="0"/>
                  <wp:wrapNone/>
                  <wp:docPr id="25" name="Picture_2_SpCnt_126"/>
                  <wp:cNvGraphicFramePr/>
                  <a:graphic xmlns:a="http://schemas.openxmlformats.org/drawingml/2006/main">
                    <a:graphicData uri="http://schemas.openxmlformats.org/drawingml/2006/picture">
                      <pic:pic xmlns:pic="http://schemas.openxmlformats.org/drawingml/2006/picture">
                        <pic:nvPicPr>
                          <pic:cNvPr id="25" name="Picture_2_SpCnt_126"/>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711488" behindDoc="0" locked="0" layoutInCell="1" allowOverlap="1">
                  <wp:simplePos x="0" y="0"/>
                  <wp:positionH relativeFrom="column">
                    <wp:posOffset>0</wp:posOffset>
                  </wp:positionH>
                  <wp:positionV relativeFrom="paragraph">
                    <wp:posOffset>0</wp:posOffset>
                  </wp:positionV>
                  <wp:extent cx="4445" cy="1189990"/>
                  <wp:effectExtent l="0" t="0" r="0" b="0"/>
                  <wp:wrapNone/>
                  <wp:docPr id="28" name="Picture_2_SpCnt_127"/>
                  <wp:cNvGraphicFramePr/>
                  <a:graphic xmlns:a="http://schemas.openxmlformats.org/drawingml/2006/main">
                    <a:graphicData uri="http://schemas.openxmlformats.org/drawingml/2006/picture">
                      <pic:pic xmlns:pic="http://schemas.openxmlformats.org/drawingml/2006/picture">
                        <pic:nvPicPr>
                          <pic:cNvPr id="28" name="Picture_2_SpCnt_127"/>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712512" behindDoc="0" locked="0" layoutInCell="1" allowOverlap="1">
                  <wp:simplePos x="0" y="0"/>
                  <wp:positionH relativeFrom="column">
                    <wp:posOffset>0</wp:posOffset>
                  </wp:positionH>
                  <wp:positionV relativeFrom="paragraph">
                    <wp:posOffset>0</wp:posOffset>
                  </wp:positionV>
                  <wp:extent cx="4445" cy="1189990"/>
                  <wp:effectExtent l="0" t="0" r="0" b="0"/>
                  <wp:wrapNone/>
                  <wp:docPr id="27" name="Picture_2_SpCnt_128"/>
                  <wp:cNvGraphicFramePr/>
                  <a:graphic xmlns:a="http://schemas.openxmlformats.org/drawingml/2006/main">
                    <a:graphicData uri="http://schemas.openxmlformats.org/drawingml/2006/picture">
                      <pic:pic xmlns:pic="http://schemas.openxmlformats.org/drawingml/2006/picture">
                        <pic:nvPicPr>
                          <pic:cNvPr id="27" name="Picture_2_SpCnt_128"/>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713536" behindDoc="0" locked="0" layoutInCell="1" allowOverlap="1">
                  <wp:simplePos x="0" y="0"/>
                  <wp:positionH relativeFrom="column">
                    <wp:posOffset>0</wp:posOffset>
                  </wp:positionH>
                  <wp:positionV relativeFrom="paragraph">
                    <wp:posOffset>0</wp:posOffset>
                  </wp:positionV>
                  <wp:extent cx="4445" cy="1189990"/>
                  <wp:effectExtent l="0" t="0" r="0" b="0"/>
                  <wp:wrapNone/>
                  <wp:docPr id="9" name="Picture_2_SpCnt_129"/>
                  <wp:cNvGraphicFramePr/>
                  <a:graphic xmlns:a="http://schemas.openxmlformats.org/drawingml/2006/main">
                    <a:graphicData uri="http://schemas.openxmlformats.org/drawingml/2006/picture">
                      <pic:pic xmlns:pic="http://schemas.openxmlformats.org/drawingml/2006/picture">
                        <pic:nvPicPr>
                          <pic:cNvPr id="9" name="Picture_2_SpCnt_129"/>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714560" behindDoc="0" locked="0" layoutInCell="1" allowOverlap="1">
                  <wp:simplePos x="0" y="0"/>
                  <wp:positionH relativeFrom="column">
                    <wp:posOffset>0</wp:posOffset>
                  </wp:positionH>
                  <wp:positionV relativeFrom="paragraph">
                    <wp:posOffset>0</wp:posOffset>
                  </wp:positionV>
                  <wp:extent cx="4445" cy="1189990"/>
                  <wp:effectExtent l="0" t="0" r="0" b="0"/>
                  <wp:wrapNone/>
                  <wp:docPr id="15" name="Picture_2_SpCnt_130"/>
                  <wp:cNvGraphicFramePr/>
                  <a:graphic xmlns:a="http://schemas.openxmlformats.org/drawingml/2006/main">
                    <a:graphicData uri="http://schemas.openxmlformats.org/drawingml/2006/picture">
                      <pic:pic xmlns:pic="http://schemas.openxmlformats.org/drawingml/2006/picture">
                        <pic:nvPicPr>
                          <pic:cNvPr id="15" name="Picture_2_SpCnt_130"/>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715584" behindDoc="0" locked="0" layoutInCell="1" allowOverlap="1">
                  <wp:simplePos x="0" y="0"/>
                  <wp:positionH relativeFrom="column">
                    <wp:posOffset>0</wp:posOffset>
                  </wp:positionH>
                  <wp:positionV relativeFrom="paragraph">
                    <wp:posOffset>0</wp:posOffset>
                  </wp:positionV>
                  <wp:extent cx="4445" cy="1189990"/>
                  <wp:effectExtent l="0" t="0" r="0" b="0"/>
                  <wp:wrapNone/>
                  <wp:docPr id="8" name="Picture_2_SpCnt_131"/>
                  <wp:cNvGraphicFramePr/>
                  <a:graphic xmlns:a="http://schemas.openxmlformats.org/drawingml/2006/main">
                    <a:graphicData uri="http://schemas.openxmlformats.org/drawingml/2006/picture">
                      <pic:pic xmlns:pic="http://schemas.openxmlformats.org/drawingml/2006/picture">
                        <pic:nvPicPr>
                          <pic:cNvPr id="8" name="Picture_2_SpCnt_131"/>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716608" behindDoc="0" locked="0" layoutInCell="1" allowOverlap="1">
                  <wp:simplePos x="0" y="0"/>
                  <wp:positionH relativeFrom="column">
                    <wp:posOffset>0</wp:posOffset>
                  </wp:positionH>
                  <wp:positionV relativeFrom="paragraph">
                    <wp:posOffset>0</wp:posOffset>
                  </wp:positionV>
                  <wp:extent cx="4445" cy="1189990"/>
                  <wp:effectExtent l="0" t="0" r="0" b="0"/>
                  <wp:wrapNone/>
                  <wp:docPr id="5" name="Picture_2_SpCnt_132"/>
                  <wp:cNvGraphicFramePr/>
                  <a:graphic xmlns:a="http://schemas.openxmlformats.org/drawingml/2006/main">
                    <a:graphicData uri="http://schemas.openxmlformats.org/drawingml/2006/picture">
                      <pic:pic xmlns:pic="http://schemas.openxmlformats.org/drawingml/2006/picture">
                        <pic:nvPicPr>
                          <pic:cNvPr id="5" name="Picture_2_SpCnt_132"/>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717632" behindDoc="0" locked="0" layoutInCell="1" allowOverlap="1">
                  <wp:simplePos x="0" y="0"/>
                  <wp:positionH relativeFrom="column">
                    <wp:posOffset>0</wp:posOffset>
                  </wp:positionH>
                  <wp:positionV relativeFrom="paragraph">
                    <wp:posOffset>0</wp:posOffset>
                  </wp:positionV>
                  <wp:extent cx="4445" cy="1189990"/>
                  <wp:effectExtent l="0" t="0" r="0" b="0"/>
                  <wp:wrapNone/>
                  <wp:docPr id="16" name="Picture_2_SpCnt_133"/>
                  <wp:cNvGraphicFramePr/>
                  <a:graphic xmlns:a="http://schemas.openxmlformats.org/drawingml/2006/main">
                    <a:graphicData uri="http://schemas.openxmlformats.org/drawingml/2006/picture">
                      <pic:pic xmlns:pic="http://schemas.openxmlformats.org/drawingml/2006/picture">
                        <pic:nvPicPr>
                          <pic:cNvPr id="16" name="Picture_2_SpCnt_133"/>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718656" behindDoc="0" locked="0" layoutInCell="1" allowOverlap="1">
                  <wp:simplePos x="0" y="0"/>
                  <wp:positionH relativeFrom="column">
                    <wp:posOffset>0</wp:posOffset>
                  </wp:positionH>
                  <wp:positionV relativeFrom="paragraph">
                    <wp:posOffset>0</wp:posOffset>
                  </wp:positionV>
                  <wp:extent cx="4445" cy="1189990"/>
                  <wp:effectExtent l="0" t="0" r="0" b="0"/>
                  <wp:wrapNone/>
                  <wp:docPr id="17" name="Picture_2_SpCnt_134"/>
                  <wp:cNvGraphicFramePr/>
                  <a:graphic xmlns:a="http://schemas.openxmlformats.org/drawingml/2006/main">
                    <a:graphicData uri="http://schemas.openxmlformats.org/drawingml/2006/picture">
                      <pic:pic xmlns:pic="http://schemas.openxmlformats.org/drawingml/2006/picture">
                        <pic:nvPicPr>
                          <pic:cNvPr id="17" name="Picture_2_SpCnt_134"/>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719680" behindDoc="0" locked="0" layoutInCell="1" allowOverlap="1">
                  <wp:simplePos x="0" y="0"/>
                  <wp:positionH relativeFrom="column">
                    <wp:posOffset>0</wp:posOffset>
                  </wp:positionH>
                  <wp:positionV relativeFrom="paragraph">
                    <wp:posOffset>0</wp:posOffset>
                  </wp:positionV>
                  <wp:extent cx="4445" cy="1189990"/>
                  <wp:effectExtent l="0" t="0" r="0" b="0"/>
                  <wp:wrapNone/>
                  <wp:docPr id="26" name="Picture_2_SpCnt_135"/>
                  <wp:cNvGraphicFramePr/>
                  <a:graphic xmlns:a="http://schemas.openxmlformats.org/drawingml/2006/main">
                    <a:graphicData uri="http://schemas.openxmlformats.org/drawingml/2006/picture">
                      <pic:pic xmlns:pic="http://schemas.openxmlformats.org/drawingml/2006/picture">
                        <pic:nvPicPr>
                          <pic:cNvPr id="26" name="Picture_2_SpCnt_135"/>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720704" behindDoc="0" locked="0" layoutInCell="1" allowOverlap="1">
                  <wp:simplePos x="0" y="0"/>
                  <wp:positionH relativeFrom="column">
                    <wp:posOffset>0</wp:posOffset>
                  </wp:positionH>
                  <wp:positionV relativeFrom="paragraph">
                    <wp:posOffset>0</wp:posOffset>
                  </wp:positionV>
                  <wp:extent cx="4445" cy="1189990"/>
                  <wp:effectExtent l="0" t="0" r="0" b="0"/>
                  <wp:wrapNone/>
                  <wp:docPr id="18" name="Picture_2_SpCnt_136"/>
                  <wp:cNvGraphicFramePr/>
                  <a:graphic xmlns:a="http://schemas.openxmlformats.org/drawingml/2006/main">
                    <a:graphicData uri="http://schemas.openxmlformats.org/drawingml/2006/picture">
                      <pic:pic xmlns:pic="http://schemas.openxmlformats.org/drawingml/2006/picture">
                        <pic:nvPicPr>
                          <pic:cNvPr id="18" name="Picture_2_SpCnt_136"/>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lang w:val="en-US" w:eastAsia="zh-CN" w:bidi="ar"/>
              </w:rPr>
              <w:drawing>
                <wp:anchor distT="0" distB="0" distL="114300" distR="114300" simplePos="0" relativeHeight="251721728" behindDoc="0" locked="0" layoutInCell="1" allowOverlap="1">
                  <wp:simplePos x="0" y="0"/>
                  <wp:positionH relativeFrom="column">
                    <wp:posOffset>0</wp:posOffset>
                  </wp:positionH>
                  <wp:positionV relativeFrom="paragraph">
                    <wp:posOffset>0</wp:posOffset>
                  </wp:positionV>
                  <wp:extent cx="4445" cy="1189990"/>
                  <wp:effectExtent l="0" t="0" r="0" b="0"/>
                  <wp:wrapNone/>
                  <wp:docPr id="29" name="Picture_2_SpCnt_137"/>
                  <wp:cNvGraphicFramePr/>
                  <a:graphic xmlns:a="http://schemas.openxmlformats.org/drawingml/2006/main">
                    <a:graphicData uri="http://schemas.openxmlformats.org/drawingml/2006/picture">
                      <pic:pic xmlns:pic="http://schemas.openxmlformats.org/drawingml/2006/picture">
                        <pic:nvPicPr>
                          <pic:cNvPr id="29" name="Picture_2_SpCnt_137"/>
                          <pic:cNvPicPr/>
                        </pic:nvPicPr>
                        <pic:blipFill>
                          <a:blip r:embed="rId9"/>
                          <a:stretch>
                            <a:fillRect/>
                          </a:stretch>
                        </pic:blipFill>
                        <pic:spPr>
                          <a:xfrm>
                            <a:off x="0" y="0"/>
                            <a:ext cx="4445" cy="1189990"/>
                          </a:xfrm>
                          <a:prstGeom prst="rect">
                            <a:avLst/>
                          </a:prstGeom>
                          <a:noFill/>
                          <a:ln>
                            <a:noFill/>
                          </a:ln>
                        </pic:spPr>
                      </pic:pic>
                    </a:graphicData>
                  </a:graphic>
                </wp:anchor>
              </w:drawing>
            </w:r>
          </w:p>
        </w:tc>
      </w:tr>
      <w:tr w14:paraId="0C614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10BF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616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学生用物理智能实验探索者</w:t>
            </w:r>
          </w:p>
        </w:tc>
        <w:tc>
          <w:tcPr>
            <w:tcW w:w="57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E7F1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智能实验探究者：智能数字实验盘是一款功能强大、小巧轻便的数字化实验数据采集设备，可满足中小学各个学科的实验需求；支持有线、无线两种传输模式；内置功能完整的实验操作平台，支持脱离终端设备进行独立实验，支持实验保存，并可随时在智能数字实验盘上查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一、结构及外观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一体化设计，3.5英寸显示屏居中，7个传感器模块环绕分布；采集器与传感器之间采用Lightning接口，采用环绕式可插拔设计，可任意更换传感器，无需数据线连接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二、规格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支持平台：Windows、Android、iOS/iPadOS、MacOS、 Linux、Harmony OS、统信UOS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显示屏：3.5英寸TFT 480*320 电容屏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最大采样速率：100,000次/秒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采样解析度：12-bit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内存：16M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传感器接口：7 个</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有线连接：USB 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无线连接：蓝牙2.0/4.2双模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内置电池：3000mAh 锂电池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待机时间：6个月以上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使用温度范围：-20℃~70℃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电源适配器：100V~240V AC / 5V DC 2A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软件：iLabV12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固件升级：固件可通过USB接口进行升级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内置传感器：三轴加速度、GPS、气压计、相对高度计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·三轴加速度传感器：量程 -8g~+8g,精度2.5%，可测量空间三个垂直方向上的加速度值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GPS：最大导航更新率（Maximum Navigation update rate）：5Hz；平面位置精度（Horizontal position accuracy）：2.5m；速度准确度（Velocity accuracy）：0.1m/s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·气压计：量程 50~110kPa，精度 ±4kPa (相对精度: 0.05kPa)，可用于测量周围环境的大气压强，能够灵敏反映因海拔变化引起的大气压的变化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·相对高度计：分辨率 0.3m，用于测量相对海拔高度，比如，可以获得从某一高度上升或下降到另一高度的具体高度值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颠覆传统采集器需连接终端设备使用的模式，智能数字实验盘在自身强大的软、硬件支撑下，既可连接外接终端设备，也可脱离终端独立进行数据采集、实验操作，支持有线、无线传输，自成一个功能完整且独立的实验平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2、内置3.5英寸电容屏，支持手势操作，触控灵敏、交互便捷，为数据显示、实验采集提供良好的图形界面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一体化设计，机身设计有7个传感器接口，支持热插拔；支持近60种传感器，遍及力学、热学、光学、电学、化学、生物等多个领域；内置三轴加速度、GPS、环境温度、气压计、相对高度计等传感器；内置传感器与外接传感器模块可并行采集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高度自由的实验操作。独立使用时，支持实验采集功能，提供图像、表格两种模式。图像模式支持对X轴、Y轴自定义，且Y轴支持传感器多选；支持双Y轴设置，优化选择多个传感器且数值相差较大时的图像显示，适应多样需求；支持曲线镜像显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5、支持对采集间隔、采集时间进行设置，支持手动采集、定时采集等不同模式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6、实验采集支持保存与读取，方便随时对实验进行复盘分析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7、支持7种外接传感器和5种内置传感器同时工作，并在内置屏上同步数据显示；支持数字、图线、指针盘3种显示模式；支持从传感器实时显示界面直接跳转进入快速实验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8、支持脱离终端设备，利用内置实验操作平台对部分传感器进行校准或标定等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9、具有通用接口模块，可外扩其他类型的传感器，通用接口采用Lightning接口,外扩传感器插头采用双面设计，支持正反盲插接入通用接口，无需关心插入的方向，易插易用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10、充电方式：支持USB充电，支持触点充电，搭配专用充电坞，可实现同时对5个智能数字实验盘进行充电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11、正面设有电源指示灯，背面设有支脚架、固定螺纹孔、复位孔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12、固件升级：固件可通过USB接口进行升级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13、包含12种传感器：电压：量程：-1~1A；精度：±1%、电流：量程-30~30V；精度：±1%、微电流：量程：-10μA~10μA，精度：±1%、磁感应强度：量程：-64~64mT；精度：±3%、分体式位移：量程：0 ~ 2m ，分辨率：1mm、位移：量程：20~600cm；精度：±2%、快速温度：量程：-25~100℃；精度：±0.8℃、光强分布：量程：125Dot/mm @29.1mm，分辨率：8μm各一套，力：量程：-50~50N；精度：±1%、光电门：量程：0~∞S；精度：±1us、力倾角：量程：-20N～20N/0°~180°，精度1%各二套，温度：量程：-40~135℃；精度：±0.6℃一套，通用接口二套；</w:t>
            </w:r>
          </w:p>
        </w:tc>
        <w:tc>
          <w:tcPr>
            <w:tcW w:w="40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E7BF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80F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99C4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5F22D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021B14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68991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小车导轨</w:t>
            </w:r>
          </w:p>
        </w:tc>
        <w:tc>
          <w:tcPr>
            <w:tcW w:w="5715" w:type="dxa"/>
            <w:tcBorders>
              <w:top w:val="single" w:color="000000" w:sz="4" w:space="0"/>
              <w:left w:val="single" w:color="000000" w:sz="4" w:space="0"/>
              <w:bottom w:val="single" w:color="000000" w:sz="4" w:space="0"/>
              <w:right w:val="single" w:color="000000" w:sz="4" w:space="0"/>
            </w:tcBorders>
            <w:noWrap w:val="0"/>
            <w:vAlign w:val="center"/>
          </w:tcPr>
          <w:p w14:paraId="40924C1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微型L型支架1个、多功能导轨1个（1.2m）、动力学小车1个、L型支架2个、宽L型支架、L型滑轮组、砝码5个（2g）、钩码1个（10g）、钩码1个（20g）、砝码3个（50g）、小龙虾扣2个、细绳1卷、U型挡光片1个、小桶1个、缓冲器组件1个、U型滑轮组件1个、紧固件1宗、梅花螺丝2个（M6*15mm）、六角螺丝1个（M6*35mm）、六角螺丝5个（M6*20mm）、手紧螺丝1个（M4*16mm）、手紧螺丝2个（M6*12mm）、螺杆螺母1套（M4*45mm）、蝶形螺母6个（M6），备用小车轮2个、燕尾螺丝1个（M5*15mm）、手紧螺丝1个（M6*8mm）、蝶形螺丝1个（M4*35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1.用于动力学为核心的包含位移、时间、速度、加速度等物理量等实验。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小车导轨是一套能轻松完成初高中动力学实验的实验平台，实验器功能多样，配件齐全，轨道预留多种传感器固定孔及光电门固定支架，可搭配位移传感器、分体式位移传感器、光电门传感器等不同组合进行实验，测得小车各类运动数据，并在Windows、安卓、iOS系统终端上实时呈现数据，支持各类动力学DIY设计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3.专用动力学小车，车轮刀片式设计，与轨道摩擦小，具有弹簧减震结构，有效保证小车在同一平面直线运动。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4.动力学小车预留力钩柱、紧固件螺口、挡光片的专用手拧螺丝接口，可快速安装对应的拉力组件、砝码、挡光片等配件。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5.滑轮及车轮轮轴摩擦力极小，能有效减小轮轴摩擦对实验的影响。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6.导轨采用铝型材，坚固耐用，导轨两侧标有清晰的刻度，可直接读取小车运动距离，导轨面具有小车运动槽，保证小车不脱轨。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7.配套专用实验软件，预设模板，以表格和曲线等形式自动记录数据变化情况，实验结果更直观明显。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匀变速直线运动的位移与时间的关系、借助传感器用计算机测速度、匀速直线运动的位移、匀变速直线运动的速度与时间的关系、探究加速度与拉力的关系、 探究加速度与质量的关系、用两个光电门测加速度等实验</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6F7A14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7B38BC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2DE2D7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53362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2B5556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76251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胡克定律实验器</w:t>
            </w:r>
          </w:p>
        </w:tc>
        <w:tc>
          <w:tcPr>
            <w:tcW w:w="5715" w:type="dxa"/>
            <w:tcBorders>
              <w:top w:val="single" w:color="000000" w:sz="4" w:space="0"/>
              <w:left w:val="single" w:color="000000" w:sz="4" w:space="0"/>
              <w:bottom w:val="single" w:color="000000" w:sz="4" w:space="0"/>
              <w:right w:val="single" w:color="000000" w:sz="4" w:space="0"/>
            </w:tcBorders>
            <w:noWrap w:val="0"/>
            <w:vAlign w:val="center"/>
          </w:tcPr>
          <w:p w14:paraId="7DF5C9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实验器主体（含面板、铁架台、传感器固定座）、弹簧组件（内置拉力限量和弹力系数不同的5个弹簧）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1.用于探究弹簧的伸长特性、弹簧伸长量与弹力的关系等实验。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2.配合力传感器和位移传感器使用可得到更加准确的数据，并在Windows、安卓、iOS系统终端上实时呈现数据，实验结果明显。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3.面板标有刻度，清晰耐用，学生使用过程中可根据刻度计算，加深学生对实验的理解。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4.实验器具有传感器固定座，与传感器适配性高，搭建简单，减轻器材准备负担，轻松满足演示及分组实验，让课堂教学更高效。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5.提供5个弹力系数不同的弹簧，可探究弹性系数对弹力的影响。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6.通过移动终端扫描仪器上的二维码可浏览该仪器配套的实验指导和使用说明。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7.配套专用实验软件，预设模板，以表格和曲线等形式自动记录数据变化情况，实验结果更直观明显。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弹簧的伸长特性、研究弹簧伸长量与弹力的关系等实验</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247541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0E0C90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3BC09D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136B6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7C9170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7C5DB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螺线管</w:t>
            </w:r>
          </w:p>
        </w:tc>
        <w:tc>
          <w:tcPr>
            <w:tcW w:w="5715" w:type="dxa"/>
            <w:tcBorders>
              <w:top w:val="single" w:color="000000" w:sz="4" w:space="0"/>
              <w:left w:val="single" w:color="000000" w:sz="4" w:space="0"/>
              <w:bottom w:val="single" w:color="000000" w:sz="4" w:space="0"/>
              <w:right w:val="single" w:color="000000" w:sz="4" w:space="0"/>
            </w:tcBorders>
            <w:noWrap w:val="0"/>
            <w:vAlign w:val="center"/>
          </w:tcPr>
          <w:p w14:paraId="4D6771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环形线圈、接线柱、透明亚克力支架板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1.用于测量通电螺线管内部的匀强磁场，探究电流大小和线圈匝数与螺线管内部磁场强度的关系。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2.亚克力支架板方便放置小磁针，探究通电螺线管磁感线及磁场方向，并在Windows、安卓、iOS系统终端上实时呈现数据。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3.环形线圈内部预留较大空间方便探究螺线管内部磁场特性。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4.线圈绕制在圆环上，匝数均匀，磁场稳定。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测量通电螺线管内部的匀强磁场、探究通电螺线管磁感线方向等实验</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549F4D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18E973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0611370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6B822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5A9B44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14F3DB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电学实验板 (17块)</w:t>
            </w:r>
          </w:p>
        </w:tc>
        <w:tc>
          <w:tcPr>
            <w:tcW w:w="5715" w:type="dxa"/>
            <w:tcBorders>
              <w:top w:val="single" w:color="000000" w:sz="4" w:space="0"/>
              <w:left w:val="single" w:color="000000" w:sz="4" w:space="0"/>
              <w:bottom w:val="single" w:color="000000" w:sz="4" w:space="0"/>
              <w:right w:val="single" w:color="000000" w:sz="4" w:space="0"/>
            </w:tcBorders>
            <w:noWrap w:val="0"/>
            <w:vAlign w:val="center"/>
          </w:tcPr>
          <w:p w14:paraId="5C5A37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种实验电路板（含RC/RL移相、半波整流与滤波、全波整流与滤波、电容器充放电与串并联、LC振荡、欧姆定律、导体的伏安特性、补偿法测量电池电动势、限流法测灯泡的伏安特性、分压法测灯泡的伏安特性、自感现象、电池电动势与内阻的测量、电阻的串并联、电源输出与负载的关系、伏安法测电阻、电磁感应现象、传感器简单应用）、隔离柱、香蕉头导线*12、鳄鱼夹*6、9V电池、小灯泡若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1.用于电学类实验，如电容器充放电与串并联、LC振荡、欧姆定律、导体的伏安特性、补偿法测量电池电动势等。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2.集成电路，实验方便快捷。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3.插拔式接线口，接线简便牢靠，实验稳定。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4.适配电学类传感器测量数值并在Windows、安卓、iOS系统终端上实时呈现，也可接入指针式电表，满足数字化和传统不同形式实验教学要求，实验设计灵活。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5.实验丰富，基本涵盖电学类初高中分组及演示实验。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RC/RL移相实验、整流与滤波（半波、全波）实验、电容器充放电实验、LC振荡电路探究实验、欧姆定律、导体的伏安特性实验、测量电池电动势实验、限流法测灯泡的伏安特性（限流、分压）实验、自感现象探究实验、测量电源的电动势和内阻实验、电阻的串并联实验、电源输出与负载的关系实验、伏安法测电阻实验、电磁感应现象探究等实验</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4D9BB7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29500D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0BFFC9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617BF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7D54B6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66618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平抛运动实验器</w:t>
            </w:r>
          </w:p>
        </w:tc>
        <w:tc>
          <w:tcPr>
            <w:tcW w:w="5715" w:type="dxa"/>
            <w:tcBorders>
              <w:top w:val="single" w:color="000000" w:sz="4" w:space="0"/>
              <w:left w:val="single" w:color="000000" w:sz="4" w:space="0"/>
              <w:bottom w:val="single" w:color="000000" w:sz="4" w:space="0"/>
              <w:right w:val="single" w:color="000000" w:sz="4" w:space="0"/>
            </w:tcBorders>
            <w:noWrap w:val="0"/>
            <w:vAlign w:val="center"/>
          </w:tcPr>
          <w:p w14:paraId="769856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平抛轨道组件（含平抛轨道、轨道固定块、光电门托板、螺丝、三角螺栓）、落点接球盒组件（含板夹、复写纸、白纸、接球盒）、定位螺栓、蝶形螺母、钢球组、软尺、铁架台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1.用于探究平抛运动的规律。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2.通过光电门传感器珂直接测量小球水平初速度，利用软尺测量高度和水平位移并输入在软件变量列中，在Windows、安卓、iOS系统终端上实时呈现数据，探究平抛运动的规律。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3.落球盒组件可清晰记录落点位置，得出小球准确的水平位移，有效减少实验误差。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4.平抛轨道设有定位螺栓，可保证在同一高度重复多次实验时小球位置不变。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平抛运动的规律等实验</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184821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713CAF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43746BFA">
            <w:pPr>
              <w:rPr>
                <w:rFonts w:hint="eastAsia" w:ascii="宋体" w:hAnsi="宋体" w:eastAsia="宋体" w:cs="宋体"/>
                <w:i w:val="0"/>
                <w:iCs w:val="0"/>
                <w:color w:val="000000"/>
                <w:sz w:val="18"/>
                <w:szCs w:val="18"/>
                <w:u w:val="none"/>
              </w:rPr>
            </w:pPr>
          </w:p>
        </w:tc>
      </w:tr>
      <w:tr w14:paraId="1A959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5BB341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0B3E5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机械能守恒实验器</w:t>
            </w:r>
          </w:p>
        </w:tc>
        <w:tc>
          <w:tcPr>
            <w:tcW w:w="5715" w:type="dxa"/>
            <w:tcBorders>
              <w:top w:val="single" w:color="000000" w:sz="4" w:space="0"/>
              <w:left w:val="single" w:color="000000" w:sz="4" w:space="0"/>
              <w:bottom w:val="single" w:color="000000" w:sz="4" w:space="0"/>
              <w:right w:val="single" w:color="000000" w:sz="4" w:space="0"/>
            </w:tcBorders>
            <w:noWrap w:val="0"/>
            <w:vAlign w:val="center"/>
          </w:tcPr>
          <w:p w14:paraId="1DEAA4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铁架台（上含塑料固定筒）、透明塑料管（带刻度）、金属挡光柱、转接头、公头支撑杆、橡胶堵头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1、用于验证机械能守恒。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方法贴合教材。用两个光电门，测出金属挡光柱在自由落体过程中，某两个点的速度，得到金属挡光柱在这两个点的动能，得到动能差值。再结合两个光电门的高度差，算出势能差值。动能及势能差值两者相等，从而验证了机械能守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3、透明塑料管保持金属挡光柱的运动竖直向下，大大减小了光电门对其速度的测量误差。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4、铁架台上的固定筒，保持透明塑料管竖直。插入和取出透明塑料管方便，大大简化了实验操作。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可以用自由落体的方式，完成高中物理必修2中的机械能守恒等实验。</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40EE2E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465E9F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4C4401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00ADA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70B07D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80CF4C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智能力盘实验器</w:t>
            </w:r>
          </w:p>
        </w:tc>
        <w:tc>
          <w:tcPr>
            <w:tcW w:w="5715" w:type="dxa"/>
            <w:tcBorders>
              <w:top w:val="single" w:color="000000" w:sz="4" w:space="0"/>
              <w:left w:val="single" w:color="000000" w:sz="4" w:space="0"/>
              <w:bottom w:val="single" w:color="000000" w:sz="4" w:space="0"/>
              <w:right w:val="single" w:color="000000" w:sz="4" w:space="0"/>
            </w:tcBorders>
            <w:noWrap w:val="0"/>
            <w:vAlign w:val="center"/>
          </w:tcPr>
          <w:p w14:paraId="1E777B7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人字形底座、铝合金固定杆、刻度盘、支撑杆、滑轮、连接线组件、钩码、梅花螺丝、手紧螺丝、数据线2根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1.用于力的合成、力的分解实验，探究力合成的平行四边形定则。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2.刻度盘设有两个支撑杆，可轻松改变分力的角度，配合力倾角传感器直接测量力和角度的大小，在Windows、安卓、iOS系统终端上实时呈现数据，探究力的合成与分解实验。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3.单个支撑杆可围绕刻度盘在0°～180°内进行转动，改变力的角度。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4.连接线组件可保证两个力传感器在转动时，交点始终处于刻度盘的圆心位置，设计科学合理。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5.固定杆设有滑轮，可拓展探究合力竖直向上的情况。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6.采用人字形底座，配有调平螺丝，方便调整仪器保持水平。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7.配套专用实验软件，可在坐标系中自动绘制出合力与分力的矢量图，进行“力的合成”与“力的分解”实验。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探究力合成的平行四边形定则、探究力分解的三角形定则等实验</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207970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415B79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385AE3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5EB2D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6EF7D2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465B5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光的干涉衍射实验器</w:t>
            </w:r>
          </w:p>
        </w:tc>
        <w:tc>
          <w:tcPr>
            <w:tcW w:w="5715" w:type="dxa"/>
            <w:tcBorders>
              <w:top w:val="single" w:color="000000" w:sz="4" w:space="0"/>
              <w:left w:val="single" w:color="000000" w:sz="4" w:space="0"/>
              <w:bottom w:val="single" w:color="000000" w:sz="4" w:space="0"/>
              <w:right w:val="single" w:color="000000" w:sz="4" w:space="0"/>
            </w:tcBorders>
            <w:noWrap w:val="0"/>
            <w:vAlign w:val="center"/>
          </w:tcPr>
          <w:p w14:paraId="3B281D8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光屏、激光器、光学元件（含干涉片、衍射片1、衍射片2）、7号干电池、偏振片*2、皮尺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1.用于探究光在透过单缝和双缝时，发生衍射和干涉的现象。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2.激光器能发射满足相关条件的激光，通过机身前端的光学元件，产生干涉或衍射现象，可在光屏上观察干涉或衍射图像，配合光强分布传感器可测量并计算出光波波长，并在终端上实时呈现数据。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3.激光器前端具有可左右移动的卡槽，方便光学元件的插入及滑动。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4.干涉片具有不同缝宽的双缝、三缝、四缝，可进行杨氏双缝干涉实验，同时能拓展进行三缝、四缝干涉实验。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5.衍射片具有狭缝、圆孔、矩形孔、方形孔、三角孔、单丝、圆屏、刀口等图形，可观察到明显的光的衍射现象。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6.配有软性150cm长皮尺，方便测量激光器到光强分布传感器的距离，用于计算光波波长。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杨氏双缝干涉、单缝衍射、用光强分布传感器做双缝干涉等实验</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7D3D23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495812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2EC44A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63E14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6F2F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4C846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电阻定律实验器Ⅱ</w:t>
            </w:r>
          </w:p>
        </w:tc>
        <w:tc>
          <w:tcPr>
            <w:tcW w:w="57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7597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亚克力底座、镍铬丝（0.2mm）、镍铬丝（0.4mm）、镍铬丝（0.6mm）、锰铜丝（0.6mm）、铁铬丝（0.6mm）、夹式测试钩1对（带4mm插孔钩）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1.用于电阻定律实验，探究电阻的材料、长度、横截面积对导体电阻大小的影响。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2.电阻定律实验器配合电源、电流传感器，通过传感器测得的电流大小来比较接入的金属丝电阻大小，在Windows、安卓、iOS系统终端上实时呈现数据。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3.夹式测试钩可自由选择接入金属丝的长度，探究导体长度对电阻的影响。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4.提供三种材料相同，直径不同的金属丝，便于探究导体横截面积对电阻的影响。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5.提供三条直径相同的材料不同的镍铬丝、锰铜丝、铁铬丝，探究导体材料对电阻的影响。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6.底座标有刻度及金属丝的名称和直径，并在每条金属丝下方标有长度标记，可直接读出长度数值。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7.通过移动终端扫描仪器上的二维码可浏览该仪器配套的实验指导和使用说明。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8.配套专用实验软件，预设模板，以表格和曲线等形式自动记录数据变化情况，实验结果更直观明显。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探究电阻的影响因素等实验</w:t>
            </w:r>
          </w:p>
        </w:tc>
        <w:tc>
          <w:tcPr>
            <w:tcW w:w="4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3D1B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4DAE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8767B0">
            <w:pPr>
              <w:rPr>
                <w:rFonts w:hint="eastAsia" w:ascii="宋体" w:hAnsi="宋体" w:eastAsia="宋体" w:cs="宋体"/>
                <w:i w:val="0"/>
                <w:iCs w:val="0"/>
                <w:color w:val="000000"/>
                <w:sz w:val="18"/>
                <w:szCs w:val="18"/>
                <w:u w:val="none"/>
              </w:rPr>
            </w:pPr>
          </w:p>
        </w:tc>
      </w:tr>
      <w:tr w14:paraId="13669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E52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07AB4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栅栏板</w:t>
            </w:r>
          </w:p>
        </w:tc>
        <w:tc>
          <w:tcPr>
            <w:tcW w:w="57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D3A0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亚克力板（390×60×3mm、黑条纹宽度25mm、间隔25mm）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配合光电门传感器做自由落体实验。</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645D4A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779774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5A7D47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6AC1C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noWrap w:val="0"/>
            <w:vAlign w:val="center"/>
          </w:tcPr>
          <w:p w14:paraId="477460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1783C8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手提式实验箱</w:t>
            </w:r>
          </w:p>
        </w:tc>
        <w:tc>
          <w:tcPr>
            <w:tcW w:w="5715" w:type="dxa"/>
            <w:tcBorders>
              <w:top w:val="single" w:color="000000" w:sz="4" w:space="0"/>
              <w:left w:val="single" w:color="000000" w:sz="4" w:space="0"/>
              <w:bottom w:val="single" w:color="000000" w:sz="4" w:space="0"/>
              <w:right w:val="single" w:color="000000" w:sz="4" w:space="0"/>
            </w:tcBorders>
            <w:noWrap w:val="0"/>
            <w:vAlign w:val="center"/>
          </w:tcPr>
          <w:p w14:paraId="52C0C6B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提式箱式设计，可翻盖，采用ABS材质，外形尺寸（长宽高）：437mm*327mm*170mm（两箱叠加高度H=330mm），最大承重：30-35公斤；箱体底部设有底部凸起，与上部设计凹槽相互咬合，通过独特的纽扣式锁止机构，实现箱子与箱子之前的锁合，可多个垒叠放置，便于携带和搬运，最多可垒5箱；内部含有内衬，保证每个器材都有对应的存放位置，便于快速、高效的整理和收纳；</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4C995B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14:paraId="170E65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2BEB6C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7A2E3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C296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5713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智能实验数据采集终端</w:t>
            </w:r>
          </w:p>
        </w:tc>
        <w:tc>
          <w:tcPr>
            <w:tcW w:w="57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A766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触摸平板式10.1英寸，10点电容屏，分辨率1920*1200IPS，30000mWh聚合物锂离子电池，连续使用≥8小时，4GDDR4LRAM，64GBROM支持扩展卡，前置2.0M后置5.0MP摄像头，标准USB3.0接口，HDMImini接口，type-C数据接口，3.5mm耳机接口；windows10 64位操作系统。智能采集并保存数据，内置64G存储空间，方便存储实验数据﹔前置后置摄像头，方便拍摄实验图片;支持网络连接，方便传送实验数据﹔内置USB接口和蓝牙模块，支持多种连接方式；</w:t>
            </w:r>
          </w:p>
        </w:tc>
        <w:tc>
          <w:tcPr>
            <w:tcW w:w="40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91B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D569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ADD746">
            <w:pPr>
              <w:rPr>
                <w:rFonts w:hint="eastAsia" w:ascii="宋体" w:hAnsi="宋体" w:eastAsia="宋体" w:cs="宋体"/>
                <w:i w:val="0"/>
                <w:iCs w:val="0"/>
                <w:color w:val="000000"/>
                <w:sz w:val="18"/>
                <w:szCs w:val="18"/>
                <w:u w:val="none"/>
              </w:rPr>
            </w:pPr>
          </w:p>
        </w:tc>
      </w:tr>
    </w:tbl>
    <w:p w14:paraId="1D42CF09">
      <w:pPr>
        <w:rPr>
          <w:rFonts w:hint="eastAsia" w:ascii="宋体" w:hAnsi="宋体" w:eastAsia="宋体" w:cs="宋体"/>
          <w:sz w:val="18"/>
          <w:szCs w:val="18"/>
        </w:rPr>
      </w:pPr>
    </w:p>
    <w:tbl>
      <w:tblPr>
        <w:tblStyle w:val="2"/>
        <w:tblW w:w="10309" w:type="dxa"/>
        <w:tblInd w:w="-81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00"/>
        <w:gridCol w:w="765"/>
        <w:gridCol w:w="5430"/>
        <w:gridCol w:w="556"/>
        <w:gridCol w:w="592"/>
        <w:gridCol w:w="2366"/>
      </w:tblGrid>
      <w:tr w14:paraId="68791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309" w:type="dxa"/>
            <w:gridSpan w:val="6"/>
            <w:tcBorders>
              <w:top w:val="single" w:color="000000" w:sz="4" w:space="0"/>
              <w:left w:val="single" w:color="000000" w:sz="4" w:space="0"/>
              <w:bottom w:val="single" w:color="000000" w:sz="4" w:space="0"/>
              <w:right w:val="single" w:color="000000" w:sz="4" w:space="0"/>
            </w:tcBorders>
            <w:noWrap/>
            <w:vAlign w:val="center"/>
          </w:tcPr>
          <w:p w14:paraId="4370D1B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化学数字化实验室 清单（56座/间）</w:t>
            </w:r>
          </w:p>
        </w:tc>
      </w:tr>
      <w:tr w14:paraId="36DFC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7B7AFF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5EF83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货物名称</w:t>
            </w:r>
          </w:p>
        </w:tc>
        <w:tc>
          <w:tcPr>
            <w:tcW w:w="5430" w:type="dxa"/>
            <w:tcBorders>
              <w:top w:val="single" w:color="000000" w:sz="4" w:space="0"/>
              <w:left w:val="single" w:color="000000" w:sz="4" w:space="0"/>
              <w:bottom w:val="single" w:color="000000" w:sz="4" w:space="0"/>
              <w:right w:val="single" w:color="000000" w:sz="4" w:space="0"/>
            </w:tcBorders>
            <w:noWrap w:val="0"/>
            <w:vAlign w:val="center"/>
          </w:tcPr>
          <w:p w14:paraId="7F84A8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技术参数</w:t>
            </w:r>
          </w:p>
        </w:tc>
        <w:tc>
          <w:tcPr>
            <w:tcW w:w="556" w:type="dxa"/>
            <w:tcBorders>
              <w:top w:val="single" w:color="000000" w:sz="4" w:space="0"/>
              <w:left w:val="single" w:color="000000" w:sz="4" w:space="0"/>
              <w:bottom w:val="single" w:color="000000" w:sz="4" w:space="0"/>
              <w:right w:val="single" w:color="000000" w:sz="4" w:space="0"/>
            </w:tcBorders>
            <w:noWrap w:val="0"/>
            <w:vAlign w:val="center"/>
          </w:tcPr>
          <w:p w14:paraId="673B19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592" w:type="dxa"/>
            <w:tcBorders>
              <w:top w:val="single" w:color="000000" w:sz="4" w:space="0"/>
              <w:left w:val="single" w:color="000000" w:sz="4" w:space="0"/>
              <w:bottom w:val="single" w:color="000000" w:sz="4" w:space="0"/>
              <w:right w:val="single" w:color="000000" w:sz="4" w:space="0"/>
            </w:tcBorders>
            <w:noWrap w:val="0"/>
            <w:vAlign w:val="center"/>
          </w:tcPr>
          <w:p w14:paraId="1FC938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2366" w:type="dxa"/>
            <w:tcBorders>
              <w:top w:val="single" w:color="000000" w:sz="4" w:space="0"/>
              <w:left w:val="single" w:color="000000" w:sz="4" w:space="0"/>
              <w:bottom w:val="single" w:color="000000" w:sz="4" w:space="0"/>
              <w:right w:val="single" w:color="000000" w:sz="4" w:space="0"/>
            </w:tcBorders>
            <w:noWrap w:val="0"/>
            <w:vAlign w:val="center"/>
          </w:tcPr>
          <w:p w14:paraId="0354B2B8">
            <w:pPr>
              <w:keepNext w:val="0"/>
              <w:keepLines w:val="0"/>
              <w:widowControl/>
              <w:suppressLineNumbers w:val="0"/>
              <w:jc w:val="center"/>
              <w:textAlignment w:val="center"/>
              <w:rPr>
                <w:rFonts w:hint="eastAsia" w:ascii="宋体" w:hAnsi="宋体" w:eastAsia="宋体" w:cs="宋体"/>
                <w:i w:val="0"/>
                <w:iCs w:val="0"/>
                <w:color w:val="FF0000"/>
                <w:sz w:val="18"/>
                <w:szCs w:val="18"/>
                <w:u w:val="none"/>
              </w:rPr>
            </w:pPr>
          </w:p>
        </w:tc>
      </w:tr>
      <w:tr w14:paraId="670CF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0309"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72229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基础设备</w:t>
            </w:r>
          </w:p>
        </w:tc>
      </w:tr>
      <w:tr w14:paraId="384B7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1"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37E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AF4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教师演示台</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306E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2800×700×850mm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台面：采用≥12.7mm厚实芯理化板，边沿加厚至≧25.4mm，表面光滑、平整，整体美观大方。耐酸碱、耐高温、耐腐蚀、不吸水、防火、抗老化、无毒、不褪色、材质坚硬，确保柜身台面不受潮，牢固可靠。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结构：演示台设有储物柜，中间为演示台，设置电源系统、水嘴、水槽、洗眼器、多媒体设备（主机、显示器、中控、功放、交换机）的位置预留。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桌身：整体采用≥0.9mm厚优质冷轧钢板，全部钢制件纳米陶瓷镀膜防锈处理。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滑道：抽屉全部采用优质三节承重式滚珠滑道开合十万次不变形。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铰链：采用优质铰链，开合十万次不变形。</w:t>
            </w:r>
          </w:p>
        </w:tc>
        <w:tc>
          <w:tcPr>
            <w:tcW w:w="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A61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B46E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3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8EEB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19A85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3267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29B8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水槽</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2C2C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外径：550×450×310mm，内径：480×380×290mm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采用环保型PP材料一次性注塑成型，耐强酸碱及有机溶剂，壁厚6mm。</w:t>
            </w:r>
          </w:p>
        </w:tc>
        <w:tc>
          <w:tcPr>
            <w:tcW w:w="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697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1157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3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6294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0ABFB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2"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3597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3654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水嘴</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2C26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采用实验室专用三联水嘴，陶瓷阀芯90°旋转，铜质表面烤漆处理，增强耐酸碱防腐蚀以及防锈性能，特制鹅颈管可360度旋转。</w:t>
            </w:r>
          </w:p>
        </w:tc>
        <w:tc>
          <w:tcPr>
            <w:tcW w:w="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76C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AD23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3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2E2B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5C0C0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D3EF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B79B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主控电源</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3FB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1、教师端主控，主机采用铁制机箱，机械抽屉式。控制显示采用液晶真彩触摸屏和数据显示一体化。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2、具备1个220V交流电源输出插座和USB 低压5V输出、额定电流≤1A,同时带有输出指示灯。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3、系统具备漏电保护功能。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4、密码控制，本产品由教师输入正确的密码，方可启动实验电源的控制系统（教师可自定密码），对电源控制台进行操作防误操作方便教师合理安排实验。密码可根据需要自行设置，出厂时默认无密码状态。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5、教师主控可实现对学生低压交直流电压的设置和分组控制，学生的锁定，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7、通过教师控制界面可设置直流0-30V分辨率0.1V,交流1-30V分辨率1V，具备过载保护点智能侦测功能，电流高于过载保护功点则自动保护，电流低于过载保护点则自动恢复至设定值。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8、直流高压240、300V两档100mA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9、电源主控台与教师演示台一体化。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10、具备风机无极变频调速和启动控制功能。</w:t>
            </w:r>
          </w:p>
        </w:tc>
        <w:tc>
          <w:tcPr>
            <w:tcW w:w="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976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BB2C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3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7067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626A5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B5EF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700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洗眼器</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4C59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材质：主体采用环保型PP材料一次性注塑成型。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工作压力：0.2-0.4MPa。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流量：洗眼器喷头：12升/分钟。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性能：阀门可自动关闭，密封可靠。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喷头：洗眼盆头，出水经缓压处理呈泡沫状水柱，防止冲伤眼睛，设有防尘盖，使用时可自动被水冲开。</w:t>
            </w:r>
          </w:p>
        </w:tc>
        <w:tc>
          <w:tcPr>
            <w:tcW w:w="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AF5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BD67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3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F5C5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345E5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4"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96B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E9C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教师椅</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D737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椅面、靠背选用优质网布面料，透气性强、无异味。背垫、座垫采用高密度发泡成型棉，回弹性好、不易变形，不老化，依人体坐姿特别设计，符合人体工学。艺术造型扶手，优质圆五星脚配活动脚轮，气压调节座位高度。</w:t>
            </w:r>
          </w:p>
        </w:tc>
        <w:tc>
          <w:tcPr>
            <w:tcW w:w="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38F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475B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3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3BF2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705EA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8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B18E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72DD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学生实验桌</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DA7E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规格：2800×1200×780mm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台面：采用≥12.7mm双面膜实芯理化板，时尚美观，耐酸碱、耐冲击、韧性强等特点。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结构：台面为双面膜实芯理化板一体化成型，桌身由桌腿、立柱、前横梁、中横梁、后横梁及加强横支撑件组成。学生位设书包斗、小柜体箱。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桌腿：主体材料均采用优质铝镁合金型材及铝压铸件连接组合框架，材料表面经高压静电喷涂环氧树脂防护层，耐酸碱，耐腐蚀处理。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上腿规格：长580mm×宽50mm×高140mm。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下腿规格：长510mm×宽50mm×高140mm。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立柱：采用50mm×100mm，壁厚1.5mm。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前横梁：采用43mm×40mm，壁厚1.2mm。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中横梁：采用32mm×27mm，壁厚1.2mm。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后横梁：采用105mm×40mm，壁厚1.2mm，造型截面为后端连续相切弧形，顶端高出台面35mm，可防止台面物体向后滑落、实验用水溢出。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加强横支撑件：采用10mm×100mm，壁厚1.2mm。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书包斗：壁厚4.6mm，采用环保型ABS工程塑料一次性注塑成型。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可调脚：高强度可调脚，采用10mm螺纹钢，下部采用环保型PP加耐磨纤维质塑料。</w:t>
            </w:r>
          </w:p>
        </w:tc>
        <w:tc>
          <w:tcPr>
            <w:tcW w:w="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C9B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A6B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23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38A2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7FDF3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4"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CE0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0C56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柜体箱</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3D73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1、宽380mm深220mm高730mm，壁厚3.0mm，采用环保型ABS工程塑料一次性注塑成型。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2、符合GB 28481-2012 塑料家具中有害物质限量要求。</w:t>
            </w:r>
          </w:p>
        </w:tc>
        <w:tc>
          <w:tcPr>
            <w:tcW w:w="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434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822C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23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962C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16B46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60FC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6133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学生电源</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1E29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学生电源：桌斗中间位置固定学生电源盒：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1、每个学生电源应自带一个独立变压器，既能独立操作，也能被教师控制。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2、通过教师数字化键盘控制学生电源低压交流电压值和直流电压值，分别显示交直流电压值。学生操控时伴有按键提示音。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3、学生电源的低压交流电压分两档，即1V-18V/2A、18V-30V/1A，分辨率1V，具备自动智能侦测过载保护功能，电流高于过载保护点则自动保护、电流低于过载保护点则自动恢复至设定值。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4、学生电源的低压直流电压分两档，即1.5V-16V/2A、16V-30V/1A，分辨率为0.1V。具备自动智能侦测过载保护功能，电流高于过载保护点则自动保护、电流低于过载保护点则自动恢复至设定值。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5、学生电源被教师控制及锁定后不能自主操作。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6、具备1个220V交流电源输出插座。可通过教师单独控制其电源的输出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7、过载保护采用蜂鸣器报警提示功能。可按任意键复位。</w:t>
            </w:r>
          </w:p>
        </w:tc>
        <w:tc>
          <w:tcPr>
            <w:tcW w:w="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9A5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7740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23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1FB1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0589A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1"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ABD8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4AF6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水槽柜</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CCFB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500×550×760mm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#材质：整体采用环保型ABS工程塑料一次性注塑成型，表面木纹与光面项结合处理。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结构：榫卯连接结构并合理布局加强筋，安装时不用胶水粘结，不用任何金属螺丝，使用产品自身力量相互连接，产品不变形，不扭曲。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门板：合页采用尼龙塑料铰链，高强度耐磨，防水、永不生锈。门板与侧板并安装有防盗插销，防止从外部撬开柜门。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#锁具：前后门均带锁、内嵌式塑料扣手。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水槽：外径规格440×350×360mm，内径规格380×290×255mm，水槽采用环保型PP材料一次性注塑成型，耐强酸碱、耐有机溶剂、耐高温，具有防溢出功能。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含水槽1套。</w:t>
            </w:r>
          </w:p>
        </w:tc>
        <w:tc>
          <w:tcPr>
            <w:tcW w:w="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4A4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32C5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3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18F7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570AC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1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DAD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8F1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水嘴</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DD80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采用实验室专用三联水嘴，陶瓷阀芯90°旋转，铜质表面烤漆处理，增强耐酸碱防腐蚀以及防锈性能，特制鹅颈管可360度旋转。</w:t>
            </w:r>
          </w:p>
        </w:tc>
        <w:tc>
          <w:tcPr>
            <w:tcW w:w="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7C3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EAE0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3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95B6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2DB7F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66"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CB1B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456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学生凳</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EC2D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φ300×（450）500mm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A：凳面：1、凳面材质：采用环保型ABS改性塑料一次性注塑成型；2、凳面尺寸：面ф300mm×厚30mm；3、表面细纹咬花，防滑不发光。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B：凳钢架椭圆形，脚钢架；1、材质及形状：椭圆形无缝钢管；2、尺寸：17×34×1.5mm；3、全圆满焊接完成，结构牢固，经高温粉体烤漆处理，长时间使用也不会产生表面烤漆剥落现象。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C：脚垫：1、材质：采用PP加耐磨纤维质塑料，实心倒勾式一体射出成型。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D：圆凳有调节升降功能，高度可以在450mm-500mm范围内自由调整。</w:t>
            </w:r>
          </w:p>
        </w:tc>
        <w:tc>
          <w:tcPr>
            <w:tcW w:w="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28D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7C6C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23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4A0C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3F5D6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4" w:hRule="atLeast"/>
        </w:trPr>
        <w:tc>
          <w:tcPr>
            <w:tcW w:w="10309"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DBFC7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水电部分</w:t>
            </w:r>
          </w:p>
        </w:tc>
      </w:tr>
      <w:tr w14:paraId="26471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15E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596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布线系统</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7767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地面对接，由教师主控电源控制学生电源，安装调试（含辅料及耗材）。符合安全用电要求。</w:t>
            </w:r>
          </w:p>
        </w:tc>
        <w:tc>
          <w:tcPr>
            <w:tcW w:w="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4AC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88D3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3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8963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地下工程自建</w:t>
            </w:r>
          </w:p>
        </w:tc>
      </w:tr>
      <w:tr w14:paraId="75F7D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F849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0D03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给排水系统</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CD97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地面对接，安装调试（含辅料及耗材）。符合安全用水要求</w:t>
            </w:r>
          </w:p>
        </w:tc>
        <w:tc>
          <w:tcPr>
            <w:tcW w:w="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9F5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4EF4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3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4E6A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地下工程自建</w:t>
            </w:r>
          </w:p>
        </w:tc>
      </w:tr>
      <w:tr w14:paraId="3E4A1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1" w:hRule="atLeast"/>
        </w:trPr>
        <w:tc>
          <w:tcPr>
            <w:tcW w:w="10309"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94252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装修部分</w:t>
            </w:r>
          </w:p>
        </w:tc>
      </w:tr>
      <w:tr w14:paraId="7C48E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3CC4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92A5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布线系统（地下部分）</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857B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线2.5平方、4平方、6平方插排、PVC管、网线、空气开关、网络接口Rosenberger超五类模块；开槽暗敷，电线连接部分采用焊接方式防水胶布2层，绝缘胶布2层，加以保护，配电采用铝塑管护套,内穿BV塑铜线，多媒体产品安装、调试</w:t>
            </w:r>
          </w:p>
        </w:tc>
        <w:tc>
          <w:tcPr>
            <w:tcW w:w="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F87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72DE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3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4A7D14">
            <w:pPr>
              <w:jc w:val="center"/>
              <w:rPr>
                <w:rFonts w:hint="eastAsia" w:ascii="宋体" w:hAnsi="宋体" w:eastAsia="宋体" w:cs="宋体"/>
                <w:i w:val="0"/>
                <w:iCs w:val="0"/>
                <w:color w:val="000000"/>
                <w:sz w:val="18"/>
                <w:szCs w:val="18"/>
                <w:u w:val="none"/>
              </w:rPr>
            </w:pPr>
          </w:p>
        </w:tc>
      </w:tr>
      <w:tr w14:paraId="0E85F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DD7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24E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给排水系统（地下部分）</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D684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给水采用φ25㎜优质PPR(国标)管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排水采用φ50㎜优质PVC(国标)管，暗敷，安装调试（含辅料及耗材）。符合安全用水要求</w:t>
            </w:r>
          </w:p>
        </w:tc>
        <w:tc>
          <w:tcPr>
            <w:tcW w:w="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2DA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B2BE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3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8BB043">
            <w:pPr>
              <w:jc w:val="center"/>
              <w:rPr>
                <w:rFonts w:hint="eastAsia" w:ascii="宋体" w:hAnsi="宋体" w:eastAsia="宋体" w:cs="宋体"/>
                <w:i w:val="0"/>
                <w:iCs w:val="0"/>
                <w:color w:val="000000"/>
                <w:sz w:val="18"/>
                <w:szCs w:val="18"/>
                <w:u w:val="none"/>
              </w:rPr>
            </w:pPr>
          </w:p>
        </w:tc>
      </w:tr>
      <w:tr w14:paraId="71A84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4"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2A06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151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吊顶</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5C2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600*600矿棉板吊顶</w:t>
            </w:r>
          </w:p>
        </w:tc>
        <w:tc>
          <w:tcPr>
            <w:tcW w:w="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947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1E78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3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1AC34F">
            <w:pPr>
              <w:jc w:val="center"/>
              <w:rPr>
                <w:rFonts w:hint="eastAsia" w:ascii="宋体" w:hAnsi="宋体" w:eastAsia="宋体" w:cs="宋体"/>
                <w:i w:val="0"/>
                <w:iCs w:val="0"/>
                <w:color w:val="000000"/>
                <w:sz w:val="18"/>
                <w:szCs w:val="18"/>
                <w:u w:val="none"/>
              </w:rPr>
            </w:pPr>
          </w:p>
        </w:tc>
      </w:tr>
      <w:tr w14:paraId="2A4B3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4"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4EA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9DB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平板灯</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FF7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600*600平板灯、安装</w:t>
            </w:r>
          </w:p>
        </w:tc>
        <w:tc>
          <w:tcPr>
            <w:tcW w:w="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29C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盏</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813B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23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3B44EA">
            <w:pPr>
              <w:jc w:val="center"/>
              <w:rPr>
                <w:rFonts w:hint="eastAsia" w:ascii="宋体" w:hAnsi="宋体" w:eastAsia="宋体" w:cs="宋体"/>
                <w:i w:val="0"/>
                <w:iCs w:val="0"/>
                <w:color w:val="000000"/>
                <w:sz w:val="18"/>
                <w:szCs w:val="18"/>
                <w:u w:val="none"/>
              </w:rPr>
            </w:pPr>
          </w:p>
        </w:tc>
      </w:tr>
      <w:tr w14:paraId="0D4F4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2DC2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9B7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文化窗帘</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902C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文化窗帘</w:t>
            </w:r>
          </w:p>
        </w:tc>
        <w:tc>
          <w:tcPr>
            <w:tcW w:w="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3CD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B1B3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3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C774B5">
            <w:pPr>
              <w:jc w:val="center"/>
              <w:rPr>
                <w:rFonts w:hint="eastAsia" w:ascii="宋体" w:hAnsi="宋体" w:eastAsia="宋体" w:cs="宋体"/>
                <w:i w:val="0"/>
                <w:iCs w:val="0"/>
                <w:color w:val="000000"/>
                <w:sz w:val="18"/>
                <w:szCs w:val="18"/>
                <w:u w:val="none"/>
              </w:rPr>
            </w:pPr>
          </w:p>
        </w:tc>
      </w:tr>
    </w:tbl>
    <w:p w14:paraId="3CF2318D">
      <w:pPr>
        <w:rPr>
          <w:rFonts w:hint="eastAsia" w:ascii="宋体" w:hAnsi="宋体" w:eastAsia="宋体" w:cs="宋体"/>
          <w:sz w:val="18"/>
          <w:szCs w:val="18"/>
        </w:rPr>
      </w:pPr>
    </w:p>
    <w:tbl>
      <w:tblPr>
        <w:tblStyle w:val="2"/>
        <w:tblW w:w="10874" w:type="dxa"/>
        <w:tblInd w:w="-80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00"/>
        <w:gridCol w:w="765"/>
        <w:gridCol w:w="5955"/>
        <w:gridCol w:w="692"/>
        <w:gridCol w:w="709"/>
        <w:gridCol w:w="2153"/>
      </w:tblGrid>
      <w:tr w14:paraId="28E83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0874" w:type="dxa"/>
            <w:gridSpan w:val="6"/>
            <w:tcBorders>
              <w:top w:val="single" w:color="000000" w:sz="4" w:space="0"/>
              <w:left w:val="single" w:color="000000" w:sz="4" w:space="0"/>
              <w:bottom w:val="single" w:color="000000" w:sz="4" w:space="0"/>
              <w:right w:val="single" w:color="000000" w:sz="4" w:space="0"/>
            </w:tcBorders>
            <w:noWrap/>
            <w:vAlign w:val="center"/>
          </w:tcPr>
          <w:p w14:paraId="5977538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化学创新实验室 清单（56座/间）</w:t>
            </w:r>
          </w:p>
        </w:tc>
      </w:tr>
      <w:tr w14:paraId="585DE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29F62C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6A928E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货物名称</w:t>
            </w:r>
          </w:p>
        </w:tc>
        <w:tc>
          <w:tcPr>
            <w:tcW w:w="5955" w:type="dxa"/>
            <w:tcBorders>
              <w:top w:val="single" w:color="000000" w:sz="4" w:space="0"/>
              <w:left w:val="single" w:color="000000" w:sz="4" w:space="0"/>
              <w:bottom w:val="single" w:color="000000" w:sz="4" w:space="0"/>
              <w:right w:val="single" w:color="000000" w:sz="4" w:space="0"/>
            </w:tcBorders>
            <w:noWrap w:val="0"/>
            <w:vAlign w:val="center"/>
          </w:tcPr>
          <w:p w14:paraId="0B5D9B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技术参数</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55F66C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484BCF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2153" w:type="dxa"/>
            <w:tcBorders>
              <w:top w:val="single" w:color="000000" w:sz="4" w:space="0"/>
              <w:left w:val="single" w:color="000000" w:sz="4" w:space="0"/>
              <w:bottom w:val="single" w:color="000000" w:sz="4" w:space="0"/>
              <w:right w:val="single" w:color="000000" w:sz="4" w:space="0"/>
            </w:tcBorders>
            <w:noWrap w:val="0"/>
            <w:vAlign w:val="center"/>
          </w:tcPr>
          <w:p w14:paraId="57074348">
            <w:pPr>
              <w:keepNext w:val="0"/>
              <w:keepLines w:val="0"/>
              <w:widowControl/>
              <w:suppressLineNumbers w:val="0"/>
              <w:jc w:val="center"/>
              <w:textAlignment w:val="center"/>
              <w:rPr>
                <w:rFonts w:hint="eastAsia" w:ascii="宋体" w:hAnsi="宋体" w:eastAsia="宋体" w:cs="宋体"/>
                <w:i w:val="0"/>
                <w:iCs w:val="0"/>
                <w:color w:val="FF0000"/>
                <w:sz w:val="18"/>
                <w:szCs w:val="18"/>
                <w:u w:val="none"/>
              </w:rPr>
            </w:pPr>
          </w:p>
        </w:tc>
      </w:tr>
      <w:tr w14:paraId="5C869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0874"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AD6442">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教师演示控制</w:t>
            </w:r>
          </w:p>
        </w:tc>
      </w:tr>
      <w:tr w14:paraId="22C88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B19F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A25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教师演示台</w:t>
            </w:r>
          </w:p>
        </w:tc>
        <w:tc>
          <w:tcPr>
            <w:tcW w:w="5955" w:type="dxa"/>
            <w:tcBorders>
              <w:top w:val="nil"/>
              <w:left w:val="single" w:color="000000" w:sz="4" w:space="0"/>
              <w:bottom w:val="single" w:color="000000" w:sz="4" w:space="0"/>
              <w:right w:val="single" w:color="000000" w:sz="4" w:space="0"/>
            </w:tcBorders>
            <w:shd w:val="clear" w:color="auto" w:fill="auto"/>
            <w:noWrap w:val="0"/>
            <w:vAlign w:val="center"/>
          </w:tcPr>
          <w:p w14:paraId="0ED1F6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1、规格：2800×700×850mm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台面：采用≥12.7mm厚双面实芯理化板台面，台面边缘用同质材料板双层加厚至25.4mm，由专业生产厂家用CNC机械加工而成。▲投标人须提供省级及以上检测机构出具的检测报告（具备CMA或CNAS标志）复印件，各项性能满足或优于如下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2.1、化学性能检测：参照GB/T 17657-2022标准对台面板正反两面进行硫酸（98%）、氢氟酸（48%）、硝酸（65%）、四氯化碳、氢氧化钠（40%）、氨水(28%)、氯化镁(10%)、三氯化铁(10%)、乙酰丙酮、三氯乙酸、三氯乙烯、异丙醇、异辛烷等不少于139项化学试剂及有机溶液检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2.2、环保性能检测：环保性能检测：参照GB/T 39600-2021等标准，甲醛释放量满足E0级技术指标要求，释放量检测结果值≤0.006mg/m³;参照GB18584-2001等标准，满足4种重金属含量检测：可溶性铅≤0.4mg/kg，可溶性镉：未检出，可溶性铬≤0.7mg/kg，可溶性汞：未检出；参照QB/T 2761-2006等标准，检测甲醛、甲苯去除率,检测结果为甲醛去除率达60%，甲苯去除率达15%。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2.3、TVOC释放量检测：参照HJ571-2010《环境标志产品技术要求 人造板及其制品》标准，总挥发性有机化合物TVOC释放量为未检出。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2.4、物理性能检测：参照GB/T 17657-2022标准及其他检测方法检测，满足静曲强度≥145Mpa；弹性模量≥10450Mpa；抗拉强度≥68Mpa；拉伸强度≥69Mpa；含水率：≤1.3%；24h吸水率≤0.2%；密度≥1.42g/cm3；表面耐龟裂性能：5级：表面无裂纹；耐高温性能：表面无裂纹；表面耐干热性能：5级：无明显变化；表面耐湿热性能：5级：无明显变化；耐光色牢度＞4级；洛氏硬度≥126；耐臭氧（72h）：外观无明显变化；尺寸稳定性：纵向横向≤0.03%；漆膜附着力：六级：切割边缘完全平滑，网格内无脱落；漆膜硬度＞9H；表面耐划痕性能：4.5N作用下，试件表面无大于90%的连续划痕；耐沸水性能：质量增加百分率≤0.01%、厚度增加百分率≤0.06%；抗冲击性能（冲击高度1m）：≤5.2mm；表面耐磨性能≥1140r，未出现磨损等不少于21项物理性能检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2.5、阻燃性能检测：参照GB 8624-2012《建筑材料及制品燃烧性能分级》等标准，燃烧性等级达到B1级；水平燃烧符合HB级，垂直燃烧符合V-0级，烟气毒性等级符合t1级要求。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2.6、氙灯老化测试：参照GB/T 16422.2-2022等标准，进行560小时以上老化试验测试结果为样品无变色、发粘、裂纹等异常，等级为5级。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2.7、放射性检测：参照GB6566-2010标准，内、外照射检测值均≤0.1。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2.8、抗霉菌性能检测：参照JC/T 2039-2010等标准，黑曲霉、土曲霉、宛氏拟青霉、绳状青霉、出芽短梗霉、球毛壳霉、长枝木霉等7种霉菌检测，等级为0级；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2.9、抗细菌性能检测：参照JC/T 2039-2010等标准，大肠埃希氏菌、金黄色葡萄球菌、白色念珠菌、白色葡萄球菌、铜绿假单胞菌、肺炎克雷伯氏菌、鼠伤寒沙门氏菌、甲型溶血性链球群、枯草芽孢杆菌、表皮葡萄球菌、耐甲氧西林金黄色葡萄球菌、肠沙门氏菌肠亚种、粪肠球菌、宋氏志贺氏菌、变异库克菌等不少于14种菌种检测，抗菌率≥99.99%。</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3、结构：演示台设有储物柜，中间为演示台，设置电源系统、水嘴、水槽、洗眼器、多媒体设备（主机、显示器、中控、功放、交换机）的位置预留。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4、桌身：整体采用≥0.9mm厚优质冷轧钢板，全部钢制件纳米陶瓷镀膜防锈处理。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5、滑道：抽屉全部采用优质三节承重式滚珠滑道开合十万次不变形。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6、铰链：采用优质铰链，开合十万次不变形。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7、教师演示台技术要求满足：GB 24820-2009 实验室家具通用技术条件。▲投标人提供省级及以上检测机构出具的检测报告（具备CMA或CNAS标志）复印件，各项性能满足或优于如下要求：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7.1、耐腐蚀：24h乙酸盐雾试验（ASS）≥10级；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7.2、独立操作台水平冲击稳定性试验：质量≥50kg，跌落高度≥40mm，无损坏、无倾翻；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7.3、水平耐久性试验：力≥300N，循环次数≥20000次，无损坏；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7.4、垂直冲击试验：跌落高度≥300mm，≥10次，无损坏；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7.5、阻燃性：实验室家具台面材料氧指数≥35。</w:t>
            </w:r>
          </w:p>
        </w:tc>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CB5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729B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6B7A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2D75A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96"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6443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5565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主控电源</w:t>
            </w:r>
          </w:p>
        </w:tc>
        <w:tc>
          <w:tcPr>
            <w:tcW w:w="5955" w:type="dxa"/>
            <w:tcBorders>
              <w:top w:val="nil"/>
              <w:left w:val="single" w:color="000000" w:sz="4" w:space="0"/>
              <w:bottom w:val="single" w:color="000000" w:sz="4" w:space="0"/>
              <w:right w:val="single" w:color="000000" w:sz="4" w:space="0"/>
            </w:tcBorders>
            <w:shd w:val="clear" w:color="auto" w:fill="auto"/>
            <w:noWrap w:val="0"/>
            <w:vAlign w:val="center"/>
          </w:tcPr>
          <w:p w14:paraId="6EA5AD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1、教师端主控，主机采用铁制机箱，机械抽屉式。控制显示采用液晶真彩触摸屏和数据显示一体化。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2、具备1个220V交流电源输出插座和USB 低压5V输出、额定电流≤1A,同时带有输出指示灯。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3、系统具备漏电保护功能。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4、密码控制，本产品由教师输入正确的密码，方可启动实验电源的控制系统（教师可自定密码），对电源控制台进行操作防误操作方便教师合理安排实验。密码可根据需要自行设置，出厂时默认无密码状态。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5、教师主控可实现对学生低压交直流电压的设置和分组控制，学生的锁定，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6、通过教师控制界面可设置直流0-30V分辨率0.1V,交流1-30V分辨率1V，具备过载保护点智能侦测功能，电流高于过载保护功点则自动保护，电流低于过载保护点则自动恢复至设定值。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7、直流高压240、300V两档100mA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8、电源主控台与教师演示台一体化。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9、具备风机无极变频调速和启动控制功能。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10、主控电源技术要求满足：GB4793.1-2007《测量、控制和实验室用电气设备的安全要求 第1部分：通用要求》。提供省级及以上检测机构出具的检测报告（具备CMA或CNAS标志）复印件。</w:t>
            </w:r>
          </w:p>
        </w:tc>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018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E526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61F6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667FF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3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0C76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1BFF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洗眼器</w:t>
            </w:r>
          </w:p>
        </w:tc>
        <w:tc>
          <w:tcPr>
            <w:tcW w:w="59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4DD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材质：主体采用环保型PP材料一次性注塑成型。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工作压力：0.2-0.4MPa。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流量：洗眼器喷头：12升/分钟。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性能：阀门可自动关闭，密封可靠。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喷头：洗眼盆头，出水经缓压处理呈泡沫状水柱，防止冲伤眼睛，设有防尘盖，使用时可自动被水冲开。</w:t>
            </w:r>
          </w:p>
        </w:tc>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F68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205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4E09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52778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4"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6CD2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010F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教师椅</w:t>
            </w:r>
          </w:p>
        </w:tc>
        <w:tc>
          <w:tcPr>
            <w:tcW w:w="59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3F1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椅面、靠背选用优质网布面料，透气性强、无异味。背垫、座垫采用高密度发泡成型棉，回弹性好、不易变形，不老化，依人体坐姿特别设计，符合人体工学。艺术造型扶手，优质圆五星脚配活动脚轮，气压调节座位高度。</w:t>
            </w:r>
          </w:p>
        </w:tc>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B5D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473C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C323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1A004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3167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589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水槽</w:t>
            </w:r>
          </w:p>
        </w:tc>
        <w:tc>
          <w:tcPr>
            <w:tcW w:w="59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1DBC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外径：550×450×310mm，内径：480×380×290mm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采用环保型PP材料一次性注塑成型，耐强酸碱及有机溶剂，壁厚6mm。</w:t>
            </w:r>
          </w:p>
        </w:tc>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8A5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9A1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CB8B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3391B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5CC9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A0FA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水嘴</w:t>
            </w:r>
          </w:p>
        </w:tc>
        <w:tc>
          <w:tcPr>
            <w:tcW w:w="59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D862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采用实验室专用三联水嘴，陶瓷阀芯90°旋转，铜质表面烤漆处理，增强耐酸碱防腐蚀以及防锈性能，特制鹅颈管可360度旋转。</w:t>
            </w:r>
          </w:p>
        </w:tc>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F45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3DD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C261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29BD6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0874"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E883EF">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学生实验操作及学习区</w:t>
            </w:r>
          </w:p>
        </w:tc>
      </w:tr>
      <w:tr w14:paraId="5BC3F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3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48E1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CF3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学生实验桌</w:t>
            </w:r>
          </w:p>
        </w:tc>
        <w:tc>
          <w:tcPr>
            <w:tcW w:w="59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F56DC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1、规格：1200×600×780mm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2、台面采用12.7mm厚双面膜耐腐蚀实芯理化板制作，实验台前端两角倒R20圆角，安全美观，耐酸碱、耐冲击、韧性强等特点。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3、台面前挡板整体采用厚2.0mm挤出成型铝合金，尺寸：1068*30.8*98.5mm金属表面经高温塑粉烤漆处理。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4、左右两侧设有挡板，采用ABS工程塑料一体成型，尺寸：215*30.8*98.5mm；外观流线简洁美观，易碰撞处全部采用倒圆角处理。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5、桌架整体采用塑钢结构、“Z"型造型，▲投标人须提供省级及以上检测机构出具的检测报告（具备CMA或CNAS标志）复印件，各项性能满足或优于以下要求：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5.1、桌面支撑固定方管尺寸:30*30*厚1.5mm；左右侧边支管加强连接件金属尺寸：198*71*32*厚3mm；台面左右两侧桌架增设防腐、防撞保护，材质为ABS工程塑料，尺寸：573*49.3*43.8mm，整体外观造型简洁时尚，配PVC丝印造型识别面贴，凸显产品个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5.2、左右侧边支管立管及中间横杆椭圆管尺寸：80*40厚1.5mm；左右侧边支杆底管尺寸：60*30*厚1.8mm；桌脚外侧安装ABS工程塑料护套，外观流线简洁美观，易碰撞处全部采用倒圆角处理，整体设计美观、合理、安全、牢固、耐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5.3、前后脚采用调整脚垫直径56.5*h8.6mm，加装与地面固定，防止桌移动。金属表面经高温粉体烤漆处理。承重性能强、耐酸碱、耐腐蚀。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6、书包斗：采用环保型ABS工程塑料，壁厚4.6mm，镂空设计，有挂凳口，一次性注塑成型。▲投标人须提供省级及以上检测机构出具的检测报告（具备CMA或CNAS标志）复印件，各项性能满足或优于如下要求：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6.1、符合GB 28481-2012 塑料家具中有害物质限量要求；提供省级及以上检测机构出具的检测报告（具备CMA或CNAS标志）复印件。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6.2、邻苯二甲酸酯：DBP、BBP、DEHP、DNOP均≤0.001%；DINP、DIDP均≤0.005%；提供省级及以上检测机构出具的检测报告（具备CMA或CNAS标志）复印件。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6.3、重金属：可溶性镉、可溶性铬、可溶性铅均≤5mg/kg、可溶性汞≤2mg/kg；提供省级及以上检测机构出具的检测报告（具备CMA或CNAS标志）复印件。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6.4、多环芳烃：苯并[a]芘、16种多环芳烃（PAH）总量均未检出。提供省级及以上检测机构出具的检测报告（具备CMA或CNAS标志）复印件。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7、前脚加装定向移动静音滑轮，方便移动，静音滑轮采用ABS工程塑料与橡胶材质一体包覆，坚固耐用不易脱落；当移动桌子时可有效防止摩擦地面所产生的噪音。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8、学生实验桌技术要求满足：GB 24820-2009《实验室家具通用技术条件》。▲投标人须提供省级及以上检测机构出具的检测报告（具备CMA或CNAS标志）复印件，各项性能满足或优于如下要求：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8.1、操作台力学性能：水平静载荷试验、垂直静载荷试验、持续垂直静载荷试验、垂直冲击试验均无损坏。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8.2、操作台台面理化性能：耐磨≤41mg/100r。</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8.3、阻燃性：实验室家具台面材料氧指数≥35。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8.4、金属喷漆涂（塑）层：耐腐蚀≥10级。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8.5、甲醛释放量≤0.5mg/L。</w:t>
            </w:r>
          </w:p>
        </w:tc>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1C0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3559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21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DE35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p w14:paraId="54B316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33D5E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0D6B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29C5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柜体箱</w:t>
            </w:r>
          </w:p>
        </w:tc>
        <w:tc>
          <w:tcPr>
            <w:tcW w:w="59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933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1、宽380mm深225mm高730mm±5mm，壁厚3.0mm，采用环保型ABS工程塑料一次性注塑成型。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2、符合GB 28481-2012 塑料家具中有害物质限量要求。▲投标人须提供省级及以上检测机构出具的检测报告（具备CMA或CNAS标志）复印件，各项性能满足或优于如下要求：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2.1、邻苯二甲酸酯：DBP、BBP、DEHP、DNOP均≤0.001%；DINP、DIDP均≤0.005%；提供省级及以上检测机构出具的检测报告（具备CMA或CNAS标志）复印件。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2.2、重金属：可溶性镉、可溶性铬、可溶性铅均≤5mg/kg、可溶性汞≤2mg/kg；提供省级及以上检测机构出具的检测报告（具备CMA或CNAS标志）复印件。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2.3、多环芳烃：苯并[a]芘≤0.05mg/kg；16种多环芳烃（PAH）总量未检出。提供省级及以上检测机构出具的检测报告（具备CMA或CNAS标志）复印件。</w:t>
            </w:r>
          </w:p>
        </w:tc>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ED5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D6DD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21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33C0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0CA4F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3"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DAD4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9E6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学生电源</w:t>
            </w:r>
          </w:p>
        </w:tc>
        <w:tc>
          <w:tcPr>
            <w:tcW w:w="59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D40C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学生电源：桌斗中间位置固定学生电源盒：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1、每个学生电源应自带一个独立变压器，既能独立操作，也能被教师控制。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2、通过教师数字化键盘控制学生电源低压交流电压值和直流电压值，分别显示交直流电压值。学生操控时伴有按键提示音。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3、学生电源的低压交流电压分两档，即1V-18V/2A、18V-30V/1A，分辨率1V，具备自动智能侦测过载保护功能，电流高于过载保护点则自动保护、电流低于过载保护点则自动恢复至设定值。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4、学生电源的低压直流电压分两档，即1.5V-16V/2A、16V-30V/1A，分辨率为0.1V。具备自动智能侦测过载保护功能，电流高于过载保护点则自动保护、电流低于过载保护点则自动恢复至设定值。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5、学生电源被教师控制及锁定后不能自主操作。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6、具备1个220V交流电源输出插座。可通过教师单独控制其电源的输出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7、过载保护采用数码闪烁提示功能。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8、学生电源技术要求满足：GB4793.1-2007《测量、控制和实验室用电气设备的安全要求 第1部分：通用要求》。▲投标人须提供省级及以上检测机构出具的检测报告（具备CMA或CNAS标志）复印件。</w:t>
            </w:r>
          </w:p>
        </w:tc>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E2E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B01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21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8F40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0655F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BBF3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823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学生凳</w:t>
            </w:r>
          </w:p>
        </w:tc>
        <w:tc>
          <w:tcPr>
            <w:tcW w:w="59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A61B0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1、规格：φ300×（450）500mm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2、凳面：ф300mm×厚30mm，采用环保型ABS改性塑料一次性注塑成型，表面细纹咬花，防滑不发光。▲投标人须提供省级及以上检测机构出具的检测报告（具备CMA或CNAS标志）复印件，各项性能满足或优于如下要求：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2.1、符合GB 28481-2012 塑料家具中有害物质限量要求；提供省级及以上检测机构出具的检测报告（具备CMA或CNAS标志）复印件。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2.2、邻苯二甲酸酯：DBP、BBP、DEHP、DNOP均≤0.001%；DINP、DIDP均≤0.005%；提供省级及以上检测机构出具的检测报告（具备CMA或CNAS标志）复印件。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2.3、重金属：可溶性镉、可溶性铬、可溶性铅均≤5mg/kg、可溶性汞≤2mg/kg；提供省级及以上检测机构出具的检测报告（具备CMA或CNAS标志）复印件。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2.4、多环芳烃：苯并[a]芘、16种多环芳烃（PAH）总量均未检出；提供省级及以上检测机构出具的检测报告（具备CMA或CNAS标志）复印件。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3、钢架：17×34×1.5mm，椭圆形无缝钢管，全圆满焊接完成，结构牢固，经高温粉体烤漆处理，长时间使用也不会产生表面烤漆剥落现象。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4、脚垫：采用PP加耐磨纤维质塑料，实心倒勾式一体射出成型。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5、升降：高度可在450mm-500mm范围内自由调整。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6、学生凳技术要求满足：GB/T 3325-2017《金属家具通用技术条件》。▲投标人提供省级及以上检测机构出具的检测报告（具备CMA或CNAS标志）复印件，各项性能满足或优于如下要求：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6.1、金属件：管材应无裂缝、叠缝，外露管口端面应封闭。喷涂层应无漏喷、锈蚀和脱色、掉色现象；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6.2、金属喷漆（塑）涂层：冲击高度≥400mm无剥落、裂纹、皱纹；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6.3、安全性能要求：人体接触或收藏物品的部位应无毛刺、刃口、棱角；固定部位的结合应牢固无松动、无少件、透钉、漏钉。</w:t>
            </w:r>
          </w:p>
        </w:tc>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899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9E64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21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6182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1F0CC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6"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29A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3BD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水槽柜</w:t>
            </w:r>
          </w:p>
        </w:tc>
        <w:tc>
          <w:tcPr>
            <w:tcW w:w="59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DD62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1、规格：500×600×820mm±5mm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2、材质：整体采用环保型ABS工程塑料一次性注塑成型，表面木纹与光面项结合处理。▲投标人须提供省级及以上检测机构出具的检测报告（具备CMA或CNAS标志）复印件，各项性能满足或优于如下要求：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2.1、符合GB 28481-2012 塑料家具中有害物质限量要求。提供省级及以上检测机构出具的检测报告（具备CMA或CNAS标志）复印件。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2.2、邻苯二甲酸酯：DBP、BBP、DEHP、DNOP均≤0.001%；DINP、DIDP均≤0.005%；提供省级及以上检测机构出具的检测报告（具备CMA或CNAS标志）复印件。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2.3、重金属：可溶性镉、可溶性铬、可溶性铅均≤5mg/kg、可溶性汞≤2mg/kg；提供省级及以上检测机构出具的检测报告（具备CMA或CNAS标志）复印件。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2.4、多环芳烃：苯并[a]芘、16种多环芳烃（PAH）总量均未检出。提供省级及以上检测机构出具的检测报告（具备CMA或CNAS标志）复印件。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3、结构：榫卯连接结构并合理布局加强筋，安装时不用胶水粘结，不用任何金属螺丝，使用产品自身力量相互连接，产品不变形，不扭曲。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4、门板：合页采用尼龙塑料铰链，高强度耐磨，防水、永不生锈。门板与侧板并安装有防盗插销，防止从外部撬开柜门。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5、锁具：前后门均带锁、内嵌式塑料扣手。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6、水槽：内径规格：400×370×270±5mm，水槽采用环保型PP材料一次性注塑成型，壁厚6mm，具有防溢出功能。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7、水槽柜技术要求满足：GB 24820-2009《实验室家具通用技术条件》、参照 GB 18584-2001《室内装饰装修材料木家具中有害物质限量》。▲投标人提供省级及以上检测机构出具的检测报告（具备CMA或CNAS标志）复印件，各项性能满足或优于如下要求：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7.1、安全性要求：与人体接触的零部件无毛刺、刃口、尖锐的棱角和端头；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7.2、储物柜力学性能：拉门强度试验≥30kg，≥10次，无变形损坏；主体结构和底架的强度试验，力≥300N，≥10次，无变形损坏；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7.3、甲醛释放量≤0.05mg/L。</w:t>
            </w:r>
          </w:p>
        </w:tc>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1DA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C1AA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1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3B27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722752" behindDoc="0" locked="0" layoutInCell="1" allowOverlap="1">
                  <wp:simplePos x="0" y="0"/>
                  <wp:positionH relativeFrom="column">
                    <wp:posOffset>1609725</wp:posOffset>
                  </wp:positionH>
                  <wp:positionV relativeFrom="paragraph">
                    <wp:posOffset>381000</wp:posOffset>
                  </wp:positionV>
                  <wp:extent cx="405765" cy="0"/>
                  <wp:effectExtent l="0" t="0" r="0" b="0"/>
                  <wp:wrapNone/>
                  <wp:docPr id="24" name="图片_3"/>
                  <wp:cNvGraphicFramePr/>
                  <a:graphic xmlns:a="http://schemas.openxmlformats.org/drawingml/2006/main">
                    <a:graphicData uri="http://schemas.openxmlformats.org/drawingml/2006/picture">
                      <pic:pic xmlns:pic="http://schemas.openxmlformats.org/drawingml/2006/picture">
                        <pic:nvPicPr>
                          <pic:cNvPr id="24" name="图片_3"/>
                          <pic:cNvPicPr/>
                        </pic:nvPicPr>
                        <pic:blipFill>
                          <a:blip r:embed="rId10"/>
                          <a:stretch>
                            <a:fillRect/>
                          </a:stretch>
                        </pic:blipFill>
                        <pic:spPr>
                          <a:xfrm>
                            <a:off x="0" y="0"/>
                            <a:ext cx="405765" cy="0"/>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723776" behindDoc="0" locked="0" layoutInCell="1" allowOverlap="1">
                  <wp:simplePos x="0" y="0"/>
                  <wp:positionH relativeFrom="column">
                    <wp:posOffset>1609725</wp:posOffset>
                  </wp:positionH>
                  <wp:positionV relativeFrom="paragraph">
                    <wp:posOffset>381000</wp:posOffset>
                  </wp:positionV>
                  <wp:extent cx="405765" cy="0"/>
                  <wp:effectExtent l="0" t="0" r="0" b="0"/>
                  <wp:wrapNone/>
                  <wp:docPr id="19" name="图片_7"/>
                  <wp:cNvGraphicFramePr/>
                  <a:graphic xmlns:a="http://schemas.openxmlformats.org/drawingml/2006/main">
                    <a:graphicData uri="http://schemas.openxmlformats.org/drawingml/2006/picture">
                      <pic:pic xmlns:pic="http://schemas.openxmlformats.org/drawingml/2006/picture">
                        <pic:nvPicPr>
                          <pic:cNvPr id="19" name="图片_7"/>
                          <pic:cNvPicPr/>
                        </pic:nvPicPr>
                        <pic:blipFill>
                          <a:blip r:embed="rId11"/>
                          <a:stretch>
                            <a:fillRect/>
                          </a:stretch>
                        </pic:blipFill>
                        <pic:spPr>
                          <a:xfrm>
                            <a:off x="0" y="0"/>
                            <a:ext cx="405765" cy="0"/>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724800" behindDoc="0" locked="0" layoutInCell="1" allowOverlap="1">
                  <wp:simplePos x="0" y="0"/>
                  <wp:positionH relativeFrom="column">
                    <wp:posOffset>1609725</wp:posOffset>
                  </wp:positionH>
                  <wp:positionV relativeFrom="paragraph">
                    <wp:posOffset>381000</wp:posOffset>
                  </wp:positionV>
                  <wp:extent cx="405765" cy="0"/>
                  <wp:effectExtent l="0" t="0" r="0" b="0"/>
                  <wp:wrapNone/>
                  <wp:docPr id="22" name="图片_14"/>
                  <wp:cNvGraphicFramePr/>
                  <a:graphic xmlns:a="http://schemas.openxmlformats.org/drawingml/2006/main">
                    <a:graphicData uri="http://schemas.openxmlformats.org/drawingml/2006/picture">
                      <pic:pic xmlns:pic="http://schemas.openxmlformats.org/drawingml/2006/picture">
                        <pic:nvPicPr>
                          <pic:cNvPr id="22" name="图片_14"/>
                          <pic:cNvPicPr/>
                        </pic:nvPicPr>
                        <pic:blipFill>
                          <a:blip r:embed="rId12"/>
                          <a:stretch>
                            <a:fillRect/>
                          </a:stretch>
                        </pic:blipFill>
                        <pic:spPr>
                          <a:xfrm>
                            <a:off x="0" y="0"/>
                            <a:ext cx="405765" cy="0"/>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725824" behindDoc="0" locked="0" layoutInCell="1" allowOverlap="1">
                  <wp:simplePos x="0" y="0"/>
                  <wp:positionH relativeFrom="column">
                    <wp:posOffset>1609725</wp:posOffset>
                  </wp:positionH>
                  <wp:positionV relativeFrom="paragraph">
                    <wp:posOffset>381000</wp:posOffset>
                  </wp:positionV>
                  <wp:extent cx="405765" cy="0"/>
                  <wp:effectExtent l="0" t="0" r="0" b="0"/>
                  <wp:wrapNone/>
                  <wp:docPr id="20" name="图片_13"/>
                  <wp:cNvGraphicFramePr/>
                  <a:graphic xmlns:a="http://schemas.openxmlformats.org/drawingml/2006/main">
                    <a:graphicData uri="http://schemas.openxmlformats.org/drawingml/2006/picture">
                      <pic:pic xmlns:pic="http://schemas.openxmlformats.org/drawingml/2006/picture">
                        <pic:nvPicPr>
                          <pic:cNvPr id="20" name="图片_13"/>
                          <pic:cNvPicPr/>
                        </pic:nvPicPr>
                        <pic:blipFill>
                          <a:blip r:embed="rId12"/>
                          <a:stretch>
                            <a:fillRect/>
                          </a:stretch>
                        </pic:blipFill>
                        <pic:spPr>
                          <a:xfrm>
                            <a:off x="0" y="0"/>
                            <a:ext cx="405765" cy="0"/>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726848" behindDoc="0" locked="0" layoutInCell="1" allowOverlap="1">
                  <wp:simplePos x="0" y="0"/>
                  <wp:positionH relativeFrom="column">
                    <wp:posOffset>1609725</wp:posOffset>
                  </wp:positionH>
                  <wp:positionV relativeFrom="paragraph">
                    <wp:posOffset>381000</wp:posOffset>
                  </wp:positionV>
                  <wp:extent cx="405765" cy="0"/>
                  <wp:effectExtent l="0" t="0" r="0" b="0"/>
                  <wp:wrapNone/>
                  <wp:docPr id="38" name="图片_12"/>
                  <wp:cNvGraphicFramePr/>
                  <a:graphic xmlns:a="http://schemas.openxmlformats.org/drawingml/2006/main">
                    <a:graphicData uri="http://schemas.openxmlformats.org/drawingml/2006/picture">
                      <pic:pic xmlns:pic="http://schemas.openxmlformats.org/drawingml/2006/picture">
                        <pic:nvPicPr>
                          <pic:cNvPr id="38" name="图片_12"/>
                          <pic:cNvPicPr/>
                        </pic:nvPicPr>
                        <pic:blipFill>
                          <a:blip r:embed="rId13"/>
                          <a:stretch>
                            <a:fillRect/>
                          </a:stretch>
                        </pic:blipFill>
                        <pic:spPr>
                          <a:xfrm>
                            <a:off x="0" y="0"/>
                            <a:ext cx="405765" cy="0"/>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727872" behindDoc="0" locked="0" layoutInCell="1" allowOverlap="1">
                  <wp:simplePos x="0" y="0"/>
                  <wp:positionH relativeFrom="column">
                    <wp:posOffset>1609725</wp:posOffset>
                  </wp:positionH>
                  <wp:positionV relativeFrom="paragraph">
                    <wp:posOffset>381000</wp:posOffset>
                  </wp:positionV>
                  <wp:extent cx="405765" cy="0"/>
                  <wp:effectExtent l="0" t="0" r="0" b="0"/>
                  <wp:wrapNone/>
                  <wp:docPr id="52" name="图片_15"/>
                  <wp:cNvGraphicFramePr/>
                  <a:graphic xmlns:a="http://schemas.openxmlformats.org/drawingml/2006/main">
                    <a:graphicData uri="http://schemas.openxmlformats.org/drawingml/2006/picture">
                      <pic:pic xmlns:pic="http://schemas.openxmlformats.org/drawingml/2006/picture">
                        <pic:nvPicPr>
                          <pic:cNvPr id="52" name="图片_15"/>
                          <pic:cNvPicPr/>
                        </pic:nvPicPr>
                        <pic:blipFill>
                          <a:blip r:embed="rId12"/>
                          <a:stretch>
                            <a:fillRect/>
                          </a:stretch>
                        </pic:blipFill>
                        <pic:spPr>
                          <a:xfrm>
                            <a:off x="0" y="0"/>
                            <a:ext cx="405765" cy="0"/>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728896" behindDoc="0" locked="0" layoutInCell="1" allowOverlap="1">
                  <wp:simplePos x="0" y="0"/>
                  <wp:positionH relativeFrom="column">
                    <wp:posOffset>1609725</wp:posOffset>
                  </wp:positionH>
                  <wp:positionV relativeFrom="paragraph">
                    <wp:posOffset>381000</wp:posOffset>
                  </wp:positionV>
                  <wp:extent cx="405765" cy="0"/>
                  <wp:effectExtent l="0" t="0" r="0" b="0"/>
                  <wp:wrapNone/>
                  <wp:docPr id="45" name="图片_10"/>
                  <wp:cNvGraphicFramePr/>
                  <a:graphic xmlns:a="http://schemas.openxmlformats.org/drawingml/2006/main">
                    <a:graphicData uri="http://schemas.openxmlformats.org/drawingml/2006/picture">
                      <pic:pic xmlns:pic="http://schemas.openxmlformats.org/drawingml/2006/picture">
                        <pic:nvPicPr>
                          <pic:cNvPr id="45" name="图片_10"/>
                          <pic:cNvPicPr/>
                        </pic:nvPicPr>
                        <pic:blipFill>
                          <a:blip r:embed="rId14"/>
                          <a:stretch>
                            <a:fillRect/>
                          </a:stretch>
                        </pic:blipFill>
                        <pic:spPr>
                          <a:xfrm>
                            <a:off x="0" y="0"/>
                            <a:ext cx="405765" cy="0"/>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729920" behindDoc="0" locked="0" layoutInCell="1" allowOverlap="1">
                  <wp:simplePos x="0" y="0"/>
                  <wp:positionH relativeFrom="column">
                    <wp:posOffset>1609725</wp:posOffset>
                  </wp:positionH>
                  <wp:positionV relativeFrom="paragraph">
                    <wp:posOffset>381000</wp:posOffset>
                  </wp:positionV>
                  <wp:extent cx="405765" cy="0"/>
                  <wp:effectExtent l="0" t="0" r="0" b="0"/>
                  <wp:wrapNone/>
                  <wp:docPr id="47" name="图片_8"/>
                  <wp:cNvGraphicFramePr/>
                  <a:graphic xmlns:a="http://schemas.openxmlformats.org/drawingml/2006/main">
                    <a:graphicData uri="http://schemas.openxmlformats.org/drawingml/2006/picture">
                      <pic:pic xmlns:pic="http://schemas.openxmlformats.org/drawingml/2006/picture">
                        <pic:nvPicPr>
                          <pic:cNvPr id="47" name="图片_8"/>
                          <pic:cNvPicPr/>
                        </pic:nvPicPr>
                        <pic:blipFill>
                          <a:blip r:embed="rId15"/>
                          <a:stretch>
                            <a:fillRect/>
                          </a:stretch>
                        </pic:blipFill>
                        <pic:spPr>
                          <a:xfrm>
                            <a:off x="0" y="0"/>
                            <a:ext cx="405765" cy="0"/>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730944" behindDoc="0" locked="0" layoutInCell="1" allowOverlap="1">
                  <wp:simplePos x="0" y="0"/>
                  <wp:positionH relativeFrom="column">
                    <wp:posOffset>1609725</wp:posOffset>
                  </wp:positionH>
                  <wp:positionV relativeFrom="paragraph">
                    <wp:posOffset>381000</wp:posOffset>
                  </wp:positionV>
                  <wp:extent cx="405765" cy="0"/>
                  <wp:effectExtent l="0" t="0" r="0" b="0"/>
                  <wp:wrapNone/>
                  <wp:docPr id="53" name="图片_6"/>
                  <wp:cNvGraphicFramePr/>
                  <a:graphic xmlns:a="http://schemas.openxmlformats.org/drawingml/2006/main">
                    <a:graphicData uri="http://schemas.openxmlformats.org/drawingml/2006/picture">
                      <pic:pic xmlns:pic="http://schemas.openxmlformats.org/drawingml/2006/picture">
                        <pic:nvPicPr>
                          <pic:cNvPr id="53" name="图片_6"/>
                          <pic:cNvPicPr/>
                        </pic:nvPicPr>
                        <pic:blipFill>
                          <a:blip r:embed="rId16"/>
                          <a:stretch>
                            <a:fillRect/>
                          </a:stretch>
                        </pic:blipFill>
                        <pic:spPr>
                          <a:xfrm>
                            <a:off x="0" y="0"/>
                            <a:ext cx="405765" cy="0"/>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731968" behindDoc="0" locked="0" layoutInCell="1" allowOverlap="1">
                  <wp:simplePos x="0" y="0"/>
                  <wp:positionH relativeFrom="column">
                    <wp:posOffset>1609725</wp:posOffset>
                  </wp:positionH>
                  <wp:positionV relativeFrom="paragraph">
                    <wp:posOffset>381000</wp:posOffset>
                  </wp:positionV>
                  <wp:extent cx="405765" cy="0"/>
                  <wp:effectExtent l="0" t="0" r="0" b="0"/>
                  <wp:wrapNone/>
                  <wp:docPr id="34" name="图片_4"/>
                  <wp:cNvGraphicFramePr/>
                  <a:graphic xmlns:a="http://schemas.openxmlformats.org/drawingml/2006/main">
                    <a:graphicData uri="http://schemas.openxmlformats.org/drawingml/2006/picture">
                      <pic:pic xmlns:pic="http://schemas.openxmlformats.org/drawingml/2006/picture">
                        <pic:nvPicPr>
                          <pic:cNvPr id="34" name="图片_4"/>
                          <pic:cNvPicPr/>
                        </pic:nvPicPr>
                        <pic:blipFill>
                          <a:blip r:embed="rId17"/>
                          <a:stretch>
                            <a:fillRect/>
                          </a:stretch>
                        </pic:blipFill>
                        <pic:spPr>
                          <a:xfrm>
                            <a:off x="0" y="0"/>
                            <a:ext cx="405765" cy="0"/>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732992" behindDoc="0" locked="0" layoutInCell="1" allowOverlap="1">
                  <wp:simplePos x="0" y="0"/>
                  <wp:positionH relativeFrom="column">
                    <wp:posOffset>1609725</wp:posOffset>
                  </wp:positionH>
                  <wp:positionV relativeFrom="paragraph">
                    <wp:posOffset>381000</wp:posOffset>
                  </wp:positionV>
                  <wp:extent cx="405765" cy="0"/>
                  <wp:effectExtent l="0" t="0" r="0" b="0"/>
                  <wp:wrapNone/>
                  <wp:docPr id="54" name="图片_11"/>
                  <wp:cNvGraphicFramePr/>
                  <a:graphic xmlns:a="http://schemas.openxmlformats.org/drawingml/2006/main">
                    <a:graphicData uri="http://schemas.openxmlformats.org/drawingml/2006/picture">
                      <pic:pic xmlns:pic="http://schemas.openxmlformats.org/drawingml/2006/picture">
                        <pic:nvPicPr>
                          <pic:cNvPr id="54" name="图片_11"/>
                          <pic:cNvPicPr/>
                        </pic:nvPicPr>
                        <pic:blipFill>
                          <a:blip r:embed="rId18"/>
                          <a:stretch>
                            <a:fillRect/>
                          </a:stretch>
                        </pic:blipFill>
                        <pic:spPr>
                          <a:xfrm>
                            <a:off x="0" y="0"/>
                            <a:ext cx="405765" cy="0"/>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734016" behindDoc="0" locked="0" layoutInCell="1" allowOverlap="1">
                  <wp:simplePos x="0" y="0"/>
                  <wp:positionH relativeFrom="column">
                    <wp:posOffset>1609725</wp:posOffset>
                  </wp:positionH>
                  <wp:positionV relativeFrom="paragraph">
                    <wp:posOffset>381000</wp:posOffset>
                  </wp:positionV>
                  <wp:extent cx="405765" cy="0"/>
                  <wp:effectExtent l="0" t="0" r="0" b="0"/>
                  <wp:wrapNone/>
                  <wp:docPr id="49" name="图片_5"/>
                  <wp:cNvGraphicFramePr/>
                  <a:graphic xmlns:a="http://schemas.openxmlformats.org/drawingml/2006/main">
                    <a:graphicData uri="http://schemas.openxmlformats.org/drawingml/2006/picture">
                      <pic:pic xmlns:pic="http://schemas.openxmlformats.org/drawingml/2006/picture">
                        <pic:nvPicPr>
                          <pic:cNvPr id="49" name="图片_5"/>
                          <pic:cNvPicPr/>
                        </pic:nvPicPr>
                        <pic:blipFill>
                          <a:blip r:embed="rId19"/>
                          <a:stretch>
                            <a:fillRect/>
                          </a:stretch>
                        </pic:blipFill>
                        <pic:spPr>
                          <a:xfrm>
                            <a:off x="0" y="0"/>
                            <a:ext cx="405765" cy="0"/>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shd w:val="clear" w:color="auto" w:fill="FFFFFF"/>
                <w:lang w:val="en-US" w:eastAsia="zh-CN" w:bidi="ar"/>
              </w:rPr>
              <w:drawing>
                <wp:anchor distT="0" distB="0" distL="114300" distR="114300" simplePos="0" relativeHeight="251735040" behindDoc="0" locked="0" layoutInCell="1" allowOverlap="1">
                  <wp:simplePos x="0" y="0"/>
                  <wp:positionH relativeFrom="column">
                    <wp:posOffset>1609725</wp:posOffset>
                  </wp:positionH>
                  <wp:positionV relativeFrom="paragraph">
                    <wp:posOffset>381000</wp:posOffset>
                  </wp:positionV>
                  <wp:extent cx="405765" cy="0"/>
                  <wp:effectExtent l="0" t="0" r="0" b="0"/>
                  <wp:wrapNone/>
                  <wp:docPr id="46" name="图片_9"/>
                  <wp:cNvGraphicFramePr/>
                  <a:graphic xmlns:a="http://schemas.openxmlformats.org/drawingml/2006/main">
                    <a:graphicData uri="http://schemas.openxmlformats.org/drawingml/2006/picture">
                      <pic:pic xmlns:pic="http://schemas.openxmlformats.org/drawingml/2006/picture">
                        <pic:nvPicPr>
                          <pic:cNvPr id="46" name="图片_9"/>
                          <pic:cNvPicPr/>
                        </pic:nvPicPr>
                        <pic:blipFill>
                          <a:blip r:embed="rId20"/>
                          <a:stretch>
                            <a:fillRect/>
                          </a:stretch>
                        </pic:blipFill>
                        <pic:spPr>
                          <a:xfrm>
                            <a:off x="0" y="0"/>
                            <a:ext cx="405765" cy="0"/>
                          </a:xfrm>
                          <a:prstGeom prst="rect">
                            <a:avLst/>
                          </a:prstGeom>
                          <a:noFill/>
                          <a:ln>
                            <a:noFill/>
                          </a:ln>
                        </pic:spPr>
                      </pic:pic>
                    </a:graphicData>
                  </a:graphic>
                </wp:anchor>
              </w:drawing>
            </w:r>
          </w:p>
        </w:tc>
      </w:tr>
      <w:tr w14:paraId="1298D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6D3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56D5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水嘴</w:t>
            </w:r>
          </w:p>
        </w:tc>
        <w:tc>
          <w:tcPr>
            <w:tcW w:w="59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4548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采用实验室专用三联水嘴，陶瓷阀芯90°旋转，铜质表面烤漆处理，增强耐酸碱防腐蚀以及防锈性能，特制鹅颈管可360度旋转。</w:t>
            </w:r>
          </w:p>
        </w:tc>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886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ACC3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1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8FEB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1687B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0874"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B7B3C3">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通风系统</w:t>
            </w:r>
          </w:p>
        </w:tc>
      </w:tr>
      <w:tr w14:paraId="54C5B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3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C76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1628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风机</w:t>
            </w:r>
          </w:p>
        </w:tc>
        <w:tc>
          <w:tcPr>
            <w:tcW w:w="59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F33B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号离心式风机，变频调速电机，功率为5.5KW。风量达到6840-12700m3/H，全压1137-785Pa，风量风速控制高速范围大，在风机达到最大功率60%情况以下可实现每小时换气次数20次以上，带补气口装置。排毒效果大于97%，毒气排放时达到环保要求。低于国家GB/6297-1996标准中新污染源大气污染的排放标准。室内噪音小于55dB。与风机配置的通风管道采用化工专用工程塑料优质UPVC制作。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风机组成含：1、减震器1套；2、风机雨帽1套；3、电机雨帽1套。</w:t>
            </w:r>
          </w:p>
        </w:tc>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34D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7F90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ECE8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4A6C9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47A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F4E8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变频器</w:t>
            </w:r>
          </w:p>
        </w:tc>
        <w:tc>
          <w:tcPr>
            <w:tcW w:w="59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4189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采用电流无感矢量控制，型号：VCD1000E4T0055B（380V/5.5KW），额定电压：AC3PH380V+15%，频率：50-60HZ。</w:t>
            </w:r>
          </w:p>
        </w:tc>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111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24A5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AADE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7F0DC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FA57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B20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室外消音器</w:t>
            </w:r>
          </w:p>
        </w:tc>
        <w:tc>
          <w:tcPr>
            <w:tcW w:w="59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9EB6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规格：</w:t>
            </w:r>
            <w:r>
              <w:rPr>
                <w:rStyle w:val="4"/>
                <w:rFonts w:hint="eastAsia" w:ascii="宋体" w:hAnsi="宋体" w:eastAsia="宋体" w:cs="宋体"/>
                <w:sz w:val="18"/>
                <w:szCs w:val="18"/>
                <w:lang w:val="en-US" w:eastAsia="zh-CN" w:bidi="ar"/>
              </w:rPr>
              <w:t>ф600×780</w:t>
            </w:r>
            <w:r>
              <w:rPr>
                <w:rStyle w:val="4"/>
                <w:rFonts w:hint="eastAsia" w:ascii="宋体" w:hAnsi="宋体" w:eastAsia="宋体" w:cs="宋体"/>
                <w:sz w:val="18"/>
                <w:szCs w:val="18"/>
                <w:lang w:val="en-US" w:eastAsia="zh-CN" w:bidi="ar"/>
              </w:rPr>
              <w:br w:type="textWrapping"/>
            </w:r>
            <w:r>
              <w:rPr>
                <w:rStyle w:val="4"/>
                <w:rFonts w:hint="eastAsia" w:ascii="宋体" w:hAnsi="宋体" w:eastAsia="宋体" w:cs="宋体"/>
                <w:sz w:val="18"/>
                <w:szCs w:val="18"/>
                <w:lang w:val="en-US" w:eastAsia="zh-CN" w:bidi="ar"/>
              </w:rPr>
              <w:t>材质：玻璃钢材质，能有效控制噪声噪音，控制噪声噪音达到国家近期规定的排放标准。</w:t>
            </w:r>
          </w:p>
        </w:tc>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5F1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200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1161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271F5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82"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6B3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2B3A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万向抽气罩（ф75）</w:t>
            </w:r>
          </w:p>
        </w:tc>
        <w:tc>
          <w:tcPr>
            <w:tcW w:w="59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067D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1、关节：高密度PP材质，可360度旋转调节方向，易拆卸、重组及清洗。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2、关节密封圈：不易老化高密度橡胶。支撑弹簧/关节连接杆：304不锈钢。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3、关节松紧旋钮：全铜材质，内嵌不锈钢轴承，于关节连接杆锁合。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4、气流调节阀：手动调节外部阀门旋钮，控制进入之气流量。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5、拱形/杯形集气罩：高密度PP制成。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6、伸缩导管：直径75mm铝合金。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7、独有360旋转装置：以固定架为中心最大活动半径可达1600mm。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8、固定架：非粘接而成，模具注塑一体成型，牢度强，不脱底。</w:t>
            </w:r>
          </w:p>
        </w:tc>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D77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3FF0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21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D0E7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0DF38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2E0C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9DA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风机控制线</w:t>
            </w:r>
          </w:p>
        </w:tc>
        <w:tc>
          <w:tcPr>
            <w:tcW w:w="59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493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5×4平方国标橡套线缆</w:t>
            </w:r>
          </w:p>
        </w:tc>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4A5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508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DDBC8E">
            <w:pPr>
              <w:jc w:val="center"/>
              <w:rPr>
                <w:rFonts w:hint="eastAsia" w:ascii="宋体" w:hAnsi="宋体" w:eastAsia="宋体" w:cs="宋体"/>
                <w:i w:val="0"/>
                <w:iCs w:val="0"/>
                <w:color w:val="000000"/>
                <w:sz w:val="18"/>
                <w:szCs w:val="18"/>
                <w:u w:val="none"/>
              </w:rPr>
            </w:pPr>
          </w:p>
        </w:tc>
      </w:tr>
      <w:tr w14:paraId="3DB3F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4"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8BD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DFF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室内通风管道</w:t>
            </w:r>
          </w:p>
        </w:tc>
        <w:tc>
          <w:tcPr>
            <w:tcW w:w="59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39D1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通风管：主管采用φ200mmPVC管，支管采用φ160mmPVC管及联通件，接口采用专用胶固定后专用焊条焊接而成。与室外大主管道通风管相连结，管道为自然弯合理布局，尽量减少风的阻力。</w:t>
            </w:r>
          </w:p>
        </w:tc>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FF3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04C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FDE1B0">
            <w:pPr>
              <w:jc w:val="center"/>
              <w:rPr>
                <w:rFonts w:hint="eastAsia" w:ascii="宋体" w:hAnsi="宋体" w:eastAsia="宋体" w:cs="宋体"/>
                <w:i w:val="0"/>
                <w:iCs w:val="0"/>
                <w:color w:val="000000"/>
                <w:sz w:val="18"/>
                <w:szCs w:val="18"/>
                <w:u w:val="none"/>
              </w:rPr>
            </w:pPr>
          </w:p>
        </w:tc>
      </w:tr>
      <w:tr w14:paraId="1DE78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9857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B8A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室外行程通风管道</w:t>
            </w:r>
          </w:p>
        </w:tc>
        <w:tc>
          <w:tcPr>
            <w:tcW w:w="59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38B5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采用φ400mm防腐蚀PVC管及弯头，管卡采用碳钢制作，表面经镀铬处理，具有耐腐蚀、防火、防潮灯功能。</w:t>
            </w:r>
          </w:p>
        </w:tc>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A61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BAE7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643570">
            <w:pPr>
              <w:jc w:val="center"/>
              <w:rPr>
                <w:rFonts w:hint="eastAsia" w:ascii="宋体" w:hAnsi="宋体" w:eastAsia="宋体" w:cs="宋体"/>
                <w:i w:val="0"/>
                <w:iCs w:val="0"/>
                <w:color w:val="000000"/>
                <w:sz w:val="18"/>
                <w:szCs w:val="18"/>
                <w:u w:val="none"/>
              </w:rPr>
            </w:pPr>
          </w:p>
        </w:tc>
      </w:tr>
      <w:tr w14:paraId="3FC0A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0874"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15FF1E">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水电及装修部分</w:t>
            </w:r>
          </w:p>
        </w:tc>
      </w:tr>
      <w:tr w14:paraId="58A75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B5D0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CD4E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布线系统</w:t>
            </w:r>
          </w:p>
        </w:tc>
        <w:tc>
          <w:tcPr>
            <w:tcW w:w="59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ECF3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地面对接，由教师主控电源控制学生电源，安装调试（含辅料及耗材）。符合安全用电要求。</w:t>
            </w:r>
          </w:p>
        </w:tc>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433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4DD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18D289">
            <w:pPr>
              <w:jc w:val="center"/>
              <w:rPr>
                <w:rFonts w:hint="eastAsia" w:ascii="宋体" w:hAnsi="宋体" w:eastAsia="宋体" w:cs="宋体"/>
                <w:i w:val="0"/>
                <w:iCs w:val="0"/>
                <w:color w:val="000000"/>
                <w:sz w:val="18"/>
                <w:szCs w:val="18"/>
                <w:u w:val="none"/>
              </w:rPr>
            </w:pPr>
          </w:p>
        </w:tc>
      </w:tr>
      <w:tr w14:paraId="768C6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517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8BD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给排水系统</w:t>
            </w:r>
          </w:p>
        </w:tc>
        <w:tc>
          <w:tcPr>
            <w:tcW w:w="59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766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地面对接，安装调试（含辅料及耗材）。符合安全用水要求</w:t>
            </w:r>
          </w:p>
        </w:tc>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A73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1E4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89CB88">
            <w:pPr>
              <w:jc w:val="center"/>
              <w:rPr>
                <w:rFonts w:hint="eastAsia" w:ascii="宋体" w:hAnsi="宋体" w:eastAsia="宋体" w:cs="宋体"/>
                <w:i w:val="0"/>
                <w:iCs w:val="0"/>
                <w:color w:val="000000"/>
                <w:sz w:val="18"/>
                <w:szCs w:val="18"/>
                <w:u w:val="none"/>
              </w:rPr>
            </w:pPr>
          </w:p>
        </w:tc>
      </w:tr>
      <w:tr w14:paraId="31119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0874"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9467D1">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基础装修部分</w:t>
            </w:r>
          </w:p>
        </w:tc>
      </w:tr>
      <w:tr w14:paraId="4A577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4"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529C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6BD2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布线系统（地下部分）</w:t>
            </w:r>
          </w:p>
        </w:tc>
        <w:tc>
          <w:tcPr>
            <w:tcW w:w="59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1B3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线2.5平方、4平方、6平方插排、PVC管、网线、空气开关、网络接口Rosenberger超五类模块；开槽暗敷，电线连接部分采用焊接方式防水胶布2层，绝缘胶布2层，加以保护，配电采用铝塑管护套,内穿BV塑铜线，多媒体产品安装、调试</w:t>
            </w:r>
          </w:p>
        </w:tc>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F62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F25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DA82E0">
            <w:pPr>
              <w:jc w:val="center"/>
              <w:rPr>
                <w:rFonts w:hint="eastAsia" w:ascii="宋体" w:hAnsi="宋体" w:eastAsia="宋体" w:cs="宋体"/>
                <w:i w:val="0"/>
                <w:iCs w:val="0"/>
                <w:color w:val="000000"/>
                <w:sz w:val="18"/>
                <w:szCs w:val="18"/>
                <w:u w:val="none"/>
              </w:rPr>
            </w:pPr>
          </w:p>
        </w:tc>
      </w:tr>
      <w:tr w14:paraId="0A33B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4"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D83B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B08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给排水系统（地下部分）</w:t>
            </w:r>
          </w:p>
        </w:tc>
        <w:tc>
          <w:tcPr>
            <w:tcW w:w="59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06CE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给水采用φ25㎜优质PPR(国标)管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排水采用φ50㎜优质PVC(国标)管，暗敷，安装调试（含辅料及耗材）。符合安全用水要求</w:t>
            </w:r>
          </w:p>
        </w:tc>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F87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E983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04C546">
            <w:pPr>
              <w:jc w:val="center"/>
              <w:rPr>
                <w:rFonts w:hint="eastAsia" w:ascii="宋体" w:hAnsi="宋体" w:eastAsia="宋体" w:cs="宋体"/>
                <w:i w:val="0"/>
                <w:iCs w:val="0"/>
                <w:color w:val="000000"/>
                <w:sz w:val="18"/>
                <w:szCs w:val="18"/>
                <w:u w:val="none"/>
              </w:rPr>
            </w:pPr>
          </w:p>
        </w:tc>
      </w:tr>
      <w:tr w14:paraId="45DE7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4EB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86FA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文化装饰</w:t>
            </w:r>
          </w:p>
        </w:tc>
        <w:tc>
          <w:tcPr>
            <w:tcW w:w="59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7C07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文化窗帘加展板</w:t>
            </w:r>
          </w:p>
        </w:tc>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048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CC72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7D35E7">
            <w:pPr>
              <w:jc w:val="center"/>
              <w:rPr>
                <w:rFonts w:hint="eastAsia" w:ascii="宋体" w:hAnsi="宋体" w:eastAsia="宋体" w:cs="宋体"/>
                <w:i w:val="0"/>
                <w:iCs w:val="0"/>
                <w:color w:val="000000"/>
                <w:sz w:val="18"/>
                <w:szCs w:val="18"/>
                <w:u w:val="none"/>
              </w:rPr>
            </w:pPr>
          </w:p>
        </w:tc>
      </w:tr>
    </w:tbl>
    <w:p w14:paraId="414A4EEE">
      <w:pPr>
        <w:rPr>
          <w:rFonts w:hint="eastAsia" w:ascii="宋体" w:hAnsi="宋体" w:eastAsia="宋体" w:cs="宋体"/>
          <w:sz w:val="18"/>
          <w:szCs w:val="18"/>
        </w:rPr>
      </w:pPr>
    </w:p>
    <w:tbl>
      <w:tblPr>
        <w:tblStyle w:val="2"/>
        <w:tblW w:w="10245" w:type="dxa"/>
        <w:tblInd w:w="-80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00"/>
        <w:gridCol w:w="795"/>
        <w:gridCol w:w="7575"/>
        <w:gridCol w:w="630"/>
        <w:gridCol w:w="645"/>
      </w:tblGrid>
      <w:tr w14:paraId="34A81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0245" w:type="dxa"/>
            <w:gridSpan w:val="5"/>
            <w:tcBorders>
              <w:top w:val="single" w:color="000000" w:sz="4" w:space="0"/>
              <w:left w:val="single" w:color="000000" w:sz="4" w:space="0"/>
              <w:bottom w:val="single" w:color="000000" w:sz="4" w:space="0"/>
              <w:right w:val="nil"/>
            </w:tcBorders>
            <w:noWrap/>
            <w:vAlign w:val="center"/>
          </w:tcPr>
          <w:p w14:paraId="7474178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化学新课标实验目录专题实验箱配置清单（单室配置）</w:t>
            </w:r>
          </w:p>
        </w:tc>
      </w:tr>
      <w:tr w14:paraId="29ABD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245" w:type="dxa"/>
            <w:gridSpan w:val="5"/>
            <w:tcBorders>
              <w:top w:val="single" w:color="000000" w:sz="4" w:space="0"/>
              <w:left w:val="single" w:color="000000" w:sz="4" w:space="0"/>
              <w:bottom w:val="single" w:color="000000" w:sz="4" w:space="0"/>
              <w:right w:val="nil"/>
            </w:tcBorders>
            <w:noWrap w:val="0"/>
            <w:vAlign w:val="center"/>
          </w:tcPr>
          <w:p w14:paraId="511B631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     根据学校实际需求，现按56名学生4人一组计14组，加教师1组共计15组配置。</w:t>
            </w:r>
          </w:p>
        </w:tc>
      </w:tr>
      <w:tr w14:paraId="5333C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600" w:type="dxa"/>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4B5706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编号</w:t>
            </w:r>
          </w:p>
        </w:tc>
        <w:tc>
          <w:tcPr>
            <w:tcW w:w="795" w:type="dxa"/>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0A2444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名称</w:t>
            </w:r>
          </w:p>
        </w:tc>
        <w:tc>
          <w:tcPr>
            <w:tcW w:w="7575" w:type="dxa"/>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331332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技术参数</w:t>
            </w:r>
          </w:p>
        </w:tc>
        <w:tc>
          <w:tcPr>
            <w:tcW w:w="630" w:type="dxa"/>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307224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645" w:type="dxa"/>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5019ED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r>
      <w:tr w14:paraId="30D13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650F12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14:paraId="24FB1E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高中化学配套仪器实验箱</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46CDC4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3、底部滑轮，便携把手，一体式顶盖。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二、主要配置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铁架台底座、转接头、支撑杆、四爪夹、支撑杆（一分为二）、滤纸、高精度迷你电子秤，酒精灯，火柴，陶土网，三脚架，试管架，试管夹，试管刷，标签纸，记号笔，称量纸，铁圈，升降台、洗瓶、双头药匙、支撑环、乳胶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三、本箱为高中化学、生物专题箱系列提供通用的工具。辅助其他箱完成实验。▲提供具有CMA和CNAS认证的第三方检测机构出具的满足参数要求的检测报告。</w:t>
            </w:r>
          </w:p>
        </w:tc>
        <w:tc>
          <w:tcPr>
            <w:tcW w:w="630" w:type="dxa"/>
            <w:tcBorders>
              <w:top w:val="single" w:color="000000" w:sz="4" w:space="0"/>
              <w:left w:val="single" w:color="000000" w:sz="4" w:space="0"/>
              <w:bottom w:val="single" w:color="000000" w:sz="4" w:space="0"/>
              <w:right w:val="single" w:color="000000" w:sz="4" w:space="0"/>
            </w:tcBorders>
            <w:noWrap/>
            <w:vAlign w:val="center"/>
          </w:tcPr>
          <w:p w14:paraId="0A2A61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7C80CD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3D097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55FCA4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14:paraId="404DDF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高中化学物质及其变化实验箱</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7CB3D4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3、底部滑轮，便携把手，一体式顶盖。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二、主要配置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灯座模块、胶头滴管、药品瓶、棕色滴瓶、灯泡、双插头、导线、鳄鱼夹、烧杯（250mL)、烧杯（100mL)、玻璃棒、试管（20×180mm)、试管（16×160mm)、单孔橡胶塞、竹炭、直角弯管（230*55）、量筒（10mL) 、量筒（50mL)、激光笔、碳棒。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1.试验物质的导电性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2.氢氧化铁胶体的配制与性质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3.离子反应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4.氧化还原反应</w:t>
            </w:r>
          </w:p>
        </w:tc>
        <w:tc>
          <w:tcPr>
            <w:tcW w:w="630" w:type="dxa"/>
            <w:tcBorders>
              <w:top w:val="single" w:color="000000" w:sz="4" w:space="0"/>
              <w:left w:val="single" w:color="000000" w:sz="4" w:space="0"/>
              <w:bottom w:val="single" w:color="000000" w:sz="4" w:space="0"/>
              <w:right w:val="single" w:color="000000" w:sz="4" w:space="0"/>
            </w:tcBorders>
            <w:noWrap/>
            <w:vAlign w:val="center"/>
          </w:tcPr>
          <w:p w14:paraId="20F1A1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0F7930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7E996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024F2F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14:paraId="058323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高中化学金属及其化合物实验箱</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162DA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3、底部滑轮，便携把手，一体式顶盖。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二、主要配置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胶头滴管、小刀、镊子、直角弯管155x85、单孔橡胶塞、瓷坩埚、烧杯（250mL)、长颈漏斗、温度计、药品瓶、玻璃棒、泥三角、试管（20×180mm)、试管（16×160mm)、研钵和研杵、坩埚钳、10mL量筒、50mL量筒、试剂瓶、白色滴瓶、棕色滴瓶、50mL烧杯、玻璃片、集气瓶、直角弯管230x55、塑料水槽、三孔橡胶塞、球形干燥管、铂丝棒、蓝色钴玻璃、红色石蕊试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1.钠的保存及切割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2.钠在空气中燃烧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3.钠与水反应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4.氢氧化铁和氢氧化亚铁的生成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5.向FeCl3和FeCl2溶液中滴入KSCN</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6.碳酸钠和碳酸氢钠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7.加热碳酸钠或碳酸氢钠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8.模拟侯氏制碱法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9补铁剂、抗酸性胃药中有效成分的检验：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10.模拟侯氏制碱法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11.检验食品中的铁元素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12.焰色反应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13.常见的离子反应</w:t>
            </w:r>
          </w:p>
        </w:tc>
        <w:tc>
          <w:tcPr>
            <w:tcW w:w="630" w:type="dxa"/>
            <w:tcBorders>
              <w:top w:val="single" w:color="000000" w:sz="4" w:space="0"/>
              <w:left w:val="single" w:color="000000" w:sz="4" w:space="0"/>
              <w:bottom w:val="single" w:color="000000" w:sz="4" w:space="0"/>
              <w:right w:val="single" w:color="000000" w:sz="4" w:space="0"/>
            </w:tcBorders>
            <w:noWrap/>
            <w:vAlign w:val="center"/>
          </w:tcPr>
          <w:p w14:paraId="2430C0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7D8CBE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6A3E9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78024B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14:paraId="7153B3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高中化学非金属及其化合物（一）实验箱</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E9081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3、底部滑轮，便携把手，一体式顶盖。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二、主要配置  （配合非金属及其化合物（二）使用）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集气瓶、分液漏斗、烧杯（250mL）、直角弯管（85×60mm）、直角弯管（230×55mm）、直角弯管（155×85mm）、试管（16×160mm)、量筒（10mL）、胶头滴管、玻璃棒、容量瓶、量筒（50mL）、圆底烧瓶、锥形瓶、试管（20×180mm)、试管（30×200mm)、滴管、具支试管、烧杯（100mL）、漏斗、钝角玻璃管、白色滴瓶、棕色滴瓶、试剂瓶（透明，30mL）、试剂瓶（棕色，30mL）、玻璃弯管、有色纸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1.H2在Cl2中燃烧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2.干燥的氯气使有色鲜花变色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3.实验室中制氯气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4.氯离子的检验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5.配制一定物质的量浓度的NaCl溶液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6.二氧化氮溶于水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7.实验室制取氨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8.用化学沉淀法去除粗盐中的杂质离子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9.不同价态含硫物质的转化</w:t>
            </w:r>
          </w:p>
        </w:tc>
        <w:tc>
          <w:tcPr>
            <w:tcW w:w="630" w:type="dxa"/>
            <w:tcBorders>
              <w:top w:val="single" w:color="000000" w:sz="4" w:space="0"/>
              <w:left w:val="single" w:color="000000" w:sz="4" w:space="0"/>
              <w:bottom w:val="single" w:color="000000" w:sz="4" w:space="0"/>
              <w:right w:val="single" w:color="000000" w:sz="4" w:space="0"/>
            </w:tcBorders>
            <w:noWrap/>
            <w:vAlign w:val="center"/>
          </w:tcPr>
          <w:p w14:paraId="205656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3D5101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70F9C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4506D6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14:paraId="304BB7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高中化学非金属及其化合物（二）实验箱</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EFABE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3、底部滑轮，便携把手，一体式顶盖。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二、主要配置  （配合非金属及其化合物（二）使用）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药品瓶、单孔橡胶塞、钝角玻璃管、无孔橡胶塞、棉球、止水夹、蒸发皿、针筒、坩埚钳、托盘天平、镊子。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1.H2在Cl2中燃烧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2.干燥的氯气使有色鲜花变色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3.实验室中制氯气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4.氯离子的检验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5.配制一定物质的量浓度的NaCl溶液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6.二氧化氮溶于水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7.实验室制取氨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8.用化学沉淀法去除粗盐中的杂质离子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9.不同价态含硫物质的转化</w:t>
            </w:r>
          </w:p>
        </w:tc>
        <w:tc>
          <w:tcPr>
            <w:tcW w:w="630" w:type="dxa"/>
            <w:tcBorders>
              <w:top w:val="single" w:color="000000" w:sz="4" w:space="0"/>
              <w:left w:val="single" w:color="000000" w:sz="4" w:space="0"/>
              <w:bottom w:val="single" w:color="000000" w:sz="4" w:space="0"/>
              <w:right w:val="single" w:color="000000" w:sz="4" w:space="0"/>
            </w:tcBorders>
            <w:noWrap/>
            <w:vAlign w:val="center"/>
          </w:tcPr>
          <w:p w14:paraId="6D3D7B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653316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6540C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70FF6B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14:paraId="431840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高中化学物质结构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与元素周期律实验箱</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23BDDE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3、底部滑轮，便携把手，一体式顶盖。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二、主要配置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集气瓶、分液漏斗、250mL烧杯、直角弯管85x60、直角弯管230x55、直角弯管155x85、试管（20×180mm)、试管（16×160mm)、50mL烧杯、10mL量筒、50mL量筒、胶头滴管、玻璃棒、容量瓶、圆底烧瓶、滴管、100mL烧杯、长颈漏斗、白色滴瓶、棕色滴瓶、玻璃弯管、有色纸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1同周期、同主族元素性质的递变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2.分别向KBr溶液和KI溶液中加入氯水，向KI溶液中加入溴水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3萃取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4蒸馏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5.探究氢键及其对物质性质的影响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6简单配合物的形成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7.共价键的极性与有机反应▲提供具有CMA和CNAS认证的第三方检测机构出具的满足参数要求的检测报告。</w:t>
            </w:r>
          </w:p>
        </w:tc>
        <w:tc>
          <w:tcPr>
            <w:tcW w:w="630" w:type="dxa"/>
            <w:tcBorders>
              <w:top w:val="single" w:color="000000" w:sz="4" w:space="0"/>
              <w:left w:val="single" w:color="000000" w:sz="4" w:space="0"/>
              <w:bottom w:val="single" w:color="000000" w:sz="4" w:space="0"/>
              <w:right w:val="single" w:color="000000" w:sz="4" w:space="0"/>
            </w:tcBorders>
            <w:noWrap/>
            <w:vAlign w:val="center"/>
          </w:tcPr>
          <w:p w14:paraId="4E72C3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6DA2E7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252D4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6FA675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14:paraId="4A1D3F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高中化学化学反应与能量实验箱</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30A9D6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3、底部滑轮，便携把手，一体式顶盖。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二、主要配置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量筒、温度计、试管（16×160mm)、胶头滴管、砂纸、药品瓶、烧杯（250mL)、烧杯（50mL）、玻璃片、玻璃棒、研钵和研杵、铜电极片、锌电极片、鳄鱼夹、红色导线、蓝色导线、指针式电流表、电解槽、铁片、铝片、紫铜片、碳棒、双插座、秒表、量筒（50mL)、量热器、棕色滴瓶，洗瓶，环形搅拌棒、木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1.盐酸与镁反应前后溶液温度的变化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2.化学反应吸热使烧杯与木片间的水凝结成冰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3.原电池实验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4.简易电池的设计与制作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5.影响化学反应速率的因素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6.化学能转化成电能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7.化学反应速率的影响因素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8.中和反应热的测定</w:t>
            </w:r>
          </w:p>
        </w:tc>
        <w:tc>
          <w:tcPr>
            <w:tcW w:w="630" w:type="dxa"/>
            <w:tcBorders>
              <w:top w:val="single" w:color="000000" w:sz="4" w:space="0"/>
              <w:left w:val="single" w:color="000000" w:sz="4" w:space="0"/>
              <w:bottom w:val="single" w:color="000000" w:sz="4" w:space="0"/>
              <w:right w:val="single" w:color="000000" w:sz="4" w:space="0"/>
            </w:tcBorders>
            <w:noWrap/>
            <w:vAlign w:val="center"/>
          </w:tcPr>
          <w:p w14:paraId="41899C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055B19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305A4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42C1BA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14:paraId="10A357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高中化学有机化合物实验箱</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7839D6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3、底部滑轮，便携把手，一体式顶盖。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二、主要配置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试管（20×180mm）、试管（16×160mm)、牙签、玻璃管、单孔橡胶塞、50mL烧杯、铜丝、直角弯管（230x55）、钝角玻璃管、量筒（10mL)、胶头滴管、沸石、白色滴瓶、棕色滴瓶、橡皮泥。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1.乙烯与高锰酸钾反应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2.乙烯与溴反应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3.乙酸乙酯的制备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4.葡萄糖与氢氧化铜反应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5.葡萄糖的银镜反应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6.淀粉与碘反应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7.蛋白质的变性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8.搭建球棍模型认识有机化合物分子结构的特点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9.乙醇，乙酸的主要性质  ▲提供具有CMA和CNAS认证的第三方检测机构出具的满足参数要求的检测报告。</w:t>
            </w:r>
          </w:p>
        </w:tc>
        <w:tc>
          <w:tcPr>
            <w:tcW w:w="630" w:type="dxa"/>
            <w:tcBorders>
              <w:top w:val="single" w:color="000000" w:sz="4" w:space="0"/>
              <w:left w:val="single" w:color="000000" w:sz="4" w:space="0"/>
              <w:bottom w:val="single" w:color="000000" w:sz="4" w:space="0"/>
              <w:right w:val="single" w:color="000000" w:sz="4" w:space="0"/>
            </w:tcBorders>
            <w:noWrap/>
            <w:vAlign w:val="center"/>
          </w:tcPr>
          <w:p w14:paraId="2B34C8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262E05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61E3A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315599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14:paraId="5B5046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高中化学化学反应速率与化学平衡实验箱</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7794E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3、底部滑轮，便携把手，一体式顶盖。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二、主要配置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分液漏斗、双孔橡胶塞、锥形瓶、量筒（50mL）、药品瓶、镊子、烧杯（50mL）、烧杯（250mL）、温度计、秒表、量筒（10mL）、直角弯管（155×85mm）、试管（16×160mm)、胶头滴管、针筒（50mL）、二通阀、针筒（20mL）、圆底烧瓶、乳胶管、止水夹、、玻璃棒、试剂瓶（100mL）、试剂瓶（透明，30mL）、棕色滴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1.定性与定量影响化学反应速率的因素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2.浓度对化学平衡的影响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3.压强对化学平衡的影响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4.温度对化学平衡的影响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5.探究影响化学平衡移动的因素  ▲提供具有CMA和CNAS认证的第三方检测机构出具的满足参数要求的检测报告。</w:t>
            </w:r>
          </w:p>
        </w:tc>
        <w:tc>
          <w:tcPr>
            <w:tcW w:w="630" w:type="dxa"/>
            <w:tcBorders>
              <w:top w:val="single" w:color="000000" w:sz="4" w:space="0"/>
              <w:left w:val="single" w:color="000000" w:sz="4" w:space="0"/>
              <w:bottom w:val="single" w:color="000000" w:sz="4" w:space="0"/>
              <w:right w:val="single" w:color="000000" w:sz="4" w:space="0"/>
            </w:tcBorders>
            <w:noWrap/>
            <w:vAlign w:val="center"/>
          </w:tcPr>
          <w:p w14:paraId="0FA1CB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4F92C9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622C0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69B094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14:paraId="1E3F08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高中化学离子反应与平衡实验箱</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32D4FD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3、底部滑轮，便携把手，一体式顶盖。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二、主要配置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量筒（50mL）、胶头滴管、、试管（16×160mm)、药品瓶、pH试纸、量筒(10mL)、酸式滴定管、碱式滴定管、滴定管夹、锥形瓶、试剂瓶（100mL）、玻璃棒、试剂瓶（透明，30mL）、试剂瓶（棕色，30mL）、棕色滴瓶、白色滴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1.强电解质和弱电解质在水中电离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2.向醋酸中滴加碳酸钠溶液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3.盐溶液的酸碱性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4.反应条件对FeCl3水解平衡的影响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5.沉淀的溶解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6.沉淀的转化（1）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7.沉淀的转化（2）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8.强酸与强碱的中和滴定  ▲提供具有CMA和CNAS认证的第三方检测机构出具的满足参数要求的检测报告。</w:t>
            </w:r>
          </w:p>
        </w:tc>
        <w:tc>
          <w:tcPr>
            <w:tcW w:w="630" w:type="dxa"/>
            <w:tcBorders>
              <w:top w:val="single" w:color="000000" w:sz="4" w:space="0"/>
              <w:left w:val="single" w:color="000000" w:sz="4" w:space="0"/>
              <w:bottom w:val="single" w:color="000000" w:sz="4" w:space="0"/>
              <w:right w:val="single" w:color="000000" w:sz="4" w:space="0"/>
            </w:tcBorders>
            <w:noWrap/>
            <w:vAlign w:val="center"/>
          </w:tcPr>
          <w:p w14:paraId="0AE62D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40B7EB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48470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650282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14:paraId="6A2267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高中化学化学反应与电能实验箱</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1EF17D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3、底部滑轮，便携把手，一体式顶盖。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二、主要配置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锌电极片、铜电极片、指针式电流表、红色导线、蓝色导线、鳄鱼夹、烧杯（150mL)、碳棒、玻璃棒、淀粉碘化钾试纸、具支试管、直角弯管（155×85mm）、试管（16×160mm)、铁钉、药品瓶、镊子、铁电极片、烧杯（250mL)、砂纸、白色滴瓶、试剂瓶（100mL）、橡胶手套、剪刀、单刀单掷开关、盐桥、U型管、牙签、橡皮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1.锌铜原电池装置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2.氯化铜溶液的电解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3.电解饱和食盐水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4.铁钉的吸氧腐蚀实验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5.简单的电镀实验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6.制作简单的燃料电池</w:t>
            </w:r>
          </w:p>
        </w:tc>
        <w:tc>
          <w:tcPr>
            <w:tcW w:w="630" w:type="dxa"/>
            <w:tcBorders>
              <w:top w:val="single" w:color="000000" w:sz="4" w:space="0"/>
              <w:left w:val="single" w:color="000000" w:sz="4" w:space="0"/>
              <w:bottom w:val="single" w:color="000000" w:sz="4" w:space="0"/>
              <w:right w:val="single" w:color="000000" w:sz="4" w:space="0"/>
            </w:tcBorders>
            <w:noWrap/>
            <w:vAlign w:val="center"/>
          </w:tcPr>
          <w:p w14:paraId="23EEE6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6AD634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71377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71F797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14:paraId="28B7B0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高中化学烃和烃的衍生物实验箱</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3D2669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3、底部滑轮，便携把手，一体式顶盖。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二、主要配置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圆底烧瓶、分液漏斗、双孔橡胶塞、直角弯管（85×60mm）、直角弯管230x55、直角弯管（155×85mm）、具支试管、单孔橡胶塞、试管（16×160mm)、烧杯（50mL)、滴管、量筒（10mL）、胶头滴管、玻璃棒、沸石、药品瓶、烧杯（250mL）、温度计、锥形瓶、钝角玻璃管、试管（20×180mm)、秒表、白色滴瓶、棕色滴瓶、研钵和研杵、玻璃弯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1.乙炔的化学性质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2.苯分子的结构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3.苯和苯的同系物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4.取代反应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5.1-溴丁烷的化学性质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6.乙醇的消去反应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7.乙醇与酸性重铬酸钾的溶液的反应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8.苯酚的酸性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9.苯酚与溴反应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10.苯酚与氯化铁反应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11.乙醛的银镜反应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12.乙醛与氢氧化铜反应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13.羧酸的酸性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14.乙酸乙酯的水解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15.乙酸乙酯的制备与性质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16.有机物中常见官能团的检验  ▲提供具有CMA和CNAS认证的第三方检测机构出具的满足参数要求的检测报告。</w:t>
            </w:r>
          </w:p>
        </w:tc>
        <w:tc>
          <w:tcPr>
            <w:tcW w:w="630" w:type="dxa"/>
            <w:tcBorders>
              <w:top w:val="single" w:color="000000" w:sz="4" w:space="0"/>
              <w:left w:val="single" w:color="000000" w:sz="4" w:space="0"/>
              <w:bottom w:val="single" w:color="000000" w:sz="4" w:space="0"/>
              <w:right w:val="single" w:color="000000" w:sz="4" w:space="0"/>
            </w:tcBorders>
            <w:noWrap/>
            <w:vAlign w:val="center"/>
          </w:tcPr>
          <w:p w14:paraId="12B0F3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1B245F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27D74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68CB6C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14:paraId="112D1A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高中化学生物大分子和合成高分子实验箱</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024B12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3、底部滑轮，便携把手，一体式顶盖。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二、主要配置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试管（16×160mm)、试管（20*180）、量筒（10mL）、烧杯（250mL）、烧杯（50mL)、医用棉球、玻璃棒、pH试纸、棕色滴瓶、白色滴瓶、胶头滴管、药品瓶、小刀、研钵研杵。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1.葡萄糖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2.纤维素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3.蛋白质的盐析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4.蛋白质与浓硝酸的显色反应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5.糖类的性质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6.不同水果中维生素 C 含量的比较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7.苯酚与甲醛反应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8.常见塑料的性质与区分  ▲提供具有CMA和CNAS认证的第三方检测机构出具的满足参数要求的检测报告。</w:t>
            </w:r>
          </w:p>
        </w:tc>
        <w:tc>
          <w:tcPr>
            <w:tcW w:w="630" w:type="dxa"/>
            <w:tcBorders>
              <w:top w:val="single" w:color="000000" w:sz="4" w:space="0"/>
              <w:left w:val="single" w:color="000000" w:sz="4" w:space="0"/>
              <w:bottom w:val="single" w:color="000000" w:sz="4" w:space="0"/>
              <w:right w:val="single" w:color="000000" w:sz="4" w:space="0"/>
            </w:tcBorders>
            <w:noWrap/>
            <w:vAlign w:val="center"/>
          </w:tcPr>
          <w:p w14:paraId="7438F1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14C4F6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bl>
    <w:p w14:paraId="0A07E659">
      <w:pPr>
        <w:rPr>
          <w:rFonts w:hint="eastAsia" w:ascii="宋体" w:hAnsi="宋体" w:eastAsia="宋体" w:cs="宋体"/>
          <w:sz w:val="18"/>
          <w:szCs w:val="18"/>
        </w:rPr>
      </w:pPr>
    </w:p>
    <w:tbl>
      <w:tblPr>
        <w:tblStyle w:val="2"/>
        <w:tblW w:w="951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1"/>
        <w:gridCol w:w="515"/>
        <w:gridCol w:w="5081"/>
        <w:gridCol w:w="540"/>
        <w:gridCol w:w="464"/>
        <w:gridCol w:w="2225"/>
      </w:tblGrid>
      <w:tr w14:paraId="06A7F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9516" w:type="dxa"/>
            <w:gridSpan w:val="6"/>
            <w:tcBorders>
              <w:top w:val="nil"/>
              <w:left w:val="single" w:color="000000" w:sz="4" w:space="0"/>
              <w:bottom w:val="nil"/>
              <w:right w:val="nil"/>
            </w:tcBorders>
            <w:noWrap/>
            <w:vAlign w:val="center"/>
          </w:tcPr>
          <w:p w14:paraId="247990A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化学数字化实验系统配置清单</w:t>
            </w:r>
          </w:p>
        </w:tc>
      </w:tr>
      <w:tr w14:paraId="03E9B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516" w:type="dxa"/>
            <w:gridSpan w:val="6"/>
            <w:tcBorders>
              <w:top w:val="nil"/>
              <w:left w:val="single" w:color="000000" w:sz="4" w:space="0"/>
              <w:bottom w:val="nil"/>
              <w:right w:val="nil"/>
            </w:tcBorders>
            <w:noWrap w:val="0"/>
            <w:vAlign w:val="center"/>
          </w:tcPr>
          <w:p w14:paraId="4934630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     根据学校实际需求，现按56名学生4人一组计14组，加教师1组共计15组配置。</w:t>
            </w:r>
          </w:p>
        </w:tc>
      </w:tr>
      <w:tr w14:paraId="6F7BD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4B0A72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2FF7E04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产品名称</w:t>
            </w:r>
          </w:p>
        </w:tc>
        <w:tc>
          <w:tcPr>
            <w:tcW w:w="5081" w:type="dxa"/>
            <w:tcBorders>
              <w:top w:val="single" w:color="000000" w:sz="4" w:space="0"/>
              <w:left w:val="single" w:color="000000" w:sz="4" w:space="0"/>
              <w:bottom w:val="single" w:color="000000" w:sz="4" w:space="0"/>
              <w:right w:val="single" w:color="000000" w:sz="4" w:space="0"/>
            </w:tcBorders>
            <w:noWrap w:val="0"/>
            <w:vAlign w:val="center"/>
          </w:tcPr>
          <w:p w14:paraId="2CBB92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参数说明</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31C18E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51D61E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2225" w:type="dxa"/>
            <w:tcBorders>
              <w:top w:val="single" w:color="000000" w:sz="4" w:space="0"/>
              <w:left w:val="single" w:color="000000" w:sz="4" w:space="0"/>
              <w:bottom w:val="single" w:color="000000" w:sz="4" w:space="0"/>
              <w:right w:val="single" w:color="000000" w:sz="4" w:space="0"/>
            </w:tcBorders>
            <w:noWrap w:val="0"/>
            <w:vAlign w:val="center"/>
          </w:tcPr>
          <w:p w14:paraId="7994CA31">
            <w:pPr>
              <w:keepNext w:val="0"/>
              <w:keepLines w:val="0"/>
              <w:widowControl/>
              <w:suppressLineNumbers w:val="0"/>
              <w:jc w:val="center"/>
              <w:textAlignment w:val="center"/>
              <w:rPr>
                <w:rFonts w:hint="eastAsia" w:ascii="宋体" w:hAnsi="宋体" w:eastAsia="宋体" w:cs="宋体"/>
                <w:i w:val="0"/>
                <w:iCs w:val="0"/>
                <w:color w:val="FF0000"/>
                <w:sz w:val="18"/>
                <w:szCs w:val="18"/>
                <w:u w:val="none"/>
              </w:rPr>
            </w:pPr>
          </w:p>
        </w:tc>
      </w:tr>
      <w:tr w14:paraId="7C97E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2084919D">
            <w:pPr>
              <w:jc w:val="center"/>
              <w:rPr>
                <w:rFonts w:hint="eastAsia" w:ascii="宋体" w:hAnsi="宋体" w:eastAsia="宋体" w:cs="宋体"/>
                <w:i w:val="0"/>
                <w:iCs w:val="0"/>
                <w:color w:val="000000"/>
                <w:sz w:val="18"/>
                <w:szCs w:val="18"/>
                <w:u w:val="none"/>
              </w:rPr>
            </w:pP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66BD46A6">
            <w:pPr>
              <w:jc w:val="left"/>
              <w:rPr>
                <w:rFonts w:hint="eastAsia" w:ascii="宋体" w:hAnsi="宋体" w:eastAsia="宋体" w:cs="宋体"/>
                <w:i w:val="0"/>
                <w:iCs w:val="0"/>
                <w:color w:val="000000"/>
                <w:sz w:val="18"/>
                <w:szCs w:val="18"/>
                <w:u w:val="none"/>
              </w:rPr>
            </w:pPr>
          </w:p>
        </w:tc>
        <w:tc>
          <w:tcPr>
            <w:tcW w:w="5081" w:type="dxa"/>
            <w:tcBorders>
              <w:top w:val="single" w:color="000000" w:sz="4" w:space="0"/>
              <w:left w:val="single" w:color="000000" w:sz="4" w:space="0"/>
              <w:bottom w:val="single" w:color="000000" w:sz="4" w:space="0"/>
              <w:right w:val="single" w:color="000000" w:sz="4" w:space="0"/>
            </w:tcBorders>
            <w:noWrap w:val="0"/>
            <w:vAlign w:val="center"/>
          </w:tcPr>
          <w:p w14:paraId="2D8703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教师端</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513352D1">
            <w:pPr>
              <w:jc w:val="center"/>
              <w:rPr>
                <w:rFonts w:hint="eastAsia" w:ascii="宋体" w:hAnsi="宋体" w:eastAsia="宋体" w:cs="宋体"/>
                <w:i w:val="0"/>
                <w:iCs w:val="0"/>
                <w:color w:val="000000"/>
                <w:sz w:val="18"/>
                <w:szCs w:val="18"/>
                <w:u w:val="none"/>
              </w:rPr>
            </w:pP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484EA90C">
            <w:pPr>
              <w:jc w:val="center"/>
              <w:rPr>
                <w:rFonts w:hint="eastAsia" w:ascii="宋体" w:hAnsi="宋体" w:eastAsia="宋体" w:cs="宋体"/>
                <w:i w:val="0"/>
                <w:iCs w:val="0"/>
                <w:color w:val="000000"/>
                <w:sz w:val="18"/>
                <w:szCs w:val="18"/>
                <w:u w:val="none"/>
              </w:rPr>
            </w:pPr>
          </w:p>
        </w:tc>
        <w:tc>
          <w:tcPr>
            <w:tcW w:w="2225" w:type="dxa"/>
            <w:tcBorders>
              <w:top w:val="single" w:color="000000" w:sz="4" w:space="0"/>
              <w:left w:val="single" w:color="000000" w:sz="4" w:space="0"/>
              <w:bottom w:val="single" w:color="000000" w:sz="4" w:space="0"/>
              <w:right w:val="single" w:color="000000" w:sz="4" w:space="0"/>
            </w:tcBorders>
            <w:noWrap w:val="0"/>
            <w:vAlign w:val="center"/>
          </w:tcPr>
          <w:p w14:paraId="3BE028B0">
            <w:pPr>
              <w:keepNext w:val="0"/>
              <w:keepLines w:val="0"/>
              <w:widowControl/>
              <w:suppressLineNumbers w:val="0"/>
              <w:jc w:val="center"/>
              <w:textAlignment w:val="center"/>
              <w:rPr>
                <w:rFonts w:hint="eastAsia" w:ascii="宋体" w:hAnsi="宋体" w:eastAsia="宋体" w:cs="宋体"/>
                <w:i w:val="0"/>
                <w:iCs w:val="0"/>
                <w:color w:val="FF0000"/>
                <w:sz w:val="18"/>
                <w:szCs w:val="18"/>
                <w:u w:val="none"/>
              </w:rPr>
            </w:pPr>
          </w:p>
        </w:tc>
      </w:tr>
      <w:tr w14:paraId="3F706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D062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7838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教师用</w:t>
            </w:r>
            <w:r>
              <w:rPr>
                <w:rStyle w:val="5"/>
                <w:rFonts w:hint="eastAsia" w:ascii="宋体" w:hAnsi="宋体" w:eastAsia="宋体" w:cs="宋体"/>
                <w:sz w:val="18"/>
                <w:szCs w:val="18"/>
                <w:lang w:val="en-US" w:eastAsia="zh-CN" w:bidi="ar"/>
              </w:rPr>
              <w:t>化学智能实验探究者</w:t>
            </w:r>
          </w:p>
        </w:tc>
        <w:tc>
          <w:tcPr>
            <w:tcW w:w="50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6A15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智能实验探究者：智能数字实验盘是一款功能强大、小巧轻便的数字化实验数据采集设备，可满足中小学各个学科的实验需求；支持有线、无线两种传输模式；内置功能完整的实验操作平台，支持脱离终端设备进行独立实验，支持实验保存，并可随时在智能数字实验盘上查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一、结构及外观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一体化设计，3.5英寸显示屏居中，7个传感器模块环绕分布；采集器与传感器之间采用Lightning接口，采用环绕式可插拔设计，可任意更换传感器，无需数据线连接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二、规格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支持平台：Windows、Android、iOS/iPadOS、MacOS、 Linux、Harmony OS、统信UOS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显示屏：3.5英寸TFT 480*320 电容屏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最大采样速率：100,000次/秒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采样解析度：12-bit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内存：16M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传感器接口：7 个</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有线连接：USB 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无线连接：蓝牙2.0/4.2双模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内置电池：3000mAh 锂电池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待机时间：6个月以上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使用温度范围：-20℃~70℃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电源适配器：100V~240V AC / 5V DC 2A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软件：iLabV12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固件升级：固件可通过USB接口进行升级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内置传感器：三轴加速度、GPS、气压计、相对高度计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·三轴加速度传感器：量程 -8g~+8g,精度2.5%，可测量空间三个垂直方向上的加速度值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GPS：最大导航更新率（Maximum Navigation update rate）：5Hz；平面位置精度（Horizontal position accuracy）：2.5m；速度准确度（Velocity accuracy）：0.1m/s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·气压计：量程 50~110kPa，精度 ±4kPa (相对精度: 0.05kPa)，可用于测量周围环境的大气压强，能够灵敏反映因海拔变化引起的大气压的变化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·相对高度计：分辨率 0.3m，用于测量相对海拔高度，比如，可以获得从某一高度上升或下降到另一高度的具体高度值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颠覆传统采集器需连接终端设备使用的模式，智能数字实验盘在自身强大的软、硬件支撑下，既可连接外接终端设备，也可脱离终端独立进行数据采集、实验操作，支持有线、无线传输，自成一个功能完整且独立的实验平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2、内置3.5英寸电容屏，支持手势操作，触控灵敏、交互便捷，为数据显示、实验采集提供良好的图形界面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一体化设计，机身设计有7个传感器接口，支持热插拔；支持近60种传感器，遍及力学、热学、光学、电学、化学、生物等多个领域；内置三轴加速度、GPS、环境温度、气压计、相对高度计等传感器；内置传感器与外接传感器模块可并行采集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高度自由的实验操作。独立使用时，支持实验采集功能，提供图像、表格两种模式。图像模式支持对X轴、Y轴自定义，且Y轴支持传感器多选；支持双Y轴设置，优化选择多个传感器且数值相差较大时的图像显示，适应多样需求；支持曲线镜像显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5、支持对采集间隔、采集时间进行设置，支持手动采集、定时采集等不同模式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6、实验采集支持保存与读取，方便随时对实验进行复盘分析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7、支持7种外接传感器和5种内置传感器同时工作，并在内置屏上同步数据显示；支持数字、图线、指针盘3种显示模式；支持从传感器实时显示界面直接跳转进入快速实验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8、支持脱离终端设备，利用内置实验操作平台对部分传感器进行校准或标定等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9、具有通用接口模块，可外扩其他类型的传感器，通用接口采用Lightning接口,外扩传感器插头采用双面设计，支持正反盲插接入通用接口，无需关心插入的方向，易插易用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10、充电方式：支持USB充电，支持触点充电，搭配专用充电坞，可实现同时对5个智能数字实验盘进行充电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11、正面设有电源指示灯，背面设有支脚架、固定螺纹孔、复位孔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12、固件升级：固件可通过USB接口进行升级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包含7种传感器：温度：量程：-40~135℃；精度：±0.6℃、溶氧气氧一体传感器：溶氧量程：0~20mg/L；精度：±0.5mg/L，；气氧量程：0~100%，分辨率：0.1%，精度：±2%、电导率：量程：0~20000μS/cm；精度：±4%、相对湿度：量程：0~100%；精度：±4%（10%~90%RH）、绝对压强：量程：0~400kPa；精度：±6kPa、CO2：量程：0～100000ppm；精度：(0~5000ppm) 3%/(5000~50000ppm) 4%/(50000~100000ppm) 6%、高温：量程：-200 ～ 1200℃；精度：±6℃(-200-0℃)/±3℃(0-200℃) ℃/±6℃(200~1200℃)各一套：、通用接口二套；</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E5EE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66CD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5F37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0328C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0EA49D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15" w:type="dxa"/>
            <w:tcBorders>
              <w:top w:val="single" w:color="000000" w:sz="4" w:space="0"/>
              <w:left w:val="single" w:color="000000" w:sz="4" w:space="0"/>
              <w:bottom w:val="single" w:color="000000" w:sz="4" w:space="0"/>
              <w:right w:val="single" w:color="000000" w:sz="4" w:space="0"/>
            </w:tcBorders>
            <w:noWrap/>
            <w:vAlign w:val="center"/>
          </w:tcPr>
          <w:p w14:paraId="58A15C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pH传感器</w:t>
            </w:r>
          </w:p>
        </w:tc>
        <w:tc>
          <w:tcPr>
            <w:tcW w:w="5081" w:type="dxa"/>
            <w:tcBorders>
              <w:top w:val="single" w:color="000000" w:sz="4" w:space="0"/>
              <w:left w:val="single" w:color="000000" w:sz="4" w:space="0"/>
              <w:bottom w:val="single" w:color="000000" w:sz="4" w:space="0"/>
              <w:right w:val="single" w:color="000000" w:sz="4" w:space="0"/>
            </w:tcBorders>
            <w:noWrap w:val="0"/>
            <w:vAlign w:val="center"/>
          </w:tcPr>
          <w:p w14:paraId="4A5BC86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H传感器采用模块化设计，配合通用接口，通过Lightning接口与采集器连接，支持正反盲插，具有热插拔功能，连接传输稳定。搭配采集器通过有线、无线方式连接电脑、手机或平板等终端进行数据采集，在终端上实时显示并记录溶液酸碱值的变化，并绘制图像，可脱离终端独立采集记录所探测到的实验数据并加以保存，以供下载和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一、结构及外观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一体式传感器，Lightning接口。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1.pH探头由内部参比电极和玻璃电极构成，用于测量溶液的酸碱值。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2.外壳采用ABS工程塑料，具有耐火、耐高温、阻燃等特性。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3.搭配采集器可以在Windows、Android、iOS/iPadOS、MacOS、 Linux、Harmony OS、统信UOS 系统上进行数据采集。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4.支持标定功能。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三、规格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1.量程：0~14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2.精度：±0.2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3.分辨率：0.01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四、实验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不同浓度溶液的pH差异、浓氨水的挥发和氨气的溶解、探究二氧化碳与澄清石灰水的反应、土壤酸碱性的测量、测量自然水体的酸碱度、水体的理化性质测定、不同盐溶液的酸碱性、测量溶液的pH、二氧化碳的溶解性实验、二氧化碳和氢氧化钠的反应、不同物质的酸碱性等</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478B35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只</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0CD3CB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5" w:type="dxa"/>
            <w:tcBorders>
              <w:top w:val="single" w:color="000000" w:sz="4" w:space="0"/>
              <w:left w:val="single" w:color="000000" w:sz="4" w:space="0"/>
              <w:bottom w:val="single" w:color="000000" w:sz="4" w:space="0"/>
              <w:right w:val="single" w:color="000000" w:sz="4" w:space="0"/>
            </w:tcBorders>
            <w:noWrap w:val="0"/>
            <w:vAlign w:val="center"/>
          </w:tcPr>
          <w:p w14:paraId="1682FE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42574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599C0D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2475E5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多量程电流传感器</w:t>
            </w:r>
          </w:p>
        </w:tc>
        <w:tc>
          <w:tcPr>
            <w:tcW w:w="5081" w:type="dxa"/>
            <w:tcBorders>
              <w:top w:val="single" w:color="000000" w:sz="4" w:space="0"/>
              <w:left w:val="single" w:color="000000" w:sz="4" w:space="0"/>
              <w:bottom w:val="single" w:color="000000" w:sz="4" w:space="0"/>
              <w:right w:val="single" w:color="000000" w:sz="4" w:space="0"/>
            </w:tcBorders>
            <w:noWrap w:val="0"/>
            <w:vAlign w:val="center"/>
          </w:tcPr>
          <w:p w14:paraId="49B305C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多量程电流传感器采用模块化设计，配合通用接口，通过Lightning接口与采集器连接，支持正反盲插，具有热插拔功能，连接传输稳定。搭配采集器通过有线、无线方式连接电脑、手机或平板等终端进行数据采集，在终端上实时显示并记录电流的变化，并绘制图像，可脱离终端独立采集记录所探测到的实验数据并加以保存，以供下载和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一、结构及外观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传感器正面为档位调节开关，前端为鳄鱼夹导线，后端为Lightning接口线。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1.用于测量电路中的电流。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2.具有三量程切换开关，可根据实验要求一键切换测量量程。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3.外壳采用ABS工程塑料，具有耐火、耐高温、阻燃等特性。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4.搭配采集器可以在Windows、Android、iOS/iPadOS、MacOS、 Linux、Harmony OS、统信UOS 系统上进行数据采集。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5.支持传感器校零。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三、规格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档位1：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1.量程：-20mA~20mA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2.精度：±1%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3.分辨率：0.01mA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4.内阻：5.1Ω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档位2：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1.量程：-200mA~ 200mA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2.精度：±1%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3.分辨率：0.1mA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4.内阻：500mΩ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档位3：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1.量程：-2A~2A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2.精度：±1%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3.分辨率：0.001A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4.内阻：50mΩ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四、实验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欧姆定律、描绘小灯泡的伏安特性曲线、电池的电动势和内阻的测量、电阻的串并联、LC振荡、电磁感应现象、感应电流、电容器的串并联及充放电等</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788677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只</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786205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5" w:type="dxa"/>
            <w:tcBorders>
              <w:top w:val="single" w:color="000000" w:sz="4" w:space="0"/>
              <w:left w:val="single" w:color="000000" w:sz="4" w:space="0"/>
              <w:bottom w:val="single" w:color="000000" w:sz="4" w:space="0"/>
              <w:right w:val="single" w:color="000000" w:sz="4" w:space="0"/>
            </w:tcBorders>
            <w:noWrap w:val="0"/>
            <w:vAlign w:val="center"/>
          </w:tcPr>
          <w:p w14:paraId="49BC9D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1EA9C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3D4C83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637CDFB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无线智能色度计&amp;浊度计</w:t>
            </w:r>
          </w:p>
        </w:tc>
        <w:tc>
          <w:tcPr>
            <w:tcW w:w="5081" w:type="dxa"/>
            <w:tcBorders>
              <w:top w:val="single" w:color="000000" w:sz="4" w:space="0"/>
              <w:left w:val="single" w:color="000000" w:sz="4" w:space="0"/>
              <w:bottom w:val="single" w:color="000000" w:sz="4" w:space="0"/>
              <w:right w:val="single" w:color="000000" w:sz="4" w:space="0"/>
            </w:tcBorders>
            <w:noWrap w:val="0"/>
            <w:vAlign w:val="center"/>
          </w:tcPr>
          <w:p w14:paraId="5788B2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智能色度计&amp;浊度计内置色度计、浊度计2种传感器模块，无需连接数据采集器，通过蓝牙或USB直连电脑、手机或平板等终端可直接进行数据采集，在终端上实时显示并记录数据的变化，绘制相应图像。使用电源按钮或软件设置切换色度、浊度功能，并且可切换红、橙、黄、绿、蓝、紫6种入射光。可脱离终端而独立地记录所探测到的实验数据并加以保存，并随时供下载和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一、结构及外观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传感器主体正面有电源按钮、电源和蓝牙指示灯、传感器名称、蓝牙编号、0.96英寸OLED显示屏；主体前部为开合舱体，可放入比色皿进行实验。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1.用于测量溶液对于不同颜色的入射光的吸光度、透光率，以及溶液的浊度。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2.传感器内置蓝牙无线模块：使用蓝牙5.0技术，该技术拥有极低的运行和待机功耗。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3.传感器与数据采集终端（电脑、平板或手机）直接通过蓝牙无线连接，便于运动情况下的数据测量及各种实验环境中的数据采集，无需数据采集器；多种传感器合一，可测量：透光率、吸光度、浊度等。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4.可脱机进行数据采集。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5.色度/浊度切换简单，通过电源按钮或软件设置切换，提供多种波长选择。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6.传感器具有唯一蓝牙编号，便于数据终端选择性连接。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7.无需校准，即连即用。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8.连接方式：蓝牙无线或有线。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9.节能方式：传感器打开电源，但无连接或连接无活动，几分钟后自动关闭电源。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10.支持固件空中升级。                                                                                               11.支持平台：Windows、Android、iOS/iPadOS、MacOS、 Linux、Harmony OS、统信UOS等。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三、规格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1.量程：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红光（645nm）：透光率0~100%、吸光度0~3A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橙光（611nm）：透光率0~100%、吸光度0~3A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黄光（570nm）：透光率0~100%、吸光度0~3A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绿光（520nm）：透光率0~100%、吸光度0~3A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蓝光（470nm）：透光率0~100%、吸光度0~3A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紫光（430nm）：透光率0~100%、吸光度0~3A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浊度：0~400 NTU</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2.精度：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红光（645nm）：透光率±2%F.S、吸光度±0.03A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橙光（611nm）：透光率±2%F.S、吸光度±0.03A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黄光（570nm）：透光率±2%F.S、吸光度±0.03A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绿光（520nm）：透光率±2%F.S、吸光度±0.03A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蓝光（470nm）：透光率±2%F.S、吸光度±0.03A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紫光（430nm）：透光率±2%F.S、吸光度±0.03A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浊度：±5% NTU</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3.分辨率：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红光（645nm）：透光率0.1%、吸光度0.01A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橙光（611nm）：透光率0.1%、吸光度0.01A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黄光（570nm）：透光率0.1%、吸光度0.01A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绿光（520nm）：透光率0.1%、吸光度0.01A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蓝光（470nm）：透光率0.1%、吸光度0.01A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紫光（430nm）：透光率0.1%、吸光度0.01A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浊度：0.1 NTU</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4.采样速率:10次/秒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5.连续使用时间:≥50 小时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6.通讯距离:≥30m（空旷无遮挡）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7.可充电锂电池，电池型号：3.7V 1000mAh</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四、典型实验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水质检测、用肥皂水区分软水和硬水、观察氢氧化钙与二氧化碳的反应、探究反应条件对氯化铁水解平衡的影响、绿叶中色素的提取和分离等实验     ▲提供具有CMA和CNAS认证的第三方检测机构出具的满足参数要求的检测报告。</w:t>
            </w:r>
          </w:p>
        </w:tc>
        <w:tc>
          <w:tcPr>
            <w:tcW w:w="540" w:type="dxa"/>
            <w:tcBorders>
              <w:top w:val="single" w:color="000000" w:sz="4" w:space="0"/>
              <w:left w:val="single" w:color="000000" w:sz="4" w:space="0"/>
              <w:bottom w:val="single" w:color="000000" w:sz="4" w:space="0"/>
              <w:right w:val="single" w:color="000000" w:sz="4" w:space="0"/>
            </w:tcBorders>
            <w:noWrap/>
            <w:vAlign w:val="center"/>
          </w:tcPr>
          <w:p w14:paraId="06E9E8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只</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5DC4B5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5" w:type="dxa"/>
            <w:tcBorders>
              <w:top w:val="single" w:color="000000" w:sz="4" w:space="0"/>
              <w:left w:val="single" w:color="000000" w:sz="4" w:space="0"/>
              <w:bottom w:val="single" w:color="000000" w:sz="4" w:space="0"/>
              <w:right w:val="single" w:color="000000" w:sz="4" w:space="0"/>
            </w:tcBorders>
            <w:noWrap w:val="0"/>
            <w:vAlign w:val="center"/>
          </w:tcPr>
          <w:p w14:paraId="1912DD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0E5F2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60029E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15" w:type="dxa"/>
            <w:tcBorders>
              <w:top w:val="single" w:color="000000" w:sz="4" w:space="0"/>
              <w:left w:val="single" w:color="000000" w:sz="4" w:space="0"/>
              <w:bottom w:val="single" w:color="000000" w:sz="4" w:space="0"/>
              <w:right w:val="single" w:color="000000" w:sz="4" w:space="0"/>
            </w:tcBorders>
            <w:noWrap/>
            <w:vAlign w:val="center"/>
          </w:tcPr>
          <w:p w14:paraId="4731289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氯离子传感器</w:t>
            </w:r>
          </w:p>
        </w:tc>
        <w:tc>
          <w:tcPr>
            <w:tcW w:w="5081" w:type="dxa"/>
            <w:tcBorders>
              <w:top w:val="single" w:color="000000" w:sz="4" w:space="0"/>
              <w:left w:val="single" w:color="000000" w:sz="4" w:space="0"/>
              <w:bottom w:val="single" w:color="000000" w:sz="4" w:space="0"/>
              <w:right w:val="single" w:color="000000" w:sz="4" w:space="0"/>
            </w:tcBorders>
            <w:noWrap w:val="0"/>
            <w:vAlign w:val="center"/>
          </w:tcPr>
          <w:p w14:paraId="5A3688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氯离子传感器采用模块化设计，配合通用接口，通过Lightning接口与采集器连接，支持正反盲插，具有热插拔功能，连接传输稳定。搭配采集器通过有线、无线方式连接电脑、手机或平板等终端进行数据采集，在终端上实时显示并记录氯离子的变化，并绘制图像，可脱离终端独立采集记录所探测到的实验数据并加以保存，以供下载和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一、结构及外观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一体式传感器，Lightning接口。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1.用于测量溶液中氯离子的含量。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2.外壳采用ABS工程塑料，具有耐火、耐高温、阻燃等特性。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3.搭配采集器可以在Windows、Android、iOS/iPadOS、MacOS、 Linux、Harmony OS、统信UOS 系统上进行数据采集。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4.支持标定功能。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三、规格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1.量程：1.8ppm~3550ppm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2.分辨率：0.3ppm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四、实验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实验室使用二氧化锰与浓盐酸加热制取氯气等</w:t>
            </w:r>
          </w:p>
        </w:tc>
        <w:tc>
          <w:tcPr>
            <w:tcW w:w="540" w:type="dxa"/>
            <w:tcBorders>
              <w:top w:val="single" w:color="000000" w:sz="4" w:space="0"/>
              <w:left w:val="single" w:color="000000" w:sz="4" w:space="0"/>
              <w:bottom w:val="single" w:color="000000" w:sz="4" w:space="0"/>
              <w:right w:val="single" w:color="000000" w:sz="4" w:space="0"/>
            </w:tcBorders>
            <w:noWrap/>
            <w:vAlign w:val="center"/>
          </w:tcPr>
          <w:p w14:paraId="2E17F4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只</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6DA9A9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5" w:type="dxa"/>
            <w:tcBorders>
              <w:top w:val="single" w:color="000000" w:sz="4" w:space="0"/>
              <w:left w:val="single" w:color="000000" w:sz="4" w:space="0"/>
              <w:bottom w:val="single" w:color="000000" w:sz="4" w:space="0"/>
              <w:right w:val="single" w:color="000000" w:sz="4" w:space="0"/>
            </w:tcBorders>
            <w:noWrap/>
            <w:vAlign w:val="center"/>
          </w:tcPr>
          <w:p w14:paraId="11CFCC0D">
            <w:pPr>
              <w:keepNext w:val="0"/>
              <w:keepLines w:val="0"/>
              <w:widowControl/>
              <w:suppressLineNumbers w:val="0"/>
              <w:jc w:val="left"/>
              <w:textAlignment w:val="center"/>
              <w:rPr>
                <w:rFonts w:hint="eastAsia" w:ascii="宋体" w:hAnsi="宋体" w:eastAsia="宋体" w:cs="宋体"/>
                <w:i w:val="0"/>
                <w:iCs w:val="0"/>
                <w:color w:val="FF0000"/>
                <w:sz w:val="18"/>
                <w:szCs w:val="18"/>
                <w:u w:val="none"/>
              </w:rPr>
            </w:pPr>
          </w:p>
        </w:tc>
      </w:tr>
      <w:tr w14:paraId="4C381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A56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7ADB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氧化还原传感器</w:t>
            </w:r>
          </w:p>
        </w:tc>
        <w:tc>
          <w:tcPr>
            <w:tcW w:w="50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E713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氧化还原传感器采用模块化设计，通过Lightning接口与采集器连接，具有热插拔功能，连接传输稳定。搭配采集器通过有线、无线方式连接电脑、手机或平板等终端进行数据采集，在终端上实时显示并记录数据变化，并绘制图像，可脱离终端独立采集记录所探测到的实验数据并加以保存，以供下载和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一、结构及外观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传感器正面为电源指示灯，前端为Q9接口，后端为Lightning接口，附件为氧化还原电极探头。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1.用于测量水样品中的综合氧化还原电位值。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2.传感器采用模块化设计，可任意组合，使用更换方便快捷。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3.外壳采用ABS工程塑料，具有耐火、耐高温、阻燃等特性。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4.传感器上具有通电指示灯，可以快速判断是否正确连接。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5.搭配采集器可以在Windows、Android、iOS/iPadOS、MacOS、 Linux、Harmony OS、统信UOS 系统上进行数据采集。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6.无需校准，即连即用。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三、规格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1.量程：-2000mV~2000mV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2.精度：±1%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3.分辨率：1mV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四、实验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不同溶液的氧化还原电位的测量</w:t>
            </w:r>
          </w:p>
        </w:tc>
        <w:tc>
          <w:tcPr>
            <w:tcW w:w="5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A87A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只</w:t>
            </w:r>
          </w:p>
        </w:tc>
        <w:tc>
          <w:tcPr>
            <w:tcW w:w="4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1FEC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6A355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5271C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A7D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E1A1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气体酒精传感器</w:t>
            </w:r>
          </w:p>
        </w:tc>
        <w:tc>
          <w:tcPr>
            <w:tcW w:w="50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FA0E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气体酒精传感器采用模块化设计，配合通用接口，通过Lightning接口与采集器连接，支持正反盲插，具有热插拔功能，连接传输稳定。搭配采集器通过有线、无线方式连接电脑、手机或平板等终端进行数据采集，在终端上实时显示并记录酒精含量的变化，并绘制图像，可脱离终端独立采集记录所探测到的实验数据并加以保存，以供下载和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一、结构及外观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一体式传感器，Lightning接口。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1.用于测量气体中酒精的含量。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2.外壳采用ABS工程塑料，具有耐火、耐高温、阻燃等特性。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3.搭配采集器可以在Windows、Android、iOS/iPadOS、MacOS、 Linux、Harmony OS、统信UOS 系统上进行数据采集。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4.无需校准，即连即用。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三、规格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1.量程：0~6000ppm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2.精度：±3%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3.分辨率：1.5ppm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四、实验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酒后呼出气体中酒精含量的测定、酵母菌的呼吸作用等</w:t>
            </w:r>
          </w:p>
        </w:tc>
        <w:tc>
          <w:tcPr>
            <w:tcW w:w="5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273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只</w:t>
            </w:r>
          </w:p>
        </w:tc>
        <w:tc>
          <w:tcPr>
            <w:tcW w:w="4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D10C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2F5C4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52A94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3E5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047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二氧化硫传感器</w:t>
            </w:r>
          </w:p>
        </w:tc>
        <w:tc>
          <w:tcPr>
            <w:tcW w:w="50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560D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氧化硫传感器采用模块化设计，配合通用接口，通过Lightning接口与采集器连接，支持正反盲插，具有热插拔功能，连接传输稳定。搭配采集器通过有线、无线方式连接电脑、手机或平板等终端进行数据采集，在终端上实时显示并记录二氧化硫的变化，并绘制图像，可脱离终端独立采集记录所探测到的实验数据并加以保存，以供下载和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一、结构及外观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一体式传感器，Lightning接口。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1.用于检测化学反应中二氧化硫。</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2.外壳采用ABS工程塑料，具有耐火、耐高温、阻燃等特性。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3.搭配采集器可以在Windows、Android、iOS/iPadOS、MacOS、 Linux、Harmony OS、统信UOS 系统上进行数据采集。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4.无需校准，即连即用。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三、规格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1.量程：0~20ppm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2.精度：±1%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3.分辨率：0.1ppm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四、实验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空气质量评估、汽车尾气的探测、化学反应中微量二氧化硫的测量等</w:t>
            </w:r>
          </w:p>
        </w:tc>
        <w:tc>
          <w:tcPr>
            <w:tcW w:w="5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81CC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只</w:t>
            </w:r>
          </w:p>
        </w:tc>
        <w:tc>
          <w:tcPr>
            <w:tcW w:w="4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2FD4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425B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36EDB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036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8BB5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钙离子传感器</w:t>
            </w:r>
          </w:p>
        </w:tc>
        <w:tc>
          <w:tcPr>
            <w:tcW w:w="50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1F11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钙离子传感器采用模块化设计，配合通用接口，通过Lightning接口与采集器连接，支持正反盲插，具有热插拔功能，连接传输稳定。搭配采集器通过有线、无线方式连接电脑、手机或平板等终端进行数据采集，在终端上实时显示并记录溶液中的钙离子的含量的变化，并绘制图像，可脱离终端独立采集记录所探测到的实验数据并加以保存，以供下载和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一、结构及外观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一体式传感器，Lightning接口。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1.用于测量溶液中钙离子的含量。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2.外壳采用ABS工程塑料，具有耐火、耐高温、阻燃等特性。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3.搭配采集器可以在Windows、Android、iOS/iPadOS、MacOS、 Linux、Harmony OS、统信UOS 系统上进行数据采集。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4.支持标定功能。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三、规格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1.量程：0.4ppm~4000ppm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2.分辨率：0.7ppm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四、实验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硬水、软水的鉴别实验</w:t>
            </w:r>
          </w:p>
        </w:tc>
        <w:tc>
          <w:tcPr>
            <w:tcW w:w="5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B93F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只</w:t>
            </w:r>
          </w:p>
        </w:tc>
        <w:tc>
          <w:tcPr>
            <w:tcW w:w="4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BFC8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78804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3EB25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95AF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675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铵根离子传感器</w:t>
            </w:r>
          </w:p>
        </w:tc>
        <w:tc>
          <w:tcPr>
            <w:tcW w:w="50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41087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铵根离子传感器采用模块化设计，配合通用接口，通过Lightning接口与采集器连接，支持正反盲插，具有热插拔功能，连接传输稳定。搭配采集器通过有线、无线方式连接电脑、手机或平板等终端进行数据采集，在终端上实时显示并记录溶液中的铵根离子的含量的变化，并绘制图像，可脱离终端独立采集记录所探测到的实验数据并加以保存，以供下载和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一、结构及外观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一体式传感器，Lightning接口。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1.用于测量溶液中铵根离子的含量。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2.外壳采用ABS工程塑料，具有耐火、耐高温、阻燃等特性。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3.搭配采集器可以在Windows、Android、iOS/iPadOS、MacOS、 Linux、Harmony OS、统信UOS 系统上进行数据采集。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4.支持标定功能。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三、规格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1.量程：0.9ppm~1800ppm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2.分辨率：0.1ppm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四、实验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硝酸根在强碱作用下生成氨气的反应、溶液中铵根离子的检验和浓度的测定等</w:t>
            </w:r>
          </w:p>
        </w:tc>
        <w:tc>
          <w:tcPr>
            <w:tcW w:w="5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7D8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只</w:t>
            </w:r>
          </w:p>
        </w:tc>
        <w:tc>
          <w:tcPr>
            <w:tcW w:w="4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A996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6E75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57BFE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5827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5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53B7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光纤光谱仪</w:t>
            </w:r>
          </w:p>
        </w:tc>
        <w:tc>
          <w:tcPr>
            <w:tcW w:w="50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DF298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光纤光谱仪实验器主体（含开关、工作指示灯、USB接口、漏液孔、电池电源、比色皿槽）、比色皿*10、光纤、USB数据线、干电池*4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1.用于测量强度、吸光度、透光率和荧光等。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2.实验器采用了交叉非对称 C-T 光学系统，结构简单，体积小。内置CCD探测器，无需外接传感器及采集器，可直接与终端连接，在专用软件上，可实现数据连续记录并以数值、图像等多种形式在Windows系统终端上实时呈现，可探究分析叶绿素的吸收光谱、各种色光的光谱测量、高锰酸钾溶液浓度测定等实验，涉及到教学中的多个学科，广泛应用于中学教育或者大学的初级教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3.采用集成LED钨光光源和两段荧光激光光源，可自由切换，安全实用。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4.具有高质量的衍射光栅，可以将不同光谱的谱线分开，并且入射到反射镜上。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5.配置10个比色皿，可对溶液进行浓度、吸光度、透光率等测量。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6.主体下方设有漏液孔，可有效避免比色皿槽中液体残留损坏测量窗口。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7.配置光纤，可实现对各种色光的光谱测量。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高锰酸钾溶液浓度测定、硫酸铜溶液浓度测定、测定实验室黄铜样品的铜含量、测定自制硫酸亚铁铵的纯度、测量化学反应速率、分析叶绿素的吸收光谱、探究酶浓度对酶促反应速率的影响、荧光光谱的测量、各种色光的光谱测量、气体放电管的放射光谱测量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提供光纤光谱仪内置CCD探测器，无需外接传感器及采集器，可直接与终端连接，在专用软件上，可实现数据连续记录并以数值、图像等多种形式，完成实验荧光光谱的测量、各种色光的光谱测量、气体放电管的放射光谱测量等实验的实验界面及实验结果截图</w:t>
            </w:r>
          </w:p>
        </w:tc>
        <w:tc>
          <w:tcPr>
            <w:tcW w:w="5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5213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只</w:t>
            </w:r>
          </w:p>
        </w:tc>
        <w:tc>
          <w:tcPr>
            <w:tcW w:w="4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C396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EA08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49937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434392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1CD476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手提式实验箱</w:t>
            </w:r>
          </w:p>
        </w:tc>
        <w:tc>
          <w:tcPr>
            <w:tcW w:w="5081" w:type="dxa"/>
            <w:tcBorders>
              <w:top w:val="single" w:color="000000" w:sz="4" w:space="0"/>
              <w:left w:val="single" w:color="000000" w:sz="4" w:space="0"/>
              <w:bottom w:val="single" w:color="000000" w:sz="4" w:space="0"/>
              <w:right w:val="single" w:color="000000" w:sz="4" w:space="0"/>
            </w:tcBorders>
            <w:noWrap w:val="0"/>
            <w:vAlign w:val="center"/>
          </w:tcPr>
          <w:p w14:paraId="7F3D97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提式箱式设计，可翻盖，采用ABS材质，外形尺寸（长宽高）：437mm*327mm*170mm（两箱叠加高度H=330mm），最大承重：30-35公斤；箱体底部设有底部凸起，与上部设计凹槽相互咬合，通过独特的纽扣式锁止机构，实现箱子与箱子之前的锁合，可多个垒叠放置，便于携带和搬运，最多可垒5箱；内部含有内衬，保证每个器材都有对应的存放位置，便于快速、高效的整理和收纳；</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29E21E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6097C0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5" w:type="dxa"/>
            <w:tcBorders>
              <w:top w:val="single" w:color="000000" w:sz="4" w:space="0"/>
              <w:left w:val="single" w:color="000000" w:sz="4" w:space="0"/>
              <w:bottom w:val="single" w:color="000000" w:sz="4" w:space="0"/>
              <w:right w:val="single" w:color="000000" w:sz="4" w:space="0"/>
            </w:tcBorders>
            <w:noWrap w:val="0"/>
            <w:vAlign w:val="center"/>
          </w:tcPr>
          <w:p w14:paraId="6EEB7D0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70131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D59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5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C998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实验箱支架车</w:t>
            </w:r>
          </w:p>
        </w:tc>
        <w:tc>
          <w:tcPr>
            <w:tcW w:w="50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C0D8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承重：60kg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尺寸：410*310*170mm（展开），508*90*170mm（折叠）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质量：约1.3kg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由支架、万向轮组成，配套实验箱使用。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1.专为实验箱设计的移动支架车，可实现多个实验箱的迅速移动，省时省力。</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2.承重60kg，可承载多个实验箱。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3.有5个万向轮，带刹车，移动方便。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4.可折叠，折叠后体积小，便于收纳、运输。</w:t>
            </w:r>
          </w:p>
        </w:tc>
        <w:tc>
          <w:tcPr>
            <w:tcW w:w="5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A099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4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4B77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EB5EB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46C37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4FE0B4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55AFC99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离子-滴定计数实验装置</w:t>
            </w:r>
          </w:p>
        </w:tc>
        <w:tc>
          <w:tcPr>
            <w:tcW w:w="5081" w:type="dxa"/>
            <w:tcBorders>
              <w:top w:val="single" w:color="000000" w:sz="4" w:space="0"/>
              <w:left w:val="single" w:color="000000" w:sz="4" w:space="0"/>
              <w:bottom w:val="single" w:color="000000" w:sz="4" w:space="0"/>
              <w:right w:val="single" w:color="000000" w:sz="4" w:space="0"/>
            </w:tcBorders>
            <w:noWrap w:val="0"/>
            <w:vAlign w:val="center"/>
          </w:tcPr>
          <w:p w14:paraId="64B00B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无线智能离子-滴定计数器、滴定组件（注射器针筒*1、三通阀*2、滴嘴*1）、滴定套装（多向转接头*2、铝杆、长尾夹）、铁架台、梅花螺栓、手紧螺丝、pH传感器探头、Type-C数据线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1.用于生物、化学学科中各种滴定类实验和部分离子含量的测定，如酸碱中和滴定、酸碱反应热实验、钠钾钙等离子浓度的检测。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滴定计数器可通过光电门计量液滴滴落的数量，同时传感器可直接接入滴定计数器中，测得溶液中待测量的数据变化，智能采集，无需手工记录和画图，自动生成滴定曲线，并在Windows、安卓、iOS系统终端上实时呈现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内置滴数、pH、亚硝酸根离子、氯离子、钠离子、铵根离子、硝酸根离子、钙离子、钾离子、温度10种传感器模块，配置lightning接口、Q9接口、3.5mm接口，支持接入10余种离子传感器探头，如：pH传感器、温度传感器、溶解二氧化碳、亚硝酸根离子传感器、硝酸根离子传感器、氯离子传感器、铵根离子传感器、钠离子传感器、钾离子传感器、钙离子传感器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4.配置两套三通阀，可实现液体滴落开关和流速控制独立操作。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5.滴定计数器带有传感器安装孔，方便固定传感器探头。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实验结果更准确，pH传感器精度为0.1，能够精确地测量在滴定过程中溶液中微小的pH变化，自动生成滴定曲线，可在曲线坐标查找滴定终点（pH=7）时溶液的体积，用于计算待测液的浓度，让学生更好地理解酸碱中和滴定的意义及pH突变的存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7.最大滴定速度：30滴/s。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8.低功耗蓝牙技术，数据传输距离远，安全稳定。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9.电池容量：1000mAh锂电池，独立供电，续航持久，可连续工作24小时，待机时间大于5个月。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10.支持独立采集模式，支持外接设备采集，支持无线传输。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11.配套专用实验软件，预设模板，以表格和曲线等形式自动记录数据变化情况，实验结果更直观明显。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用于生物、化学学科中各种滴定类实验和部分离子含量的测定、如酸碱中和滴定、酸碱反应热、钠钾钙等离子浓度的检测等实验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提供离子-滴定计数实验装置智能采集，无需手工记录和画图，自动生成滴定曲线，能够精确地测量在滴定过程中溶液中微小的pH变化，可在曲线坐标查找滴定终点（pH=7）时溶液的体积，完成实验酸碱中和滴定、酸碱反应热、钠钾钙等离子浓度的检测等实验的实验界面及实验结果截图</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69FFD6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7C2455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5" w:type="dxa"/>
            <w:tcBorders>
              <w:top w:val="single" w:color="000000" w:sz="4" w:space="0"/>
              <w:left w:val="single" w:color="000000" w:sz="4" w:space="0"/>
              <w:bottom w:val="single" w:color="000000" w:sz="4" w:space="0"/>
              <w:right w:val="single" w:color="000000" w:sz="4" w:space="0"/>
            </w:tcBorders>
            <w:noWrap w:val="0"/>
            <w:vAlign w:val="center"/>
          </w:tcPr>
          <w:p w14:paraId="167D6F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41CD5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7B57F1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014690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酸碱反应热实验器</w:t>
            </w:r>
          </w:p>
        </w:tc>
        <w:tc>
          <w:tcPr>
            <w:tcW w:w="5081" w:type="dxa"/>
            <w:tcBorders>
              <w:top w:val="single" w:color="000000" w:sz="4" w:space="0"/>
              <w:left w:val="single" w:color="000000" w:sz="4" w:space="0"/>
              <w:bottom w:val="single" w:color="000000" w:sz="4" w:space="0"/>
              <w:right w:val="single" w:color="000000" w:sz="4" w:space="0"/>
            </w:tcBorders>
            <w:noWrap w:val="0"/>
            <w:vAlign w:val="center"/>
          </w:tcPr>
          <w:p w14:paraId="05ED0D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绝热桶、隔热泡沫、带孔桶盖、硅胶塞、烧杯（100mL）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1.用于化学反应热的精确测量相关实验。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2.实验器可容纳液体、固体和液体，为溶液反应和固体的溶解提供保温的实验环境。通过温度传感器，可测得温度变化情况，并在Windows、安卓、iOS系统终端上实时呈现数据，取点更加准确，计算数据误差小。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3.双层隔热设计保温性能好，实验数据更加准确。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4.带孔桶盖适配常规温度计和温度传感器，支持传统实验教学及数字化实验设计，实验灵活。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5.大小适用，既可以节省试剂，也可以很好地测量溶液温度的变化。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6.通用性高，一个实验器可完成多个教材实验，还可以满足多种溶液反应吸放热实验的测量。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7.配套专用实验软件，预设模板，以曲线等形式自动记录数据变化情况，实验结果更直观明显。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酸碱反应热、固体溶解时的吸热放热现象、化学反应热的测量、氢氧化钡与氯化铵的反应等实验</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758E4C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2D158D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5" w:type="dxa"/>
            <w:tcBorders>
              <w:top w:val="single" w:color="000000" w:sz="4" w:space="0"/>
              <w:left w:val="single" w:color="000000" w:sz="4" w:space="0"/>
              <w:bottom w:val="single" w:color="000000" w:sz="4" w:space="0"/>
              <w:right w:val="single" w:color="000000" w:sz="4" w:space="0"/>
            </w:tcBorders>
            <w:noWrap w:val="0"/>
            <w:vAlign w:val="center"/>
          </w:tcPr>
          <w:p w14:paraId="524E9F7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09530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22AD6D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515" w:type="dxa"/>
            <w:tcBorders>
              <w:top w:val="single" w:color="000000" w:sz="4" w:space="0"/>
              <w:left w:val="single" w:color="000000" w:sz="4" w:space="0"/>
              <w:bottom w:val="single" w:color="000000" w:sz="4" w:space="0"/>
              <w:right w:val="single" w:color="000000" w:sz="4" w:space="0"/>
            </w:tcBorders>
            <w:noWrap/>
            <w:vAlign w:val="center"/>
          </w:tcPr>
          <w:p w14:paraId="39DD9A8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气液相密封实验器</w:t>
            </w:r>
          </w:p>
        </w:tc>
        <w:tc>
          <w:tcPr>
            <w:tcW w:w="5081" w:type="dxa"/>
            <w:tcBorders>
              <w:top w:val="single" w:color="000000" w:sz="4" w:space="0"/>
              <w:left w:val="single" w:color="000000" w:sz="4" w:space="0"/>
              <w:bottom w:val="single" w:color="000000" w:sz="4" w:space="0"/>
              <w:right w:val="single" w:color="000000" w:sz="4" w:space="0"/>
            </w:tcBorders>
            <w:noWrap w:val="0"/>
            <w:vAlign w:val="center"/>
          </w:tcPr>
          <w:p w14:paraId="72EC19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实验器罐体、护线圈*5、硅胶堵头*5、塑料吸管*20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1.用于生化实验中光合作用、酵母菌的呼吸作用等实验。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2.实验器罐体配合硅胶堵头、护线圈，可连接气体酒精传感器、氧气传感器、二氧化碳传感器、相对湿度传感器等，轻松搭建密封实验环境，配合传感器使用可在Windows、安卓、iOS系统终端上实时呈现数据。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3.实验桶透明设计，便于观察实验现象。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4.配合二氧化碳传感器、氧气传感器可做光合作用吸收二氧化碳产生氧气的实验。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5.配合二氧化碳传感器、氧气传感器、气体酒精传感器可做酵母菌的细胞呼吸实验。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6.配合二氧化碳传感器、氧气传感器、相对湿度传感器可做人体吸入与呼出气体成分的探究实验。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7.通过移动终端扫描仪器上的二维码可浏览该仪器配套的使用说明。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8.配套专用实验软件，预设模板，以表格和曲线等形式自动记录数据变化情况，实验结果更直观明显。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光合作用、酵母菌的细胞呼吸、人体吸入与呼出气体成分的探究等实验</w:t>
            </w:r>
          </w:p>
        </w:tc>
        <w:tc>
          <w:tcPr>
            <w:tcW w:w="540" w:type="dxa"/>
            <w:tcBorders>
              <w:top w:val="single" w:color="000000" w:sz="4" w:space="0"/>
              <w:left w:val="single" w:color="000000" w:sz="4" w:space="0"/>
              <w:bottom w:val="single" w:color="000000" w:sz="4" w:space="0"/>
              <w:right w:val="single" w:color="000000" w:sz="4" w:space="0"/>
            </w:tcBorders>
            <w:noWrap/>
            <w:vAlign w:val="center"/>
          </w:tcPr>
          <w:p w14:paraId="0E3A65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60A12F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5" w:type="dxa"/>
            <w:tcBorders>
              <w:top w:val="single" w:color="000000" w:sz="4" w:space="0"/>
              <w:left w:val="single" w:color="000000" w:sz="4" w:space="0"/>
              <w:bottom w:val="single" w:color="000000" w:sz="4" w:space="0"/>
              <w:right w:val="single" w:color="000000" w:sz="4" w:space="0"/>
            </w:tcBorders>
            <w:noWrap w:val="0"/>
            <w:vAlign w:val="center"/>
          </w:tcPr>
          <w:p w14:paraId="774EE1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3B4C7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537766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46EC87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磁力搅拌器</w:t>
            </w:r>
          </w:p>
        </w:tc>
        <w:tc>
          <w:tcPr>
            <w:tcW w:w="5081" w:type="dxa"/>
            <w:tcBorders>
              <w:top w:val="single" w:color="000000" w:sz="4" w:space="0"/>
              <w:left w:val="single" w:color="000000" w:sz="4" w:space="0"/>
              <w:bottom w:val="single" w:color="000000" w:sz="4" w:space="0"/>
              <w:right w:val="single" w:color="000000" w:sz="4" w:space="0"/>
            </w:tcBorders>
            <w:noWrap w:val="0"/>
            <w:vAlign w:val="center"/>
          </w:tcPr>
          <w:p w14:paraId="068219E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搅拌器（开关、转速旋钮）、电源适配器、磁子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1.专用于液体搅拌，用于生化学科中需要溶液搅拌的相关实验，适合于常规实验化学分析、液体处理、生物试剂混合等领域，简单易用。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2.通过调节转速旋钮调节速度，转速支持0rpm～1800rpm，可调范围广。工作台尺寸：130*130mm，外观尺寸：150*200*55mm，净重：0.5kg，电源电压：12V。</w:t>
            </w:r>
          </w:p>
        </w:tc>
        <w:tc>
          <w:tcPr>
            <w:tcW w:w="540" w:type="dxa"/>
            <w:tcBorders>
              <w:top w:val="single" w:color="000000" w:sz="4" w:space="0"/>
              <w:left w:val="single" w:color="000000" w:sz="4" w:space="0"/>
              <w:bottom w:val="single" w:color="000000" w:sz="4" w:space="0"/>
              <w:right w:val="single" w:color="000000" w:sz="4" w:space="0"/>
            </w:tcBorders>
            <w:noWrap/>
            <w:vAlign w:val="center"/>
          </w:tcPr>
          <w:p w14:paraId="3BCBAF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7002CC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5" w:type="dxa"/>
            <w:tcBorders>
              <w:top w:val="single" w:color="000000" w:sz="4" w:space="0"/>
              <w:left w:val="single" w:color="000000" w:sz="4" w:space="0"/>
              <w:bottom w:val="single" w:color="000000" w:sz="4" w:space="0"/>
              <w:right w:val="single" w:color="000000" w:sz="4" w:space="0"/>
            </w:tcBorders>
            <w:noWrap w:val="0"/>
            <w:vAlign w:val="center"/>
          </w:tcPr>
          <w:p w14:paraId="04FB3D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19019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2C0CC3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04D326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橡胶塞配件包</w:t>
            </w:r>
          </w:p>
        </w:tc>
        <w:tc>
          <w:tcPr>
            <w:tcW w:w="5081" w:type="dxa"/>
            <w:tcBorders>
              <w:top w:val="single" w:color="000000" w:sz="4" w:space="0"/>
              <w:left w:val="single" w:color="000000" w:sz="4" w:space="0"/>
              <w:bottom w:val="single" w:color="000000" w:sz="4" w:space="0"/>
              <w:right w:val="single" w:color="000000" w:sz="4" w:space="0"/>
            </w:tcBorders>
            <w:noWrap w:val="0"/>
            <w:vAlign w:val="center"/>
          </w:tcPr>
          <w:p w14:paraId="45613E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单孔塞（φ37*φ30-31，孔φ5mm）、单孔塞（φ37*φ30-31，带直通接头）、单孔塞（φ37*φ30-31，孔φ15.5mm）、三孔塞（φ37*φ30-31，两孔φ8mm，一孔φ12.5mm）、三孔塞（φ37*φ30-31，两孔φ8mm，一孔φ15.5mm）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单孔塞搭配锥形瓶，孔径与传感器适配性高，可接入温度传感器、绝对压强传感器、二氧化碳传感器等，密封性好，可用于需要在密封环境中测量温度、压强、二氧化碳浓度的相关生化类实验，并在Windows、安卓、iOS系统终端上实时呈现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三孔塞搭配锥形瓶，孔径适合玻璃导管、长颈漏斗、二氧化碳传感器、溶解氧-气中氧一体传感器等组合使用，可用于需要在密封环境中进行的生化类实验，如固液生成气体的实验、化学反应速率、生成气体导入和导出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3.适用于多种实验，减轻教师准备或自制器材的负担，解决适配性难题，轻松满足教师的实验教学需要。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铁的吸氧腐蚀、种子的萌发等实验</w:t>
            </w:r>
          </w:p>
        </w:tc>
        <w:tc>
          <w:tcPr>
            <w:tcW w:w="540" w:type="dxa"/>
            <w:tcBorders>
              <w:top w:val="single" w:color="000000" w:sz="4" w:space="0"/>
              <w:left w:val="single" w:color="000000" w:sz="4" w:space="0"/>
              <w:bottom w:val="single" w:color="000000" w:sz="4" w:space="0"/>
              <w:right w:val="single" w:color="000000" w:sz="4" w:space="0"/>
            </w:tcBorders>
            <w:noWrap/>
            <w:vAlign w:val="center"/>
          </w:tcPr>
          <w:p w14:paraId="5F5B1A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66A8E9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5" w:type="dxa"/>
            <w:tcBorders>
              <w:top w:val="single" w:color="000000" w:sz="4" w:space="0"/>
              <w:left w:val="single" w:color="000000" w:sz="4" w:space="0"/>
              <w:bottom w:val="single" w:color="000000" w:sz="4" w:space="0"/>
              <w:right w:val="single" w:color="000000" w:sz="4" w:space="0"/>
            </w:tcBorders>
            <w:noWrap w:val="0"/>
            <w:vAlign w:val="center"/>
          </w:tcPr>
          <w:p w14:paraId="2E6BE9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3CAFE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30D620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099472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多功能电极支架</w:t>
            </w:r>
          </w:p>
        </w:tc>
        <w:tc>
          <w:tcPr>
            <w:tcW w:w="5081" w:type="dxa"/>
            <w:tcBorders>
              <w:top w:val="single" w:color="000000" w:sz="4" w:space="0"/>
              <w:left w:val="single" w:color="000000" w:sz="4" w:space="0"/>
              <w:bottom w:val="single" w:color="000000" w:sz="4" w:space="0"/>
              <w:right w:val="single" w:color="000000" w:sz="4" w:space="0"/>
            </w:tcBorders>
            <w:noWrap w:val="0"/>
            <w:vAlign w:val="center"/>
          </w:tcPr>
          <w:p w14:paraId="3F74B34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底座、多功能支架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1.用于固定传感器探头。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2.底座与支架插拔式连接，安装简单。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3.支架可360°旋转，自由伸缩。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4.支架上臂有电缆线固定口，可固定传感器电缆线或探头连线。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5.支架顶部可同时固定7个传感器，例如pH、电导率、温度、氧气、二氧化碳、离子类等多种传感器。</w:t>
            </w:r>
          </w:p>
        </w:tc>
        <w:tc>
          <w:tcPr>
            <w:tcW w:w="540" w:type="dxa"/>
            <w:tcBorders>
              <w:top w:val="single" w:color="000000" w:sz="4" w:space="0"/>
              <w:left w:val="single" w:color="000000" w:sz="4" w:space="0"/>
              <w:bottom w:val="single" w:color="000000" w:sz="4" w:space="0"/>
              <w:right w:val="single" w:color="000000" w:sz="4" w:space="0"/>
            </w:tcBorders>
            <w:noWrap/>
            <w:vAlign w:val="center"/>
          </w:tcPr>
          <w:p w14:paraId="2A22BF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57AE6B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5" w:type="dxa"/>
            <w:tcBorders>
              <w:top w:val="single" w:color="000000" w:sz="4" w:space="0"/>
              <w:left w:val="single" w:color="000000" w:sz="4" w:space="0"/>
              <w:bottom w:val="single" w:color="000000" w:sz="4" w:space="0"/>
              <w:right w:val="single" w:color="000000" w:sz="4" w:space="0"/>
            </w:tcBorders>
            <w:noWrap w:val="0"/>
            <w:vAlign w:val="center"/>
          </w:tcPr>
          <w:p w14:paraId="535251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5D34A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18C1F6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19DA26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铁的吸氧腐蚀实验器</w:t>
            </w:r>
          </w:p>
        </w:tc>
        <w:tc>
          <w:tcPr>
            <w:tcW w:w="5081" w:type="dxa"/>
            <w:tcBorders>
              <w:top w:val="single" w:color="000000" w:sz="4" w:space="0"/>
              <w:left w:val="single" w:color="000000" w:sz="4" w:space="0"/>
              <w:bottom w:val="single" w:color="000000" w:sz="4" w:space="0"/>
              <w:right w:val="single" w:color="000000" w:sz="4" w:space="0"/>
            </w:tcBorders>
            <w:noWrap w:val="0"/>
            <w:vAlign w:val="center"/>
          </w:tcPr>
          <w:p w14:paraId="22B632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平口圆底试管（52*100mm）、橡胶塞、宝塔头、硅胶堵头*2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1.用于铁的吸氧腐蚀实验的探究，通过测量反应过程中温度、压强、氧气含量的变化，探究铁的吸氧腐蚀现象。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器具有匹配不同传感器探头的孔径，密封性良好，配合温度传感器、溶解氧-气中氧一体传感器、绝对压强传感器测量铁在吸氧腐蚀过程中温度、氧气含量、压强的变化，并在Windows、安卓、iOS系统终端上实时呈现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3.试管体积足够大，增加反应物的接触面积，能使反应物在试管内部充分反应，实验效果明显。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4.透明瓶体设计，便于观察实验现象，可从多维度了解实验。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5.与传感器适配性好，轻松搭建密封的实验环境，可拓展完成多种化学实验。减轻准备器材的负担，轻松满足演示及分组实验，让课堂教学更高效。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探究铁的吸氧腐蚀现象等实验  ▲提供具有CMA和CNAS认证的第三方检测机构出具的满足参数要求的检测报告。</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3FE733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4B2194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5" w:type="dxa"/>
            <w:tcBorders>
              <w:top w:val="single" w:color="000000" w:sz="4" w:space="0"/>
              <w:left w:val="single" w:color="000000" w:sz="4" w:space="0"/>
              <w:bottom w:val="single" w:color="000000" w:sz="4" w:space="0"/>
              <w:right w:val="single" w:color="000000" w:sz="4" w:space="0"/>
            </w:tcBorders>
            <w:noWrap w:val="0"/>
            <w:vAlign w:val="center"/>
          </w:tcPr>
          <w:p w14:paraId="3E8F60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25562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7B0EDF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092525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化学反应速率实验器</w:t>
            </w:r>
          </w:p>
        </w:tc>
        <w:tc>
          <w:tcPr>
            <w:tcW w:w="5081" w:type="dxa"/>
            <w:tcBorders>
              <w:top w:val="single" w:color="000000" w:sz="4" w:space="0"/>
              <w:left w:val="single" w:color="000000" w:sz="4" w:space="0"/>
              <w:bottom w:val="single" w:color="000000" w:sz="4" w:space="0"/>
              <w:right w:val="single" w:color="000000" w:sz="4" w:space="0"/>
            </w:tcBorders>
            <w:noWrap w:val="0"/>
            <w:vAlign w:val="center"/>
          </w:tcPr>
          <w:p w14:paraId="5ADFE7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密封反应瓶、注液阀门开关、注射器（10mL）、压强传感器接口、泄压组件（260±10kPa）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1.用于探究催化剂对过氧化氢分解的影响、金属与酸反应、酶催化的高效性等。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密封反应瓶，保证实验器的密封性，实验数据更加精确，支持固体、液体和气体任意组合的产气或吸收气体的相关的生化反应，配合绝对压强传感器，通过测量压强的变化，探究化学反应速率的快慢，在Windows、安卓、iOS系统终端上实时呈现数据，实验规律更加直观，适用范围广泛。</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3.装置设有螺口注射器及注液阀门开关，保证全程密封的情况下，注入液体定量可控，可一次或分段多次注入，实验高效且保证安全性。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4.装置设有泄压阀（泄压阀安全值260±10kPa），压强过高时会自动泄压，充分保证了实验的安全性。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5.透明瓶体设计，便于观察实验现象，可从多维度了解实验。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6.与传感器适配性好，轻松搭建密封的实验环境，减轻准备器材的负担，轻松满足演示及分组实验，让课堂教学更高效。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7.通过移动终端扫描仪器上的二维码可浏览该仪器配套的使用说明。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8.配套专用实验软件，预设模板，以表格和曲线等形式自动记录数据变化情况，实验结果更直观明显。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催化剂对化学反应速率的影响、金属与酸反应、酶催化的高效性等实验   ▲提供具有CMA和CNAS认证的第三方检测机构出具的满足参数要求的检测报告。</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670E41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756B8A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5" w:type="dxa"/>
            <w:tcBorders>
              <w:top w:val="single" w:color="000000" w:sz="4" w:space="0"/>
              <w:left w:val="single" w:color="000000" w:sz="4" w:space="0"/>
              <w:bottom w:val="single" w:color="000000" w:sz="4" w:space="0"/>
              <w:right w:val="single" w:color="000000" w:sz="4" w:space="0"/>
            </w:tcBorders>
            <w:noWrap w:val="0"/>
            <w:vAlign w:val="center"/>
          </w:tcPr>
          <w:p w14:paraId="60C8594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6226B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7CBF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5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6BC8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渗透研究实验器</w:t>
            </w:r>
          </w:p>
        </w:tc>
        <w:tc>
          <w:tcPr>
            <w:tcW w:w="50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1735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U型连通器（含L型管*2、底座、硅胶板、梅花手柄螺丝*4）、导气配件*2、半透膜*6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1.用于初中生物、高中生物研究渗透实验。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器应用U型管连通原理，贴合教学需要，配合压强传感器、离子类传感器（如氯离子传感器）、电导率传感器使用，可探究渗透过程中半透膜两侧产生的压力变化或渗透过程中膜两侧离子浓度的变化，在Windows、安卓、iOS系统终端上实时呈现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3.装置隔膜位置配有发泡硅胶板及4个梅花手紧螺丝，有效保证密封性，实验环境搭建简单，易操作。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4.可自由更换半透膜种类，根据教学要求拓展探究实验的深度和广度。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5.U型连通器两侧设有刻度标贴，可以观察液面高度的变化。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6.配套专用实验软件，预设模板，以曲线形式自动记录数据变化情况，实验结果更直观明显。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观察渗透现象、测量渗透压等实验</w:t>
            </w:r>
          </w:p>
        </w:tc>
        <w:tc>
          <w:tcPr>
            <w:tcW w:w="5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B9D2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6A71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3B91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50007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8FF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81F9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智能实验数据采集终端</w:t>
            </w:r>
          </w:p>
        </w:tc>
        <w:tc>
          <w:tcPr>
            <w:tcW w:w="50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1704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触摸平板式10.1英寸，10点电容屏，分辨率1920*1200IPS，30000mWh聚合物锂离子电池，连续使用≥8小时，4GDDR4LRAM，64GBROM支持扩展卡，前置2.0M后置5.0MP摄像头，标准USB3.0接口，HDMImini接口，type-C数据接口，3.5mm耳机接口；windows10 64位操作系统。智能采集并保存数据，内置64G存储空间，方便存储实验数据﹔前置后置摄像头，方便拍摄实验图片;支持网络连接，方便传送实验数据﹔内置USB接口和蓝牙模块，支持多种连接方式；</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8688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9D0A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C987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7ADD0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032D5F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7E4AB5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数字化实验系统</w:t>
            </w:r>
          </w:p>
        </w:tc>
        <w:tc>
          <w:tcPr>
            <w:tcW w:w="5081" w:type="dxa"/>
            <w:tcBorders>
              <w:top w:val="single" w:color="000000" w:sz="4" w:space="0"/>
              <w:left w:val="single" w:color="000000" w:sz="4" w:space="0"/>
              <w:bottom w:val="single" w:color="000000" w:sz="4" w:space="0"/>
              <w:right w:val="single" w:color="000000" w:sz="4" w:space="0"/>
            </w:tcBorders>
            <w:noWrap w:val="0"/>
            <w:vAlign w:val="center"/>
          </w:tcPr>
          <w:p w14:paraId="572519D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支持实验设计、数据采集和保存、数据分析计算等，是一款功能强大的教学用实验数据处理软件。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1.支持Windows、Android、iOS/iPadOS、MacOS、 Linux、Harmony OS、统信UOS。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2.支持有线连接，无线蓝牙连接。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3.支持传感器自动识别。</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4.可连接多个采集器，并支持多个采集器同时工作。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5.可支持20个传感器同时采集。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6.通过坐标图像曲线、表格、数值、仪表盘等方式，实时、直观、精确显示实验数据。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7.根据实验需要，可进行公式（变量）编辑，自主添加实验变量（或增量等），并通过公式编辑实现不同物理量之间的转换。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8.可对数据图表操作，包括对图表内数据曲线的移动、缩放、改变曲线颜色及大小等，便于实验前后的数据分析处理，适合于教学中实验结果的精确测定与验证。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9.具有完善的数据处理功能，包含多种数据拟合：直线拟合、抛物线拟合、倒数拟合、积分、重叠显示等。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10.实验结果以图片等不同方式进行保存。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11.包含小学科学、初中物理、初中化学、初中生物、高中物理、高中生物、高中化学7个专用实验模块，超过150个实验专有模板，全定制化的实验界面及实验操作，贴合教学过程。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12.软件可关联“在线实验设计平台”，通过注册和登录，登录之后可使用“在线实验设计平台”，体验功能更为强大的实验自主设计软件。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13.通用界面支持多种功能风格显示，并且可自定义界面风格。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▲14、提供丰富完整的在线实验教学案例，资源数量不少于700个的产品功能截图                                                                                                                 ▲15、提供丰富的在线实验视频，视频数量不少于150个的产品功能截图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▲16、提供在线实验视频既可以通过自有平台浏览，同时也可以通过第三方平台浏览的产品功能截图</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2AC8AB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213567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5" w:type="dxa"/>
            <w:tcBorders>
              <w:top w:val="single" w:color="000000" w:sz="4" w:space="0"/>
              <w:left w:val="single" w:color="000000" w:sz="4" w:space="0"/>
              <w:bottom w:val="single" w:color="000000" w:sz="4" w:space="0"/>
              <w:right w:val="single" w:color="000000" w:sz="4" w:space="0"/>
            </w:tcBorders>
            <w:noWrap w:val="0"/>
            <w:vAlign w:val="center"/>
          </w:tcPr>
          <w:p w14:paraId="0858C9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736064" behindDoc="0" locked="0" layoutInCell="1" allowOverlap="1">
                  <wp:simplePos x="0" y="0"/>
                  <wp:positionH relativeFrom="column">
                    <wp:posOffset>800100</wp:posOffset>
                  </wp:positionH>
                  <wp:positionV relativeFrom="paragraph">
                    <wp:posOffset>76200</wp:posOffset>
                  </wp:positionV>
                  <wp:extent cx="4445" cy="1192530"/>
                  <wp:effectExtent l="0" t="0" r="0" b="0"/>
                  <wp:wrapNone/>
                  <wp:docPr id="37" name="Picture_2_SpCnt_60"/>
                  <wp:cNvGraphicFramePr/>
                  <a:graphic xmlns:a="http://schemas.openxmlformats.org/drawingml/2006/main">
                    <a:graphicData uri="http://schemas.openxmlformats.org/drawingml/2006/picture">
                      <pic:pic xmlns:pic="http://schemas.openxmlformats.org/drawingml/2006/picture">
                        <pic:nvPicPr>
                          <pic:cNvPr id="37" name="Picture_2_SpCnt_60"/>
                          <pic:cNvPicPr/>
                        </pic:nvPicPr>
                        <pic:blipFill>
                          <a:blip r:embed="rId21"/>
                          <a:stretch>
                            <a:fillRect/>
                          </a:stretch>
                        </pic:blipFill>
                        <pic:spPr>
                          <a:xfrm>
                            <a:off x="0" y="0"/>
                            <a:ext cx="4445" cy="1192530"/>
                          </a:xfrm>
                          <a:prstGeom prst="rect">
                            <a:avLst/>
                          </a:prstGeom>
                          <a:noFill/>
                          <a:ln>
                            <a:noFill/>
                          </a:ln>
                        </pic:spPr>
                      </pic:pic>
                    </a:graphicData>
                  </a:graphic>
                </wp:anchor>
              </w:drawing>
            </w:r>
          </w:p>
        </w:tc>
      </w:tr>
      <w:tr w14:paraId="1DAB0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95D9E">
            <w:pPr>
              <w:jc w:val="center"/>
              <w:rPr>
                <w:rFonts w:hint="eastAsia" w:ascii="宋体" w:hAnsi="宋体" w:eastAsia="宋体" w:cs="宋体"/>
                <w:i w:val="0"/>
                <w:iCs w:val="0"/>
                <w:color w:val="000000"/>
                <w:sz w:val="18"/>
                <w:szCs w:val="18"/>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DCA51">
            <w:pPr>
              <w:jc w:val="left"/>
              <w:rPr>
                <w:rFonts w:hint="eastAsia" w:ascii="宋体" w:hAnsi="宋体" w:eastAsia="宋体" w:cs="宋体"/>
                <w:i w:val="0"/>
                <w:iCs w:val="0"/>
                <w:color w:val="000000"/>
                <w:sz w:val="18"/>
                <w:szCs w:val="18"/>
                <w:u w:val="none"/>
              </w:rPr>
            </w:pPr>
          </w:p>
        </w:tc>
        <w:tc>
          <w:tcPr>
            <w:tcW w:w="50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9D56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学生端</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6E53B3">
            <w:pPr>
              <w:jc w:val="center"/>
              <w:rPr>
                <w:rFonts w:hint="eastAsia" w:ascii="宋体" w:hAnsi="宋体" w:eastAsia="宋体" w:cs="宋体"/>
                <w:i w:val="0"/>
                <w:iCs w:val="0"/>
                <w:color w:val="000000"/>
                <w:sz w:val="18"/>
                <w:szCs w:val="18"/>
                <w:u w:val="none"/>
              </w:rPr>
            </w:pPr>
          </w:p>
        </w:tc>
        <w:tc>
          <w:tcPr>
            <w:tcW w:w="4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D5691">
            <w:pPr>
              <w:jc w:val="center"/>
              <w:rPr>
                <w:rFonts w:hint="eastAsia" w:ascii="宋体" w:hAnsi="宋体" w:eastAsia="宋体" w:cs="宋体"/>
                <w:i w:val="0"/>
                <w:iCs w:val="0"/>
                <w:color w:val="000000"/>
                <w:sz w:val="18"/>
                <w:szCs w:val="18"/>
                <w:u w:val="none"/>
              </w:rPr>
            </w:pPr>
          </w:p>
        </w:tc>
        <w:tc>
          <w:tcPr>
            <w:tcW w:w="2225"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0255244">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37088" behindDoc="0" locked="0" layoutInCell="1" allowOverlap="1">
                  <wp:simplePos x="0" y="0"/>
                  <wp:positionH relativeFrom="column">
                    <wp:posOffset>0</wp:posOffset>
                  </wp:positionH>
                  <wp:positionV relativeFrom="paragraph">
                    <wp:posOffset>0</wp:posOffset>
                  </wp:positionV>
                  <wp:extent cx="4445" cy="1189990"/>
                  <wp:effectExtent l="0" t="0" r="0" b="0"/>
                  <wp:wrapNone/>
                  <wp:docPr id="39" name="Picture_2_SpCnt_61"/>
                  <wp:cNvGraphicFramePr/>
                  <a:graphic xmlns:a="http://schemas.openxmlformats.org/drawingml/2006/main">
                    <a:graphicData uri="http://schemas.openxmlformats.org/drawingml/2006/picture">
                      <pic:pic xmlns:pic="http://schemas.openxmlformats.org/drawingml/2006/picture">
                        <pic:nvPicPr>
                          <pic:cNvPr id="39" name="Picture_2_SpCnt_61"/>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38112" behindDoc="0" locked="0" layoutInCell="1" allowOverlap="1">
                  <wp:simplePos x="0" y="0"/>
                  <wp:positionH relativeFrom="column">
                    <wp:posOffset>0</wp:posOffset>
                  </wp:positionH>
                  <wp:positionV relativeFrom="paragraph">
                    <wp:posOffset>0</wp:posOffset>
                  </wp:positionV>
                  <wp:extent cx="4445" cy="1189990"/>
                  <wp:effectExtent l="0" t="0" r="0" b="0"/>
                  <wp:wrapNone/>
                  <wp:docPr id="55" name="Picture_2_SpCnt_62"/>
                  <wp:cNvGraphicFramePr/>
                  <a:graphic xmlns:a="http://schemas.openxmlformats.org/drawingml/2006/main">
                    <a:graphicData uri="http://schemas.openxmlformats.org/drawingml/2006/picture">
                      <pic:pic xmlns:pic="http://schemas.openxmlformats.org/drawingml/2006/picture">
                        <pic:nvPicPr>
                          <pic:cNvPr id="55" name="Picture_2_SpCnt_62"/>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39136" behindDoc="0" locked="0" layoutInCell="1" allowOverlap="1">
                  <wp:simplePos x="0" y="0"/>
                  <wp:positionH relativeFrom="column">
                    <wp:posOffset>0</wp:posOffset>
                  </wp:positionH>
                  <wp:positionV relativeFrom="paragraph">
                    <wp:posOffset>0</wp:posOffset>
                  </wp:positionV>
                  <wp:extent cx="4445" cy="1192530"/>
                  <wp:effectExtent l="0" t="0" r="0" b="0"/>
                  <wp:wrapNone/>
                  <wp:docPr id="32" name="Picture_2_SpCnt_63"/>
                  <wp:cNvGraphicFramePr/>
                  <a:graphic xmlns:a="http://schemas.openxmlformats.org/drawingml/2006/main">
                    <a:graphicData uri="http://schemas.openxmlformats.org/drawingml/2006/picture">
                      <pic:pic xmlns:pic="http://schemas.openxmlformats.org/drawingml/2006/picture">
                        <pic:nvPicPr>
                          <pic:cNvPr id="32" name="Picture_2_SpCnt_63"/>
                          <pic:cNvPicPr/>
                        </pic:nvPicPr>
                        <pic:blipFill>
                          <a:blip r:embed="rId21"/>
                          <a:stretch>
                            <a:fillRect/>
                          </a:stretch>
                        </pic:blipFill>
                        <pic:spPr>
                          <a:xfrm>
                            <a:off x="0" y="0"/>
                            <a:ext cx="4445" cy="119253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40160" behindDoc="0" locked="0" layoutInCell="1" allowOverlap="1">
                  <wp:simplePos x="0" y="0"/>
                  <wp:positionH relativeFrom="column">
                    <wp:posOffset>0</wp:posOffset>
                  </wp:positionH>
                  <wp:positionV relativeFrom="paragraph">
                    <wp:posOffset>0</wp:posOffset>
                  </wp:positionV>
                  <wp:extent cx="4445" cy="1189990"/>
                  <wp:effectExtent l="0" t="0" r="0" b="0"/>
                  <wp:wrapNone/>
                  <wp:docPr id="33" name="Picture_2_SpCnt_64"/>
                  <wp:cNvGraphicFramePr/>
                  <a:graphic xmlns:a="http://schemas.openxmlformats.org/drawingml/2006/main">
                    <a:graphicData uri="http://schemas.openxmlformats.org/drawingml/2006/picture">
                      <pic:pic xmlns:pic="http://schemas.openxmlformats.org/drawingml/2006/picture">
                        <pic:nvPicPr>
                          <pic:cNvPr id="33" name="Picture_2_SpCnt_64"/>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41184" behindDoc="0" locked="0" layoutInCell="1" allowOverlap="1">
                  <wp:simplePos x="0" y="0"/>
                  <wp:positionH relativeFrom="column">
                    <wp:posOffset>0</wp:posOffset>
                  </wp:positionH>
                  <wp:positionV relativeFrom="paragraph">
                    <wp:posOffset>0</wp:posOffset>
                  </wp:positionV>
                  <wp:extent cx="4445" cy="1189990"/>
                  <wp:effectExtent l="0" t="0" r="0" b="0"/>
                  <wp:wrapNone/>
                  <wp:docPr id="44" name="Picture_2_SpCnt_65"/>
                  <wp:cNvGraphicFramePr/>
                  <a:graphic xmlns:a="http://schemas.openxmlformats.org/drawingml/2006/main">
                    <a:graphicData uri="http://schemas.openxmlformats.org/drawingml/2006/picture">
                      <pic:pic xmlns:pic="http://schemas.openxmlformats.org/drawingml/2006/picture">
                        <pic:nvPicPr>
                          <pic:cNvPr id="44" name="Picture_2_SpCnt_65"/>
                          <pic:cNvPicPr/>
                        </pic:nvPicPr>
                        <pic:blipFill>
                          <a:blip r:embed="rId22"/>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42208" behindDoc="0" locked="0" layoutInCell="1" allowOverlap="1">
                  <wp:simplePos x="0" y="0"/>
                  <wp:positionH relativeFrom="column">
                    <wp:posOffset>0</wp:posOffset>
                  </wp:positionH>
                  <wp:positionV relativeFrom="paragraph">
                    <wp:posOffset>0</wp:posOffset>
                  </wp:positionV>
                  <wp:extent cx="4445" cy="1189990"/>
                  <wp:effectExtent l="0" t="0" r="0" b="0"/>
                  <wp:wrapNone/>
                  <wp:docPr id="35" name="Picture_2_SpCnt_66"/>
                  <wp:cNvGraphicFramePr/>
                  <a:graphic xmlns:a="http://schemas.openxmlformats.org/drawingml/2006/main">
                    <a:graphicData uri="http://schemas.openxmlformats.org/drawingml/2006/picture">
                      <pic:pic xmlns:pic="http://schemas.openxmlformats.org/drawingml/2006/picture">
                        <pic:nvPicPr>
                          <pic:cNvPr id="35" name="Picture_2_SpCnt_66"/>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43232" behindDoc="0" locked="0" layoutInCell="1" allowOverlap="1">
                  <wp:simplePos x="0" y="0"/>
                  <wp:positionH relativeFrom="column">
                    <wp:posOffset>0</wp:posOffset>
                  </wp:positionH>
                  <wp:positionV relativeFrom="paragraph">
                    <wp:posOffset>0</wp:posOffset>
                  </wp:positionV>
                  <wp:extent cx="4445" cy="1189990"/>
                  <wp:effectExtent l="0" t="0" r="0" b="0"/>
                  <wp:wrapNone/>
                  <wp:docPr id="36" name="Picture_2_SpCnt_67"/>
                  <wp:cNvGraphicFramePr/>
                  <a:graphic xmlns:a="http://schemas.openxmlformats.org/drawingml/2006/main">
                    <a:graphicData uri="http://schemas.openxmlformats.org/drawingml/2006/picture">
                      <pic:pic xmlns:pic="http://schemas.openxmlformats.org/drawingml/2006/picture">
                        <pic:nvPicPr>
                          <pic:cNvPr id="36" name="Picture_2_SpCnt_67"/>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44256" behindDoc="0" locked="0" layoutInCell="1" allowOverlap="1">
                  <wp:simplePos x="0" y="0"/>
                  <wp:positionH relativeFrom="column">
                    <wp:posOffset>0</wp:posOffset>
                  </wp:positionH>
                  <wp:positionV relativeFrom="paragraph">
                    <wp:posOffset>0</wp:posOffset>
                  </wp:positionV>
                  <wp:extent cx="4445" cy="1189990"/>
                  <wp:effectExtent l="0" t="0" r="0" b="0"/>
                  <wp:wrapNone/>
                  <wp:docPr id="40" name="Picture_2_SpCnt_68"/>
                  <wp:cNvGraphicFramePr/>
                  <a:graphic xmlns:a="http://schemas.openxmlformats.org/drawingml/2006/main">
                    <a:graphicData uri="http://schemas.openxmlformats.org/drawingml/2006/picture">
                      <pic:pic xmlns:pic="http://schemas.openxmlformats.org/drawingml/2006/picture">
                        <pic:nvPicPr>
                          <pic:cNvPr id="40" name="Picture_2_SpCnt_68"/>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45280" behindDoc="0" locked="0" layoutInCell="1" allowOverlap="1">
                  <wp:simplePos x="0" y="0"/>
                  <wp:positionH relativeFrom="column">
                    <wp:posOffset>0</wp:posOffset>
                  </wp:positionH>
                  <wp:positionV relativeFrom="paragraph">
                    <wp:posOffset>0</wp:posOffset>
                  </wp:positionV>
                  <wp:extent cx="4445" cy="1192530"/>
                  <wp:effectExtent l="0" t="0" r="0" b="0"/>
                  <wp:wrapNone/>
                  <wp:docPr id="41" name="Picture_2_SpCnt_69"/>
                  <wp:cNvGraphicFramePr/>
                  <a:graphic xmlns:a="http://schemas.openxmlformats.org/drawingml/2006/main">
                    <a:graphicData uri="http://schemas.openxmlformats.org/drawingml/2006/picture">
                      <pic:pic xmlns:pic="http://schemas.openxmlformats.org/drawingml/2006/picture">
                        <pic:nvPicPr>
                          <pic:cNvPr id="41" name="Picture_2_SpCnt_69"/>
                          <pic:cNvPicPr/>
                        </pic:nvPicPr>
                        <pic:blipFill>
                          <a:blip r:embed="rId21"/>
                          <a:stretch>
                            <a:fillRect/>
                          </a:stretch>
                        </pic:blipFill>
                        <pic:spPr>
                          <a:xfrm>
                            <a:off x="0" y="0"/>
                            <a:ext cx="4445" cy="119253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46304" behindDoc="0" locked="0" layoutInCell="1" allowOverlap="1">
                  <wp:simplePos x="0" y="0"/>
                  <wp:positionH relativeFrom="column">
                    <wp:posOffset>0</wp:posOffset>
                  </wp:positionH>
                  <wp:positionV relativeFrom="paragraph">
                    <wp:posOffset>0</wp:posOffset>
                  </wp:positionV>
                  <wp:extent cx="4445" cy="1189990"/>
                  <wp:effectExtent l="0" t="0" r="0" b="0"/>
                  <wp:wrapNone/>
                  <wp:docPr id="42" name="Picture_2_SpCnt_70"/>
                  <wp:cNvGraphicFramePr/>
                  <a:graphic xmlns:a="http://schemas.openxmlformats.org/drawingml/2006/main">
                    <a:graphicData uri="http://schemas.openxmlformats.org/drawingml/2006/picture">
                      <pic:pic xmlns:pic="http://schemas.openxmlformats.org/drawingml/2006/picture">
                        <pic:nvPicPr>
                          <pic:cNvPr id="42" name="Picture_2_SpCnt_70"/>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47328" behindDoc="0" locked="0" layoutInCell="1" allowOverlap="1">
                  <wp:simplePos x="0" y="0"/>
                  <wp:positionH relativeFrom="column">
                    <wp:posOffset>0</wp:posOffset>
                  </wp:positionH>
                  <wp:positionV relativeFrom="paragraph">
                    <wp:posOffset>0</wp:posOffset>
                  </wp:positionV>
                  <wp:extent cx="4445" cy="1189990"/>
                  <wp:effectExtent l="0" t="0" r="0" b="0"/>
                  <wp:wrapNone/>
                  <wp:docPr id="48" name="Picture_2_SpCnt_71"/>
                  <wp:cNvGraphicFramePr/>
                  <a:graphic xmlns:a="http://schemas.openxmlformats.org/drawingml/2006/main">
                    <a:graphicData uri="http://schemas.openxmlformats.org/drawingml/2006/picture">
                      <pic:pic xmlns:pic="http://schemas.openxmlformats.org/drawingml/2006/picture">
                        <pic:nvPicPr>
                          <pic:cNvPr id="48" name="Picture_2_SpCnt_71"/>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48352" behindDoc="0" locked="0" layoutInCell="1" allowOverlap="1">
                  <wp:simplePos x="0" y="0"/>
                  <wp:positionH relativeFrom="column">
                    <wp:posOffset>0</wp:posOffset>
                  </wp:positionH>
                  <wp:positionV relativeFrom="paragraph">
                    <wp:posOffset>0</wp:posOffset>
                  </wp:positionV>
                  <wp:extent cx="4445" cy="1189990"/>
                  <wp:effectExtent l="0" t="0" r="0" b="0"/>
                  <wp:wrapNone/>
                  <wp:docPr id="43" name="Picture_2_SpCnt_72"/>
                  <wp:cNvGraphicFramePr/>
                  <a:graphic xmlns:a="http://schemas.openxmlformats.org/drawingml/2006/main">
                    <a:graphicData uri="http://schemas.openxmlformats.org/drawingml/2006/picture">
                      <pic:pic xmlns:pic="http://schemas.openxmlformats.org/drawingml/2006/picture">
                        <pic:nvPicPr>
                          <pic:cNvPr id="43" name="Picture_2_SpCnt_72"/>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49376" behindDoc="0" locked="0" layoutInCell="1" allowOverlap="1">
                  <wp:simplePos x="0" y="0"/>
                  <wp:positionH relativeFrom="column">
                    <wp:posOffset>0</wp:posOffset>
                  </wp:positionH>
                  <wp:positionV relativeFrom="paragraph">
                    <wp:posOffset>0</wp:posOffset>
                  </wp:positionV>
                  <wp:extent cx="4445" cy="1189990"/>
                  <wp:effectExtent l="0" t="0" r="0" b="0"/>
                  <wp:wrapNone/>
                  <wp:docPr id="50" name="Picture_2_SpCnt_73"/>
                  <wp:cNvGraphicFramePr/>
                  <a:graphic xmlns:a="http://schemas.openxmlformats.org/drawingml/2006/main">
                    <a:graphicData uri="http://schemas.openxmlformats.org/drawingml/2006/picture">
                      <pic:pic xmlns:pic="http://schemas.openxmlformats.org/drawingml/2006/picture">
                        <pic:nvPicPr>
                          <pic:cNvPr id="50" name="Picture_2_SpCnt_73"/>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50400" behindDoc="0" locked="0" layoutInCell="1" allowOverlap="1">
                  <wp:simplePos x="0" y="0"/>
                  <wp:positionH relativeFrom="column">
                    <wp:posOffset>0</wp:posOffset>
                  </wp:positionH>
                  <wp:positionV relativeFrom="paragraph">
                    <wp:posOffset>0</wp:posOffset>
                  </wp:positionV>
                  <wp:extent cx="4445" cy="1189990"/>
                  <wp:effectExtent l="0" t="0" r="0" b="0"/>
                  <wp:wrapNone/>
                  <wp:docPr id="51" name="Picture_2_SpCnt_74"/>
                  <wp:cNvGraphicFramePr/>
                  <a:graphic xmlns:a="http://schemas.openxmlformats.org/drawingml/2006/main">
                    <a:graphicData uri="http://schemas.openxmlformats.org/drawingml/2006/picture">
                      <pic:pic xmlns:pic="http://schemas.openxmlformats.org/drawingml/2006/picture">
                        <pic:nvPicPr>
                          <pic:cNvPr id="51" name="Picture_2_SpCnt_74"/>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51424" behindDoc="0" locked="0" layoutInCell="1" allowOverlap="1">
                  <wp:simplePos x="0" y="0"/>
                  <wp:positionH relativeFrom="column">
                    <wp:posOffset>0</wp:posOffset>
                  </wp:positionH>
                  <wp:positionV relativeFrom="paragraph">
                    <wp:posOffset>0</wp:posOffset>
                  </wp:positionV>
                  <wp:extent cx="4445" cy="1189990"/>
                  <wp:effectExtent l="0" t="0" r="0" b="0"/>
                  <wp:wrapNone/>
                  <wp:docPr id="86" name="Picture_2_SpCnt_75"/>
                  <wp:cNvGraphicFramePr/>
                  <a:graphic xmlns:a="http://schemas.openxmlformats.org/drawingml/2006/main">
                    <a:graphicData uri="http://schemas.openxmlformats.org/drawingml/2006/picture">
                      <pic:pic xmlns:pic="http://schemas.openxmlformats.org/drawingml/2006/picture">
                        <pic:nvPicPr>
                          <pic:cNvPr id="86" name="Picture_2_SpCnt_75"/>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52448" behindDoc="0" locked="0" layoutInCell="1" allowOverlap="1">
                  <wp:simplePos x="0" y="0"/>
                  <wp:positionH relativeFrom="column">
                    <wp:posOffset>0</wp:posOffset>
                  </wp:positionH>
                  <wp:positionV relativeFrom="paragraph">
                    <wp:posOffset>0</wp:posOffset>
                  </wp:positionV>
                  <wp:extent cx="4445" cy="1189990"/>
                  <wp:effectExtent l="0" t="0" r="0" b="0"/>
                  <wp:wrapNone/>
                  <wp:docPr id="80" name="Picture_2_SpCnt_76"/>
                  <wp:cNvGraphicFramePr/>
                  <a:graphic xmlns:a="http://schemas.openxmlformats.org/drawingml/2006/main">
                    <a:graphicData uri="http://schemas.openxmlformats.org/drawingml/2006/picture">
                      <pic:pic xmlns:pic="http://schemas.openxmlformats.org/drawingml/2006/picture">
                        <pic:nvPicPr>
                          <pic:cNvPr id="80" name="Picture_2_SpCnt_76"/>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53472" behindDoc="0" locked="0" layoutInCell="1" allowOverlap="1">
                  <wp:simplePos x="0" y="0"/>
                  <wp:positionH relativeFrom="column">
                    <wp:posOffset>0</wp:posOffset>
                  </wp:positionH>
                  <wp:positionV relativeFrom="paragraph">
                    <wp:posOffset>0</wp:posOffset>
                  </wp:positionV>
                  <wp:extent cx="4445" cy="1189990"/>
                  <wp:effectExtent l="0" t="0" r="0" b="0"/>
                  <wp:wrapNone/>
                  <wp:docPr id="71" name="Picture_2_SpCnt_77"/>
                  <wp:cNvGraphicFramePr/>
                  <a:graphic xmlns:a="http://schemas.openxmlformats.org/drawingml/2006/main">
                    <a:graphicData uri="http://schemas.openxmlformats.org/drawingml/2006/picture">
                      <pic:pic xmlns:pic="http://schemas.openxmlformats.org/drawingml/2006/picture">
                        <pic:nvPicPr>
                          <pic:cNvPr id="71" name="Picture_2_SpCnt_77"/>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54496" behindDoc="0" locked="0" layoutInCell="1" allowOverlap="1">
                  <wp:simplePos x="0" y="0"/>
                  <wp:positionH relativeFrom="column">
                    <wp:posOffset>0</wp:posOffset>
                  </wp:positionH>
                  <wp:positionV relativeFrom="paragraph">
                    <wp:posOffset>0</wp:posOffset>
                  </wp:positionV>
                  <wp:extent cx="4445" cy="1189990"/>
                  <wp:effectExtent l="0" t="0" r="0" b="0"/>
                  <wp:wrapNone/>
                  <wp:docPr id="61" name="Picture_2_SpCnt_78"/>
                  <wp:cNvGraphicFramePr/>
                  <a:graphic xmlns:a="http://schemas.openxmlformats.org/drawingml/2006/main">
                    <a:graphicData uri="http://schemas.openxmlformats.org/drawingml/2006/picture">
                      <pic:pic xmlns:pic="http://schemas.openxmlformats.org/drawingml/2006/picture">
                        <pic:nvPicPr>
                          <pic:cNvPr id="61" name="Picture_2_SpCnt_78"/>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55520" behindDoc="0" locked="0" layoutInCell="1" allowOverlap="1">
                  <wp:simplePos x="0" y="0"/>
                  <wp:positionH relativeFrom="column">
                    <wp:posOffset>0</wp:posOffset>
                  </wp:positionH>
                  <wp:positionV relativeFrom="paragraph">
                    <wp:posOffset>0</wp:posOffset>
                  </wp:positionV>
                  <wp:extent cx="4445" cy="1189990"/>
                  <wp:effectExtent l="0" t="0" r="0" b="0"/>
                  <wp:wrapNone/>
                  <wp:docPr id="58" name="Picture_2_SpCnt_79"/>
                  <wp:cNvGraphicFramePr/>
                  <a:graphic xmlns:a="http://schemas.openxmlformats.org/drawingml/2006/main">
                    <a:graphicData uri="http://schemas.openxmlformats.org/drawingml/2006/picture">
                      <pic:pic xmlns:pic="http://schemas.openxmlformats.org/drawingml/2006/picture">
                        <pic:nvPicPr>
                          <pic:cNvPr id="58" name="Picture_2_SpCnt_79"/>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56544" behindDoc="0" locked="0" layoutInCell="1" allowOverlap="1">
                  <wp:simplePos x="0" y="0"/>
                  <wp:positionH relativeFrom="column">
                    <wp:posOffset>0</wp:posOffset>
                  </wp:positionH>
                  <wp:positionV relativeFrom="paragraph">
                    <wp:posOffset>0</wp:posOffset>
                  </wp:positionV>
                  <wp:extent cx="4445" cy="1189990"/>
                  <wp:effectExtent l="0" t="0" r="0" b="0"/>
                  <wp:wrapNone/>
                  <wp:docPr id="59" name="Picture_2_SpCnt_80"/>
                  <wp:cNvGraphicFramePr/>
                  <a:graphic xmlns:a="http://schemas.openxmlformats.org/drawingml/2006/main">
                    <a:graphicData uri="http://schemas.openxmlformats.org/drawingml/2006/picture">
                      <pic:pic xmlns:pic="http://schemas.openxmlformats.org/drawingml/2006/picture">
                        <pic:nvPicPr>
                          <pic:cNvPr id="59" name="Picture_2_SpCnt_80"/>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57568" behindDoc="0" locked="0" layoutInCell="1" allowOverlap="1">
                  <wp:simplePos x="0" y="0"/>
                  <wp:positionH relativeFrom="column">
                    <wp:posOffset>0</wp:posOffset>
                  </wp:positionH>
                  <wp:positionV relativeFrom="paragraph">
                    <wp:posOffset>0</wp:posOffset>
                  </wp:positionV>
                  <wp:extent cx="4445" cy="1189990"/>
                  <wp:effectExtent l="0" t="0" r="0" b="0"/>
                  <wp:wrapNone/>
                  <wp:docPr id="73" name="Picture_2_SpCnt_81"/>
                  <wp:cNvGraphicFramePr/>
                  <a:graphic xmlns:a="http://schemas.openxmlformats.org/drawingml/2006/main">
                    <a:graphicData uri="http://schemas.openxmlformats.org/drawingml/2006/picture">
                      <pic:pic xmlns:pic="http://schemas.openxmlformats.org/drawingml/2006/picture">
                        <pic:nvPicPr>
                          <pic:cNvPr id="73" name="Picture_2_SpCnt_81"/>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58592" behindDoc="0" locked="0" layoutInCell="1" allowOverlap="1">
                  <wp:simplePos x="0" y="0"/>
                  <wp:positionH relativeFrom="column">
                    <wp:posOffset>0</wp:posOffset>
                  </wp:positionH>
                  <wp:positionV relativeFrom="paragraph">
                    <wp:posOffset>0</wp:posOffset>
                  </wp:positionV>
                  <wp:extent cx="4445" cy="1189990"/>
                  <wp:effectExtent l="0" t="0" r="0" b="0"/>
                  <wp:wrapNone/>
                  <wp:docPr id="87" name="Picture_2_SpCnt_82"/>
                  <wp:cNvGraphicFramePr/>
                  <a:graphic xmlns:a="http://schemas.openxmlformats.org/drawingml/2006/main">
                    <a:graphicData uri="http://schemas.openxmlformats.org/drawingml/2006/picture">
                      <pic:pic xmlns:pic="http://schemas.openxmlformats.org/drawingml/2006/picture">
                        <pic:nvPicPr>
                          <pic:cNvPr id="87" name="Picture_2_SpCnt_82"/>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59616" behindDoc="0" locked="0" layoutInCell="1" allowOverlap="1">
                  <wp:simplePos x="0" y="0"/>
                  <wp:positionH relativeFrom="column">
                    <wp:posOffset>0</wp:posOffset>
                  </wp:positionH>
                  <wp:positionV relativeFrom="paragraph">
                    <wp:posOffset>0</wp:posOffset>
                  </wp:positionV>
                  <wp:extent cx="4445" cy="1189990"/>
                  <wp:effectExtent l="0" t="0" r="0" b="0"/>
                  <wp:wrapNone/>
                  <wp:docPr id="77" name="Picture_2_SpCnt_83"/>
                  <wp:cNvGraphicFramePr/>
                  <a:graphic xmlns:a="http://schemas.openxmlformats.org/drawingml/2006/main">
                    <a:graphicData uri="http://schemas.openxmlformats.org/drawingml/2006/picture">
                      <pic:pic xmlns:pic="http://schemas.openxmlformats.org/drawingml/2006/picture">
                        <pic:nvPicPr>
                          <pic:cNvPr id="77" name="Picture_2_SpCnt_83"/>
                          <pic:cNvPicPr/>
                        </pic:nvPicPr>
                        <pic:blipFill>
                          <a:blip r:embed="rId23"/>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60640" behindDoc="0" locked="0" layoutInCell="1" allowOverlap="1">
                  <wp:simplePos x="0" y="0"/>
                  <wp:positionH relativeFrom="column">
                    <wp:posOffset>0</wp:posOffset>
                  </wp:positionH>
                  <wp:positionV relativeFrom="paragraph">
                    <wp:posOffset>0</wp:posOffset>
                  </wp:positionV>
                  <wp:extent cx="4445" cy="1189990"/>
                  <wp:effectExtent l="0" t="0" r="0" b="0"/>
                  <wp:wrapNone/>
                  <wp:docPr id="62" name="Picture_2_SpCnt_84"/>
                  <wp:cNvGraphicFramePr/>
                  <a:graphic xmlns:a="http://schemas.openxmlformats.org/drawingml/2006/main">
                    <a:graphicData uri="http://schemas.openxmlformats.org/drawingml/2006/picture">
                      <pic:pic xmlns:pic="http://schemas.openxmlformats.org/drawingml/2006/picture">
                        <pic:nvPicPr>
                          <pic:cNvPr id="62" name="Picture_2_SpCnt_84"/>
                          <pic:cNvPicPr/>
                        </pic:nvPicPr>
                        <pic:blipFill>
                          <a:blip r:embed="rId24"/>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61664" behindDoc="0" locked="0" layoutInCell="1" allowOverlap="1">
                  <wp:simplePos x="0" y="0"/>
                  <wp:positionH relativeFrom="column">
                    <wp:posOffset>0</wp:posOffset>
                  </wp:positionH>
                  <wp:positionV relativeFrom="paragraph">
                    <wp:posOffset>0</wp:posOffset>
                  </wp:positionV>
                  <wp:extent cx="4445" cy="1189990"/>
                  <wp:effectExtent l="0" t="0" r="0" b="0"/>
                  <wp:wrapNone/>
                  <wp:docPr id="68" name="Picture_2_SpCnt_85"/>
                  <wp:cNvGraphicFramePr/>
                  <a:graphic xmlns:a="http://schemas.openxmlformats.org/drawingml/2006/main">
                    <a:graphicData uri="http://schemas.openxmlformats.org/drawingml/2006/picture">
                      <pic:pic xmlns:pic="http://schemas.openxmlformats.org/drawingml/2006/picture">
                        <pic:nvPicPr>
                          <pic:cNvPr id="68" name="Picture_2_SpCnt_85"/>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62688" behindDoc="0" locked="0" layoutInCell="1" allowOverlap="1">
                  <wp:simplePos x="0" y="0"/>
                  <wp:positionH relativeFrom="column">
                    <wp:posOffset>0</wp:posOffset>
                  </wp:positionH>
                  <wp:positionV relativeFrom="paragraph">
                    <wp:posOffset>0</wp:posOffset>
                  </wp:positionV>
                  <wp:extent cx="4445" cy="1189990"/>
                  <wp:effectExtent l="0" t="0" r="0" b="0"/>
                  <wp:wrapNone/>
                  <wp:docPr id="57" name="Picture_2_SpCnt_86"/>
                  <wp:cNvGraphicFramePr/>
                  <a:graphic xmlns:a="http://schemas.openxmlformats.org/drawingml/2006/main">
                    <a:graphicData uri="http://schemas.openxmlformats.org/drawingml/2006/picture">
                      <pic:pic xmlns:pic="http://schemas.openxmlformats.org/drawingml/2006/picture">
                        <pic:nvPicPr>
                          <pic:cNvPr id="57" name="Picture_2_SpCnt_86"/>
                          <pic:cNvPicPr/>
                        </pic:nvPicPr>
                        <pic:blipFill>
                          <a:blip r:embed="rId25"/>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811840" behindDoc="0" locked="0" layoutInCell="1" allowOverlap="1">
                  <wp:simplePos x="0" y="0"/>
                  <wp:positionH relativeFrom="column">
                    <wp:posOffset>0</wp:posOffset>
                  </wp:positionH>
                  <wp:positionV relativeFrom="paragraph">
                    <wp:posOffset>0</wp:posOffset>
                  </wp:positionV>
                  <wp:extent cx="4445" cy="1189990"/>
                  <wp:effectExtent l="0" t="0" r="0" b="0"/>
                  <wp:wrapNone/>
                  <wp:docPr id="78" name="Picture_2_SpCnt_87"/>
                  <wp:cNvGraphicFramePr/>
                  <a:graphic xmlns:a="http://schemas.openxmlformats.org/drawingml/2006/main">
                    <a:graphicData uri="http://schemas.openxmlformats.org/drawingml/2006/picture">
                      <pic:pic xmlns:pic="http://schemas.openxmlformats.org/drawingml/2006/picture">
                        <pic:nvPicPr>
                          <pic:cNvPr id="78" name="Picture_2_SpCnt_87"/>
                          <pic:cNvPicPr/>
                        </pic:nvPicPr>
                        <pic:blipFill>
                          <a:blip r:embed="rId26"/>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63712" behindDoc="0" locked="0" layoutInCell="1" allowOverlap="1">
                  <wp:simplePos x="0" y="0"/>
                  <wp:positionH relativeFrom="column">
                    <wp:posOffset>0</wp:posOffset>
                  </wp:positionH>
                  <wp:positionV relativeFrom="paragraph">
                    <wp:posOffset>0</wp:posOffset>
                  </wp:positionV>
                  <wp:extent cx="4445" cy="1189990"/>
                  <wp:effectExtent l="0" t="0" r="0" b="0"/>
                  <wp:wrapNone/>
                  <wp:docPr id="69" name="Picture_2_SpCnt_88"/>
                  <wp:cNvGraphicFramePr/>
                  <a:graphic xmlns:a="http://schemas.openxmlformats.org/drawingml/2006/main">
                    <a:graphicData uri="http://schemas.openxmlformats.org/drawingml/2006/picture">
                      <pic:pic xmlns:pic="http://schemas.openxmlformats.org/drawingml/2006/picture">
                        <pic:nvPicPr>
                          <pic:cNvPr id="69" name="Picture_2_SpCnt_88"/>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64736" behindDoc="0" locked="0" layoutInCell="1" allowOverlap="1">
                  <wp:simplePos x="0" y="0"/>
                  <wp:positionH relativeFrom="column">
                    <wp:posOffset>0</wp:posOffset>
                  </wp:positionH>
                  <wp:positionV relativeFrom="paragraph">
                    <wp:posOffset>0</wp:posOffset>
                  </wp:positionV>
                  <wp:extent cx="4445" cy="1189990"/>
                  <wp:effectExtent l="0" t="0" r="0" b="0"/>
                  <wp:wrapNone/>
                  <wp:docPr id="74" name="Picture_2_SpCnt_89"/>
                  <wp:cNvGraphicFramePr/>
                  <a:graphic xmlns:a="http://schemas.openxmlformats.org/drawingml/2006/main">
                    <a:graphicData uri="http://schemas.openxmlformats.org/drawingml/2006/picture">
                      <pic:pic xmlns:pic="http://schemas.openxmlformats.org/drawingml/2006/picture">
                        <pic:nvPicPr>
                          <pic:cNvPr id="74" name="Picture_2_SpCnt_89"/>
                          <pic:cNvPicPr/>
                        </pic:nvPicPr>
                        <pic:blipFill>
                          <a:blip r:embed="rId27"/>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65760" behindDoc="0" locked="0" layoutInCell="1" allowOverlap="1">
                  <wp:simplePos x="0" y="0"/>
                  <wp:positionH relativeFrom="column">
                    <wp:posOffset>0</wp:posOffset>
                  </wp:positionH>
                  <wp:positionV relativeFrom="paragraph">
                    <wp:posOffset>0</wp:posOffset>
                  </wp:positionV>
                  <wp:extent cx="4445" cy="1189990"/>
                  <wp:effectExtent l="0" t="0" r="0" b="0"/>
                  <wp:wrapNone/>
                  <wp:docPr id="65" name="Picture_2_SpCnt_90"/>
                  <wp:cNvGraphicFramePr/>
                  <a:graphic xmlns:a="http://schemas.openxmlformats.org/drawingml/2006/main">
                    <a:graphicData uri="http://schemas.openxmlformats.org/drawingml/2006/picture">
                      <pic:pic xmlns:pic="http://schemas.openxmlformats.org/drawingml/2006/picture">
                        <pic:nvPicPr>
                          <pic:cNvPr id="65" name="Picture_2_SpCnt_90"/>
                          <pic:cNvPicPr/>
                        </pic:nvPicPr>
                        <pic:blipFill>
                          <a:blip r:embed="rId28"/>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66784" behindDoc="0" locked="0" layoutInCell="1" allowOverlap="1">
                  <wp:simplePos x="0" y="0"/>
                  <wp:positionH relativeFrom="column">
                    <wp:posOffset>0</wp:posOffset>
                  </wp:positionH>
                  <wp:positionV relativeFrom="paragraph">
                    <wp:posOffset>0</wp:posOffset>
                  </wp:positionV>
                  <wp:extent cx="4445" cy="1189990"/>
                  <wp:effectExtent l="0" t="0" r="0" b="0"/>
                  <wp:wrapNone/>
                  <wp:docPr id="63" name="Picture_2_SpCnt_91"/>
                  <wp:cNvGraphicFramePr/>
                  <a:graphic xmlns:a="http://schemas.openxmlformats.org/drawingml/2006/main">
                    <a:graphicData uri="http://schemas.openxmlformats.org/drawingml/2006/picture">
                      <pic:pic xmlns:pic="http://schemas.openxmlformats.org/drawingml/2006/picture">
                        <pic:nvPicPr>
                          <pic:cNvPr id="63" name="Picture_2_SpCnt_91"/>
                          <pic:cNvPicPr/>
                        </pic:nvPicPr>
                        <pic:blipFill>
                          <a:blip r:embed="rId2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67808" behindDoc="0" locked="0" layoutInCell="1" allowOverlap="1">
                  <wp:simplePos x="0" y="0"/>
                  <wp:positionH relativeFrom="column">
                    <wp:posOffset>0</wp:posOffset>
                  </wp:positionH>
                  <wp:positionV relativeFrom="paragraph">
                    <wp:posOffset>0</wp:posOffset>
                  </wp:positionV>
                  <wp:extent cx="4445" cy="1192530"/>
                  <wp:effectExtent l="0" t="0" r="0" b="0"/>
                  <wp:wrapNone/>
                  <wp:docPr id="72" name="Picture_2_SpCnt_92"/>
                  <wp:cNvGraphicFramePr/>
                  <a:graphic xmlns:a="http://schemas.openxmlformats.org/drawingml/2006/main">
                    <a:graphicData uri="http://schemas.openxmlformats.org/drawingml/2006/picture">
                      <pic:pic xmlns:pic="http://schemas.openxmlformats.org/drawingml/2006/picture">
                        <pic:nvPicPr>
                          <pic:cNvPr id="72" name="Picture_2_SpCnt_92"/>
                          <pic:cNvPicPr/>
                        </pic:nvPicPr>
                        <pic:blipFill>
                          <a:blip r:embed="rId30"/>
                          <a:stretch>
                            <a:fillRect/>
                          </a:stretch>
                        </pic:blipFill>
                        <pic:spPr>
                          <a:xfrm>
                            <a:off x="0" y="0"/>
                            <a:ext cx="4445" cy="119253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68832" behindDoc="0" locked="0" layoutInCell="1" allowOverlap="1">
                  <wp:simplePos x="0" y="0"/>
                  <wp:positionH relativeFrom="column">
                    <wp:posOffset>0</wp:posOffset>
                  </wp:positionH>
                  <wp:positionV relativeFrom="paragraph">
                    <wp:posOffset>0</wp:posOffset>
                  </wp:positionV>
                  <wp:extent cx="4445" cy="1189990"/>
                  <wp:effectExtent l="0" t="0" r="0" b="0"/>
                  <wp:wrapNone/>
                  <wp:docPr id="75" name="图片 111"/>
                  <wp:cNvGraphicFramePr/>
                  <a:graphic xmlns:a="http://schemas.openxmlformats.org/drawingml/2006/main">
                    <a:graphicData uri="http://schemas.openxmlformats.org/drawingml/2006/picture">
                      <pic:pic xmlns:pic="http://schemas.openxmlformats.org/drawingml/2006/picture">
                        <pic:nvPicPr>
                          <pic:cNvPr id="75" name="图片 111"/>
                          <pic:cNvPicPr/>
                        </pic:nvPicPr>
                        <pic:blipFill>
                          <a:blip r:embed="rId31"/>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69856" behindDoc="0" locked="0" layoutInCell="1" allowOverlap="1">
                  <wp:simplePos x="0" y="0"/>
                  <wp:positionH relativeFrom="column">
                    <wp:posOffset>0</wp:posOffset>
                  </wp:positionH>
                  <wp:positionV relativeFrom="paragraph">
                    <wp:posOffset>0</wp:posOffset>
                  </wp:positionV>
                  <wp:extent cx="4445" cy="1189990"/>
                  <wp:effectExtent l="0" t="0" r="0" b="0"/>
                  <wp:wrapNone/>
                  <wp:docPr id="70" name="图片 112"/>
                  <wp:cNvGraphicFramePr/>
                  <a:graphic xmlns:a="http://schemas.openxmlformats.org/drawingml/2006/main">
                    <a:graphicData uri="http://schemas.openxmlformats.org/drawingml/2006/picture">
                      <pic:pic xmlns:pic="http://schemas.openxmlformats.org/drawingml/2006/picture">
                        <pic:nvPicPr>
                          <pic:cNvPr id="70" name="图片 112"/>
                          <pic:cNvPicPr/>
                        </pic:nvPicPr>
                        <pic:blipFill>
                          <a:blip r:embed="rId32"/>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70880" behindDoc="0" locked="0" layoutInCell="1" allowOverlap="1">
                  <wp:simplePos x="0" y="0"/>
                  <wp:positionH relativeFrom="column">
                    <wp:posOffset>0</wp:posOffset>
                  </wp:positionH>
                  <wp:positionV relativeFrom="paragraph">
                    <wp:posOffset>0</wp:posOffset>
                  </wp:positionV>
                  <wp:extent cx="4445" cy="1189990"/>
                  <wp:effectExtent l="0" t="0" r="0" b="0"/>
                  <wp:wrapNone/>
                  <wp:docPr id="85" name="图片 113"/>
                  <wp:cNvGraphicFramePr/>
                  <a:graphic xmlns:a="http://schemas.openxmlformats.org/drawingml/2006/main">
                    <a:graphicData uri="http://schemas.openxmlformats.org/drawingml/2006/picture">
                      <pic:pic xmlns:pic="http://schemas.openxmlformats.org/drawingml/2006/picture">
                        <pic:nvPicPr>
                          <pic:cNvPr id="85" name="图片 113"/>
                          <pic:cNvPicPr/>
                        </pic:nvPicPr>
                        <pic:blipFill>
                          <a:blip r:embed="rId33"/>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71904" behindDoc="0" locked="0" layoutInCell="1" allowOverlap="1">
                  <wp:simplePos x="0" y="0"/>
                  <wp:positionH relativeFrom="column">
                    <wp:posOffset>0</wp:posOffset>
                  </wp:positionH>
                  <wp:positionV relativeFrom="paragraph">
                    <wp:posOffset>0</wp:posOffset>
                  </wp:positionV>
                  <wp:extent cx="4445" cy="1189990"/>
                  <wp:effectExtent l="0" t="0" r="0" b="0"/>
                  <wp:wrapNone/>
                  <wp:docPr id="60" name="图片 114"/>
                  <wp:cNvGraphicFramePr/>
                  <a:graphic xmlns:a="http://schemas.openxmlformats.org/drawingml/2006/main">
                    <a:graphicData uri="http://schemas.openxmlformats.org/drawingml/2006/picture">
                      <pic:pic xmlns:pic="http://schemas.openxmlformats.org/drawingml/2006/picture">
                        <pic:nvPicPr>
                          <pic:cNvPr id="60" name="图片 114"/>
                          <pic:cNvPicPr/>
                        </pic:nvPicPr>
                        <pic:blipFill>
                          <a:blip r:embed="rId34"/>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72928" behindDoc="0" locked="0" layoutInCell="1" allowOverlap="1">
                  <wp:simplePos x="0" y="0"/>
                  <wp:positionH relativeFrom="column">
                    <wp:posOffset>0</wp:posOffset>
                  </wp:positionH>
                  <wp:positionV relativeFrom="paragraph">
                    <wp:posOffset>0</wp:posOffset>
                  </wp:positionV>
                  <wp:extent cx="4445" cy="1189990"/>
                  <wp:effectExtent l="0" t="0" r="0" b="0"/>
                  <wp:wrapNone/>
                  <wp:docPr id="81" name="图片 115"/>
                  <wp:cNvGraphicFramePr/>
                  <a:graphic xmlns:a="http://schemas.openxmlformats.org/drawingml/2006/main">
                    <a:graphicData uri="http://schemas.openxmlformats.org/drawingml/2006/picture">
                      <pic:pic xmlns:pic="http://schemas.openxmlformats.org/drawingml/2006/picture">
                        <pic:nvPicPr>
                          <pic:cNvPr id="81" name="图片 115"/>
                          <pic:cNvPicPr/>
                        </pic:nvPicPr>
                        <pic:blipFill>
                          <a:blip r:embed="rId35"/>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73952" behindDoc="0" locked="0" layoutInCell="1" allowOverlap="1">
                  <wp:simplePos x="0" y="0"/>
                  <wp:positionH relativeFrom="column">
                    <wp:posOffset>0</wp:posOffset>
                  </wp:positionH>
                  <wp:positionV relativeFrom="paragraph">
                    <wp:posOffset>0</wp:posOffset>
                  </wp:positionV>
                  <wp:extent cx="4445" cy="1189990"/>
                  <wp:effectExtent l="0" t="0" r="0" b="0"/>
                  <wp:wrapNone/>
                  <wp:docPr id="76" name="图片 116"/>
                  <wp:cNvGraphicFramePr/>
                  <a:graphic xmlns:a="http://schemas.openxmlformats.org/drawingml/2006/main">
                    <a:graphicData uri="http://schemas.openxmlformats.org/drawingml/2006/picture">
                      <pic:pic xmlns:pic="http://schemas.openxmlformats.org/drawingml/2006/picture">
                        <pic:nvPicPr>
                          <pic:cNvPr id="76" name="图片 116"/>
                          <pic:cNvPicPr/>
                        </pic:nvPicPr>
                        <pic:blipFill>
                          <a:blip r:embed="rId36"/>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74976" behindDoc="0" locked="0" layoutInCell="1" allowOverlap="1">
                  <wp:simplePos x="0" y="0"/>
                  <wp:positionH relativeFrom="column">
                    <wp:posOffset>0</wp:posOffset>
                  </wp:positionH>
                  <wp:positionV relativeFrom="paragraph">
                    <wp:posOffset>0</wp:posOffset>
                  </wp:positionV>
                  <wp:extent cx="4445" cy="1189990"/>
                  <wp:effectExtent l="0" t="0" r="0" b="0"/>
                  <wp:wrapNone/>
                  <wp:docPr id="66" name="图片 117"/>
                  <wp:cNvGraphicFramePr/>
                  <a:graphic xmlns:a="http://schemas.openxmlformats.org/drawingml/2006/main">
                    <a:graphicData uri="http://schemas.openxmlformats.org/drawingml/2006/picture">
                      <pic:pic xmlns:pic="http://schemas.openxmlformats.org/drawingml/2006/picture">
                        <pic:nvPicPr>
                          <pic:cNvPr id="66" name="图片 117"/>
                          <pic:cNvPicPr/>
                        </pic:nvPicPr>
                        <pic:blipFill>
                          <a:blip r:embed="rId37"/>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76000" behindDoc="0" locked="0" layoutInCell="1" allowOverlap="1">
                  <wp:simplePos x="0" y="0"/>
                  <wp:positionH relativeFrom="column">
                    <wp:posOffset>0</wp:posOffset>
                  </wp:positionH>
                  <wp:positionV relativeFrom="paragraph">
                    <wp:posOffset>0</wp:posOffset>
                  </wp:positionV>
                  <wp:extent cx="4445" cy="1189990"/>
                  <wp:effectExtent l="0" t="0" r="0" b="0"/>
                  <wp:wrapNone/>
                  <wp:docPr id="82" name="图片 118"/>
                  <wp:cNvGraphicFramePr/>
                  <a:graphic xmlns:a="http://schemas.openxmlformats.org/drawingml/2006/main">
                    <a:graphicData uri="http://schemas.openxmlformats.org/drawingml/2006/picture">
                      <pic:pic xmlns:pic="http://schemas.openxmlformats.org/drawingml/2006/picture">
                        <pic:nvPicPr>
                          <pic:cNvPr id="82" name="图片 118"/>
                          <pic:cNvPicPr/>
                        </pic:nvPicPr>
                        <pic:blipFill>
                          <a:blip r:embed="rId38"/>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77024" behindDoc="0" locked="0" layoutInCell="1" allowOverlap="1">
                  <wp:simplePos x="0" y="0"/>
                  <wp:positionH relativeFrom="column">
                    <wp:posOffset>0</wp:posOffset>
                  </wp:positionH>
                  <wp:positionV relativeFrom="paragraph">
                    <wp:posOffset>0</wp:posOffset>
                  </wp:positionV>
                  <wp:extent cx="4445" cy="1189990"/>
                  <wp:effectExtent l="0" t="0" r="0" b="0"/>
                  <wp:wrapNone/>
                  <wp:docPr id="83" name="图片 119"/>
                  <wp:cNvGraphicFramePr/>
                  <a:graphic xmlns:a="http://schemas.openxmlformats.org/drawingml/2006/main">
                    <a:graphicData uri="http://schemas.openxmlformats.org/drawingml/2006/picture">
                      <pic:pic xmlns:pic="http://schemas.openxmlformats.org/drawingml/2006/picture">
                        <pic:nvPicPr>
                          <pic:cNvPr id="83" name="图片 119"/>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78048" behindDoc="0" locked="0" layoutInCell="1" allowOverlap="1">
                  <wp:simplePos x="0" y="0"/>
                  <wp:positionH relativeFrom="column">
                    <wp:posOffset>0</wp:posOffset>
                  </wp:positionH>
                  <wp:positionV relativeFrom="paragraph">
                    <wp:posOffset>0</wp:posOffset>
                  </wp:positionV>
                  <wp:extent cx="4445" cy="1192530"/>
                  <wp:effectExtent l="0" t="0" r="0" b="0"/>
                  <wp:wrapNone/>
                  <wp:docPr id="67" name="图片 120"/>
                  <wp:cNvGraphicFramePr/>
                  <a:graphic xmlns:a="http://schemas.openxmlformats.org/drawingml/2006/main">
                    <a:graphicData uri="http://schemas.openxmlformats.org/drawingml/2006/picture">
                      <pic:pic xmlns:pic="http://schemas.openxmlformats.org/drawingml/2006/picture">
                        <pic:nvPicPr>
                          <pic:cNvPr id="67" name="图片 120"/>
                          <pic:cNvPicPr/>
                        </pic:nvPicPr>
                        <pic:blipFill>
                          <a:blip r:embed="rId39"/>
                          <a:stretch>
                            <a:fillRect/>
                          </a:stretch>
                        </pic:blipFill>
                        <pic:spPr>
                          <a:xfrm>
                            <a:off x="0" y="0"/>
                            <a:ext cx="4445" cy="119253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79072" behindDoc="0" locked="0" layoutInCell="1" allowOverlap="1">
                  <wp:simplePos x="0" y="0"/>
                  <wp:positionH relativeFrom="column">
                    <wp:posOffset>0</wp:posOffset>
                  </wp:positionH>
                  <wp:positionV relativeFrom="paragraph">
                    <wp:posOffset>0</wp:posOffset>
                  </wp:positionV>
                  <wp:extent cx="4445" cy="1189990"/>
                  <wp:effectExtent l="0" t="0" r="0" b="0"/>
                  <wp:wrapNone/>
                  <wp:docPr id="56" name="图片 121"/>
                  <wp:cNvGraphicFramePr/>
                  <a:graphic xmlns:a="http://schemas.openxmlformats.org/drawingml/2006/main">
                    <a:graphicData uri="http://schemas.openxmlformats.org/drawingml/2006/picture">
                      <pic:pic xmlns:pic="http://schemas.openxmlformats.org/drawingml/2006/picture">
                        <pic:nvPicPr>
                          <pic:cNvPr id="56" name="图片 121"/>
                          <pic:cNvPicPr/>
                        </pic:nvPicPr>
                        <pic:blipFill>
                          <a:blip r:embed="rId40"/>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80096" behindDoc="0" locked="0" layoutInCell="1" allowOverlap="1">
                  <wp:simplePos x="0" y="0"/>
                  <wp:positionH relativeFrom="column">
                    <wp:posOffset>0</wp:posOffset>
                  </wp:positionH>
                  <wp:positionV relativeFrom="paragraph">
                    <wp:posOffset>0</wp:posOffset>
                  </wp:positionV>
                  <wp:extent cx="4445" cy="1189990"/>
                  <wp:effectExtent l="0" t="0" r="0" b="0"/>
                  <wp:wrapNone/>
                  <wp:docPr id="79" name="图片 122"/>
                  <wp:cNvGraphicFramePr/>
                  <a:graphic xmlns:a="http://schemas.openxmlformats.org/drawingml/2006/main">
                    <a:graphicData uri="http://schemas.openxmlformats.org/drawingml/2006/picture">
                      <pic:pic xmlns:pic="http://schemas.openxmlformats.org/drawingml/2006/picture">
                        <pic:nvPicPr>
                          <pic:cNvPr id="79" name="图片 122"/>
                          <pic:cNvPicPr/>
                        </pic:nvPicPr>
                        <pic:blipFill>
                          <a:blip r:embed="rId41"/>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81120" behindDoc="0" locked="0" layoutInCell="1" allowOverlap="1">
                  <wp:simplePos x="0" y="0"/>
                  <wp:positionH relativeFrom="column">
                    <wp:posOffset>0</wp:posOffset>
                  </wp:positionH>
                  <wp:positionV relativeFrom="paragraph">
                    <wp:posOffset>0</wp:posOffset>
                  </wp:positionV>
                  <wp:extent cx="4445" cy="1189990"/>
                  <wp:effectExtent l="0" t="0" r="0" b="0"/>
                  <wp:wrapNone/>
                  <wp:docPr id="64" name="图片 123"/>
                  <wp:cNvGraphicFramePr/>
                  <a:graphic xmlns:a="http://schemas.openxmlformats.org/drawingml/2006/main">
                    <a:graphicData uri="http://schemas.openxmlformats.org/drawingml/2006/picture">
                      <pic:pic xmlns:pic="http://schemas.openxmlformats.org/drawingml/2006/picture">
                        <pic:nvPicPr>
                          <pic:cNvPr id="64" name="图片 123"/>
                          <pic:cNvPicPr/>
                        </pic:nvPicPr>
                        <pic:blipFill>
                          <a:blip r:embed="rId42"/>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82144" behindDoc="0" locked="0" layoutInCell="1" allowOverlap="1">
                  <wp:simplePos x="0" y="0"/>
                  <wp:positionH relativeFrom="column">
                    <wp:posOffset>0</wp:posOffset>
                  </wp:positionH>
                  <wp:positionV relativeFrom="paragraph">
                    <wp:posOffset>0</wp:posOffset>
                  </wp:positionV>
                  <wp:extent cx="4445" cy="1189990"/>
                  <wp:effectExtent l="0" t="0" r="0" b="0"/>
                  <wp:wrapNone/>
                  <wp:docPr id="84" name="图片 124"/>
                  <wp:cNvGraphicFramePr/>
                  <a:graphic xmlns:a="http://schemas.openxmlformats.org/drawingml/2006/main">
                    <a:graphicData uri="http://schemas.openxmlformats.org/drawingml/2006/picture">
                      <pic:pic xmlns:pic="http://schemas.openxmlformats.org/drawingml/2006/picture">
                        <pic:nvPicPr>
                          <pic:cNvPr id="84" name="图片 124"/>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83168" behindDoc="0" locked="0" layoutInCell="1" allowOverlap="1">
                  <wp:simplePos x="0" y="0"/>
                  <wp:positionH relativeFrom="column">
                    <wp:posOffset>0</wp:posOffset>
                  </wp:positionH>
                  <wp:positionV relativeFrom="paragraph">
                    <wp:posOffset>0</wp:posOffset>
                  </wp:positionV>
                  <wp:extent cx="4445" cy="1189990"/>
                  <wp:effectExtent l="0" t="0" r="0" b="0"/>
                  <wp:wrapNone/>
                  <wp:docPr id="102" name="图片 125"/>
                  <wp:cNvGraphicFramePr/>
                  <a:graphic xmlns:a="http://schemas.openxmlformats.org/drawingml/2006/main">
                    <a:graphicData uri="http://schemas.openxmlformats.org/drawingml/2006/picture">
                      <pic:pic xmlns:pic="http://schemas.openxmlformats.org/drawingml/2006/picture">
                        <pic:nvPicPr>
                          <pic:cNvPr id="102" name="图片 125"/>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84192" behindDoc="0" locked="0" layoutInCell="1" allowOverlap="1">
                  <wp:simplePos x="0" y="0"/>
                  <wp:positionH relativeFrom="column">
                    <wp:posOffset>0</wp:posOffset>
                  </wp:positionH>
                  <wp:positionV relativeFrom="paragraph">
                    <wp:posOffset>0</wp:posOffset>
                  </wp:positionV>
                  <wp:extent cx="4445" cy="1192530"/>
                  <wp:effectExtent l="0" t="0" r="0" b="0"/>
                  <wp:wrapNone/>
                  <wp:docPr id="98" name="图片 126"/>
                  <wp:cNvGraphicFramePr/>
                  <a:graphic xmlns:a="http://schemas.openxmlformats.org/drawingml/2006/main">
                    <a:graphicData uri="http://schemas.openxmlformats.org/drawingml/2006/picture">
                      <pic:pic xmlns:pic="http://schemas.openxmlformats.org/drawingml/2006/picture">
                        <pic:nvPicPr>
                          <pic:cNvPr id="98" name="图片 126"/>
                          <pic:cNvPicPr/>
                        </pic:nvPicPr>
                        <pic:blipFill>
                          <a:blip r:embed="rId21"/>
                          <a:stretch>
                            <a:fillRect/>
                          </a:stretch>
                        </pic:blipFill>
                        <pic:spPr>
                          <a:xfrm>
                            <a:off x="0" y="0"/>
                            <a:ext cx="4445" cy="119253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85216" behindDoc="0" locked="0" layoutInCell="1" allowOverlap="1">
                  <wp:simplePos x="0" y="0"/>
                  <wp:positionH relativeFrom="column">
                    <wp:posOffset>0</wp:posOffset>
                  </wp:positionH>
                  <wp:positionV relativeFrom="paragraph">
                    <wp:posOffset>0</wp:posOffset>
                  </wp:positionV>
                  <wp:extent cx="4445" cy="1192530"/>
                  <wp:effectExtent l="0" t="0" r="0" b="0"/>
                  <wp:wrapNone/>
                  <wp:docPr id="89" name="图片 127"/>
                  <wp:cNvGraphicFramePr/>
                  <a:graphic xmlns:a="http://schemas.openxmlformats.org/drawingml/2006/main">
                    <a:graphicData uri="http://schemas.openxmlformats.org/drawingml/2006/picture">
                      <pic:pic xmlns:pic="http://schemas.openxmlformats.org/drawingml/2006/picture">
                        <pic:nvPicPr>
                          <pic:cNvPr id="89" name="图片 127"/>
                          <pic:cNvPicPr/>
                        </pic:nvPicPr>
                        <pic:blipFill>
                          <a:blip r:embed="rId21"/>
                          <a:stretch>
                            <a:fillRect/>
                          </a:stretch>
                        </pic:blipFill>
                        <pic:spPr>
                          <a:xfrm>
                            <a:off x="0" y="0"/>
                            <a:ext cx="4445" cy="119253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86240" behindDoc="0" locked="0" layoutInCell="1" allowOverlap="1">
                  <wp:simplePos x="0" y="0"/>
                  <wp:positionH relativeFrom="column">
                    <wp:posOffset>0</wp:posOffset>
                  </wp:positionH>
                  <wp:positionV relativeFrom="paragraph">
                    <wp:posOffset>0</wp:posOffset>
                  </wp:positionV>
                  <wp:extent cx="4445" cy="1189990"/>
                  <wp:effectExtent l="0" t="0" r="0" b="0"/>
                  <wp:wrapNone/>
                  <wp:docPr id="112" name="图片 128"/>
                  <wp:cNvGraphicFramePr/>
                  <a:graphic xmlns:a="http://schemas.openxmlformats.org/drawingml/2006/main">
                    <a:graphicData uri="http://schemas.openxmlformats.org/drawingml/2006/picture">
                      <pic:pic xmlns:pic="http://schemas.openxmlformats.org/drawingml/2006/picture">
                        <pic:nvPicPr>
                          <pic:cNvPr id="112" name="图片 128"/>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87264" behindDoc="0" locked="0" layoutInCell="1" allowOverlap="1">
                  <wp:simplePos x="0" y="0"/>
                  <wp:positionH relativeFrom="column">
                    <wp:posOffset>0</wp:posOffset>
                  </wp:positionH>
                  <wp:positionV relativeFrom="paragraph">
                    <wp:posOffset>0</wp:posOffset>
                  </wp:positionV>
                  <wp:extent cx="4445" cy="1189990"/>
                  <wp:effectExtent l="0" t="0" r="0" b="0"/>
                  <wp:wrapNone/>
                  <wp:docPr id="107" name="图片 129"/>
                  <wp:cNvGraphicFramePr/>
                  <a:graphic xmlns:a="http://schemas.openxmlformats.org/drawingml/2006/main">
                    <a:graphicData uri="http://schemas.openxmlformats.org/drawingml/2006/picture">
                      <pic:pic xmlns:pic="http://schemas.openxmlformats.org/drawingml/2006/picture">
                        <pic:nvPicPr>
                          <pic:cNvPr id="107" name="图片 129"/>
                          <pic:cNvPicPr/>
                        </pic:nvPicPr>
                        <pic:blipFill>
                          <a:blip r:embed="rId9"/>
                          <a:stretch>
                            <a:fillRect/>
                          </a:stretch>
                        </pic:blipFill>
                        <pic:spPr>
                          <a:xfrm>
                            <a:off x="0" y="0"/>
                            <a:ext cx="4445" cy="118999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88288" behindDoc="0" locked="0" layoutInCell="1" allowOverlap="1">
                  <wp:simplePos x="0" y="0"/>
                  <wp:positionH relativeFrom="column">
                    <wp:posOffset>685800</wp:posOffset>
                  </wp:positionH>
                  <wp:positionV relativeFrom="paragraph">
                    <wp:posOffset>0</wp:posOffset>
                  </wp:positionV>
                  <wp:extent cx="4445" cy="1179195"/>
                  <wp:effectExtent l="0" t="0" r="0" b="0"/>
                  <wp:wrapNone/>
                  <wp:docPr id="95" name="图片 130"/>
                  <wp:cNvGraphicFramePr/>
                  <a:graphic xmlns:a="http://schemas.openxmlformats.org/drawingml/2006/main">
                    <a:graphicData uri="http://schemas.openxmlformats.org/drawingml/2006/picture">
                      <pic:pic xmlns:pic="http://schemas.openxmlformats.org/drawingml/2006/picture">
                        <pic:nvPicPr>
                          <pic:cNvPr id="95" name="图片 130"/>
                          <pic:cNvPicPr/>
                        </pic:nvPicPr>
                        <pic:blipFill>
                          <a:blip r:embed="rId43"/>
                          <a:stretch>
                            <a:fillRect/>
                          </a:stretch>
                        </pic:blipFill>
                        <pic:spPr>
                          <a:xfrm>
                            <a:off x="0" y="0"/>
                            <a:ext cx="4445" cy="1179195"/>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89312" behindDoc="0" locked="0" layoutInCell="1" allowOverlap="1">
                  <wp:simplePos x="0" y="0"/>
                  <wp:positionH relativeFrom="column">
                    <wp:posOffset>685800</wp:posOffset>
                  </wp:positionH>
                  <wp:positionV relativeFrom="paragraph">
                    <wp:posOffset>0</wp:posOffset>
                  </wp:positionV>
                  <wp:extent cx="4445" cy="1179195"/>
                  <wp:effectExtent l="0" t="0" r="0" b="0"/>
                  <wp:wrapNone/>
                  <wp:docPr id="88" name="图片 131"/>
                  <wp:cNvGraphicFramePr/>
                  <a:graphic xmlns:a="http://schemas.openxmlformats.org/drawingml/2006/main">
                    <a:graphicData uri="http://schemas.openxmlformats.org/drawingml/2006/picture">
                      <pic:pic xmlns:pic="http://schemas.openxmlformats.org/drawingml/2006/picture">
                        <pic:nvPicPr>
                          <pic:cNvPr id="88" name="图片 131"/>
                          <pic:cNvPicPr/>
                        </pic:nvPicPr>
                        <pic:blipFill>
                          <a:blip r:embed="rId44"/>
                          <a:stretch>
                            <a:fillRect/>
                          </a:stretch>
                        </pic:blipFill>
                        <pic:spPr>
                          <a:xfrm>
                            <a:off x="0" y="0"/>
                            <a:ext cx="4445" cy="1179195"/>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90336" behindDoc="0" locked="0" layoutInCell="1" allowOverlap="1">
                  <wp:simplePos x="0" y="0"/>
                  <wp:positionH relativeFrom="column">
                    <wp:posOffset>685800</wp:posOffset>
                  </wp:positionH>
                  <wp:positionV relativeFrom="paragraph">
                    <wp:posOffset>0</wp:posOffset>
                  </wp:positionV>
                  <wp:extent cx="4445" cy="1192530"/>
                  <wp:effectExtent l="0" t="0" r="0" b="0"/>
                  <wp:wrapNone/>
                  <wp:docPr id="105" name="图片 132"/>
                  <wp:cNvGraphicFramePr/>
                  <a:graphic xmlns:a="http://schemas.openxmlformats.org/drawingml/2006/main">
                    <a:graphicData uri="http://schemas.openxmlformats.org/drawingml/2006/picture">
                      <pic:pic xmlns:pic="http://schemas.openxmlformats.org/drawingml/2006/picture">
                        <pic:nvPicPr>
                          <pic:cNvPr id="105" name="图片 132"/>
                          <pic:cNvPicPr/>
                        </pic:nvPicPr>
                        <pic:blipFill>
                          <a:blip r:embed="rId45"/>
                          <a:stretch>
                            <a:fillRect/>
                          </a:stretch>
                        </pic:blipFill>
                        <pic:spPr>
                          <a:xfrm>
                            <a:off x="0" y="0"/>
                            <a:ext cx="4445" cy="119253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91360" behindDoc="0" locked="0" layoutInCell="1" allowOverlap="1">
                  <wp:simplePos x="0" y="0"/>
                  <wp:positionH relativeFrom="column">
                    <wp:posOffset>685800</wp:posOffset>
                  </wp:positionH>
                  <wp:positionV relativeFrom="paragraph">
                    <wp:posOffset>0</wp:posOffset>
                  </wp:positionV>
                  <wp:extent cx="4445" cy="1192530"/>
                  <wp:effectExtent l="0" t="0" r="0" b="0"/>
                  <wp:wrapNone/>
                  <wp:docPr id="111" name="图片 133"/>
                  <wp:cNvGraphicFramePr/>
                  <a:graphic xmlns:a="http://schemas.openxmlformats.org/drawingml/2006/main">
                    <a:graphicData uri="http://schemas.openxmlformats.org/drawingml/2006/picture">
                      <pic:pic xmlns:pic="http://schemas.openxmlformats.org/drawingml/2006/picture">
                        <pic:nvPicPr>
                          <pic:cNvPr id="111" name="图片 133"/>
                          <pic:cNvPicPr/>
                        </pic:nvPicPr>
                        <pic:blipFill>
                          <a:blip r:embed="rId46"/>
                          <a:stretch>
                            <a:fillRect/>
                          </a:stretch>
                        </pic:blipFill>
                        <pic:spPr>
                          <a:xfrm>
                            <a:off x="0" y="0"/>
                            <a:ext cx="4445" cy="119253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92384" behindDoc="0" locked="0" layoutInCell="1" allowOverlap="1">
                  <wp:simplePos x="0" y="0"/>
                  <wp:positionH relativeFrom="column">
                    <wp:posOffset>685800</wp:posOffset>
                  </wp:positionH>
                  <wp:positionV relativeFrom="paragraph">
                    <wp:posOffset>0</wp:posOffset>
                  </wp:positionV>
                  <wp:extent cx="4445" cy="1192530"/>
                  <wp:effectExtent l="0" t="0" r="0" b="0"/>
                  <wp:wrapNone/>
                  <wp:docPr id="90" name="图片 134"/>
                  <wp:cNvGraphicFramePr/>
                  <a:graphic xmlns:a="http://schemas.openxmlformats.org/drawingml/2006/main">
                    <a:graphicData uri="http://schemas.openxmlformats.org/drawingml/2006/picture">
                      <pic:pic xmlns:pic="http://schemas.openxmlformats.org/drawingml/2006/picture">
                        <pic:nvPicPr>
                          <pic:cNvPr id="90" name="图片 134"/>
                          <pic:cNvPicPr/>
                        </pic:nvPicPr>
                        <pic:blipFill>
                          <a:blip r:embed="rId21"/>
                          <a:stretch>
                            <a:fillRect/>
                          </a:stretch>
                        </pic:blipFill>
                        <pic:spPr>
                          <a:xfrm>
                            <a:off x="0" y="0"/>
                            <a:ext cx="4445" cy="119253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93408" behindDoc="0" locked="0" layoutInCell="1" allowOverlap="1">
                  <wp:simplePos x="0" y="0"/>
                  <wp:positionH relativeFrom="column">
                    <wp:posOffset>685800</wp:posOffset>
                  </wp:positionH>
                  <wp:positionV relativeFrom="paragraph">
                    <wp:posOffset>0</wp:posOffset>
                  </wp:positionV>
                  <wp:extent cx="4445" cy="1192530"/>
                  <wp:effectExtent l="0" t="0" r="0" b="0"/>
                  <wp:wrapNone/>
                  <wp:docPr id="96" name="图片 135"/>
                  <wp:cNvGraphicFramePr/>
                  <a:graphic xmlns:a="http://schemas.openxmlformats.org/drawingml/2006/main">
                    <a:graphicData uri="http://schemas.openxmlformats.org/drawingml/2006/picture">
                      <pic:pic xmlns:pic="http://schemas.openxmlformats.org/drawingml/2006/picture">
                        <pic:nvPicPr>
                          <pic:cNvPr id="96" name="图片 135"/>
                          <pic:cNvPicPr/>
                        </pic:nvPicPr>
                        <pic:blipFill>
                          <a:blip r:embed="rId21"/>
                          <a:stretch>
                            <a:fillRect/>
                          </a:stretch>
                        </pic:blipFill>
                        <pic:spPr>
                          <a:xfrm>
                            <a:off x="0" y="0"/>
                            <a:ext cx="4445" cy="119253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94432" behindDoc="0" locked="0" layoutInCell="1" allowOverlap="1">
                  <wp:simplePos x="0" y="0"/>
                  <wp:positionH relativeFrom="column">
                    <wp:posOffset>685800</wp:posOffset>
                  </wp:positionH>
                  <wp:positionV relativeFrom="paragraph">
                    <wp:posOffset>0</wp:posOffset>
                  </wp:positionV>
                  <wp:extent cx="4445" cy="1192530"/>
                  <wp:effectExtent l="0" t="0" r="0" b="0"/>
                  <wp:wrapNone/>
                  <wp:docPr id="97" name="图片 136"/>
                  <wp:cNvGraphicFramePr/>
                  <a:graphic xmlns:a="http://schemas.openxmlformats.org/drawingml/2006/main">
                    <a:graphicData uri="http://schemas.openxmlformats.org/drawingml/2006/picture">
                      <pic:pic xmlns:pic="http://schemas.openxmlformats.org/drawingml/2006/picture">
                        <pic:nvPicPr>
                          <pic:cNvPr id="97" name="图片 136"/>
                          <pic:cNvPicPr/>
                        </pic:nvPicPr>
                        <pic:blipFill>
                          <a:blip r:embed="rId21"/>
                          <a:stretch>
                            <a:fillRect/>
                          </a:stretch>
                        </pic:blipFill>
                        <pic:spPr>
                          <a:xfrm>
                            <a:off x="0" y="0"/>
                            <a:ext cx="4445" cy="119253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95456" behindDoc="0" locked="0" layoutInCell="1" allowOverlap="1">
                  <wp:simplePos x="0" y="0"/>
                  <wp:positionH relativeFrom="column">
                    <wp:posOffset>685800</wp:posOffset>
                  </wp:positionH>
                  <wp:positionV relativeFrom="paragraph">
                    <wp:posOffset>0</wp:posOffset>
                  </wp:positionV>
                  <wp:extent cx="4445" cy="1179195"/>
                  <wp:effectExtent l="0" t="0" r="0" b="0"/>
                  <wp:wrapNone/>
                  <wp:docPr id="110" name="图片 137"/>
                  <wp:cNvGraphicFramePr/>
                  <a:graphic xmlns:a="http://schemas.openxmlformats.org/drawingml/2006/main">
                    <a:graphicData uri="http://schemas.openxmlformats.org/drawingml/2006/picture">
                      <pic:pic xmlns:pic="http://schemas.openxmlformats.org/drawingml/2006/picture">
                        <pic:nvPicPr>
                          <pic:cNvPr id="110" name="图片 137"/>
                          <pic:cNvPicPr/>
                        </pic:nvPicPr>
                        <pic:blipFill>
                          <a:blip r:embed="rId44"/>
                          <a:stretch>
                            <a:fillRect/>
                          </a:stretch>
                        </pic:blipFill>
                        <pic:spPr>
                          <a:xfrm>
                            <a:off x="0" y="0"/>
                            <a:ext cx="4445" cy="1179195"/>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96480" behindDoc="0" locked="0" layoutInCell="1" allowOverlap="1">
                  <wp:simplePos x="0" y="0"/>
                  <wp:positionH relativeFrom="column">
                    <wp:posOffset>685800</wp:posOffset>
                  </wp:positionH>
                  <wp:positionV relativeFrom="paragraph">
                    <wp:posOffset>0</wp:posOffset>
                  </wp:positionV>
                  <wp:extent cx="4445" cy="1192530"/>
                  <wp:effectExtent l="0" t="0" r="0" b="0"/>
                  <wp:wrapNone/>
                  <wp:docPr id="104" name="图片 138"/>
                  <wp:cNvGraphicFramePr/>
                  <a:graphic xmlns:a="http://schemas.openxmlformats.org/drawingml/2006/main">
                    <a:graphicData uri="http://schemas.openxmlformats.org/drawingml/2006/picture">
                      <pic:pic xmlns:pic="http://schemas.openxmlformats.org/drawingml/2006/picture">
                        <pic:nvPicPr>
                          <pic:cNvPr id="104" name="图片 138"/>
                          <pic:cNvPicPr/>
                        </pic:nvPicPr>
                        <pic:blipFill>
                          <a:blip r:embed="rId21"/>
                          <a:stretch>
                            <a:fillRect/>
                          </a:stretch>
                        </pic:blipFill>
                        <pic:spPr>
                          <a:xfrm>
                            <a:off x="0" y="0"/>
                            <a:ext cx="4445" cy="119253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97504" behindDoc="0" locked="0" layoutInCell="1" allowOverlap="1">
                  <wp:simplePos x="0" y="0"/>
                  <wp:positionH relativeFrom="column">
                    <wp:posOffset>685800</wp:posOffset>
                  </wp:positionH>
                  <wp:positionV relativeFrom="paragraph">
                    <wp:posOffset>0</wp:posOffset>
                  </wp:positionV>
                  <wp:extent cx="4445" cy="1192530"/>
                  <wp:effectExtent l="0" t="0" r="0" b="0"/>
                  <wp:wrapNone/>
                  <wp:docPr id="113" name="图片 139"/>
                  <wp:cNvGraphicFramePr/>
                  <a:graphic xmlns:a="http://schemas.openxmlformats.org/drawingml/2006/main">
                    <a:graphicData uri="http://schemas.openxmlformats.org/drawingml/2006/picture">
                      <pic:pic xmlns:pic="http://schemas.openxmlformats.org/drawingml/2006/picture">
                        <pic:nvPicPr>
                          <pic:cNvPr id="113" name="图片 139"/>
                          <pic:cNvPicPr/>
                        </pic:nvPicPr>
                        <pic:blipFill>
                          <a:blip r:embed="rId21"/>
                          <a:stretch>
                            <a:fillRect/>
                          </a:stretch>
                        </pic:blipFill>
                        <pic:spPr>
                          <a:xfrm>
                            <a:off x="0" y="0"/>
                            <a:ext cx="4445" cy="119253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98528" behindDoc="0" locked="0" layoutInCell="1" allowOverlap="1">
                  <wp:simplePos x="0" y="0"/>
                  <wp:positionH relativeFrom="column">
                    <wp:posOffset>685800</wp:posOffset>
                  </wp:positionH>
                  <wp:positionV relativeFrom="paragraph">
                    <wp:posOffset>0</wp:posOffset>
                  </wp:positionV>
                  <wp:extent cx="4445" cy="1192530"/>
                  <wp:effectExtent l="0" t="0" r="0" b="0"/>
                  <wp:wrapNone/>
                  <wp:docPr id="91" name="图片 140"/>
                  <wp:cNvGraphicFramePr/>
                  <a:graphic xmlns:a="http://schemas.openxmlformats.org/drawingml/2006/main">
                    <a:graphicData uri="http://schemas.openxmlformats.org/drawingml/2006/picture">
                      <pic:pic xmlns:pic="http://schemas.openxmlformats.org/drawingml/2006/picture">
                        <pic:nvPicPr>
                          <pic:cNvPr id="91" name="图片 140"/>
                          <pic:cNvPicPr/>
                        </pic:nvPicPr>
                        <pic:blipFill>
                          <a:blip r:embed="rId21"/>
                          <a:stretch>
                            <a:fillRect/>
                          </a:stretch>
                        </pic:blipFill>
                        <pic:spPr>
                          <a:xfrm>
                            <a:off x="0" y="0"/>
                            <a:ext cx="4445" cy="119253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799552" behindDoc="0" locked="0" layoutInCell="1" allowOverlap="1">
                  <wp:simplePos x="0" y="0"/>
                  <wp:positionH relativeFrom="column">
                    <wp:posOffset>685800</wp:posOffset>
                  </wp:positionH>
                  <wp:positionV relativeFrom="paragraph">
                    <wp:posOffset>0</wp:posOffset>
                  </wp:positionV>
                  <wp:extent cx="4445" cy="1192530"/>
                  <wp:effectExtent l="0" t="0" r="0" b="0"/>
                  <wp:wrapNone/>
                  <wp:docPr id="99" name="图片 141"/>
                  <wp:cNvGraphicFramePr/>
                  <a:graphic xmlns:a="http://schemas.openxmlformats.org/drawingml/2006/main">
                    <a:graphicData uri="http://schemas.openxmlformats.org/drawingml/2006/picture">
                      <pic:pic xmlns:pic="http://schemas.openxmlformats.org/drawingml/2006/picture">
                        <pic:nvPicPr>
                          <pic:cNvPr id="99" name="图片 141"/>
                          <pic:cNvPicPr/>
                        </pic:nvPicPr>
                        <pic:blipFill>
                          <a:blip r:embed="rId21"/>
                          <a:stretch>
                            <a:fillRect/>
                          </a:stretch>
                        </pic:blipFill>
                        <pic:spPr>
                          <a:xfrm>
                            <a:off x="0" y="0"/>
                            <a:ext cx="4445" cy="119253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800576" behindDoc="0" locked="0" layoutInCell="1" allowOverlap="1">
                  <wp:simplePos x="0" y="0"/>
                  <wp:positionH relativeFrom="column">
                    <wp:posOffset>685800</wp:posOffset>
                  </wp:positionH>
                  <wp:positionV relativeFrom="paragraph">
                    <wp:posOffset>0</wp:posOffset>
                  </wp:positionV>
                  <wp:extent cx="4445" cy="1179195"/>
                  <wp:effectExtent l="0" t="0" r="0" b="0"/>
                  <wp:wrapNone/>
                  <wp:docPr id="106" name="图片 142"/>
                  <wp:cNvGraphicFramePr/>
                  <a:graphic xmlns:a="http://schemas.openxmlformats.org/drawingml/2006/main">
                    <a:graphicData uri="http://schemas.openxmlformats.org/drawingml/2006/picture">
                      <pic:pic xmlns:pic="http://schemas.openxmlformats.org/drawingml/2006/picture">
                        <pic:nvPicPr>
                          <pic:cNvPr id="106" name="图片 142"/>
                          <pic:cNvPicPr/>
                        </pic:nvPicPr>
                        <pic:blipFill>
                          <a:blip r:embed="rId47"/>
                          <a:stretch>
                            <a:fillRect/>
                          </a:stretch>
                        </pic:blipFill>
                        <pic:spPr>
                          <a:xfrm>
                            <a:off x="0" y="0"/>
                            <a:ext cx="4445" cy="1179195"/>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801600" behindDoc="0" locked="0" layoutInCell="1" allowOverlap="1">
                  <wp:simplePos x="0" y="0"/>
                  <wp:positionH relativeFrom="column">
                    <wp:posOffset>685800</wp:posOffset>
                  </wp:positionH>
                  <wp:positionV relativeFrom="paragraph">
                    <wp:posOffset>0</wp:posOffset>
                  </wp:positionV>
                  <wp:extent cx="4445" cy="1192530"/>
                  <wp:effectExtent l="0" t="0" r="0" b="0"/>
                  <wp:wrapNone/>
                  <wp:docPr id="109" name="图片 143"/>
                  <wp:cNvGraphicFramePr/>
                  <a:graphic xmlns:a="http://schemas.openxmlformats.org/drawingml/2006/main">
                    <a:graphicData uri="http://schemas.openxmlformats.org/drawingml/2006/picture">
                      <pic:pic xmlns:pic="http://schemas.openxmlformats.org/drawingml/2006/picture">
                        <pic:nvPicPr>
                          <pic:cNvPr id="109" name="图片 143"/>
                          <pic:cNvPicPr/>
                        </pic:nvPicPr>
                        <pic:blipFill>
                          <a:blip r:embed="rId48"/>
                          <a:stretch>
                            <a:fillRect/>
                          </a:stretch>
                        </pic:blipFill>
                        <pic:spPr>
                          <a:xfrm>
                            <a:off x="0" y="0"/>
                            <a:ext cx="4445" cy="119253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802624" behindDoc="0" locked="0" layoutInCell="1" allowOverlap="1">
                  <wp:simplePos x="0" y="0"/>
                  <wp:positionH relativeFrom="column">
                    <wp:posOffset>685800</wp:posOffset>
                  </wp:positionH>
                  <wp:positionV relativeFrom="paragraph">
                    <wp:posOffset>0</wp:posOffset>
                  </wp:positionV>
                  <wp:extent cx="4445" cy="1179195"/>
                  <wp:effectExtent l="0" t="0" r="0" b="0"/>
                  <wp:wrapNone/>
                  <wp:docPr id="92" name="图片 144"/>
                  <wp:cNvGraphicFramePr/>
                  <a:graphic xmlns:a="http://schemas.openxmlformats.org/drawingml/2006/main">
                    <a:graphicData uri="http://schemas.openxmlformats.org/drawingml/2006/picture">
                      <pic:pic xmlns:pic="http://schemas.openxmlformats.org/drawingml/2006/picture">
                        <pic:nvPicPr>
                          <pic:cNvPr id="92" name="图片 144"/>
                          <pic:cNvPicPr/>
                        </pic:nvPicPr>
                        <pic:blipFill>
                          <a:blip r:embed="rId44"/>
                          <a:stretch>
                            <a:fillRect/>
                          </a:stretch>
                        </pic:blipFill>
                        <pic:spPr>
                          <a:xfrm>
                            <a:off x="0" y="0"/>
                            <a:ext cx="4445" cy="1179195"/>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803648" behindDoc="0" locked="0" layoutInCell="1" allowOverlap="1">
                  <wp:simplePos x="0" y="0"/>
                  <wp:positionH relativeFrom="column">
                    <wp:posOffset>685800</wp:posOffset>
                  </wp:positionH>
                  <wp:positionV relativeFrom="paragraph">
                    <wp:posOffset>0</wp:posOffset>
                  </wp:positionV>
                  <wp:extent cx="4445" cy="1192530"/>
                  <wp:effectExtent l="0" t="0" r="0" b="0"/>
                  <wp:wrapNone/>
                  <wp:docPr id="114" name="图片 145"/>
                  <wp:cNvGraphicFramePr/>
                  <a:graphic xmlns:a="http://schemas.openxmlformats.org/drawingml/2006/main">
                    <a:graphicData uri="http://schemas.openxmlformats.org/drawingml/2006/picture">
                      <pic:pic xmlns:pic="http://schemas.openxmlformats.org/drawingml/2006/picture">
                        <pic:nvPicPr>
                          <pic:cNvPr id="114" name="图片 145"/>
                          <pic:cNvPicPr/>
                        </pic:nvPicPr>
                        <pic:blipFill>
                          <a:blip r:embed="rId21"/>
                          <a:stretch>
                            <a:fillRect/>
                          </a:stretch>
                        </pic:blipFill>
                        <pic:spPr>
                          <a:xfrm>
                            <a:off x="0" y="0"/>
                            <a:ext cx="4445" cy="119253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804672" behindDoc="0" locked="0" layoutInCell="1" allowOverlap="1">
                  <wp:simplePos x="0" y="0"/>
                  <wp:positionH relativeFrom="column">
                    <wp:posOffset>685800</wp:posOffset>
                  </wp:positionH>
                  <wp:positionV relativeFrom="paragraph">
                    <wp:posOffset>0</wp:posOffset>
                  </wp:positionV>
                  <wp:extent cx="4445" cy="1192530"/>
                  <wp:effectExtent l="0" t="0" r="0" b="0"/>
                  <wp:wrapNone/>
                  <wp:docPr id="108" name="图片 146"/>
                  <wp:cNvGraphicFramePr/>
                  <a:graphic xmlns:a="http://schemas.openxmlformats.org/drawingml/2006/main">
                    <a:graphicData uri="http://schemas.openxmlformats.org/drawingml/2006/picture">
                      <pic:pic xmlns:pic="http://schemas.openxmlformats.org/drawingml/2006/picture">
                        <pic:nvPicPr>
                          <pic:cNvPr id="108" name="图片 146"/>
                          <pic:cNvPicPr/>
                        </pic:nvPicPr>
                        <pic:blipFill>
                          <a:blip r:embed="rId49"/>
                          <a:stretch>
                            <a:fillRect/>
                          </a:stretch>
                        </pic:blipFill>
                        <pic:spPr>
                          <a:xfrm>
                            <a:off x="0" y="0"/>
                            <a:ext cx="4445" cy="119253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805696" behindDoc="0" locked="0" layoutInCell="1" allowOverlap="1">
                  <wp:simplePos x="0" y="0"/>
                  <wp:positionH relativeFrom="column">
                    <wp:posOffset>685800</wp:posOffset>
                  </wp:positionH>
                  <wp:positionV relativeFrom="paragraph">
                    <wp:posOffset>0</wp:posOffset>
                  </wp:positionV>
                  <wp:extent cx="4445" cy="1192530"/>
                  <wp:effectExtent l="0" t="0" r="0" b="0"/>
                  <wp:wrapNone/>
                  <wp:docPr id="103" name="图片 147"/>
                  <wp:cNvGraphicFramePr/>
                  <a:graphic xmlns:a="http://schemas.openxmlformats.org/drawingml/2006/main">
                    <a:graphicData uri="http://schemas.openxmlformats.org/drawingml/2006/picture">
                      <pic:pic xmlns:pic="http://schemas.openxmlformats.org/drawingml/2006/picture">
                        <pic:nvPicPr>
                          <pic:cNvPr id="103" name="图片 147"/>
                          <pic:cNvPicPr/>
                        </pic:nvPicPr>
                        <pic:blipFill>
                          <a:blip r:embed="rId21"/>
                          <a:stretch>
                            <a:fillRect/>
                          </a:stretch>
                        </pic:blipFill>
                        <pic:spPr>
                          <a:xfrm>
                            <a:off x="0" y="0"/>
                            <a:ext cx="4445" cy="119253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806720" behindDoc="0" locked="0" layoutInCell="1" allowOverlap="1">
                  <wp:simplePos x="0" y="0"/>
                  <wp:positionH relativeFrom="column">
                    <wp:posOffset>685800</wp:posOffset>
                  </wp:positionH>
                  <wp:positionV relativeFrom="paragraph">
                    <wp:posOffset>0</wp:posOffset>
                  </wp:positionV>
                  <wp:extent cx="4445" cy="1192530"/>
                  <wp:effectExtent l="0" t="0" r="0" b="0"/>
                  <wp:wrapNone/>
                  <wp:docPr id="115" name="图片 148"/>
                  <wp:cNvGraphicFramePr/>
                  <a:graphic xmlns:a="http://schemas.openxmlformats.org/drawingml/2006/main">
                    <a:graphicData uri="http://schemas.openxmlformats.org/drawingml/2006/picture">
                      <pic:pic xmlns:pic="http://schemas.openxmlformats.org/drawingml/2006/picture">
                        <pic:nvPicPr>
                          <pic:cNvPr id="115" name="图片 148"/>
                          <pic:cNvPicPr/>
                        </pic:nvPicPr>
                        <pic:blipFill>
                          <a:blip r:embed="rId21"/>
                          <a:stretch>
                            <a:fillRect/>
                          </a:stretch>
                        </pic:blipFill>
                        <pic:spPr>
                          <a:xfrm>
                            <a:off x="0" y="0"/>
                            <a:ext cx="4445" cy="119253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807744" behindDoc="0" locked="0" layoutInCell="1" allowOverlap="1">
                  <wp:simplePos x="0" y="0"/>
                  <wp:positionH relativeFrom="column">
                    <wp:posOffset>685800</wp:posOffset>
                  </wp:positionH>
                  <wp:positionV relativeFrom="paragraph">
                    <wp:posOffset>0</wp:posOffset>
                  </wp:positionV>
                  <wp:extent cx="4445" cy="1192530"/>
                  <wp:effectExtent l="0" t="0" r="0" b="0"/>
                  <wp:wrapNone/>
                  <wp:docPr id="93" name="图片 149"/>
                  <wp:cNvGraphicFramePr/>
                  <a:graphic xmlns:a="http://schemas.openxmlformats.org/drawingml/2006/main">
                    <a:graphicData uri="http://schemas.openxmlformats.org/drawingml/2006/picture">
                      <pic:pic xmlns:pic="http://schemas.openxmlformats.org/drawingml/2006/picture">
                        <pic:nvPicPr>
                          <pic:cNvPr id="93" name="图片 149"/>
                          <pic:cNvPicPr/>
                        </pic:nvPicPr>
                        <pic:blipFill>
                          <a:blip r:embed="rId50"/>
                          <a:stretch>
                            <a:fillRect/>
                          </a:stretch>
                        </pic:blipFill>
                        <pic:spPr>
                          <a:xfrm>
                            <a:off x="0" y="0"/>
                            <a:ext cx="4445" cy="119253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808768" behindDoc="0" locked="0" layoutInCell="1" allowOverlap="1">
                  <wp:simplePos x="0" y="0"/>
                  <wp:positionH relativeFrom="column">
                    <wp:posOffset>685800</wp:posOffset>
                  </wp:positionH>
                  <wp:positionV relativeFrom="paragraph">
                    <wp:posOffset>0</wp:posOffset>
                  </wp:positionV>
                  <wp:extent cx="4445" cy="1192530"/>
                  <wp:effectExtent l="0" t="0" r="0" b="0"/>
                  <wp:wrapNone/>
                  <wp:docPr id="94" name="图片 150"/>
                  <wp:cNvGraphicFramePr/>
                  <a:graphic xmlns:a="http://schemas.openxmlformats.org/drawingml/2006/main">
                    <a:graphicData uri="http://schemas.openxmlformats.org/drawingml/2006/picture">
                      <pic:pic xmlns:pic="http://schemas.openxmlformats.org/drawingml/2006/picture">
                        <pic:nvPicPr>
                          <pic:cNvPr id="94" name="图片 150"/>
                          <pic:cNvPicPr/>
                        </pic:nvPicPr>
                        <pic:blipFill>
                          <a:blip r:embed="rId51"/>
                          <a:stretch>
                            <a:fillRect/>
                          </a:stretch>
                        </pic:blipFill>
                        <pic:spPr>
                          <a:xfrm>
                            <a:off x="0" y="0"/>
                            <a:ext cx="4445" cy="119253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809792" behindDoc="0" locked="0" layoutInCell="1" allowOverlap="1">
                  <wp:simplePos x="0" y="0"/>
                  <wp:positionH relativeFrom="column">
                    <wp:posOffset>685800</wp:posOffset>
                  </wp:positionH>
                  <wp:positionV relativeFrom="paragraph">
                    <wp:posOffset>0</wp:posOffset>
                  </wp:positionV>
                  <wp:extent cx="4445" cy="1192530"/>
                  <wp:effectExtent l="0" t="0" r="0" b="0"/>
                  <wp:wrapNone/>
                  <wp:docPr id="100" name="图片 151"/>
                  <wp:cNvGraphicFramePr/>
                  <a:graphic xmlns:a="http://schemas.openxmlformats.org/drawingml/2006/main">
                    <a:graphicData uri="http://schemas.openxmlformats.org/drawingml/2006/picture">
                      <pic:pic xmlns:pic="http://schemas.openxmlformats.org/drawingml/2006/picture">
                        <pic:nvPicPr>
                          <pic:cNvPr id="100" name="图片 151"/>
                          <pic:cNvPicPr/>
                        </pic:nvPicPr>
                        <pic:blipFill>
                          <a:blip r:embed="rId21"/>
                          <a:stretch>
                            <a:fillRect/>
                          </a:stretch>
                        </pic:blipFill>
                        <pic:spPr>
                          <a:xfrm>
                            <a:off x="0" y="0"/>
                            <a:ext cx="4445" cy="1192530"/>
                          </a:xfrm>
                          <a:prstGeom prst="rect">
                            <a:avLst/>
                          </a:prstGeom>
                          <a:noFill/>
                          <a:ln>
                            <a:noFill/>
                          </a:ln>
                        </pic:spPr>
                      </pic:pic>
                    </a:graphicData>
                  </a:graphic>
                </wp:anchor>
              </w:drawing>
            </w:r>
            <w:r>
              <w:rPr>
                <w:rFonts w:hint="eastAsia" w:ascii="宋体" w:hAnsi="宋体" w:eastAsia="宋体" w:cs="宋体"/>
                <w:b/>
                <w:bCs/>
                <w:i w:val="0"/>
                <w:iCs w:val="0"/>
                <w:color w:val="000000"/>
                <w:kern w:val="0"/>
                <w:sz w:val="18"/>
                <w:szCs w:val="18"/>
                <w:u w:val="none"/>
                <w:bdr w:val="single" w:color="000000" w:sz="4" w:space="0"/>
                <w:shd w:val="clear" w:color="auto" w:fill="D9E1F4"/>
                <w:lang w:val="en-US" w:eastAsia="zh-CN" w:bidi="ar"/>
              </w:rPr>
              <w:drawing>
                <wp:anchor distT="0" distB="0" distL="114300" distR="114300" simplePos="0" relativeHeight="251810816" behindDoc="0" locked="0" layoutInCell="1" allowOverlap="1">
                  <wp:simplePos x="0" y="0"/>
                  <wp:positionH relativeFrom="column">
                    <wp:posOffset>685800</wp:posOffset>
                  </wp:positionH>
                  <wp:positionV relativeFrom="paragraph">
                    <wp:posOffset>0</wp:posOffset>
                  </wp:positionV>
                  <wp:extent cx="4445" cy="1179195"/>
                  <wp:effectExtent l="0" t="0" r="0" b="0"/>
                  <wp:wrapNone/>
                  <wp:docPr id="101" name="图片 152"/>
                  <wp:cNvGraphicFramePr/>
                  <a:graphic xmlns:a="http://schemas.openxmlformats.org/drawingml/2006/main">
                    <a:graphicData uri="http://schemas.openxmlformats.org/drawingml/2006/picture">
                      <pic:pic xmlns:pic="http://schemas.openxmlformats.org/drawingml/2006/picture">
                        <pic:nvPicPr>
                          <pic:cNvPr id="101" name="图片 152"/>
                          <pic:cNvPicPr/>
                        </pic:nvPicPr>
                        <pic:blipFill>
                          <a:blip r:embed="rId44"/>
                          <a:stretch>
                            <a:fillRect/>
                          </a:stretch>
                        </pic:blipFill>
                        <pic:spPr>
                          <a:xfrm>
                            <a:off x="0" y="0"/>
                            <a:ext cx="4445" cy="1179195"/>
                          </a:xfrm>
                          <a:prstGeom prst="rect">
                            <a:avLst/>
                          </a:prstGeom>
                          <a:noFill/>
                          <a:ln>
                            <a:noFill/>
                          </a:ln>
                        </pic:spPr>
                      </pic:pic>
                    </a:graphicData>
                  </a:graphic>
                </wp:anchor>
              </w:drawing>
            </w:r>
          </w:p>
        </w:tc>
      </w:tr>
      <w:tr w14:paraId="618FB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58B3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5162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学生用</w:t>
            </w:r>
            <w:r>
              <w:rPr>
                <w:rStyle w:val="5"/>
                <w:rFonts w:hint="eastAsia" w:ascii="宋体" w:hAnsi="宋体" w:eastAsia="宋体" w:cs="宋体"/>
                <w:sz w:val="18"/>
                <w:szCs w:val="18"/>
                <w:lang w:val="en-US" w:eastAsia="zh-CN" w:bidi="ar"/>
              </w:rPr>
              <w:t>化学智能实验探索者</w:t>
            </w:r>
          </w:p>
        </w:tc>
        <w:tc>
          <w:tcPr>
            <w:tcW w:w="50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F301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智能实验探究者：智能数字实验盘是一款功能强大、小巧轻便的数字化实验数据采集设备，可满足中小学各个学科的实验需求；支持有线、无线两种传输模式；内置功能完整的实验操作平台，支持脱离终端设备进行独立实验，支持实验保存，并可随时在智能数字实验盘上查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一、结构及外观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一体化设计，3.5英寸显示屏居中，7个传感器模块环绕分布；采集器与传感器之间采用Lightning接口，采用环绕式可插拔设计，可任意更换传感器，无需数据线连接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二、规格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支持平台：Windows、Android、iOS/iPadOS、MacOS、 Linux、Harmony OS、统信UOS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显示屏：3.5英寸TFT 480*320 电容屏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最大采样速率：100,000次/秒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采样解析度：12-bit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内存：16M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传感器接口：7 个</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有线连接：USB 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无线连接：蓝牙2.0/4.2双模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内置电池：3000mAh 锂电池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待机时间：6个月以上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使用温度范围：-20℃~70℃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电源适配器：100V~240V AC / 5V DC 2A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软件：iLabV12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固件升级：固件可通过USB接口进行升级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内置传感器：三轴加速度、GPS、气压计、相对高度计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·三轴加速度传感器：量程 -8g~+8g,精度2.5%，可测量空间三个垂直方向上的加速度值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GPS：最大导航更新率（Maximum Navigation update rate）：5Hz；平面位置精度（Horizontal position accuracy）：2.5m；速度准确度（Velocity accuracy）：0.1m/s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·气压计：量程 50~110kPa，精度 ±4kPa (相对精度: 0.05kPa)，可用于测量周围环境的大气压强，能够灵敏反映因海拔变化引起的大气压的变化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·相对高度计：分辨率 0.3m，用于测量相对海拔高度，比如，可以获得从某一高度上升或下降到另一高度的具体高度值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颠覆传统采集器需连接终端设备使用的模式，智能数字实验盘在自身强大的软、硬件支撑下，既可连接外接终端设备，也可脱离终端独立进行数据采集、实验操作，支持有线、无线传输，自成一个功能完整且独立的实验平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2、内置3.5英寸电容屏，支持手势操作，触控灵敏、交互便捷，为数据显示、实验采集提供良好的图形界面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一体化设计，机身设计有7个传感器接口，支持热插拔；支持近60种传感器，遍及力学、热学、光学、电学、化学、生物等多个领域；内置三轴加速度、GPS、环境温度、气压计、相对高度计等传感器；内置传感器与外接传感器模块可并行采集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高度自由的实验操作。独立使用时，支持实验采集功能，提供图像、表格两种模式。图像模式支持对X轴、Y轴自定义，且Y轴支持传感器多选；支持双Y轴设置，优化选择多个传感器且数值相差较大时的图像显示，适应多样需求；支持曲线镜像显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5、支持对采集间隔、采集时间进行设置，支持手动采集、定时采集等不同模式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6、实验采集支持保存与读取，方便随时对实验进行复盘分析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7、支持7种外接传感器和5种内置传感器同时工作，并在内置屏上同步数据显示；支持数字、图线、指针盘3种显示模式；支持从传感器实时显示界面直接跳转进入快速实验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8、支持脱离终端设备，利用内置实验操作平台对部分传感器进行校准或标定等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9、具有通用接口模块，可外扩其他类型的传感器，通用接口采用Lightning接口,外扩传感器插头采用双面设计，支持正反盲插接入通用接口，无需关心插入的方向，易插易用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10、充电方式：支持USB充电，支持触点充电，搭配专用充电坞，可实现同时对5个智能数字实验盘进行充电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11、正面设有电源指示灯，背面设有支脚架、固定螺纹孔、复位孔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12、固件升级：固件可通过USB接口进行升级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包含5种传感器：温度：量程：-40~135℃；精度：±0.6℃、溶氧气氧一体传感器：溶氧量程：0~20mg/L；精度：±0.5mg/L，；气氧量程：0~100%，分辨率：0.1%，精度：±2%、电导率：量程：0~20000μS/cm；精度：±4%、绝对压强：量程：0~400kPa；精度：±6kPa、CO2：量程：0～100000ppm；精度：(0~5000ppm) 3%/(5000~50000ppm) 4%/(50000~100000ppm) 6%各一套：、通用接口二套；</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5212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B9C8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9EB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0AAB5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7D6470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15" w:type="dxa"/>
            <w:tcBorders>
              <w:top w:val="single" w:color="000000" w:sz="4" w:space="0"/>
              <w:left w:val="single" w:color="000000" w:sz="4" w:space="0"/>
              <w:bottom w:val="single" w:color="000000" w:sz="4" w:space="0"/>
              <w:right w:val="single" w:color="000000" w:sz="4" w:space="0"/>
            </w:tcBorders>
            <w:noWrap/>
            <w:vAlign w:val="center"/>
          </w:tcPr>
          <w:p w14:paraId="1AD9114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pH传感器</w:t>
            </w:r>
          </w:p>
        </w:tc>
        <w:tc>
          <w:tcPr>
            <w:tcW w:w="5081" w:type="dxa"/>
            <w:tcBorders>
              <w:top w:val="single" w:color="000000" w:sz="4" w:space="0"/>
              <w:left w:val="single" w:color="000000" w:sz="4" w:space="0"/>
              <w:bottom w:val="single" w:color="000000" w:sz="4" w:space="0"/>
              <w:right w:val="single" w:color="000000" w:sz="4" w:space="0"/>
            </w:tcBorders>
            <w:noWrap w:val="0"/>
            <w:vAlign w:val="center"/>
          </w:tcPr>
          <w:p w14:paraId="278EC3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H传感器采用模块化设计，配合通用接口，通过Lightning接口与采集器连接，支持正反盲插，具有热插拔功能，连接传输稳定。搭配采集器通过有线、无线方式连接电脑、手机或平板等终端进行数据采集，在终端上实时显示并记录溶液酸碱值的变化，并绘制图像，可脱离终端独立采集记录所探测到的实验数据并加以保存，以供下载和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一、结构及外观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一体式传感器，Lightning接口。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1.pH探头由内部参比电极和玻璃电极构成，用于测量溶液的酸碱值。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2.外壳采用ABS工程塑料，具有耐火、耐高温、阻燃等特性。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3.搭配采集器可以在Windows、Android、iOS/iPadOS、MacOS、 Linux、Harmony OS、统信UOS 系统上进行数据采集。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4.支持标定功能。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三、规格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1.量程：0~14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2.精度：±0.2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3.分辨率：0.01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四、实验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不同浓度溶液的pH差异、浓氨水的挥发和氨气的溶解、探究二氧化碳与澄清石灰水的反应、土壤酸碱性的测量、测量自然水体的酸碱度、水体的理化性质测定、不同盐溶液的酸碱性、测量溶液的pH、二氧化碳的溶解性实验、二氧化碳和氢氧化钠的反应、不同物质的酸碱性等</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532C39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只</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2A4912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25" w:type="dxa"/>
            <w:tcBorders>
              <w:top w:val="single" w:color="000000" w:sz="4" w:space="0"/>
              <w:left w:val="single" w:color="000000" w:sz="4" w:space="0"/>
              <w:bottom w:val="single" w:color="000000" w:sz="4" w:space="0"/>
              <w:right w:val="single" w:color="000000" w:sz="4" w:space="0"/>
            </w:tcBorders>
            <w:noWrap w:val="0"/>
            <w:vAlign w:val="center"/>
          </w:tcPr>
          <w:p w14:paraId="0AAFA4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030BF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464430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2195F7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多量程电流传感器</w:t>
            </w:r>
          </w:p>
        </w:tc>
        <w:tc>
          <w:tcPr>
            <w:tcW w:w="5081" w:type="dxa"/>
            <w:tcBorders>
              <w:top w:val="single" w:color="000000" w:sz="4" w:space="0"/>
              <w:left w:val="single" w:color="000000" w:sz="4" w:space="0"/>
              <w:bottom w:val="single" w:color="000000" w:sz="4" w:space="0"/>
              <w:right w:val="single" w:color="000000" w:sz="4" w:space="0"/>
            </w:tcBorders>
            <w:noWrap w:val="0"/>
            <w:vAlign w:val="center"/>
          </w:tcPr>
          <w:p w14:paraId="026E6F7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多量程电流传感器采用模块化设计，配合通用接口，通过Lightning接口与采集器连接，支持正反盲插，具有热插拔功能，连接传输稳定。搭配采集器通过有线、无线方式连接电脑、手机或平板等终端进行数据采集，在终端上实时显示并记录电流的变化，并绘制图像，可脱离终端独立采集记录所探测到的实验数据并加以保存，以供下载和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一、结构及外观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传感器正面为档位调节开关，前端为鳄鱼夹导线，后端为Lightning接口线。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1.用于测量电路中的电流。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2.具有三量程切换开关，可根据实验要求一键切换测量量程。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3.外壳采用ABS工程塑料，具有耐火、耐高温、阻燃等特性。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4.搭配采集器可以在Windows、Android、iOS/iPadOS、MacOS、 Linux、Harmony OS、统信UOS 系统上进行数据采集。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5.支持传感器校零。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三、规格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档位1：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1.量程：-20mA~20mA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2.精度：±1%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3.分辨率：0.01mA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4.内阻：5.1Ω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档位2：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1.量程：-200mA~ 200mA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2.精度：±1%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3.分辨率：0.1mA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4.内阻：500mΩ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档位3：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1.量程：-2A~2A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2.精度：±1%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3.分辨率：0.001A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4.内阻：50mΩ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四、实验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欧姆定律、描绘小灯泡的伏安特性曲线、电池的电动势和内阻的测量、电阻的串并联、LC振荡、电磁感应现象、感应电流、电容器的串并联及充放电等</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50295A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只</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3444B7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25" w:type="dxa"/>
            <w:tcBorders>
              <w:top w:val="single" w:color="000000" w:sz="4" w:space="0"/>
              <w:left w:val="single" w:color="000000" w:sz="4" w:space="0"/>
              <w:bottom w:val="single" w:color="000000" w:sz="4" w:space="0"/>
              <w:right w:val="single" w:color="000000" w:sz="4" w:space="0"/>
            </w:tcBorders>
            <w:noWrap w:val="0"/>
            <w:vAlign w:val="center"/>
          </w:tcPr>
          <w:p w14:paraId="24A690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57321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42E8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E60E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手提式实验箱</w:t>
            </w:r>
          </w:p>
        </w:tc>
        <w:tc>
          <w:tcPr>
            <w:tcW w:w="50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C871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提式箱式设计，可翻盖，采用ABS材质，外形尺寸（长宽高）：437mm*327mm*170mm（两箱叠加高度H=330mm），最大承重：30-35公斤；箱体底部设有底部凸起，与上部设计凹槽相互咬合，通过独特的纽扣式锁止机构，实现箱子与箱子之前的锁合，可多个垒叠放置，便于携带和搬运，最多可垒5箱；内部含有内衬，保证每个器材都有对应的存放位置，便于快速、高效的整理和收纳；</w:t>
            </w:r>
          </w:p>
        </w:tc>
        <w:tc>
          <w:tcPr>
            <w:tcW w:w="5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2EFD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CA59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F8DD4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04868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9D28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FE49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智能实验数据采集终端</w:t>
            </w:r>
          </w:p>
        </w:tc>
        <w:tc>
          <w:tcPr>
            <w:tcW w:w="50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1456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触摸平板式10.1英寸，10点电容屏，分辨率1920*1200IPS，30000mWh聚合物锂离子电池，连续使用≥8小时，4GDDR4LRAM，64GBROM支持扩展卡，前置2.0M后置5.0MP摄像头，标准USB3.0接口，HDMImini接口，type-C数据接口，3.5mm耳机接口；windows10 64位操作系统。智能采集并保存数据，内置64G存储空间，方便存储实验数据﹔前置后置摄像头，方便拍摄实验图片;支持网络连接，方便传送实验数据﹔内置USB接口和蓝牙模块，支持多种连接方式；</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BE80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A2E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C9DD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15A75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37E463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3ED01D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离子-滴定计数实验装置</w:t>
            </w:r>
          </w:p>
        </w:tc>
        <w:tc>
          <w:tcPr>
            <w:tcW w:w="5081" w:type="dxa"/>
            <w:tcBorders>
              <w:top w:val="single" w:color="000000" w:sz="4" w:space="0"/>
              <w:left w:val="single" w:color="000000" w:sz="4" w:space="0"/>
              <w:bottom w:val="single" w:color="000000" w:sz="4" w:space="0"/>
              <w:right w:val="single" w:color="000000" w:sz="4" w:space="0"/>
            </w:tcBorders>
            <w:noWrap w:val="0"/>
            <w:vAlign w:val="center"/>
          </w:tcPr>
          <w:p w14:paraId="375F7E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无线智能离子-滴定计数器、滴定组件（注射器针筒*1、三通阀*2、滴嘴*1）、滴定套装（多向转接头*2、铝杆、长尾夹）、铁架台、梅花螺栓、手紧螺丝、pH传感器探头、Type-C数据线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1.用于生物、化学学科中各种滴定类实验和部分离子含量的测定，如酸碱中和滴定、酸碱反应热实验、钠钾钙等离子浓度的检测。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滴定计数器可通过光电门计量液滴滴落的数量，同时传感器可直接接入滴定计数器中，测得溶液中待测量的数据变化，智能采集，无需手工记录和画图，自动生成滴定曲线，并在Windows、安卓、iOS系统终端上实时呈现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内置滴数、pH、亚硝酸根离子、氯离子、钠离子、铵根离子、硝酸根离子、钙离子、钾离子、温度10种传感器模块，配置lightning接口、Q9接口、3.5mm接口，支持接入10余种离子传感器探头，如：pH传感器、温度传感器、溶解二氧化碳、亚硝酸根离子传感器、硝酸根离子传感器、氯离子传感器、铵根离子传感器、钠离子传感器、钾离子传感器、钙离子传感器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4.配置两套三通阀，可实现液体滴落开关和流速控制独立操作。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5.滴定计数器带有传感器安装孔，方便固定传感器探头。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实验结果更准确，pH传感器精度为0.1，能够精确地测量在滴定过程中溶液中微小的pH变化，自动生成滴定曲线，可在曲线坐标查找滴定终点（pH=7）时溶液的体积，用于计算待测液的浓度，让学生更好地理解酸碱中和滴定的意义及pH突变的存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7.最大滴定速度：30滴/s。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8.低功耗蓝牙技术，数据传输距离远，安全稳定。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9.电池容量：1000mAh锂电池，独立供电，续航持久，可连续工作24小时，待机时间大于5个月。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10.支持独立采集模式，支持外接设备采集，支持无线传输。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11.配套专用实验软件，预设模板，以表格和曲线等形式自动记录数据变化情况，实验结果更直观明显。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用于生物、化学学科中各种滴定类实验和部分离子含量的测定、如酸碱中和滴定、酸碱反应热、钠钾钙等离子浓度的检测等实验</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511A4D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695FC0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25" w:type="dxa"/>
            <w:tcBorders>
              <w:top w:val="single" w:color="000000" w:sz="4" w:space="0"/>
              <w:left w:val="single" w:color="000000" w:sz="4" w:space="0"/>
              <w:bottom w:val="single" w:color="000000" w:sz="4" w:space="0"/>
              <w:right w:val="single" w:color="000000" w:sz="4" w:space="0"/>
            </w:tcBorders>
            <w:noWrap w:val="0"/>
            <w:vAlign w:val="center"/>
          </w:tcPr>
          <w:p w14:paraId="6A5087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641F9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728EEB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31E852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酸碱反应热实验器</w:t>
            </w:r>
          </w:p>
        </w:tc>
        <w:tc>
          <w:tcPr>
            <w:tcW w:w="5081" w:type="dxa"/>
            <w:tcBorders>
              <w:top w:val="single" w:color="000000" w:sz="4" w:space="0"/>
              <w:left w:val="single" w:color="000000" w:sz="4" w:space="0"/>
              <w:bottom w:val="single" w:color="000000" w:sz="4" w:space="0"/>
              <w:right w:val="single" w:color="000000" w:sz="4" w:space="0"/>
            </w:tcBorders>
            <w:noWrap w:val="0"/>
            <w:vAlign w:val="center"/>
          </w:tcPr>
          <w:p w14:paraId="41264C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绝热桶、隔热泡沫、带孔桶盖、硅胶塞、烧杯（100mL）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1.用于化学反应热的精确测量相关实验。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2.实验器可容纳液体、固体和液体，为溶液反应和固体的溶解提供保温的实验环境。通过温度传感器，可测得温度变化情况，并在Windows、安卓、iOS系统终端上实时呈现数据，取点更加准确，计算数据误差小。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3.双层隔热设计保温性能好，实验数据更加准确。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4.带孔桶盖适配常规温度计和温度传感器，支持传统实验教学及数字化实验设计，实验灵活。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5.大小适用，既可以节省试剂，也可以很好地测量溶液温度的变化。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6.通用性高，一个实验器可完成多个教材实验，还可以满足多种溶液反应吸放热实验的测量。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7.配套专用实验软件，预设模板，以曲线等形式自动记录数据变化情况，实验结果更直观明显。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酸碱反应热、固体溶解时的吸热放热现象、化学反应热的测量、氢氧化钡与氯化铵的反应等实验</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3DADFB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60696F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25" w:type="dxa"/>
            <w:tcBorders>
              <w:top w:val="single" w:color="000000" w:sz="4" w:space="0"/>
              <w:left w:val="single" w:color="000000" w:sz="4" w:space="0"/>
              <w:bottom w:val="single" w:color="000000" w:sz="4" w:space="0"/>
              <w:right w:val="single" w:color="000000" w:sz="4" w:space="0"/>
            </w:tcBorders>
            <w:noWrap w:val="0"/>
            <w:vAlign w:val="center"/>
          </w:tcPr>
          <w:p w14:paraId="7F8075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0EDED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40AB8E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15" w:type="dxa"/>
            <w:tcBorders>
              <w:top w:val="single" w:color="000000" w:sz="4" w:space="0"/>
              <w:left w:val="single" w:color="000000" w:sz="4" w:space="0"/>
              <w:bottom w:val="single" w:color="000000" w:sz="4" w:space="0"/>
              <w:right w:val="single" w:color="000000" w:sz="4" w:space="0"/>
            </w:tcBorders>
            <w:noWrap/>
            <w:vAlign w:val="center"/>
          </w:tcPr>
          <w:p w14:paraId="438CB8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气液相密封实验器</w:t>
            </w:r>
          </w:p>
        </w:tc>
        <w:tc>
          <w:tcPr>
            <w:tcW w:w="5081" w:type="dxa"/>
            <w:tcBorders>
              <w:top w:val="single" w:color="000000" w:sz="4" w:space="0"/>
              <w:left w:val="single" w:color="000000" w:sz="4" w:space="0"/>
              <w:bottom w:val="single" w:color="000000" w:sz="4" w:space="0"/>
              <w:right w:val="single" w:color="000000" w:sz="4" w:space="0"/>
            </w:tcBorders>
            <w:noWrap w:val="0"/>
            <w:vAlign w:val="center"/>
          </w:tcPr>
          <w:p w14:paraId="6F1E94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实验器罐体、护线圈*5、硅胶堵头*5、塑料吸管*20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1.用于生化实验中光合作用、酵母菌的呼吸作用等实验。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2.实验器罐体配合硅胶堵头、护线圈，可连接气体酒精传感器、氧气传感器、二氧化碳传感器、相对湿度传感器等，轻松搭建密封实验环境，配合传感器使用可在Windows、安卓、iOS系统终端上实时呈现数据。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3.实验桶透明设计，便于观察实验现象。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4.配合二氧化碳传感器、氧气传感器可做光合作用吸收二氧化碳产生氧气的实验。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5.配合二氧化碳传感器、氧气传感器、气体酒精传感器可做酵母菌的细胞呼吸实验。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6.配合二氧化碳传感器、氧气传感器、相对湿度传感器可做人体吸入与呼出气体成分的探究实验。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7.通过移动终端扫描仪器上的二维码可浏览该仪器配套的使用说明。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8.配套专用实验软件，预设模板，以表格和曲线等形式自动记录数据变化情况，实验结果更直观明显。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光合作用、酵母菌的细胞呼吸、人体吸入与呼出气体成分的探究等实验</w:t>
            </w:r>
          </w:p>
        </w:tc>
        <w:tc>
          <w:tcPr>
            <w:tcW w:w="540" w:type="dxa"/>
            <w:tcBorders>
              <w:top w:val="single" w:color="000000" w:sz="4" w:space="0"/>
              <w:left w:val="single" w:color="000000" w:sz="4" w:space="0"/>
              <w:bottom w:val="single" w:color="000000" w:sz="4" w:space="0"/>
              <w:right w:val="single" w:color="000000" w:sz="4" w:space="0"/>
            </w:tcBorders>
            <w:noWrap/>
            <w:vAlign w:val="center"/>
          </w:tcPr>
          <w:p w14:paraId="659B92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2E5FC7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25" w:type="dxa"/>
            <w:tcBorders>
              <w:top w:val="single" w:color="000000" w:sz="4" w:space="0"/>
              <w:left w:val="single" w:color="000000" w:sz="4" w:space="0"/>
              <w:bottom w:val="single" w:color="000000" w:sz="4" w:space="0"/>
              <w:right w:val="single" w:color="000000" w:sz="4" w:space="0"/>
            </w:tcBorders>
            <w:noWrap w:val="0"/>
            <w:vAlign w:val="center"/>
          </w:tcPr>
          <w:p w14:paraId="59A22F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2F891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6AE6D5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08035D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磁力搅拌器</w:t>
            </w:r>
          </w:p>
        </w:tc>
        <w:tc>
          <w:tcPr>
            <w:tcW w:w="5081" w:type="dxa"/>
            <w:tcBorders>
              <w:top w:val="single" w:color="000000" w:sz="4" w:space="0"/>
              <w:left w:val="single" w:color="000000" w:sz="4" w:space="0"/>
              <w:bottom w:val="single" w:color="000000" w:sz="4" w:space="0"/>
              <w:right w:val="single" w:color="000000" w:sz="4" w:space="0"/>
            </w:tcBorders>
            <w:noWrap w:val="0"/>
            <w:vAlign w:val="center"/>
          </w:tcPr>
          <w:p w14:paraId="7C3071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搅拌器（开关、转速旋钮）、电源适配器、磁子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1.专用于液体搅拌，用于生化学科中需要溶液搅拌的相关实验，适合于常规实验化学分析、液体处理、生物试剂混合等领域，简单易用。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2.通过调节转速旋钮调节速度，转速支持0rpm～1800rpm，可调范围广。工作台尺寸：130*130mm，外观尺寸：150*200*55mm，净重：0.5kg，电源电压：12V。</w:t>
            </w:r>
          </w:p>
        </w:tc>
        <w:tc>
          <w:tcPr>
            <w:tcW w:w="540" w:type="dxa"/>
            <w:tcBorders>
              <w:top w:val="single" w:color="000000" w:sz="4" w:space="0"/>
              <w:left w:val="single" w:color="000000" w:sz="4" w:space="0"/>
              <w:bottom w:val="single" w:color="000000" w:sz="4" w:space="0"/>
              <w:right w:val="single" w:color="000000" w:sz="4" w:space="0"/>
            </w:tcBorders>
            <w:noWrap/>
            <w:vAlign w:val="center"/>
          </w:tcPr>
          <w:p w14:paraId="1AFFA0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44294E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25" w:type="dxa"/>
            <w:tcBorders>
              <w:top w:val="single" w:color="000000" w:sz="4" w:space="0"/>
              <w:left w:val="single" w:color="000000" w:sz="4" w:space="0"/>
              <w:bottom w:val="single" w:color="000000" w:sz="4" w:space="0"/>
              <w:right w:val="single" w:color="000000" w:sz="4" w:space="0"/>
            </w:tcBorders>
            <w:noWrap w:val="0"/>
            <w:vAlign w:val="center"/>
          </w:tcPr>
          <w:p w14:paraId="080588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3D61A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067DB0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7200D54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铁的吸氧腐蚀实验器</w:t>
            </w:r>
          </w:p>
        </w:tc>
        <w:tc>
          <w:tcPr>
            <w:tcW w:w="5081" w:type="dxa"/>
            <w:tcBorders>
              <w:top w:val="single" w:color="000000" w:sz="4" w:space="0"/>
              <w:left w:val="single" w:color="000000" w:sz="4" w:space="0"/>
              <w:bottom w:val="single" w:color="000000" w:sz="4" w:space="0"/>
              <w:right w:val="single" w:color="000000" w:sz="4" w:space="0"/>
            </w:tcBorders>
            <w:noWrap w:val="0"/>
            <w:vAlign w:val="center"/>
          </w:tcPr>
          <w:p w14:paraId="14CC66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平口圆底试管（52*100mm）、橡胶塞、宝塔头、硅胶堵头*2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1.用于铁的吸氧腐蚀实验的探究，通过测量反应过程中温度、压强、氧气含量的变化，探究铁的吸氧腐蚀现象。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器具有匹配不同传感器探头的孔径，密封性良好，配合温度传感器、溶解氧-气中氧一体传感器、绝对压强传感器测量铁在吸氧腐蚀过程中温度、氧气含量、压强的变化，并在Windows、安卓、iOS系统终端上实时呈现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3.试管体积足够大，增加反应物的接触面积，能使反应物在试管内部充分反应，实验效果明显。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4.透明瓶体设计，便于观察实验现象，可从多维度了解实验。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5.与传感器适配性好，轻松搭建密封的实验环境，可拓展完成多种化学实验。减轻准备器材的负担，轻松满足演示及分组实验，让课堂教学更高效。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探究铁的吸氧腐蚀现象等实验</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6707EB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68A538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25" w:type="dxa"/>
            <w:tcBorders>
              <w:top w:val="single" w:color="000000" w:sz="4" w:space="0"/>
              <w:left w:val="single" w:color="000000" w:sz="4" w:space="0"/>
              <w:bottom w:val="single" w:color="000000" w:sz="4" w:space="0"/>
              <w:right w:val="single" w:color="000000" w:sz="4" w:space="0"/>
            </w:tcBorders>
            <w:noWrap w:val="0"/>
            <w:vAlign w:val="center"/>
          </w:tcPr>
          <w:p w14:paraId="0170FB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332E0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39F809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430EC9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化学反应速率实验器</w:t>
            </w:r>
          </w:p>
        </w:tc>
        <w:tc>
          <w:tcPr>
            <w:tcW w:w="5081" w:type="dxa"/>
            <w:tcBorders>
              <w:top w:val="single" w:color="000000" w:sz="4" w:space="0"/>
              <w:left w:val="single" w:color="000000" w:sz="4" w:space="0"/>
              <w:bottom w:val="single" w:color="000000" w:sz="4" w:space="0"/>
              <w:right w:val="single" w:color="000000" w:sz="4" w:space="0"/>
            </w:tcBorders>
            <w:noWrap w:val="0"/>
            <w:vAlign w:val="center"/>
          </w:tcPr>
          <w:p w14:paraId="1FC39B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密封反应瓶、注液阀门开关、注射器（10mL）、压强传感器接口、泄压组件（260±10kPa）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1.用于探究催化剂对过氧化氢分解的影响、金属与酸反应、酶催化的高效性等。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密封反应瓶，保证实验器的密封性，实验数据更加精确，支持固体、液体和气体任意组合的产气或吸收气体的相关的生化反应，配合绝对压强传感器，通过测量压强的变化，探究化学反应速率的快慢，在Windows、安卓、iOS系统终端上实时呈现数据，实验规律更加直观，适用范围广泛。</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3.装置设有螺口注射器及注液阀门开关，保证全程密封的情况下，注入液体定量可控，可一次或分段多次注入，实验高效且保证安全性。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4.装置设有泄压阀（泄压阀安全值260±10kPa），压强过高时会自动泄压，充分保证了实验的安全性。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5.透明瓶体设计，便于观察实验现象，可从多维度了解实验。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6.与传感器适配性好，轻松搭建密封的实验环境，减轻准备器材的负担，轻松满足演示及分组实验，让课堂教学更高效。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7.通过移动终端扫描仪器上的二维码可浏览该仪器配套的使用说明。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8.配套专用实验软件，预设模板，以表格和曲线等形式自动记录数据变化情况，实验结果更直观明显。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催化剂对化学反应速率的影响、金属与酸反应、酶催化的高效性等实验</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302B7D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2466A3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25" w:type="dxa"/>
            <w:tcBorders>
              <w:top w:val="single" w:color="000000" w:sz="4" w:space="0"/>
              <w:left w:val="single" w:color="000000" w:sz="4" w:space="0"/>
              <w:bottom w:val="single" w:color="000000" w:sz="4" w:space="0"/>
              <w:right w:val="single" w:color="000000" w:sz="4" w:space="0"/>
            </w:tcBorders>
            <w:noWrap w:val="0"/>
            <w:vAlign w:val="center"/>
          </w:tcPr>
          <w:p w14:paraId="6DB875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5651A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75477B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54A034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多功能电极支架</w:t>
            </w:r>
          </w:p>
        </w:tc>
        <w:tc>
          <w:tcPr>
            <w:tcW w:w="5081" w:type="dxa"/>
            <w:tcBorders>
              <w:top w:val="single" w:color="000000" w:sz="4" w:space="0"/>
              <w:left w:val="single" w:color="000000" w:sz="4" w:space="0"/>
              <w:bottom w:val="single" w:color="000000" w:sz="4" w:space="0"/>
              <w:right w:val="single" w:color="000000" w:sz="4" w:space="0"/>
            </w:tcBorders>
            <w:noWrap w:val="0"/>
            <w:vAlign w:val="center"/>
          </w:tcPr>
          <w:p w14:paraId="126273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底座、多功能支架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1.用于固定传感器探头。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2.底座与支架插拔式连接，安装简单。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3.支架可360°旋转，自由伸缩。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4.支架上臂有电缆线固定口，可固定传感器电缆线或探头连线。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5.支架顶部可同时固定7个传感器，例如pH、电导率、温度、氧气、二氧化碳、离子类等多种传感器。</w:t>
            </w:r>
          </w:p>
        </w:tc>
        <w:tc>
          <w:tcPr>
            <w:tcW w:w="540" w:type="dxa"/>
            <w:tcBorders>
              <w:top w:val="single" w:color="000000" w:sz="4" w:space="0"/>
              <w:left w:val="single" w:color="000000" w:sz="4" w:space="0"/>
              <w:bottom w:val="single" w:color="000000" w:sz="4" w:space="0"/>
              <w:right w:val="single" w:color="000000" w:sz="4" w:space="0"/>
            </w:tcBorders>
            <w:noWrap/>
            <w:vAlign w:val="center"/>
          </w:tcPr>
          <w:p w14:paraId="442117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34CB18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25" w:type="dxa"/>
            <w:tcBorders>
              <w:top w:val="single" w:color="000000" w:sz="4" w:space="0"/>
              <w:left w:val="single" w:color="000000" w:sz="4" w:space="0"/>
              <w:bottom w:val="single" w:color="000000" w:sz="4" w:space="0"/>
              <w:right w:val="single" w:color="000000" w:sz="4" w:space="0"/>
            </w:tcBorders>
            <w:noWrap w:val="0"/>
            <w:vAlign w:val="center"/>
          </w:tcPr>
          <w:p w14:paraId="0126A0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0560E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2D01E8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389A75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橡胶塞配件包</w:t>
            </w:r>
          </w:p>
        </w:tc>
        <w:tc>
          <w:tcPr>
            <w:tcW w:w="5081" w:type="dxa"/>
            <w:tcBorders>
              <w:top w:val="single" w:color="000000" w:sz="4" w:space="0"/>
              <w:left w:val="single" w:color="000000" w:sz="4" w:space="0"/>
              <w:bottom w:val="single" w:color="000000" w:sz="4" w:space="0"/>
              <w:right w:val="single" w:color="000000" w:sz="4" w:space="0"/>
            </w:tcBorders>
            <w:noWrap w:val="0"/>
            <w:vAlign w:val="center"/>
          </w:tcPr>
          <w:p w14:paraId="6FB05C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单孔塞（φ37*φ30-31，孔φ5mm）、单孔塞（φ37*φ30-31，带直通接头）、单孔塞（φ37*φ30-31，孔φ15.5mm）、三孔塞（φ37*φ30-31，两孔φ8mm，一孔φ12.5mm）、三孔塞（φ37*φ30-31，两孔φ8mm，一孔φ15.5mm）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单孔塞搭配锥形瓶，孔径与传感器适配性高，可接入温度传感器、绝对压强传感器、二氧化碳传感器等，密封性好，可用于需要在密封环境中测量温度、压强、二氧化碳浓度的相关生化类实验，并在Windows、安卓、iOS系统终端上实时呈现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三孔塞搭配锥形瓶，孔径适合玻璃导管、长颈漏斗、二氧化碳传感器、溶解氧-气中氧一体传感器等组合使用，可用于需要在密封环境中进行的生化类实验，如固液生成气体的实验、化学反应速率、生成气体导入和导出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3.适用于多种实验，减轻教师准备或自制器材的负担，解决适配性难题，轻松满足教师的实验教学需要。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铁的吸氧腐蚀、种子的萌发等实验</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6B4466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197E79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25" w:type="dxa"/>
            <w:tcBorders>
              <w:top w:val="single" w:color="000000" w:sz="4" w:space="0"/>
              <w:left w:val="single" w:color="000000" w:sz="4" w:space="0"/>
              <w:bottom w:val="single" w:color="000000" w:sz="4" w:space="0"/>
              <w:right w:val="single" w:color="000000" w:sz="4" w:space="0"/>
            </w:tcBorders>
            <w:noWrap w:val="0"/>
            <w:vAlign w:val="center"/>
          </w:tcPr>
          <w:p w14:paraId="2ED3CA45">
            <w:pPr>
              <w:jc w:val="left"/>
              <w:rPr>
                <w:rFonts w:hint="eastAsia" w:ascii="宋体" w:hAnsi="宋体" w:eastAsia="宋体" w:cs="宋体"/>
                <w:i w:val="0"/>
                <w:iCs w:val="0"/>
                <w:color w:val="000000"/>
                <w:sz w:val="18"/>
                <w:szCs w:val="18"/>
                <w:u w:val="none"/>
              </w:rPr>
            </w:pPr>
          </w:p>
        </w:tc>
      </w:tr>
    </w:tbl>
    <w:p w14:paraId="6439FC76">
      <w:pPr>
        <w:rPr>
          <w:rFonts w:hint="eastAsia" w:ascii="宋体" w:hAnsi="宋体" w:eastAsia="宋体" w:cs="宋体"/>
          <w:sz w:val="18"/>
          <w:szCs w:val="18"/>
        </w:rPr>
      </w:pPr>
    </w:p>
    <w:p w14:paraId="19006E0D">
      <w:pPr>
        <w:rPr>
          <w:rFonts w:hint="eastAsia" w:ascii="宋体" w:hAnsi="宋体" w:eastAsia="宋体" w:cs="宋体"/>
          <w:sz w:val="18"/>
          <w:szCs w:val="18"/>
        </w:rPr>
      </w:pPr>
    </w:p>
    <w:tbl>
      <w:tblPr>
        <w:tblStyle w:val="2"/>
        <w:tblW w:w="969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1"/>
        <w:gridCol w:w="645"/>
        <w:gridCol w:w="7365"/>
        <w:gridCol w:w="480"/>
        <w:gridCol w:w="525"/>
      </w:tblGrid>
      <w:tr w14:paraId="7DAD9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9696" w:type="dxa"/>
            <w:gridSpan w:val="5"/>
            <w:tcBorders>
              <w:top w:val="single" w:color="000000" w:sz="4" w:space="0"/>
              <w:left w:val="single" w:color="000000" w:sz="4" w:space="0"/>
              <w:bottom w:val="single" w:color="000000" w:sz="4" w:space="0"/>
              <w:right w:val="single" w:color="000000" w:sz="4" w:space="0"/>
            </w:tcBorders>
            <w:noWrap/>
            <w:vAlign w:val="center"/>
          </w:tcPr>
          <w:p w14:paraId="57625C9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生物数字化实验室 清单（56座/间）</w:t>
            </w:r>
          </w:p>
        </w:tc>
      </w:tr>
      <w:tr w14:paraId="02594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6" w:hRule="atLeast"/>
        </w:trPr>
        <w:tc>
          <w:tcPr>
            <w:tcW w:w="681" w:type="dxa"/>
            <w:tcBorders>
              <w:top w:val="single" w:color="000000" w:sz="4" w:space="0"/>
              <w:left w:val="single" w:color="000000" w:sz="4" w:space="0"/>
              <w:bottom w:val="single" w:color="000000" w:sz="4" w:space="0"/>
              <w:right w:val="single" w:color="000000" w:sz="4" w:space="0"/>
            </w:tcBorders>
            <w:noWrap w:val="0"/>
            <w:vAlign w:val="center"/>
          </w:tcPr>
          <w:p w14:paraId="41CB78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1309B0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货物名称</w:t>
            </w:r>
          </w:p>
        </w:tc>
        <w:tc>
          <w:tcPr>
            <w:tcW w:w="7365" w:type="dxa"/>
            <w:tcBorders>
              <w:top w:val="single" w:color="000000" w:sz="4" w:space="0"/>
              <w:left w:val="single" w:color="000000" w:sz="4" w:space="0"/>
              <w:bottom w:val="single" w:color="000000" w:sz="4" w:space="0"/>
              <w:right w:val="single" w:color="000000" w:sz="4" w:space="0"/>
            </w:tcBorders>
            <w:noWrap w:val="0"/>
            <w:vAlign w:val="center"/>
          </w:tcPr>
          <w:p w14:paraId="0DC752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技术参数</w:t>
            </w:r>
          </w:p>
        </w:tc>
        <w:tc>
          <w:tcPr>
            <w:tcW w:w="480" w:type="dxa"/>
            <w:tcBorders>
              <w:top w:val="single" w:color="000000" w:sz="4" w:space="0"/>
              <w:left w:val="single" w:color="000000" w:sz="4" w:space="0"/>
              <w:bottom w:val="single" w:color="000000" w:sz="4" w:space="0"/>
              <w:right w:val="single" w:color="000000" w:sz="4" w:space="0"/>
            </w:tcBorders>
            <w:noWrap w:val="0"/>
            <w:vAlign w:val="center"/>
          </w:tcPr>
          <w:p w14:paraId="66368B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2460EB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r>
      <w:tr w14:paraId="6D249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9" w:hRule="atLeast"/>
        </w:trPr>
        <w:tc>
          <w:tcPr>
            <w:tcW w:w="9696"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B67B8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水电部分</w:t>
            </w:r>
          </w:p>
        </w:tc>
      </w:tr>
      <w:tr w14:paraId="7EE1D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681" w:type="dxa"/>
            <w:tcBorders>
              <w:top w:val="single" w:color="000000" w:sz="4" w:space="0"/>
              <w:left w:val="single" w:color="000000" w:sz="4" w:space="0"/>
              <w:bottom w:val="single" w:color="000000" w:sz="4" w:space="0"/>
              <w:right w:val="single" w:color="000000" w:sz="4" w:space="0"/>
            </w:tcBorders>
            <w:noWrap w:val="0"/>
            <w:vAlign w:val="center"/>
          </w:tcPr>
          <w:p w14:paraId="7286DF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07782E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布线系统</w:t>
            </w:r>
          </w:p>
        </w:tc>
        <w:tc>
          <w:tcPr>
            <w:tcW w:w="7365" w:type="dxa"/>
            <w:tcBorders>
              <w:top w:val="single" w:color="000000" w:sz="4" w:space="0"/>
              <w:left w:val="single" w:color="000000" w:sz="4" w:space="0"/>
              <w:bottom w:val="single" w:color="000000" w:sz="4" w:space="0"/>
              <w:right w:val="single" w:color="000000" w:sz="4" w:space="0"/>
            </w:tcBorders>
            <w:noWrap w:val="0"/>
            <w:vAlign w:val="center"/>
          </w:tcPr>
          <w:p w14:paraId="47B572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地面对接，由教师主控电源控制学生电源，安装调试（含辅料及耗材）。符合安全用电要求。</w:t>
            </w:r>
          </w:p>
        </w:tc>
        <w:tc>
          <w:tcPr>
            <w:tcW w:w="480" w:type="dxa"/>
            <w:tcBorders>
              <w:top w:val="single" w:color="000000" w:sz="4" w:space="0"/>
              <w:left w:val="single" w:color="000000" w:sz="4" w:space="0"/>
              <w:bottom w:val="single" w:color="000000" w:sz="4" w:space="0"/>
              <w:right w:val="single" w:color="000000" w:sz="4" w:space="0"/>
            </w:tcBorders>
            <w:noWrap/>
            <w:vAlign w:val="center"/>
          </w:tcPr>
          <w:p w14:paraId="4C54B3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42D5C7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3FDD1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681" w:type="dxa"/>
            <w:tcBorders>
              <w:top w:val="single" w:color="000000" w:sz="4" w:space="0"/>
              <w:left w:val="single" w:color="000000" w:sz="4" w:space="0"/>
              <w:bottom w:val="single" w:color="000000" w:sz="4" w:space="0"/>
              <w:right w:val="single" w:color="000000" w:sz="4" w:space="0"/>
            </w:tcBorders>
            <w:noWrap w:val="0"/>
            <w:vAlign w:val="center"/>
          </w:tcPr>
          <w:p w14:paraId="638845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4CE453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给排水系统</w:t>
            </w:r>
          </w:p>
        </w:tc>
        <w:tc>
          <w:tcPr>
            <w:tcW w:w="7365" w:type="dxa"/>
            <w:tcBorders>
              <w:top w:val="single" w:color="000000" w:sz="4" w:space="0"/>
              <w:left w:val="single" w:color="000000" w:sz="4" w:space="0"/>
              <w:bottom w:val="single" w:color="000000" w:sz="4" w:space="0"/>
              <w:right w:val="single" w:color="000000" w:sz="4" w:space="0"/>
            </w:tcBorders>
            <w:noWrap w:val="0"/>
            <w:vAlign w:val="center"/>
          </w:tcPr>
          <w:p w14:paraId="069DE0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地面对接，安装调试（含辅料及耗材）。符合安全用水要求</w:t>
            </w:r>
          </w:p>
        </w:tc>
        <w:tc>
          <w:tcPr>
            <w:tcW w:w="480" w:type="dxa"/>
            <w:tcBorders>
              <w:top w:val="single" w:color="000000" w:sz="4" w:space="0"/>
              <w:left w:val="single" w:color="000000" w:sz="4" w:space="0"/>
              <w:bottom w:val="single" w:color="000000" w:sz="4" w:space="0"/>
              <w:right w:val="single" w:color="000000" w:sz="4" w:space="0"/>
            </w:tcBorders>
            <w:noWrap/>
            <w:vAlign w:val="center"/>
          </w:tcPr>
          <w:p w14:paraId="54D207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307666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2591B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9696"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7614A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装修部分</w:t>
            </w:r>
          </w:p>
        </w:tc>
      </w:tr>
      <w:tr w14:paraId="43C98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5" w:hRule="atLeast"/>
        </w:trPr>
        <w:tc>
          <w:tcPr>
            <w:tcW w:w="681" w:type="dxa"/>
            <w:tcBorders>
              <w:top w:val="single" w:color="000000" w:sz="4" w:space="0"/>
              <w:left w:val="single" w:color="000000" w:sz="4" w:space="0"/>
              <w:bottom w:val="single" w:color="000000" w:sz="4" w:space="0"/>
              <w:right w:val="single" w:color="000000" w:sz="4" w:space="0"/>
            </w:tcBorders>
            <w:noWrap w:val="0"/>
            <w:vAlign w:val="center"/>
          </w:tcPr>
          <w:p w14:paraId="6998FC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7903A3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布线系统（地下部分）</w:t>
            </w:r>
          </w:p>
        </w:tc>
        <w:tc>
          <w:tcPr>
            <w:tcW w:w="7365" w:type="dxa"/>
            <w:tcBorders>
              <w:top w:val="single" w:color="000000" w:sz="4" w:space="0"/>
              <w:left w:val="single" w:color="000000" w:sz="4" w:space="0"/>
              <w:bottom w:val="single" w:color="000000" w:sz="4" w:space="0"/>
              <w:right w:val="single" w:color="000000" w:sz="4" w:space="0"/>
            </w:tcBorders>
            <w:noWrap w:val="0"/>
            <w:vAlign w:val="center"/>
          </w:tcPr>
          <w:p w14:paraId="0E11A2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线2.5平方、4平方、6平方插排、PVC管、网线、空气开关、网络接口Rosenberger超五类模块；开槽暗敷，电线连接部分采用焊接方式防水胶布2层，绝缘胶布2层，加以保护，配电采用铝塑管护套,内穿BV塑铜线，多媒体产品安装、调试</w:t>
            </w:r>
          </w:p>
        </w:tc>
        <w:tc>
          <w:tcPr>
            <w:tcW w:w="480" w:type="dxa"/>
            <w:tcBorders>
              <w:top w:val="single" w:color="000000" w:sz="4" w:space="0"/>
              <w:left w:val="single" w:color="000000" w:sz="4" w:space="0"/>
              <w:bottom w:val="single" w:color="000000" w:sz="4" w:space="0"/>
              <w:right w:val="single" w:color="000000" w:sz="4" w:space="0"/>
            </w:tcBorders>
            <w:noWrap/>
            <w:vAlign w:val="center"/>
          </w:tcPr>
          <w:p w14:paraId="7F2636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7A7BFC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49711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681" w:type="dxa"/>
            <w:tcBorders>
              <w:top w:val="single" w:color="000000" w:sz="4" w:space="0"/>
              <w:left w:val="single" w:color="000000" w:sz="4" w:space="0"/>
              <w:bottom w:val="single" w:color="000000" w:sz="4" w:space="0"/>
              <w:right w:val="single" w:color="000000" w:sz="4" w:space="0"/>
            </w:tcBorders>
            <w:noWrap w:val="0"/>
            <w:vAlign w:val="center"/>
          </w:tcPr>
          <w:p w14:paraId="526DF8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17E301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给排水系统（地下部分）</w:t>
            </w:r>
          </w:p>
        </w:tc>
        <w:tc>
          <w:tcPr>
            <w:tcW w:w="7365" w:type="dxa"/>
            <w:tcBorders>
              <w:top w:val="single" w:color="000000" w:sz="4" w:space="0"/>
              <w:left w:val="single" w:color="000000" w:sz="4" w:space="0"/>
              <w:bottom w:val="single" w:color="000000" w:sz="4" w:space="0"/>
              <w:right w:val="single" w:color="000000" w:sz="4" w:space="0"/>
            </w:tcBorders>
            <w:noWrap w:val="0"/>
            <w:vAlign w:val="center"/>
          </w:tcPr>
          <w:p w14:paraId="38D531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给水采用φ25㎜优质PPR(国标)管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排水采用φ50㎜优质PVC(国标)管，暗敷，安装调试（含辅料及耗材）。符合安全用水要求</w:t>
            </w:r>
          </w:p>
        </w:tc>
        <w:tc>
          <w:tcPr>
            <w:tcW w:w="480" w:type="dxa"/>
            <w:tcBorders>
              <w:top w:val="single" w:color="000000" w:sz="4" w:space="0"/>
              <w:left w:val="single" w:color="000000" w:sz="4" w:space="0"/>
              <w:bottom w:val="single" w:color="000000" w:sz="4" w:space="0"/>
              <w:right w:val="single" w:color="000000" w:sz="4" w:space="0"/>
            </w:tcBorders>
            <w:noWrap/>
            <w:vAlign w:val="center"/>
          </w:tcPr>
          <w:p w14:paraId="76DBF3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29ED8B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28988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681" w:type="dxa"/>
            <w:tcBorders>
              <w:top w:val="single" w:color="000000" w:sz="4" w:space="0"/>
              <w:left w:val="single" w:color="000000" w:sz="4" w:space="0"/>
              <w:bottom w:val="single" w:color="000000" w:sz="4" w:space="0"/>
              <w:right w:val="single" w:color="000000" w:sz="4" w:space="0"/>
            </w:tcBorders>
            <w:noWrap w:val="0"/>
            <w:vAlign w:val="center"/>
          </w:tcPr>
          <w:p w14:paraId="2189F4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2ABD34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吊顶</w:t>
            </w:r>
          </w:p>
        </w:tc>
        <w:tc>
          <w:tcPr>
            <w:tcW w:w="7365" w:type="dxa"/>
            <w:tcBorders>
              <w:top w:val="single" w:color="000000" w:sz="4" w:space="0"/>
              <w:left w:val="single" w:color="000000" w:sz="4" w:space="0"/>
              <w:bottom w:val="single" w:color="000000" w:sz="4" w:space="0"/>
              <w:right w:val="single" w:color="000000" w:sz="4" w:space="0"/>
            </w:tcBorders>
            <w:noWrap/>
            <w:vAlign w:val="center"/>
          </w:tcPr>
          <w:p w14:paraId="0B33BE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600*600矿棉板吊顶</w:t>
            </w:r>
          </w:p>
        </w:tc>
        <w:tc>
          <w:tcPr>
            <w:tcW w:w="480" w:type="dxa"/>
            <w:tcBorders>
              <w:top w:val="single" w:color="000000" w:sz="4" w:space="0"/>
              <w:left w:val="single" w:color="000000" w:sz="4" w:space="0"/>
              <w:bottom w:val="single" w:color="000000" w:sz="4" w:space="0"/>
              <w:right w:val="single" w:color="000000" w:sz="4" w:space="0"/>
            </w:tcBorders>
            <w:noWrap/>
            <w:vAlign w:val="center"/>
          </w:tcPr>
          <w:p w14:paraId="7A8723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2ABE27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1CF6F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2" w:hRule="atLeast"/>
        </w:trPr>
        <w:tc>
          <w:tcPr>
            <w:tcW w:w="681" w:type="dxa"/>
            <w:tcBorders>
              <w:top w:val="single" w:color="000000" w:sz="4" w:space="0"/>
              <w:left w:val="single" w:color="000000" w:sz="4" w:space="0"/>
              <w:bottom w:val="single" w:color="000000" w:sz="4" w:space="0"/>
              <w:right w:val="single" w:color="000000" w:sz="4" w:space="0"/>
            </w:tcBorders>
            <w:noWrap w:val="0"/>
            <w:vAlign w:val="center"/>
          </w:tcPr>
          <w:p w14:paraId="34ADE5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766439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平板灯</w:t>
            </w:r>
          </w:p>
        </w:tc>
        <w:tc>
          <w:tcPr>
            <w:tcW w:w="7365" w:type="dxa"/>
            <w:tcBorders>
              <w:top w:val="single" w:color="000000" w:sz="4" w:space="0"/>
              <w:left w:val="single" w:color="000000" w:sz="4" w:space="0"/>
              <w:bottom w:val="single" w:color="000000" w:sz="4" w:space="0"/>
              <w:right w:val="single" w:color="000000" w:sz="4" w:space="0"/>
            </w:tcBorders>
            <w:noWrap w:val="0"/>
            <w:vAlign w:val="center"/>
          </w:tcPr>
          <w:p w14:paraId="13A348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LED教室灯尺寸长宽600*600±5mm；为一体式侧发光微晶防眩面板灯，棱锥体光学结构设计，微晶结构长短轴尺寸比值≥2，采用高性能光学板材辊压成型；至少有3种光学材料组成，包含反射纸、导光板、微晶防眩板等，采用侧发光的出光方式，灯体表面发光均匀，无暗影。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LED教室灯光源模组采用铝基板，导入胶带均匀的固定在灯体上，使灯条和散热体大面积接触；灯体上至少有4个防掉落挂钩，安装好后可挂在吊架上，保证安全无掉落风险。光源使用双蓝光光谱，有效减少蓝光危害。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3、LED教室灯驱动电源需为隔离型恒流驱动，电源有外壳并可靠固定。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4、LED教室灯功率＜45W。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5、LED教室灯光效（或灯具效能）≥80 lm/W。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6、LED教室灯色温（或相关色温）4300K-5300K。</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7、LED教室灯显色指数Ra＞90、R9＞50。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8、LED教室灯色容差（色品容差）≤5 SDCM。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9、LED教室灯通过人体电磁辐射测试。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10、LED教室灯蓝光危害等级为RG0（或0类危险）。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11、LED教室灯频闪无危害或无显著影响或无频闪危害。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12、LED教室灯至少依据《GB/T 26572》标准通过电器电子产品认证。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★13、LED教室灯选用足够数量小功率LED灯珠，灯珠实际使用功率不宜超过额定功率的50%，以提高其发光效率和降低灯具光衰，且LED教室灯须通过CCC认证。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14、LED教室灯在大气压力≥100kPa，平均湿度≥50%RH、极值空气温度≤-20℃及相对温差≥33℃的实地自然环境条件下至少持续运行400小时，至少依据《GB/T9468》标准满足光通量的实测值与初始值的偏差不超过-10%。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15、LED教室灯在大气压力≥100kPa，平均湿度≥50%RH、极值空气温度≤-20℃及相对温差≥33℃的实地自然环境条件下至少持续运行400小时，至少依据《GB/T36979》满足空间颜色非均匀性△u’v’≤0.007。</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LED教室灯在大气压力≥100kPa，平均湿度≥50%RH、极值空气温度≤-20℃及相对温差≥33℃的实地自然环境条件下至少持续运行400小时，至少依据《GB/T9468》标准满足光束角C0-C180及C90-C270的实测值与初始值偏差均不超过±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17、LED教室灯在大气压力≥100kPa，平均湿度≥50%RH、极值空气温度≤-20℃及相对温差≥33℃的实地自然环境条件下至少持续运行400小时，至少依据《GB/T 18595》标准满足浪涌性能达到C或以上等级。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18、LED教室灯在大气压力≥100kPa，平均湿度≥50%RH、极值空气温度≤-20℃及相对温差≥33℃的实地自然环境条件下至少持续运行400小时，至少依据《GB/T6882》标准满足噪声＜17dB（A）。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19、LED教室灯依据《GB40070》标准并符合《CQC16-465145-2021》认证规则通过近视防控认证。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备注：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▲序号1至序号3投标人须提供相关佐证材料，包含但不限于产品彩页或技术参数确认函。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序号9投标人须提供第三方检测机构出具的封面带有CMA及CNAS标志的检测报告及检测报告编号在全国认证认可信息公共服务平台的查询证明复印件，同时提供报告所引用检测标准依据在中国合格评定国家认可委员会官网查询的能力范围证明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序号10至序号19投标人须提供第三方认证机构出具的认证证书及全国认证认可信息公共服务平台证书状态为“有效”查询证明复印件（证书与查询证明文件上均须同时体现产品型号及认证标准；若有要求实地自然环境条件的，证书上须体现“实地验证”）。</w:t>
            </w:r>
          </w:p>
        </w:tc>
        <w:tc>
          <w:tcPr>
            <w:tcW w:w="480" w:type="dxa"/>
            <w:tcBorders>
              <w:top w:val="single" w:color="000000" w:sz="4" w:space="0"/>
              <w:left w:val="single" w:color="000000" w:sz="4" w:space="0"/>
              <w:bottom w:val="single" w:color="000000" w:sz="4" w:space="0"/>
              <w:right w:val="single" w:color="000000" w:sz="4" w:space="0"/>
            </w:tcBorders>
            <w:noWrap/>
            <w:vAlign w:val="center"/>
          </w:tcPr>
          <w:p w14:paraId="600AF9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盏</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3F57C0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r>
      <w:tr w14:paraId="6271A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681" w:type="dxa"/>
            <w:tcBorders>
              <w:top w:val="single" w:color="000000" w:sz="4" w:space="0"/>
              <w:left w:val="single" w:color="000000" w:sz="4" w:space="0"/>
              <w:bottom w:val="single" w:color="000000" w:sz="4" w:space="0"/>
              <w:right w:val="single" w:color="000000" w:sz="4" w:space="0"/>
            </w:tcBorders>
            <w:noWrap w:val="0"/>
            <w:vAlign w:val="center"/>
          </w:tcPr>
          <w:p w14:paraId="2B1EB5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2C667C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文化窗帘</w:t>
            </w:r>
          </w:p>
        </w:tc>
        <w:tc>
          <w:tcPr>
            <w:tcW w:w="7365" w:type="dxa"/>
            <w:tcBorders>
              <w:top w:val="single" w:color="000000" w:sz="4" w:space="0"/>
              <w:left w:val="single" w:color="000000" w:sz="4" w:space="0"/>
              <w:bottom w:val="single" w:color="000000" w:sz="4" w:space="0"/>
              <w:right w:val="single" w:color="000000" w:sz="4" w:space="0"/>
            </w:tcBorders>
            <w:noWrap w:val="0"/>
            <w:vAlign w:val="center"/>
          </w:tcPr>
          <w:p w14:paraId="16F53A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文化窗帘</w:t>
            </w:r>
          </w:p>
        </w:tc>
        <w:tc>
          <w:tcPr>
            <w:tcW w:w="480" w:type="dxa"/>
            <w:tcBorders>
              <w:top w:val="single" w:color="000000" w:sz="4" w:space="0"/>
              <w:left w:val="single" w:color="000000" w:sz="4" w:space="0"/>
              <w:bottom w:val="single" w:color="000000" w:sz="4" w:space="0"/>
              <w:right w:val="single" w:color="000000" w:sz="4" w:space="0"/>
            </w:tcBorders>
            <w:noWrap/>
            <w:vAlign w:val="center"/>
          </w:tcPr>
          <w:p w14:paraId="0EE7DE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1AB0F3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bl>
    <w:p w14:paraId="571E1CDA">
      <w:pPr>
        <w:rPr>
          <w:rFonts w:hint="eastAsia" w:ascii="宋体" w:hAnsi="宋体" w:eastAsia="宋体" w:cs="宋体"/>
          <w:sz w:val="18"/>
          <w:szCs w:val="18"/>
        </w:rPr>
      </w:pPr>
    </w:p>
    <w:tbl>
      <w:tblPr>
        <w:tblStyle w:val="2"/>
        <w:tblW w:w="98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52"/>
        <w:gridCol w:w="669"/>
        <w:gridCol w:w="5374"/>
        <w:gridCol w:w="424"/>
        <w:gridCol w:w="416"/>
        <w:gridCol w:w="2425"/>
      </w:tblGrid>
      <w:tr w14:paraId="2B1BF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trPr>
        <w:tc>
          <w:tcPr>
            <w:tcW w:w="9860" w:type="dxa"/>
            <w:gridSpan w:val="6"/>
            <w:tcBorders>
              <w:top w:val="single" w:color="000000" w:sz="4" w:space="0"/>
              <w:left w:val="single" w:color="000000" w:sz="4" w:space="0"/>
              <w:bottom w:val="single" w:color="000000" w:sz="4" w:space="0"/>
              <w:right w:val="single" w:color="000000" w:sz="4" w:space="0"/>
            </w:tcBorders>
            <w:noWrap/>
            <w:vAlign w:val="center"/>
          </w:tcPr>
          <w:p w14:paraId="12AED1C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生物数码观察实验室 清单（56座/间）</w:t>
            </w:r>
          </w:p>
        </w:tc>
      </w:tr>
      <w:tr w14:paraId="39602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52" w:type="dxa"/>
            <w:tcBorders>
              <w:top w:val="single" w:color="000000" w:sz="4" w:space="0"/>
              <w:left w:val="single" w:color="000000" w:sz="4" w:space="0"/>
              <w:bottom w:val="single" w:color="000000" w:sz="4" w:space="0"/>
              <w:right w:val="single" w:color="000000" w:sz="4" w:space="0"/>
            </w:tcBorders>
            <w:noWrap w:val="0"/>
            <w:vAlign w:val="center"/>
          </w:tcPr>
          <w:p w14:paraId="6C7F0F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12BB22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货物名称</w:t>
            </w:r>
          </w:p>
        </w:tc>
        <w:tc>
          <w:tcPr>
            <w:tcW w:w="5374" w:type="dxa"/>
            <w:tcBorders>
              <w:top w:val="single" w:color="000000" w:sz="4" w:space="0"/>
              <w:left w:val="single" w:color="000000" w:sz="4" w:space="0"/>
              <w:bottom w:val="single" w:color="000000" w:sz="4" w:space="0"/>
              <w:right w:val="single" w:color="000000" w:sz="4" w:space="0"/>
            </w:tcBorders>
            <w:noWrap w:val="0"/>
            <w:vAlign w:val="center"/>
          </w:tcPr>
          <w:p w14:paraId="5F4E7D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技术参数</w:t>
            </w:r>
          </w:p>
        </w:tc>
        <w:tc>
          <w:tcPr>
            <w:tcW w:w="424" w:type="dxa"/>
            <w:tcBorders>
              <w:top w:val="single" w:color="000000" w:sz="4" w:space="0"/>
              <w:left w:val="single" w:color="000000" w:sz="4" w:space="0"/>
              <w:bottom w:val="single" w:color="000000" w:sz="4" w:space="0"/>
              <w:right w:val="single" w:color="000000" w:sz="4" w:space="0"/>
            </w:tcBorders>
            <w:noWrap w:val="0"/>
            <w:vAlign w:val="center"/>
          </w:tcPr>
          <w:p w14:paraId="094551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5577DD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2425" w:type="dxa"/>
            <w:tcBorders>
              <w:top w:val="single" w:color="000000" w:sz="4" w:space="0"/>
              <w:left w:val="single" w:color="000000" w:sz="4" w:space="0"/>
              <w:bottom w:val="single" w:color="000000" w:sz="4" w:space="0"/>
              <w:right w:val="single" w:color="000000" w:sz="4" w:space="0"/>
            </w:tcBorders>
            <w:noWrap w:val="0"/>
            <w:vAlign w:val="center"/>
          </w:tcPr>
          <w:p w14:paraId="20752B14">
            <w:pPr>
              <w:keepNext w:val="0"/>
              <w:keepLines w:val="0"/>
              <w:widowControl/>
              <w:suppressLineNumbers w:val="0"/>
              <w:jc w:val="center"/>
              <w:textAlignment w:val="center"/>
              <w:rPr>
                <w:rFonts w:hint="eastAsia" w:ascii="宋体" w:hAnsi="宋体" w:eastAsia="宋体" w:cs="宋体"/>
                <w:i w:val="0"/>
                <w:iCs w:val="0"/>
                <w:color w:val="FF0000"/>
                <w:sz w:val="18"/>
                <w:szCs w:val="18"/>
                <w:u w:val="none"/>
              </w:rPr>
            </w:pPr>
          </w:p>
        </w:tc>
      </w:tr>
      <w:tr w14:paraId="6D82B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9860"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93551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基础设备</w:t>
            </w:r>
          </w:p>
        </w:tc>
      </w:tr>
      <w:tr w14:paraId="365F9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6" w:hRule="atLeast"/>
        </w:trPr>
        <w:tc>
          <w:tcPr>
            <w:tcW w:w="55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2275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D6E3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教师演示台</w:t>
            </w:r>
          </w:p>
        </w:tc>
        <w:tc>
          <w:tcPr>
            <w:tcW w:w="53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E49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规格：2800×700×850mm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台面：采用≥12.7mm厚实芯理化板，边沿加厚至≧25.4mm，表面光滑、平整，整体美观大方。耐酸碱、耐高温、耐腐蚀、不吸水、防火、抗老化、无毒、不褪色、材质坚硬，确保柜身台面不受潮，牢固可靠。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结构：演示台设有储物柜，中间为演示台，设置电源系统、水嘴、水槽、洗眼器、多媒体设备（主机、显示器、中控、功放、交换机）的位置预留。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桌身：整体采用≥0.9mm厚优质冷轧钢板，全部钢制件纳米陶瓷镀膜防锈处理。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滑道：抽屉全部采用优质三节承重式滚珠滑道开合十万次不变形。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铰链：采用优质铰链，开合十万次不变形。</w:t>
            </w:r>
          </w:p>
        </w:tc>
        <w:tc>
          <w:tcPr>
            <w:tcW w:w="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A39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7B9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C3F4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35592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2" w:hRule="atLeast"/>
        </w:trPr>
        <w:tc>
          <w:tcPr>
            <w:tcW w:w="55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13CE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E98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主控电源</w:t>
            </w:r>
          </w:p>
        </w:tc>
        <w:tc>
          <w:tcPr>
            <w:tcW w:w="53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B0C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1、教师主控大体分为教师与学生用，分别由电源控制、多媒体接口扩展等部分组成。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2、主机分为铁制机箱、机械抽屉式。控制显示集液晶真彩触摸屏和数据显示一体化。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3、具备1个220V交流电源输出插座，和5V/0.5A输出/USB接口，带输出指示灯。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4、系统具备漏电、过载、短路等保护功能。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6、具有自动关机时间设置功能，且关机时通过声音自动提示。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密码控制，本产品由教师输入正确的密码，方可启动实验电源的控制系统（教师可自定密码），对电源控制台进行操作，防误操作方便教师合理安排实验。产品出厂时默认无密码功能，用户可根据需要在系统设置区自行设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9、具备多媒体相应接口的拓展功能：具备RJ-45网络、VGA接口、USB接口、方便老师对投影机和电动幕的控制。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10、教师控制界面可设置输出直流1.5-30V分辨率0.1V,交流1-30V分辨率1V，具备过载保护点智能侦测功能，电流高于过载保护点则自动保护，电流低于过载保护点则自动恢复至设定值。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11、学生用AC220V高压电源分为A、B、C、D四组控制输出，具有防雷过电压保护功能。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12、直流高压240、300V两档100mA，直流大电流9V/40A,10S自动关断。</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13、配备使用说明与大体功能介绍（汉字显示）。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14、具备给学生电源进行自动编号、分组功能。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15、具备一键给水控制功能。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16、电源主控台与教师演示台一体化。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17、教师电源的性能指标符合JY/T0374-2004标准。</w:t>
            </w:r>
          </w:p>
        </w:tc>
        <w:tc>
          <w:tcPr>
            <w:tcW w:w="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237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AC0A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00F3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200F9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6" w:hRule="atLeast"/>
        </w:trPr>
        <w:tc>
          <w:tcPr>
            <w:tcW w:w="55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AE58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0CD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洗眼器</w:t>
            </w:r>
          </w:p>
        </w:tc>
        <w:tc>
          <w:tcPr>
            <w:tcW w:w="53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1B7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材质：主体采用环保型PP材料一次性注塑成型。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工作压力：0.2-0.4MPa。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流量：洗眼器喷头：12升/分钟。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性能：阀门可自动关闭，密封可靠。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喷头：洗眼盆头，出水经缓压处理呈泡沫状水柱，防止冲伤眼睛，设有防尘盖，使用时可自动被水冲开。</w:t>
            </w:r>
          </w:p>
        </w:tc>
        <w:tc>
          <w:tcPr>
            <w:tcW w:w="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E71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6B68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F725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197EC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5" w:hRule="atLeast"/>
        </w:trPr>
        <w:tc>
          <w:tcPr>
            <w:tcW w:w="55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76D4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CEF0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教师椅</w:t>
            </w:r>
          </w:p>
        </w:tc>
        <w:tc>
          <w:tcPr>
            <w:tcW w:w="53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96C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椅面、靠背选用优质网布面料，透气性强、无异味。背垫、座垫采用高密度发泡成型棉，回弹性好、不易变形，不老化，依人体坐姿特别设计，符合人体工学。艺术造型扶手，优质圆五星脚配活动脚轮，气压调节座位高度。</w:t>
            </w:r>
          </w:p>
        </w:tc>
        <w:tc>
          <w:tcPr>
            <w:tcW w:w="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688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9191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FE2E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5ED96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5" w:hRule="atLeast"/>
        </w:trPr>
        <w:tc>
          <w:tcPr>
            <w:tcW w:w="55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4CED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0AC7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水槽</w:t>
            </w:r>
          </w:p>
        </w:tc>
        <w:tc>
          <w:tcPr>
            <w:tcW w:w="53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A687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外径：550×450×310mm，内径：480×380×290mm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采用环保型PP材料一次性注塑成型，耐强酸碱及有机溶剂，壁厚6mm。</w:t>
            </w:r>
          </w:p>
        </w:tc>
        <w:tc>
          <w:tcPr>
            <w:tcW w:w="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D3B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76A5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98ED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65815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5" w:hRule="atLeast"/>
        </w:trPr>
        <w:tc>
          <w:tcPr>
            <w:tcW w:w="55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4EF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768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水嘴</w:t>
            </w:r>
          </w:p>
        </w:tc>
        <w:tc>
          <w:tcPr>
            <w:tcW w:w="53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8FF6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采用实验室专用三联水嘴，陶瓷阀芯90°旋转，铜质表面烤漆处理，增强耐酸碱防腐蚀以及防锈性能，特制鹅颈管可360度旋转。</w:t>
            </w:r>
          </w:p>
        </w:tc>
        <w:tc>
          <w:tcPr>
            <w:tcW w:w="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15B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58D9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A31C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541DA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33" w:hRule="atLeast"/>
        </w:trPr>
        <w:tc>
          <w:tcPr>
            <w:tcW w:w="55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0A20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A111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学生实验桌</w:t>
            </w:r>
          </w:p>
        </w:tc>
        <w:tc>
          <w:tcPr>
            <w:tcW w:w="53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70F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规格：2400×1200×780mm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台面：采用≥12.7mm双面膜实芯理化板，时尚美观，耐酸碱、耐冲击、韧性强等特点。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结构：台面为双面膜实芯理化板一体化成型，桌身由桌腿、立柱、前横梁、中横梁、后横梁及加强横支撑件组成。学生位设书包斗、小柜体箱。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桌腿：主体材料均采用优质铝镁合金型材及铝压铸件连接组合框架，材料表面经高压静电喷涂环氧树脂防护层，耐酸碱，耐腐蚀处理。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上腿规格：长580mm×宽50mm×高140mm。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下腿规格：长510mm×宽50mm×高140mm。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立柱：采用50mm×100mm，壁厚1.5mm。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前横梁：采用43mm×40mm，壁厚1.2mm。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中横梁：采用32mm×27mm，壁厚1.2mm。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后横梁：采用50mm×40mm，壁厚1.2mm。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加强横支撑件：采用10mm×100mm，壁厚1.2mm。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书包斗：壁厚4.6mm，采用环保型ABS工程塑料一次性注塑成型。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可调脚：高强度可调脚，采用10mm螺纹钢，下部采用环保型PP加耐磨纤维质塑料。</w:t>
            </w:r>
          </w:p>
        </w:tc>
        <w:tc>
          <w:tcPr>
            <w:tcW w:w="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B26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743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06D5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24394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8" w:hRule="atLeast"/>
        </w:trPr>
        <w:tc>
          <w:tcPr>
            <w:tcW w:w="55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ACFC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5C68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柜体箱</w:t>
            </w:r>
          </w:p>
        </w:tc>
        <w:tc>
          <w:tcPr>
            <w:tcW w:w="53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65C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1、宽380mm深220mm高730mm，壁厚3.0mm，采用环保型ABS工程塑料一次性注塑成型。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2、符合GB 28481-2012 塑料家具中有害物质限量要求。</w:t>
            </w:r>
          </w:p>
        </w:tc>
        <w:tc>
          <w:tcPr>
            <w:tcW w:w="42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5CE2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B2C5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E1CA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0AD58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2" w:hRule="atLeast"/>
        </w:trPr>
        <w:tc>
          <w:tcPr>
            <w:tcW w:w="55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880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9CE6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学生电源</w:t>
            </w:r>
          </w:p>
        </w:tc>
        <w:tc>
          <w:tcPr>
            <w:tcW w:w="53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906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学生电源：桌斗中间位置固定学生电源盒：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1、每个学生电源应自带一个独立变压器，既能独立操作，也能被教师控制。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2、通过教师数字化键盘控制学生电源低压交流电压值和直流电压值，分别显示交直流电压值。学生操控时伴有按键提示音。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3、学生电源的低压交流电压分两档，即1V-18V/2A、18V-30V/1A，分辨率1V，具备自动智能侦测过载保护功能，电流高于过载保护点则自动保护、电流低于过载保护点则自动恢复至设定值。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4、学生电源的低压直流电压分两档，即1.5V-16V/2A、16V-30V/1A，分辨率为0.1V。具备自动智能侦测过载保护功能，电流高于过载保护点则自动保护、电流低于过载保护点则自动恢复至设定值。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5、学生电源被教师控制及锁定后不能自主操作。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6、具备1个220V交流电源输出插座。可通过教师单独控制其电源的输出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7、过载保护采用蜂鸣器报警提示功能。可按任意键复位。</w:t>
            </w:r>
          </w:p>
        </w:tc>
        <w:tc>
          <w:tcPr>
            <w:tcW w:w="42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85C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A10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9B3E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73B8C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8" w:hRule="atLeast"/>
        </w:trPr>
        <w:tc>
          <w:tcPr>
            <w:tcW w:w="55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7A1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210D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学生凳</w:t>
            </w:r>
          </w:p>
        </w:tc>
        <w:tc>
          <w:tcPr>
            <w:tcW w:w="53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66C4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φ300×（450）500mm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A：凳面：1、凳面材质：采用环保型ABS改性塑料一次性注塑成型；2、凳面尺寸：面ф300mm×厚30mm；3、表面细纹咬花，防滑不发光。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B：凳钢架椭圆形，脚钢架；1、材质及形状：椭圆形无缝钢管；2、尺寸：17×34×1.5mm；3、全圆满焊接完成，结构牢固，经高温粉体烤漆处理，长时间使用也不会产生表面烤漆剥落现象。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C：脚垫：1、材质：采用PP加耐磨纤维质塑料，实心倒勾式一体射出成型。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D：圆凳有调节升降功能，高度可以在450mm-500mm范围内自由调整。</w:t>
            </w:r>
          </w:p>
        </w:tc>
        <w:tc>
          <w:tcPr>
            <w:tcW w:w="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F7B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46E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D8B4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21917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860"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F3DE3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水电部分</w:t>
            </w:r>
          </w:p>
        </w:tc>
      </w:tr>
      <w:tr w14:paraId="6F201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2" w:hRule="atLeast"/>
        </w:trPr>
        <w:tc>
          <w:tcPr>
            <w:tcW w:w="55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712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4F58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布线系统</w:t>
            </w:r>
          </w:p>
        </w:tc>
        <w:tc>
          <w:tcPr>
            <w:tcW w:w="53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8CC3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地面对接，由教师主控电源控制学生电源，安装调试（含辅料及耗材）。符合安全用电要求。</w:t>
            </w:r>
          </w:p>
        </w:tc>
        <w:tc>
          <w:tcPr>
            <w:tcW w:w="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D43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09FC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35BF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地下工程自建</w:t>
            </w:r>
          </w:p>
        </w:tc>
      </w:tr>
      <w:tr w14:paraId="5F396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2" w:hRule="atLeast"/>
        </w:trPr>
        <w:tc>
          <w:tcPr>
            <w:tcW w:w="55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8B50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C048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给排水系统</w:t>
            </w:r>
          </w:p>
        </w:tc>
        <w:tc>
          <w:tcPr>
            <w:tcW w:w="53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15D3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地面对接，安装调试（含辅料及耗材）。符合安全用水要求</w:t>
            </w:r>
          </w:p>
        </w:tc>
        <w:tc>
          <w:tcPr>
            <w:tcW w:w="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048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423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3196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地下工程自建</w:t>
            </w:r>
          </w:p>
        </w:tc>
      </w:tr>
      <w:tr w14:paraId="589CD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2" w:hRule="atLeast"/>
        </w:trPr>
        <w:tc>
          <w:tcPr>
            <w:tcW w:w="9860"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25A5C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装修部分</w:t>
            </w:r>
          </w:p>
        </w:tc>
      </w:tr>
      <w:tr w14:paraId="3A0B7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3" w:hRule="atLeast"/>
        </w:trPr>
        <w:tc>
          <w:tcPr>
            <w:tcW w:w="55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BB9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6644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布线系统（地下部分）</w:t>
            </w:r>
          </w:p>
        </w:tc>
        <w:tc>
          <w:tcPr>
            <w:tcW w:w="53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0342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线2.5平方、4平方、6平方插排、PVC管、网线、空气开关、网络接口Rosenberger超五类模块；开槽暗敷，电线连接部分采用焊接方式防水胶布2层，绝缘胶布2层，加以保护，配电采用铝塑管护套,内穿BV塑铜线，多媒体产品安装、调试</w:t>
            </w:r>
          </w:p>
        </w:tc>
        <w:tc>
          <w:tcPr>
            <w:tcW w:w="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2B8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D8A5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4459E8">
            <w:pPr>
              <w:jc w:val="center"/>
              <w:rPr>
                <w:rFonts w:hint="eastAsia" w:ascii="宋体" w:hAnsi="宋体" w:eastAsia="宋体" w:cs="宋体"/>
                <w:i w:val="0"/>
                <w:iCs w:val="0"/>
                <w:color w:val="000000"/>
                <w:sz w:val="18"/>
                <w:szCs w:val="18"/>
                <w:u w:val="none"/>
              </w:rPr>
            </w:pPr>
          </w:p>
        </w:tc>
      </w:tr>
      <w:tr w14:paraId="52C69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2" w:hRule="atLeast"/>
        </w:trPr>
        <w:tc>
          <w:tcPr>
            <w:tcW w:w="55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2056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DA05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给排水系统（地下部分）</w:t>
            </w:r>
          </w:p>
        </w:tc>
        <w:tc>
          <w:tcPr>
            <w:tcW w:w="53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BEFC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给水采用φ25㎜优质PPR(国标)管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排水采用φ50㎜优质PVC(国标)管，暗敷，安装调试（含辅料及耗材）。符合安全用水要求</w:t>
            </w:r>
          </w:p>
        </w:tc>
        <w:tc>
          <w:tcPr>
            <w:tcW w:w="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2AD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CB1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712B3A">
            <w:pPr>
              <w:jc w:val="center"/>
              <w:rPr>
                <w:rFonts w:hint="eastAsia" w:ascii="宋体" w:hAnsi="宋体" w:eastAsia="宋体" w:cs="宋体"/>
                <w:i w:val="0"/>
                <w:iCs w:val="0"/>
                <w:color w:val="000000"/>
                <w:sz w:val="18"/>
                <w:szCs w:val="18"/>
                <w:u w:val="none"/>
              </w:rPr>
            </w:pPr>
          </w:p>
        </w:tc>
      </w:tr>
      <w:tr w14:paraId="5C29B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2" w:hRule="atLeast"/>
        </w:trPr>
        <w:tc>
          <w:tcPr>
            <w:tcW w:w="55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CA68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525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平板灯</w:t>
            </w:r>
          </w:p>
        </w:tc>
        <w:tc>
          <w:tcPr>
            <w:tcW w:w="53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FD9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LED教室灯尺寸长宽600*600±5mm；为一体式侧发光微晶防眩面板灯，棱锥体光学结构设计，微晶结构长短轴尺寸比值≥2，采用高性能光学板材辊压成型；至少有3种光学材料组成，包含反射纸、导光板、微晶防眩板等，采用侧发光的出光方式，灯体表面发光均匀，无暗影。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LED教室灯光源模组采用铝基板，导入胶带均匀的固定在灯体上，使灯条和散热体大面积接触；灯体上至少有4个防掉落挂钩，安装好后可挂在吊架上，保证安全无掉落风险。光源使用双蓝光光谱，有效减少蓝光危害。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3、LED教室灯驱动电源需为隔离型恒流驱动，电源有外壳并可靠固定。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4、LED教室灯功率＜45W。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5、LED教室灯光效（或灯具效能）≥80 lm/W。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6、LED教室灯色温（或相关色温）4300K-5300K。</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7、LED教室灯显色指数Ra＞90、R9＞50。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8、LED教室灯色容差（色品容差）≤5 SDCM。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9、LED教室灯通过人体电磁辐射测试。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10、LED教室灯蓝光危害等级为RG0（或0类危险）。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11、LED教室灯频闪无危害或无显著影响或无频闪危害。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12、LED教室灯至少依据《GB/T 26572》标准通过电器电子产品认证。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★13、LED教室灯选用足够数量小功率LED灯珠，灯珠实际使用功率不宜超过额定功率的50%，以提高其发光效率和降低灯具光衰，且LED教室灯须通过CCC认证。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14、LED教室灯在大气压力≥100kPa，平均湿度≥50%RH、极值空气温度≤-20℃及相对温差≥33℃的实地自然环境条件下至少持续运行400小时，至少依据《GB/T9468》标准满足光通量的实测值与初始值的偏差不超过-10%。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15、LED教室灯在大气压力≥100kPa，平均湿度≥50%RH、极值空气温度≤-20℃及相对温差≥33℃的实地自然环境条件下至少持续运行400小时，至少依据《GB/T36979》满足空间颜色非均匀性△u’v’≤0.007。</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LED教室灯在大气压力≥100kPa，平均湿度≥50%RH、极值空气温度≤-20℃及相对温差≥33℃的实地自然环境条件下至少持续运行400小时，至少依据《GB/T9468》标准满足光束角C0-C180及C90-C270的实测值与初始值偏差均不超过±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17、LED教室灯在大气压力≥100kPa，平均湿度≥50%RH、极值空气温度≤-20℃及相对温差≥33℃的实地自然环境条件下至少持续运行400小时，至少依据《GB/T 18595》标准满足浪涌性能达到C或以上等级。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18、LED教室灯在大气压力≥100kPa，平均湿度≥50%RH、极值空气温度≤-20℃及相对温差≥33℃的实地自然环境条件下至少持续运行400小时，至少依据《GB/T6882》标准满足噪声＜17dB（A）。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19、LED教室灯依据《GB40070》标准并符合《CQC16-465145-2021》认证规则通过近视防控认证。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备注：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▲序号1至序号3投标人须提供相关佐证材料，包含但不限于产品彩页或技术参数确认函。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序号9投标人须提供第三方检测机构出具的封面带有CMA及CNAS标志的检测报告及检测报告编号在全国认证认可信息公共服务平台的查询证明复印件，同时提供报告所引用检测标准依据在中国合格评定国家认可委员会官网查询的能力范围证明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序号10至序号19投标人须提供第三方认证机构出具的认证证书及全国认证认可信息公共服务平台证书状态为“有效”查询证明复印件（证书与查询证明文件上均须同时体现产品型号及认证标准；若有要求实地自然环境条件的，证书上须体现“实地验证”）。</w:t>
            </w:r>
          </w:p>
        </w:tc>
        <w:tc>
          <w:tcPr>
            <w:tcW w:w="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0DB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91EF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68C091">
            <w:pPr>
              <w:jc w:val="center"/>
              <w:rPr>
                <w:rFonts w:hint="eastAsia" w:ascii="宋体" w:hAnsi="宋体" w:eastAsia="宋体" w:cs="宋体"/>
                <w:i w:val="0"/>
                <w:iCs w:val="0"/>
                <w:color w:val="000000"/>
                <w:sz w:val="18"/>
                <w:szCs w:val="18"/>
                <w:u w:val="none"/>
              </w:rPr>
            </w:pPr>
          </w:p>
        </w:tc>
      </w:tr>
      <w:tr w14:paraId="091FD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55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4F59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9477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文化窗帘</w:t>
            </w:r>
          </w:p>
        </w:tc>
        <w:tc>
          <w:tcPr>
            <w:tcW w:w="53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912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文化窗帘</w:t>
            </w:r>
          </w:p>
        </w:tc>
        <w:tc>
          <w:tcPr>
            <w:tcW w:w="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62C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C29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EF540A">
            <w:pPr>
              <w:jc w:val="center"/>
              <w:rPr>
                <w:rFonts w:hint="eastAsia" w:ascii="宋体" w:hAnsi="宋体" w:eastAsia="宋体" w:cs="宋体"/>
                <w:i w:val="0"/>
                <w:iCs w:val="0"/>
                <w:color w:val="000000"/>
                <w:sz w:val="18"/>
                <w:szCs w:val="18"/>
                <w:u w:val="none"/>
              </w:rPr>
            </w:pPr>
          </w:p>
        </w:tc>
      </w:tr>
    </w:tbl>
    <w:p w14:paraId="0FDAF19E">
      <w:pPr>
        <w:rPr>
          <w:rFonts w:hint="eastAsia" w:ascii="宋体" w:hAnsi="宋体" w:eastAsia="宋体" w:cs="宋体"/>
          <w:sz w:val="18"/>
          <w:szCs w:val="18"/>
        </w:rPr>
      </w:pPr>
    </w:p>
    <w:tbl>
      <w:tblPr>
        <w:tblStyle w:val="2"/>
        <w:tblW w:w="96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0"/>
        <w:gridCol w:w="699"/>
        <w:gridCol w:w="5308"/>
        <w:gridCol w:w="416"/>
        <w:gridCol w:w="480"/>
        <w:gridCol w:w="2287"/>
      </w:tblGrid>
      <w:tr w14:paraId="2FDB0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9640" w:type="dxa"/>
            <w:gridSpan w:val="6"/>
            <w:tcBorders>
              <w:top w:val="single" w:color="000000" w:sz="4" w:space="0"/>
              <w:left w:val="single" w:color="000000" w:sz="4" w:space="0"/>
              <w:bottom w:val="single" w:color="000000" w:sz="4" w:space="0"/>
              <w:right w:val="single" w:color="000000" w:sz="4" w:space="0"/>
            </w:tcBorders>
            <w:noWrap/>
            <w:vAlign w:val="center"/>
          </w:tcPr>
          <w:p w14:paraId="50EB174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生物创新实验室 清单（56座/间）</w:t>
            </w:r>
          </w:p>
        </w:tc>
      </w:tr>
      <w:tr w14:paraId="646AC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1"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6B99C0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699" w:type="dxa"/>
            <w:tcBorders>
              <w:top w:val="single" w:color="000000" w:sz="4" w:space="0"/>
              <w:left w:val="single" w:color="000000" w:sz="4" w:space="0"/>
              <w:bottom w:val="single" w:color="000000" w:sz="4" w:space="0"/>
              <w:right w:val="single" w:color="000000" w:sz="4" w:space="0"/>
            </w:tcBorders>
            <w:noWrap w:val="0"/>
            <w:vAlign w:val="center"/>
          </w:tcPr>
          <w:p w14:paraId="6BD653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货物名称</w:t>
            </w:r>
          </w:p>
        </w:tc>
        <w:tc>
          <w:tcPr>
            <w:tcW w:w="5308" w:type="dxa"/>
            <w:tcBorders>
              <w:top w:val="single" w:color="000000" w:sz="4" w:space="0"/>
              <w:left w:val="single" w:color="000000" w:sz="4" w:space="0"/>
              <w:bottom w:val="single" w:color="000000" w:sz="4" w:space="0"/>
              <w:right w:val="single" w:color="000000" w:sz="4" w:space="0"/>
            </w:tcBorders>
            <w:noWrap w:val="0"/>
            <w:vAlign w:val="center"/>
          </w:tcPr>
          <w:p w14:paraId="2CB69F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技术参数</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4F0484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480" w:type="dxa"/>
            <w:tcBorders>
              <w:top w:val="single" w:color="000000" w:sz="4" w:space="0"/>
              <w:left w:val="single" w:color="000000" w:sz="4" w:space="0"/>
              <w:bottom w:val="single" w:color="000000" w:sz="4" w:space="0"/>
              <w:right w:val="single" w:color="000000" w:sz="4" w:space="0"/>
            </w:tcBorders>
            <w:noWrap w:val="0"/>
            <w:vAlign w:val="center"/>
          </w:tcPr>
          <w:p w14:paraId="3EEE3B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2287" w:type="dxa"/>
            <w:tcBorders>
              <w:top w:val="single" w:color="000000" w:sz="4" w:space="0"/>
              <w:left w:val="single" w:color="000000" w:sz="4" w:space="0"/>
              <w:bottom w:val="single" w:color="000000" w:sz="4" w:space="0"/>
              <w:right w:val="single" w:color="000000" w:sz="4" w:space="0"/>
            </w:tcBorders>
            <w:noWrap w:val="0"/>
            <w:vAlign w:val="center"/>
          </w:tcPr>
          <w:p w14:paraId="4D181CE3">
            <w:pPr>
              <w:keepNext w:val="0"/>
              <w:keepLines w:val="0"/>
              <w:widowControl/>
              <w:suppressLineNumbers w:val="0"/>
              <w:jc w:val="center"/>
              <w:textAlignment w:val="center"/>
              <w:rPr>
                <w:rFonts w:hint="eastAsia" w:ascii="宋体" w:hAnsi="宋体" w:eastAsia="宋体" w:cs="宋体"/>
                <w:i w:val="0"/>
                <w:iCs w:val="0"/>
                <w:color w:val="FF0000"/>
                <w:sz w:val="18"/>
                <w:szCs w:val="18"/>
                <w:u w:val="none"/>
              </w:rPr>
            </w:pPr>
          </w:p>
        </w:tc>
      </w:tr>
      <w:tr w14:paraId="5CE4D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9640"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CA66A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基础设备</w:t>
            </w:r>
          </w:p>
        </w:tc>
      </w:tr>
      <w:tr w14:paraId="68C6D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21"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9ADD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5FBE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教师演示台</w:t>
            </w:r>
          </w:p>
        </w:tc>
        <w:tc>
          <w:tcPr>
            <w:tcW w:w="53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3C2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规格：2800×700×850mm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台面：采用≥12.7mm厚实芯理化板，边沿加厚至≧25.4mm，表面光滑、平整，整体美观大方。耐酸碱、耐高温、耐腐蚀、不吸水、防火、抗老化、无毒、不褪色、材质坚硬，确保柜身台面不受潮，牢固可靠。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结构：演示台设有储物柜，中间为演示台，设置电源系统、水嘴、水槽、洗眼器、多媒体设备（主机、显示器、中控、功放、交换机）的位置预留。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桌身：整体采用≥0.9mm厚优质冷轧钢板，全部钢制件纳米陶瓷镀膜防锈处理。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滑道：抽屉全部采用优质三节承重式滚珠滑道开合十万次不变形。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铰链：采用优质铰链，开合十万次不变形。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640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5FD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4F44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14F2F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4"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07E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EEF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主控电源</w:t>
            </w:r>
          </w:p>
        </w:tc>
        <w:tc>
          <w:tcPr>
            <w:tcW w:w="53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0F57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1、教师主控大体分为教师与学生用，分别由电源控制、多媒体接口扩展等部分组成。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2、主机分为铁制机箱、机械抽屉式。控制显示集液晶真彩触摸屏和数据显示一体化。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3、具备1个220V交流电源输出插座，和5V/0.5A输出/USB接口，带输出指示灯。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4、系统具备漏电、过载、短路等保护功能。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6、具有自动关机时间设置功能，且关机时通过声音自动提示。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密码控制，本产品由教师输入正确的密码，方可启动实验电源的控制系统（教师可自定密码），对电源控制台进行操作，防误操作方便教师合理安排实验。产品出厂时默认无密码功能，用户可根据需要在系统设置区自行设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9、具备多媒体相应接口的拓展功能：具备RJ-45网络、VGA接口、USB接口、方便老师对投影机和电动幕的控制。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10、教师控制界面可设置输出直流1.5-30V分辨率0.1V,交流1-30V分辨率1V，具备过载保护点智能侦测功能，电流高于过载保护点则自动保护，电流低于过载保护点则自动恢复至设定值。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11、学生用AC220V高压电源分为A、B、C、D四组控制输出，具有防雷过电压保护功能。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12、直流高压240、300V两档100mA，直流大电流9V/40A,10S自动关断。</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13、配备使用说明与大体功能介绍（汉字显示）。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14、具备给学生电源进行自动编号、分组功能。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15、具备一键给水控制功能。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16、电源主控台与教师演示台一体化。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17、教师电源的性能指标符合JY/T0374-2004标准。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CDC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F2ED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65EB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5AC8A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5"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2556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30C7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洗眼器</w:t>
            </w:r>
          </w:p>
        </w:tc>
        <w:tc>
          <w:tcPr>
            <w:tcW w:w="53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6DA4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材质：主体采用环保型PP材料一次性注塑成型。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工作压力：0.2-0.4MPa。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流量：洗眼器喷头：12升/分钟。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性能：阀门可自动关闭，密封可靠。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喷头：洗眼盆头，出水经缓压处理呈泡沫状水柱，防止冲伤眼睛，设有防尘盖，使用时可自动被水冲开。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FBA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2B9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FFFA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2A30F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5"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B0E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DC3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教师椅</w:t>
            </w:r>
          </w:p>
        </w:tc>
        <w:tc>
          <w:tcPr>
            <w:tcW w:w="53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B2F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椅面、靠背选用优质网布面料，透气性强、无异味。背垫、座垫采用高密度发泡成型棉，回弹性好、不易变形，不老化，依人体坐姿特别设计，符合人体工学。艺术造型扶手，优质圆五星脚配活动脚轮，气压调节座位高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408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435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19A6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499DF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5"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2031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25C5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水槽</w:t>
            </w:r>
          </w:p>
        </w:tc>
        <w:tc>
          <w:tcPr>
            <w:tcW w:w="53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906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外径：550×450×310mm，内径：480×380×290mm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采用环保型PP材料一次性注塑成型，耐强酸碱及有机溶剂，壁厚6mm。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8D7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9EAF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DE71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5D14A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FBDA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7BD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水嘴</w:t>
            </w:r>
          </w:p>
        </w:tc>
        <w:tc>
          <w:tcPr>
            <w:tcW w:w="53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19B9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采用实验室专用三联水嘴，陶瓷阀芯90°旋转，铜质表面烤漆处理，增强耐酸碱防腐蚀以及防锈性能，特制鹅颈管可360度旋转。</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370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12F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3F6D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0368E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8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01771B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699" w:type="dxa"/>
            <w:tcBorders>
              <w:top w:val="single" w:color="000000" w:sz="4" w:space="0"/>
              <w:left w:val="single" w:color="000000" w:sz="4" w:space="0"/>
              <w:bottom w:val="single" w:color="000000" w:sz="4" w:space="0"/>
              <w:right w:val="single" w:color="000000" w:sz="4" w:space="0"/>
            </w:tcBorders>
            <w:noWrap w:val="0"/>
            <w:vAlign w:val="center"/>
          </w:tcPr>
          <w:p w14:paraId="10829C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学生实验桌</w:t>
            </w:r>
          </w:p>
        </w:tc>
        <w:tc>
          <w:tcPr>
            <w:tcW w:w="5308" w:type="dxa"/>
            <w:tcBorders>
              <w:top w:val="single" w:color="000000" w:sz="4" w:space="0"/>
              <w:left w:val="single" w:color="000000" w:sz="4" w:space="0"/>
              <w:bottom w:val="single" w:color="000000" w:sz="4" w:space="0"/>
              <w:right w:val="single" w:color="000000" w:sz="4" w:space="0"/>
            </w:tcBorders>
            <w:noWrap w:val="0"/>
            <w:vAlign w:val="center"/>
          </w:tcPr>
          <w:p w14:paraId="203F53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1、规格：1200×600×780mm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2、台面：采用≥12.7mm厚双面膜耐腐蚀实芯理化板制作，耐酸碱、耐冲击、韧性强等特点。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3、结构：台面为双面膜实芯理化板一体化成型，桌身由桌腿、立柱、前横梁、中横梁、后横梁及加强横支撑件组成。学生位设书包斗。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桌腿：主体材料均采用优质铝镁合金型材及铝压铸件连接组合框架，材料表面经高压静电喷涂环氧树脂防护层，耐酸碱，耐腐蚀处理。上腿规格：长580mm×宽50mm×高140mm。下腿规格：长510mm×宽50mm×高140mm。立柱：采用50mm×100mm，壁厚1.5mm。前横梁：采用43mm×40mm，壁厚1.2mm。中横梁：采用32mm×27mm，壁厚1.2mm。后横梁：采用50mm×40mm，壁厚1.2mm。加强横支撑件：采用10mm×100mm，壁厚1.2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5、书包斗：壁厚4.6mm，采用环保型ABS工程塑料一次性注塑成型。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6、可调脚：高强度可调脚，采用10mm螺纹钢，下部采用环保型PP加耐磨纤维质塑料。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7、学生实验桌技术要求满足：GB 24820-2009《实验室家具通用技术条件》。</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442C81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480" w:type="dxa"/>
            <w:tcBorders>
              <w:top w:val="single" w:color="000000" w:sz="4" w:space="0"/>
              <w:left w:val="single" w:color="000000" w:sz="4" w:space="0"/>
              <w:bottom w:val="single" w:color="000000" w:sz="4" w:space="0"/>
              <w:right w:val="single" w:color="000000" w:sz="4" w:space="0"/>
            </w:tcBorders>
            <w:noWrap w:val="0"/>
            <w:vAlign w:val="center"/>
          </w:tcPr>
          <w:p w14:paraId="54027B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2287" w:type="dxa"/>
            <w:tcBorders>
              <w:top w:val="single" w:color="000000" w:sz="4" w:space="0"/>
              <w:left w:val="single" w:color="000000" w:sz="4" w:space="0"/>
              <w:bottom w:val="single" w:color="000000" w:sz="4" w:space="0"/>
              <w:right w:val="single" w:color="000000" w:sz="4" w:space="0"/>
            </w:tcBorders>
            <w:noWrap w:val="0"/>
            <w:vAlign w:val="center"/>
          </w:tcPr>
          <w:p w14:paraId="685392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475E8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6"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680D35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699" w:type="dxa"/>
            <w:tcBorders>
              <w:top w:val="single" w:color="000000" w:sz="4" w:space="0"/>
              <w:left w:val="single" w:color="000000" w:sz="4" w:space="0"/>
              <w:bottom w:val="single" w:color="000000" w:sz="4" w:space="0"/>
              <w:right w:val="single" w:color="000000" w:sz="4" w:space="0"/>
            </w:tcBorders>
            <w:noWrap w:val="0"/>
            <w:vAlign w:val="center"/>
          </w:tcPr>
          <w:p w14:paraId="683062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柜体箱</w:t>
            </w:r>
          </w:p>
        </w:tc>
        <w:tc>
          <w:tcPr>
            <w:tcW w:w="5308" w:type="dxa"/>
            <w:tcBorders>
              <w:top w:val="single" w:color="000000" w:sz="4" w:space="0"/>
              <w:left w:val="single" w:color="000000" w:sz="4" w:space="0"/>
              <w:bottom w:val="single" w:color="000000" w:sz="4" w:space="0"/>
              <w:right w:val="single" w:color="000000" w:sz="4" w:space="0"/>
            </w:tcBorders>
            <w:noWrap w:val="0"/>
            <w:vAlign w:val="center"/>
          </w:tcPr>
          <w:p w14:paraId="7DFFB6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1、宽380mm深220mm高730mm，壁厚3.0mm，采用环保型ABS工程塑料一次性注塑成型。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2、符合GB 28481-2012 塑料家具中有害物质限量要求。</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490C44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c>
          <w:tcPr>
            <w:tcW w:w="480" w:type="dxa"/>
            <w:tcBorders>
              <w:top w:val="single" w:color="000000" w:sz="4" w:space="0"/>
              <w:left w:val="single" w:color="000000" w:sz="4" w:space="0"/>
              <w:bottom w:val="single" w:color="000000" w:sz="4" w:space="0"/>
              <w:right w:val="single" w:color="000000" w:sz="4" w:space="0"/>
            </w:tcBorders>
            <w:noWrap w:val="0"/>
            <w:vAlign w:val="center"/>
          </w:tcPr>
          <w:p w14:paraId="240D82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2287" w:type="dxa"/>
            <w:tcBorders>
              <w:top w:val="single" w:color="000000" w:sz="4" w:space="0"/>
              <w:left w:val="single" w:color="000000" w:sz="4" w:space="0"/>
              <w:bottom w:val="single" w:color="000000" w:sz="4" w:space="0"/>
              <w:right w:val="single" w:color="000000" w:sz="4" w:space="0"/>
            </w:tcBorders>
            <w:noWrap w:val="0"/>
            <w:vAlign w:val="center"/>
          </w:tcPr>
          <w:p w14:paraId="7BFEB6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65E6B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8"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0D6CDA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699" w:type="dxa"/>
            <w:tcBorders>
              <w:top w:val="single" w:color="000000" w:sz="4" w:space="0"/>
              <w:left w:val="single" w:color="000000" w:sz="4" w:space="0"/>
              <w:bottom w:val="single" w:color="000000" w:sz="4" w:space="0"/>
              <w:right w:val="single" w:color="000000" w:sz="4" w:space="0"/>
            </w:tcBorders>
            <w:noWrap w:val="0"/>
            <w:vAlign w:val="center"/>
          </w:tcPr>
          <w:p w14:paraId="3115F9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学生电源</w:t>
            </w:r>
          </w:p>
        </w:tc>
        <w:tc>
          <w:tcPr>
            <w:tcW w:w="5308" w:type="dxa"/>
            <w:tcBorders>
              <w:top w:val="single" w:color="000000" w:sz="4" w:space="0"/>
              <w:left w:val="single" w:color="000000" w:sz="4" w:space="0"/>
              <w:bottom w:val="single" w:color="000000" w:sz="4" w:space="0"/>
              <w:right w:val="single" w:color="000000" w:sz="4" w:space="0"/>
            </w:tcBorders>
            <w:noWrap w:val="0"/>
            <w:vAlign w:val="center"/>
          </w:tcPr>
          <w:p w14:paraId="7853E7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学生电源：桌斗中间位置固定学生电源盒：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1、每个学生电源应自带一个独立变压器，既能独立操作，也能被教师控制。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2、通过教师数字化键盘控制学生电源低压交流电压值和直流电压值，分别显示交直流电压值。学生操控时伴有按键提示音。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3、学生电源的低压交流电压分两档，即1V-18V/2A、18V-30V/1A，分辨率1V，具备自动智能侦测过载保护功能，电流高于过载保护点则自动保护、电流低于过载保护点则自动恢复至设定值。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4、学生电源的低压直流电压分两档，即1.5V-16V/2A、16V-30V/1A，分辨率为0.1V。具备自动智能侦测过载保护功能，电流高于过载保护点则自动保护、电流低于过载保护点则自动恢复至设定值。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5、学生电源被教师控制及锁定后不能自主操作。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6、具备1个220V交流电源输出插座。可通过教师单独控制其电源的输出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7、过载保护采用蜂鸣器报警提示功能。可按任意键复位。</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7723CF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noWrap w:val="0"/>
            <w:vAlign w:val="center"/>
          </w:tcPr>
          <w:p w14:paraId="1EBDDE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2287" w:type="dxa"/>
            <w:tcBorders>
              <w:top w:val="single" w:color="000000" w:sz="4" w:space="0"/>
              <w:left w:val="single" w:color="000000" w:sz="4" w:space="0"/>
              <w:bottom w:val="single" w:color="000000" w:sz="4" w:space="0"/>
              <w:right w:val="single" w:color="000000" w:sz="4" w:space="0"/>
            </w:tcBorders>
            <w:noWrap w:val="0"/>
            <w:vAlign w:val="center"/>
          </w:tcPr>
          <w:p w14:paraId="35B421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1E4C6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6"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68B194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99" w:type="dxa"/>
            <w:tcBorders>
              <w:top w:val="single" w:color="000000" w:sz="4" w:space="0"/>
              <w:left w:val="single" w:color="000000" w:sz="4" w:space="0"/>
              <w:bottom w:val="single" w:color="000000" w:sz="4" w:space="0"/>
              <w:right w:val="single" w:color="000000" w:sz="4" w:space="0"/>
            </w:tcBorders>
            <w:noWrap w:val="0"/>
            <w:vAlign w:val="center"/>
          </w:tcPr>
          <w:p w14:paraId="0932A6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学生凳</w:t>
            </w:r>
          </w:p>
        </w:tc>
        <w:tc>
          <w:tcPr>
            <w:tcW w:w="5308" w:type="dxa"/>
            <w:tcBorders>
              <w:top w:val="single" w:color="000000" w:sz="4" w:space="0"/>
              <w:left w:val="single" w:color="000000" w:sz="4" w:space="0"/>
              <w:bottom w:val="single" w:color="000000" w:sz="4" w:space="0"/>
              <w:right w:val="single" w:color="000000" w:sz="4" w:space="0"/>
            </w:tcBorders>
            <w:noWrap w:val="0"/>
            <w:vAlign w:val="center"/>
          </w:tcPr>
          <w:p w14:paraId="144EE1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1、规格：φ300×（450）500mm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2、凳面：ф300mm×厚30mm，采用环保型ABS改性塑料一次性注塑成型，表面细纹咬花，防滑不发光。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3、钢架：17×34×1.5mm，椭圆形无缝钢管，全圆满焊接完成，结构牢固，经高温粉体烤漆处理，长时间使用也不会产生表面烤漆剥落现象。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4、脚垫：采用PP加耐磨纤维质塑料，实心倒勾式一体射出成型。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5、升降：高度可在450mm-500mm范围内自由调整。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6、学生凳技术要求满足：GB/T 3325-2017《金属家具通用技术条件》。</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7A282E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480" w:type="dxa"/>
            <w:tcBorders>
              <w:top w:val="single" w:color="000000" w:sz="4" w:space="0"/>
              <w:left w:val="single" w:color="000000" w:sz="4" w:space="0"/>
              <w:bottom w:val="single" w:color="000000" w:sz="4" w:space="0"/>
              <w:right w:val="single" w:color="000000" w:sz="4" w:space="0"/>
            </w:tcBorders>
            <w:noWrap w:val="0"/>
            <w:vAlign w:val="center"/>
          </w:tcPr>
          <w:p w14:paraId="519FD0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2287" w:type="dxa"/>
            <w:tcBorders>
              <w:top w:val="single" w:color="000000" w:sz="4" w:space="0"/>
              <w:left w:val="single" w:color="000000" w:sz="4" w:space="0"/>
              <w:bottom w:val="single" w:color="000000" w:sz="4" w:space="0"/>
              <w:right w:val="single" w:color="000000" w:sz="4" w:space="0"/>
            </w:tcBorders>
            <w:noWrap w:val="0"/>
            <w:vAlign w:val="center"/>
          </w:tcPr>
          <w:p w14:paraId="48B1AB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1A9A0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5"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6D18A1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699" w:type="dxa"/>
            <w:tcBorders>
              <w:top w:val="single" w:color="000000" w:sz="4" w:space="0"/>
              <w:left w:val="single" w:color="000000" w:sz="4" w:space="0"/>
              <w:bottom w:val="single" w:color="000000" w:sz="4" w:space="0"/>
              <w:right w:val="single" w:color="000000" w:sz="4" w:space="0"/>
            </w:tcBorders>
            <w:noWrap w:val="0"/>
            <w:vAlign w:val="center"/>
          </w:tcPr>
          <w:p w14:paraId="3EB7BB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水槽柜</w:t>
            </w:r>
          </w:p>
        </w:tc>
        <w:tc>
          <w:tcPr>
            <w:tcW w:w="5308" w:type="dxa"/>
            <w:tcBorders>
              <w:top w:val="single" w:color="000000" w:sz="4" w:space="0"/>
              <w:left w:val="single" w:color="000000" w:sz="4" w:space="0"/>
              <w:bottom w:val="single" w:color="000000" w:sz="4" w:space="0"/>
              <w:right w:val="single" w:color="000000" w:sz="4" w:space="0"/>
            </w:tcBorders>
            <w:noWrap w:val="0"/>
            <w:vAlign w:val="center"/>
          </w:tcPr>
          <w:p w14:paraId="5DCE50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1、规格：500×600×820mm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2、材质：整体采用环保型ABS工程塑料一次性注塑成型，表面木纹与光面项结合处理。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3、结构：榫卯连接结构并合理布局加强筋，安装时不用胶水粘结，不用任何金属螺丝，使用产品自身力量相互连接，产品不变形，不扭曲。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4、门板：合页采用尼龙塑料铰链，高强度耐磨，防水、永不生锈。门板与侧板并安装有防盗插销，防止从外部撬开柜门。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5、锁具：前后门均带锁、内嵌式塑料扣手。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6、水槽：外径规格：500×600×400mm，水槽采用环保型PP材料一次性注塑成型，耐强酸碱、耐有机溶剂、耐高温，壁厚6mm，具有防溢出功能。</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29EBFB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noWrap w:val="0"/>
            <w:vAlign w:val="center"/>
          </w:tcPr>
          <w:p w14:paraId="4847B9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87" w:type="dxa"/>
            <w:tcBorders>
              <w:top w:val="single" w:color="000000" w:sz="4" w:space="0"/>
              <w:left w:val="single" w:color="000000" w:sz="4" w:space="0"/>
              <w:bottom w:val="single" w:color="000000" w:sz="4" w:space="0"/>
              <w:right w:val="single" w:color="000000" w:sz="4" w:space="0"/>
            </w:tcBorders>
            <w:noWrap w:val="0"/>
            <w:vAlign w:val="center"/>
          </w:tcPr>
          <w:p w14:paraId="47FC16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12391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6"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678FB7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699" w:type="dxa"/>
            <w:tcBorders>
              <w:top w:val="single" w:color="000000" w:sz="4" w:space="0"/>
              <w:left w:val="single" w:color="000000" w:sz="4" w:space="0"/>
              <w:bottom w:val="single" w:color="000000" w:sz="4" w:space="0"/>
              <w:right w:val="single" w:color="000000" w:sz="4" w:space="0"/>
            </w:tcBorders>
            <w:noWrap w:val="0"/>
            <w:vAlign w:val="center"/>
          </w:tcPr>
          <w:p w14:paraId="0A5FE6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水嘴</w:t>
            </w:r>
          </w:p>
        </w:tc>
        <w:tc>
          <w:tcPr>
            <w:tcW w:w="5308" w:type="dxa"/>
            <w:tcBorders>
              <w:top w:val="single" w:color="000000" w:sz="4" w:space="0"/>
              <w:left w:val="single" w:color="000000" w:sz="4" w:space="0"/>
              <w:bottom w:val="single" w:color="000000" w:sz="4" w:space="0"/>
              <w:right w:val="single" w:color="000000" w:sz="4" w:space="0"/>
            </w:tcBorders>
            <w:noWrap w:val="0"/>
            <w:vAlign w:val="center"/>
          </w:tcPr>
          <w:p w14:paraId="190969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采用实验室专用三联水嘴，陶瓷阀芯90°旋转，铜质表面烤漆处理，增强耐酸碱防腐蚀以及防锈性能，特制鹅颈管可360度旋转。</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1C9E71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noWrap w:val="0"/>
            <w:vAlign w:val="center"/>
          </w:tcPr>
          <w:p w14:paraId="40024E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87" w:type="dxa"/>
            <w:tcBorders>
              <w:top w:val="single" w:color="000000" w:sz="4" w:space="0"/>
              <w:left w:val="single" w:color="000000" w:sz="4" w:space="0"/>
              <w:bottom w:val="single" w:color="000000" w:sz="4" w:space="0"/>
              <w:right w:val="single" w:color="000000" w:sz="4" w:space="0"/>
            </w:tcBorders>
            <w:noWrap w:val="0"/>
            <w:vAlign w:val="center"/>
          </w:tcPr>
          <w:p w14:paraId="099B37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4C748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3"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F675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40FB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LED生物台灯</w:t>
            </w:r>
          </w:p>
        </w:tc>
        <w:tc>
          <w:tcPr>
            <w:tcW w:w="53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5B31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1.功率：5W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2.电压：AC86V-AC220V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3.尺寸：400×180mm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4.材质：优质不锈钢材+亚克力</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5.灯珠：LED2835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6.发光颜色：正白光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7.投射角度：180度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8.环境温度：-30-60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9.产品特点：绿色节能 安装简易 性能稳定 使用寿命长。</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312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6C1C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22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AEB50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p>
        </w:tc>
      </w:tr>
      <w:tr w14:paraId="382A6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2" w:hRule="atLeast"/>
        </w:trPr>
        <w:tc>
          <w:tcPr>
            <w:tcW w:w="9640"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835D5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装修部分</w:t>
            </w:r>
          </w:p>
        </w:tc>
      </w:tr>
      <w:tr w14:paraId="7143D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9"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225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52D8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布线系统（地下部分）</w:t>
            </w:r>
          </w:p>
        </w:tc>
        <w:tc>
          <w:tcPr>
            <w:tcW w:w="53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BBA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线2.5平方、4平方、6平方插排、PVC管、网线、空气开关、网络接口Rosenberger超五类模块；开槽暗敷，电线连接部分采用焊接方式防水胶布2层，绝缘胶布2层，加以保护，配电采用铝塑管护套,内穿BV塑铜线，多媒体产品安装、调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214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000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2886DF">
            <w:pPr>
              <w:jc w:val="center"/>
              <w:rPr>
                <w:rFonts w:hint="eastAsia" w:ascii="宋体" w:hAnsi="宋体" w:eastAsia="宋体" w:cs="宋体"/>
                <w:i w:val="0"/>
                <w:iCs w:val="0"/>
                <w:color w:val="000000"/>
                <w:sz w:val="18"/>
                <w:szCs w:val="18"/>
                <w:u w:val="none"/>
              </w:rPr>
            </w:pPr>
          </w:p>
        </w:tc>
      </w:tr>
      <w:tr w14:paraId="5CCA6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EC3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86B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给排水系统（地下部分）</w:t>
            </w:r>
          </w:p>
        </w:tc>
        <w:tc>
          <w:tcPr>
            <w:tcW w:w="53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3DD7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给水采用φ25㎜优质PPR(国标)管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排水采用φ50㎜优质PVC(国标)管，暗敷，安装调试（含辅料及耗材）。符合安全用水要求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AFC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D051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1BBEF6">
            <w:pPr>
              <w:jc w:val="center"/>
              <w:rPr>
                <w:rFonts w:hint="eastAsia" w:ascii="宋体" w:hAnsi="宋体" w:eastAsia="宋体" w:cs="宋体"/>
                <w:i w:val="0"/>
                <w:iCs w:val="0"/>
                <w:color w:val="000000"/>
                <w:sz w:val="18"/>
                <w:szCs w:val="18"/>
                <w:u w:val="none"/>
              </w:rPr>
            </w:pPr>
          </w:p>
        </w:tc>
      </w:tr>
      <w:tr w14:paraId="35806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7A72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E82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灯具</w:t>
            </w:r>
          </w:p>
        </w:tc>
        <w:tc>
          <w:tcPr>
            <w:tcW w:w="53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3AB3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LED教室灯尺寸长宽600*600±5mm；为一体式侧发光微晶防眩面板灯，棱锥体光学结构设计，微晶结构长短轴尺寸比值≥2，采用高性能光学板材辊压成型；至少有3种光学材料组成，包含反射纸、导光板、微晶防眩板等，采用侧发光的出光方式，灯体表面发光均匀，无暗影。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LED教室灯光源模组采用铝基板，导入胶带均匀的固定在灯体上，使灯条和散热体大面积接触；灯体上至少有4个防掉落挂钩，安装好后可挂在吊架上，保证安全无掉落风险。光源使用双蓝光光谱，有效减少蓝光危害。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3、LED教室灯驱动电源需为隔离型恒流驱动，电源有外壳并可靠固定。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4、LED教室灯功率＜45W。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5、LED教室灯光效（或灯具效能）≥80 lm/W。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6、LED教室灯色温（或相关色温）4300K-5300K。</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7、LED教室灯显色指数Ra＞90、R9＞50。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8、LED教室灯色容差（色品容差）≤5 SDCM。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9、LED教室灯通过人体电磁辐射测试。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10、LED教室灯蓝光危害等级为RG0（或0类危险）。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11、LED教室灯频闪无危害或无显著影响或无频闪危害。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12、LED教室灯至少依据《GB/T 26572》标准通过电器电子产品认证。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★13、LED教室灯选用足够数量小功率LED灯珠，灯珠实际使用功率不宜超过额定功率的50%，以提高其发光效率和降低灯具光衰，且LED教室灯须通过CCC认证。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14、LED教室灯在大气压力≥100kPa，平均湿度≥50%RH、极值空气温度≤-20℃及相对温差≥33℃的实地自然环境条件下至少持续运行400小时，至少依据《GB/T9468》标准满足光通量的实测值与初始值的偏差不超过-10%。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15、LED教室灯在大气压力≥100kPa，平均湿度≥50%RH、极值空气温度≤-20℃及相对温差≥33℃的实地自然环境条件下至少持续运行400小时，至少依据《GB/T36979》满足空间颜色非均匀性△u’v’≤0.007。</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LED教室灯在大气压力≥100kPa，平均湿度≥50%RH、极值空气温度≤-20℃及相对温差≥33℃的实地自然环境条件下至少持续运行400小时，至少依据《GB/T9468》标准满足光束角C0-C180及C90-C270的实测值与初始值偏差均不超过±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17、LED教室灯在大气压力≥100kPa，平均湿度≥50%RH、极值空气温度≤-20℃及相对温差≥33℃的实地自然环境条件下至少持续运行400小时，至少依据《GB/T 18595》标准满足浪涌性能达到C或以上等级。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18、LED教室灯在大气压力≥100kPa，平均湿度≥50%RH、极值空气温度≤-20℃及相对温差≥33℃的实地自然环境条件下至少持续运行400小时，至少依据《GB/T6882》标准满足噪声＜17dB（A）。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19、LED教室灯依据《GB40070》标准并符合《CQC16-465145-2021》认证规则通过近视防控认证。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备注：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▲序号1至序号3投标人须提供相关佐证材料，包含但不限于产品彩页或技术参数确认函。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序号9投标人须提供第三方检测机构出具的封面带有CMA及CNAS标志的检测报告及检测报告编号在全国认证认可信息公共服务平台的查询证明复印件，同时提供报告所引用检测标准依据在中国合格评定国家认可委员会官网查询的能力范围证明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序号10至序号19投标人须提供第三方认证机构出具的认证证书及全国认证认可信息公共服务平台证书状态为“有效”查询证明复印件（证书与查询证明文件上均须同时体现产品型号及认证标准；若有要求实地自然环境条件的，证书上须体现“实地验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1D2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38C1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22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2B113B">
            <w:pPr>
              <w:jc w:val="center"/>
              <w:rPr>
                <w:rFonts w:hint="eastAsia" w:ascii="宋体" w:hAnsi="宋体" w:eastAsia="宋体" w:cs="宋体"/>
                <w:i w:val="0"/>
                <w:iCs w:val="0"/>
                <w:color w:val="000000"/>
                <w:sz w:val="18"/>
                <w:szCs w:val="18"/>
                <w:u w:val="none"/>
              </w:rPr>
            </w:pPr>
          </w:p>
        </w:tc>
      </w:tr>
      <w:tr w14:paraId="5BACF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7"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3C2A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8AB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文化窗帘</w:t>
            </w:r>
          </w:p>
        </w:tc>
        <w:tc>
          <w:tcPr>
            <w:tcW w:w="53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362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文化窗帘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E41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3E6D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45052C">
            <w:pPr>
              <w:jc w:val="center"/>
              <w:rPr>
                <w:rFonts w:hint="eastAsia" w:ascii="宋体" w:hAnsi="宋体" w:eastAsia="宋体" w:cs="宋体"/>
                <w:i w:val="0"/>
                <w:iCs w:val="0"/>
                <w:color w:val="000000"/>
                <w:sz w:val="18"/>
                <w:szCs w:val="18"/>
                <w:u w:val="none"/>
              </w:rPr>
            </w:pPr>
          </w:p>
        </w:tc>
      </w:tr>
    </w:tbl>
    <w:p w14:paraId="0AEA0DBA">
      <w:pPr>
        <w:rPr>
          <w:rFonts w:hint="eastAsia" w:ascii="宋体" w:hAnsi="宋体" w:eastAsia="宋体" w:cs="宋体"/>
          <w:sz w:val="18"/>
          <w:szCs w:val="18"/>
        </w:rPr>
      </w:pPr>
    </w:p>
    <w:tbl>
      <w:tblPr>
        <w:tblStyle w:val="2"/>
        <w:tblW w:w="87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05"/>
        <w:gridCol w:w="1125"/>
        <w:gridCol w:w="5440"/>
        <w:gridCol w:w="700"/>
        <w:gridCol w:w="800"/>
      </w:tblGrid>
      <w:tr w14:paraId="2B60B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770" w:type="dxa"/>
            <w:gridSpan w:val="5"/>
            <w:tcBorders>
              <w:top w:val="single" w:color="000000" w:sz="4" w:space="0"/>
              <w:left w:val="single" w:color="000000" w:sz="4" w:space="0"/>
              <w:bottom w:val="single" w:color="000000" w:sz="4" w:space="0"/>
              <w:right w:val="nil"/>
            </w:tcBorders>
            <w:noWrap/>
            <w:vAlign w:val="center"/>
          </w:tcPr>
          <w:p w14:paraId="77AFA85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生物新课标实验目录专题实验箱配置清单（单室配置）</w:t>
            </w:r>
          </w:p>
        </w:tc>
      </w:tr>
      <w:tr w14:paraId="16AB7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8770" w:type="dxa"/>
            <w:gridSpan w:val="5"/>
            <w:tcBorders>
              <w:top w:val="single" w:color="000000" w:sz="4" w:space="0"/>
              <w:left w:val="single" w:color="000000" w:sz="4" w:space="0"/>
              <w:bottom w:val="single" w:color="000000" w:sz="4" w:space="0"/>
              <w:right w:val="single" w:color="000000" w:sz="4" w:space="0"/>
            </w:tcBorders>
            <w:noWrap w:val="0"/>
            <w:vAlign w:val="center"/>
          </w:tcPr>
          <w:p w14:paraId="5642FDF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     根据学校实际需求，现按56名学生4人一组计14组，加教师1组共计5组配置。</w:t>
            </w:r>
          </w:p>
        </w:tc>
      </w:tr>
      <w:tr w14:paraId="5FACB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14:paraId="40D43F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编号</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17F88B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名称</w:t>
            </w:r>
          </w:p>
        </w:tc>
        <w:tc>
          <w:tcPr>
            <w:tcW w:w="5440" w:type="dxa"/>
            <w:tcBorders>
              <w:top w:val="single" w:color="000000" w:sz="4" w:space="0"/>
              <w:left w:val="single" w:color="000000" w:sz="4" w:space="0"/>
              <w:bottom w:val="single" w:color="000000" w:sz="4" w:space="0"/>
              <w:right w:val="single" w:color="000000" w:sz="4" w:space="0"/>
            </w:tcBorders>
            <w:noWrap w:val="0"/>
            <w:vAlign w:val="center"/>
          </w:tcPr>
          <w:p w14:paraId="446E64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技术参数</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0D5E52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6B7C7D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r>
      <w:tr w14:paraId="7BBAE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14:paraId="4FA54C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453259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高中生物配套仪器实验箱</w:t>
            </w:r>
          </w:p>
        </w:tc>
        <w:tc>
          <w:tcPr>
            <w:tcW w:w="5440" w:type="dxa"/>
            <w:tcBorders>
              <w:top w:val="single" w:color="000000" w:sz="4" w:space="0"/>
              <w:left w:val="single" w:color="000000" w:sz="4" w:space="0"/>
              <w:bottom w:val="single" w:color="000000" w:sz="4" w:space="0"/>
              <w:right w:val="single" w:color="000000" w:sz="4" w:space="0"/>
            </w:tcBorders>
            <w:noWrap w:val="0"/>
            <w:vAlign w:val="center"/>
          </w:tcPr>
          <w:p w14:paraId="6F5C19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3、底部滑轮，便携把手，一体式顶盖。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二、主要配置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铁架台底座、老板头、支撑杆、支撑杆（一分为二）、四爪夹、滤纸、高精度迷你电子秤、酒精灯、火柴、陶土网、三脚架、试管架、试管夹、试管刷、标签纸、记号笔、护目镜、称量纸、铁圈、升降台。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三、本箱为高中化学、生物专题箱系列提供通用的工具。辅助其他箱完成实验。</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7C0CEE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5170BB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68053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14:paraId="40D5C0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5E4BFA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高中生物细胞及其分裂分化、生物遗传变异实验箱</w:t>
            </w:r>
          </w:p>
        </w:tc>
        <w:tc>
          <w:tcPr>
            <w:tcW w:w="5440" w:type="dxa"/>
            <w:tcBorders>
              <w:top w:val="single" w:color="000000" w:sz="4" w:space="0"/>
              <w:left w:val="single" w:color="000000" w:sz="4" w:space="0"/>
              <w:bottom w:val="single" w:color="000000" w:sz="4" w:space="0"/>
              <w:right w:val="single" w:color="000000" w:sz="4" w:space="0"/>
            </w:tcBorders>
            <w:noWrap w:val="0"/>
            <w:vAlign w:val="center"/>
          </w:tcPr>
          <w:p w14:paraId="74E554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3、底部滑轮，便携把手，一体式顶盖。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二、主要配置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载玻片，盖玻片，烧杯（50ml），烧杯（150ml），胶头滴管，量筒（5ml），试管，培养皿，镊子，刀片，牙签，擦镜纸，高中生物切片，剪刀，解剖针，秒表，细铁丝，吸水纸，双头药匙，玻璃棒，彩纸，DNA双螺旋结构模型组件，橡皮泥，小刀，包裹中药丸球形蜡质盒，硬质泡沫塑料，电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1、使用高倍显微镜观察几种细胞</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2、检测生物组织中的糖类、脂肪和蛋白质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3、观察根尖分生区组织细胞的有丝分裂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4、观察蝗虫精母细胞减数分裂装片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5、观察植物细胞的减数分裂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6、建立减数分裂中染色体变化的模型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7、制作DNA双螺旋结构模型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8、制作生物膜结构模型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9、鉴定淀粉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10、低温诱导植物细胞染色数目的变化</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52BCB8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0A10B7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4588B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14:paraId="46DC07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1E7AC7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高中生物细胞结构与功能实验箱</w:t>
            </w:r>
          </w:p>
        </w:tc>
        <w:tc>
          <w:tcPr>
            <w:tcW w:w="5440" w:type="dxa"/>
            <w:tcBorders>
              <w:top w:val="single" w:color="000000" w:sz="4" w:space="0"/>
              <w:left w:val="single" w:color="000000" w:sz="4" w:space="0"/>
              <w:bottom w:val="single" w:color="000000" w:sz="4" w:space="0"/>
              <w:right w:val="single" w:color="000000" w:sz="4" w:space="0"/>
            </w:tcBorders>
            <w:noWrap w:val="0"/>
            <w:vAlign w:val="center"/>
          </w:tcPr>
          <w:p w14:paraId="408832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3、底部滑轮，便携把手，一体式顶盖。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二、主要配置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载玻片，盖玻片，培养皿，烧杯（50ml），烧杯（250ml），长颈漏斗，胶头滴管，镊子，双面刀片，剪刀，小刀，擦镜纸，吸水纸，棉线，橡皮筋，半透膜，橡皮泥。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1、用高倍显微镜观察叶绿体和细胞介质的流动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2、尝试制作真核细胞的三维结构模型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3、通过模拟实验探究膜的透性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4、观察植物细胞的质壁分离和复原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5、探究植物细胞的吸水和失水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6、研究植物组织的渗透作用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7、渗透现象</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258769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3E1FBC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71DB5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14:paraId="66DFC4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4C7783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高中生物细胞的能量供应和利用（一）实验箱</w:t>
            </w:r>
          </w:p>
        </w:tc>
        <w:tc>
          <w:tcPr>
            <w:tcW w:w="5440" w:type="dxa"/>
            <w:tcBorders>
              <w:top w:val="single" w:color="000000" w:sz="4" w:space="0"/>
              <w:left w:val="single" w:color="000000" w:sz="4" w:space="0"/>
              <w:bottom w:val="single" w:color="000000" w:sz="4" w:space="0"/>
              <w:right w:val="single" w:color="000000" w:sz="4" w:space="0"/>
            </w:tcBorders>
            <w:noWrap w:val="0"/>
            <w:vAlign w:val="center"/>
          </w:tcPr>
          <w:p w14:paraId="2BABB8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3、底部滑轮，便携把手，一体式顶盖。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二、主要配置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玻璃棒，温度计，烧杯（50ml），烧杯（150ml），锥形瓶（250ml），棕色试剂瓶，棕色滴瓶，胶头滴管，量筒（100ml），量筒（5ml），试管，长颈漏斗。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1、影响酶活性的条件（温度对酶活性的影响)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2、影响酶活性的条件（pH对酶活性的影响)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3、探究酵母菌细胞呼吸的方式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4、绿叶中色素的提取和分离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5、探究环境因素对光合作用强度的影响（探究光照强度对光合作用的影响）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6、模拟植物或动物性状分离的杂交实验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7、二氧化碳浓度对光合作用的影响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8、动物呼吸会产生CO2和能量吗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9、比较过氧化氢在不同条件下的分解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10、淀粉酶对淀粉和蔗糖的水解作用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11、加酶洗衣粉的去污能力</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12、调查一种常见的人类遗传病并探讨其预防措施</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5E29CA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099E10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6FACA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14:paraId="6DDD3B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6B609C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高中生物细胞的能量供应和利用（二）实验箱</w:t>
            </w:r>
          </w:p>
        </w:tc>
        <w:tc>
          <w:tcPr>
            <w:tcW w:w="5440" w:type="dxa"/>
            <w:tcBorders>
              <w:top w:val="single" w:color="000000" w:sz="4" w:space="0"/>
              <w:left w:val="single" w:color="000000" w:sz="4" w:space="0"/>
              <w:bottom w:val="single" w:color="000000" w:sz="4" w:space="0"/>
              <w:right w:val="single" w:color="000000" w:sz="4" w:space="0"/>
            </w:tcBorders>
            <w:noWrap w:val="0"/>
            <w:vAlign w:val="center"/>
          </w:tcPr>
          <w:p w14:paraId="48B4AE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3、底部滑轮，便携把手，一体式顶盖。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二、主要配置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双头药匙，乳胶管，直角弯管，单孔橡胶塞，双孔橡胶塞，秒表，酵母菌，研钵和研杵，二氧化硅药品瓶，碳酸钙药品瓶，点样毛细管，钢尺，铅笔，打孔器，注射器（10ml），遮光布，黑纸片，曲别针，镊子，卫生香，PH试纸，小刀，围棋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1、影响酶活性的条件（温度对酶活性的影响)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2、影响酶活性的条件（pH对酶活性的影响)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3、探究酵母菌细胞呼吸的方式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4、绿叶中色素的提取和分离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5、探究环境因素对光合作用强度的影响（探究光照强度对光合作用的影响）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6、模拟植物或动物性状分离的杂交实验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7、二氧化碳浓度对光合作用的影响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8、动物呼吸会产生CO2和能量吗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9、比较过氧化氢在不同条件下的分解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10、淀粉酶对淀粉和蔗糖的水解作用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11、加酶洗衣粉的去污能力</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12、性状分离比的模拟实验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13、调查一种常见的人类遗传病并探讨其预防措施</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61E969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41262C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66398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14:paraId="0EAFD2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3BC898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高中生物人体的内环境、稳态和调节实验箱</w:t>
            </w:r>
          </w:p>
        </w:tc>
        <w:tc>
          <w:tcPr>
            <w:tcW w:w="5440" w:type="dxa"/>
            <w:tcBorders>
              <w:top w:val="single" w:color="000000" w:sz="4" w:space="0"/>
              <w:left w:val="single" w:color="000000" w:sz="4" w:space="0"/>
              <w:bottom w:val="single" w:color="000000" w:sz="4" w:space="0"/>
              <w:right w:val="single" w:color="000000" w:sz="4" w:space="0"/>
            </w:tcBorders>
            <w:noWrap w:val="0"/>
            <w:vAlign w:val="center"/>
          </w:tcPr>
          <w:p w14:paraId="66367A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3、底部滑轮，便携把手，一体式顶盖。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二、主要配置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橡胶手套，烧杯（50ml），白色滴瓶（30ml），量筒（50ml），玻璃棒，PH试纸，双头药匙，氢氧化钠药品瓶。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三、可完成实验：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1、模拟生物体维持pH的稳定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2、膝跳反射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3、用数学方法模拟自然选择对种群基因频率的影响</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4587C7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0F4F60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3BC0B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14:paraId="7C6E72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346D18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高中生物植物生命活动的调节实验箱</w:t>
            </w:r>
          </w:p>
        </w:tc>
        <w:tc>
          <w:tcPr>
            <w:tcW w:w="5440" w:type="dxa"/>
            <w:tcBorders>
              <w:top w:val="single" w:color="000000" w:sz="4" w:space="0"/>
              <w:left w:val="single" w:color="000000" w:sz="4" w:space="0"/>
              <w:bottom w:val="single" w:color="000000" w:sz="4" w:space="0"/>
              <w:right w:val="single" w:color="000000" w:sz="4" w:space="0"/>
            </w:tcBorders>
            <w:noWrap w:val="0"/>
            <w:vAlign w:val="center"/>
          </w:tcPr>
          <w:p w14:paraId="6DC366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3、底部滑轮，便携把手，一体式顶盖。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二、主要配置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小刀，玻璃棒，烧杯（50ml），试管，量筒（50ml），量筒（5ml），容量瓶（100ml），试剂瓶，药品瓶，喷壶，双头药匙，剪刀，钢尺，自封袋。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1、探究生长素类调节剂促进插条的应用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2、尝试利用乙烯催熟水果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3、观察血液分层现象</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4443DA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6244E8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1E1C1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14:paraId="3BB1F5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1EF16B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高中生物种群、群落和生态系统实验箱</w:t>
            </w:r>
          </w:p>
        </w:tc>
        <w:tc>
          <w:tcPr>
            <w:tcW w:w="5440" w:type="dxa"/>
            <w:tcBorders>
              <w:top w:val="single" w:color="000000" w:sz="4" w:space="0"/>
              <w:left w:val="single" w:color="000000" w:sz="4" w:space="0"/>
              <w:bottom w:val="single" w:color="000000" w:sz="4" w:space="0"/>
              <w:right w:val="single" w:color="000000" w:sz="4" w:space="0"/>
            </w:tcBorders>
            <w:noWrap w:val="0"/>
            <w:vAlign w:val="center"/>
          </w:tcPr>
          <w:p w14:paraId="2594F6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3、底部滑轮，便携把手，一体式顶盖。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二、主要配置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血细胞计数板，烧杯（50ml），锥形瓶（100ml），白色滴瓶，试剂瓶，量筒（50ml），培养皿，玻璃棒，温度计，铂丝棒，钢尺，剪刀，镊子，橡皮筋，PE封口膜，擦镜纸，打孔器，涂布器。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1、培养液中酵母菌种群数量变化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2、设计制作生态缸，观察其稳定性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3、探究抗生素对细菌的选择作用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4、探究土壤微生物的分解作用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5、调查草地中某种双子叶植物的种群的密度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6、研究土壤中小动物类群的丰富度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7、调查某个附近生态系统中的能量流动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8、调查当地环境存在的主要问题并提出保护建议或行动计划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9、参观人工生态系统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10、观察生物菌落的变化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11、植物生长受非生物因素的影响</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29C1C2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3457F4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293CC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14:paraId="2E0896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627540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高中生物发酵工程实验箱</w:t>
            </w:r>
          </w:p>
        </w:tc>
        <w:tc>
          <w:tcPr>
            <w:tcW w:w="5440" w:type="dxa"/>
            <w:tcBorders>
              <w:top w:val="single" w:color="000000" w:sz="4" w:space="0"/>
              <w:left w:val="single" w:color="000000" w:sz="4" w:space="0"/>
              <w:bottom w:val="single" w:color="000000" w:sz="4" w:space="0"/>
              <w:right w:val="single" w:color="000000" w:sz="4" w:space="0"/>
            </w:tcBorders>
            <w:noWrap w:val="0"/>
            <w:vAlign w:val="center"/>
          </w:tcPr>
          <w:p w14:paraId="01358C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3、底部滑轮，便携把手，一体式顶盖。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二、主要配置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烧杯（500ml），烧杯（250ml），锥形瓶（250ml），白色滴瓶，试剂瓶，胶头滴管，试管，培养皿，玻璃棒，温度计，纱布，秒表，PH试纸，医用棉球，橡皮筋，橡胶塞，铂丝棒，接种环，涂布器，牛皮纸，泡菜坛，离心管（10m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1、制作泡菜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2、制作果酒和果醋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3、制作酸奶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4、土壤中分解尿素的细菌的分离与计数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5、酵母菌的分离与纯化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6、酵母菌的纯培养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7、制作腐乳</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33A617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58389A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1FED9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14:paraId="0E2A11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1B7E19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高中生物细胞工程实验箱</w:t>
            </w:r>
          </w:p>
        </w:tc>
        <w:tc>
          <w:tcPr>
            <w:tcW w:w="5440" w:type="dxa"/>
            <w:tcBorders>
              <w:top w:val="single" w:color="000000" w:sz="4" w:space="0"/>
              <w:left w:val="single" w:color="000000" w:sz="4" w:space="0"/>
              <w:bottom w:val="single" w:color="000000" w:sz="4" w:space="0"/>
              <w:right w:val="single" w:color="000000" w:sz="4" w:space="0"/>
            </w:tcBorders>
            <w:noWrap w:val="0"/>
            <w:vAlign w:val="center"/>
          </w:tcPr>
          <w:p w14:paraId="754DDE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3、底部滑轮，便携把手，一体式顶盖。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二、主要配置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烧杯（150ml），锥形瓶（100ml），容量瓶（100ml），试剂瓶（100ml），药品瓶，棕色滴瓶（30ml），胶头滴管，量筒（50ml），长颈漏斗，载玻片，盖玻片，培养皿，吸水纸，PH试纸，医用棉球，剪刀，手术刀柄，手术刀片，镊子，秒表，橡胶塞，玻璃棒，双头药匙，橡皮筋，牛皮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1、菊花的组织培养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2、月季花药的组织培养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3、天竺葵的组织培养</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369759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775D1B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274C6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14:paraId="18903D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478639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高中生物基因工程实验箱</w:t>
            </w:r>
          </w:p>
        </w:tc>
        <w:tc>
          <w:tcPr>
            <w:tcW w:w="5440" w:type="dxa"/>
            <w:tcBorders>
              <w:top w:val="single" w:color="000000" w:sz="4" w:space="0"/>
              <w:left w:val="single" w:color="000000" w:sz="4" w:space="0"/>
              <w:bottom w:val="single" w:color="000000" w:sz="4" w:space="0"/>
              <w:right w:val="single" w:color="000000" w:sz="4" w:space="0"/>
            </w:tcBorders>
            <w:noWrap w:val="0"/>
            <w:vAlign w:val="center"/>
          </w:tcPr>
          <w:p w14:paraId="5E702C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一、结构参数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1、外形尺寸：520mm*360mm*170mm；材质：PP；最大承重：30-35公斤；内部含有内衬，保证每个器材都有对应的存放位置，便于快速、高效的整理和收纳；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2、实验箱的箱体可多个垒叠放置，最多可垒5箱；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3、底部滑轮，便携把手，一体式顶盖。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二、主要配置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研钵和研杵，烧杯，白色滴瓶，胶头滴管，试管，量筒，长颈漏斗，玻璃棒，镊子，纱布，温度计，注射器，微量离心管（10ml，0.5ml，0.2ml），一次性加厚丁腈手套，移液器（2-20μL，0.5-10μL），离心管架，电热恒温培养箱，紫外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三、可完成实验：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1、DNA的粗提取与鉴定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2、DNA片段的扩增及电泳鉴定</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485C4F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4CC534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r>
    </w:tbl>
    <w:p w14:paraId="617A4CDD">
      <w:pPr>
        <w:rPr>
          <w:rFonts w:hint="eastAsia" w:ascii="宋体" w:hAnsi="宋体" w:eastAsia="宋体" w:cs="宋体"/>
          <w:sz w:val="18"/>
          <w:szCs w:val="18"/>
        </w:rPr>
      </w:pPr>
    </w:p>
    <w:tbl>
      <w:tblPr>
        <w:tblStyle w:val="2"/>
        <w:tblW w:w="89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15"/>
        <w:gridCol w:w="1395"/>
        <w:gridCol w:w="5440"/>
        <w:gridCol w:w="700"/>
        <w:gridCol w:w="800"/>
      </w:tblGrid>
      <w:tr w14:paraId="011F7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8950" w:type="dxa"/>
            <w:gridSpan w:val="5"/>
            <w:tcBorders>
              <w:top w:val="single" w:color="000000" w:sz="4" w:space="0"/>
              <w:left w:val="single" w:color="000000" w:sz="4" w:space="0"/>
              <w:bottom w:val="single" w:color="000000" w:sz="4" w:space="0"/>
              <w:right w:val="nil"/>
            </w:tcBorders>
            <w:noWrap/>
            <w:vAlign w:val="center"/>
          </w:tcPr>
          <w:p w14:paraId="0FB11FD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高中生物数码观察实验仪器配置清单（单室配置）</w:t>
            </w:r>
          </w:p>
        </w:tc>
      </w:tr>
      <w:tr w14:paraId="4F5AC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trPr>
        <w:tc>
          <w:tcPr>
            <w:tcW w:w="8950" w:type="dxa"/>
            <w:gridSpan w:val="5"/>
            <w:tcBorders>
              <w:top w:val="single" w:color="000000" w:sz="4" w:space="0"/>
              <w:left w:val="single" w:color="000000" w:sz="4" w:space="0"/>
              <w:bottom w:val="single" w:color="000000" w:sz="4" w:space="0"/>
              <w:right w:val="single" w:color="000000" w:sz="4" w:space="0"/>
            </w:tcBorders>
            <w:noWrap w:val="0"/>
            <w:vAlign w:val="center"/>
          </w:tcPr>
          <w:p w14:paraId="3924206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     根据学校实际需求，现按56名学生2人一组计28组，加教师1组共计29组配置。</w:t>
            </w:r>
          </w:p>
        </w:tc>
      </w:tr>
      <w:tr w14:paraId="75EA6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615" w:type="dxa"/>
            <w:tcBorders>
              <w:top w:val="single" w:color="000000" w:sz="4" w:space="0"/>
              <w:left w:val="single" w:color="000000" w:sz="4" w:space="0"/>
              <w:bottom w:val="single" w:color="000000" w:sz="4" w:space="0"/>
              <w:right w:val="single" w:color="000000" w:sz="4" w:space="0"/>
            </w:tcBorders>
            <w:noWrap w:val="0"/>
            <w:vAlign w:val="center"/>
          </w:tcPr>
          <w:p w14:paraId="137346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编号</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8F303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名称</w:t>
            </w:r>
          </w:p>
        </w:tc>
        <w:tc>
          <w:tcPr>
            <w:tcW w:w="5440" w:type="dxa"/>
            <w:tcBorders>
              <w:top w:val="single" w:color="000000" w:sz="4" w:space="0"/>
              <w:left w:val="single" w:color="000000" w:sz="4" w:space="0"/>
              <w:bottom w:val="single" w:color="000000" w:sz="4" w:space="0"/>
              <w:right w:val="single" w:color="000000" w:sz="4" w:space="0"/>
            </w:tcBorders>
            <w:noWrap w:val="0"/>
            <w:vAlign w:val="center"/>
          </w:tcPr>
          <w:p w14:paraId="65292E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技术参数</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2F8679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4EBED1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r>
      <w:tr w14:paraId="2C77A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615" w:type="dxa"/>
            <w:tcBorders>
              <w:top w:val="single" w:color="000000" w:sz="4" w:space="0"/>
              <w:left w:val="single" w:color="000000" w:sz="4" w:space="0"/>
              <w:bottom w:val="single" w:color="000000" w:sz="4" w:space="0"/>
              <w:right w:val="single" w:color="000000" w:sz="4" w:space="0"/>
            </w:tcBorders>
            <w:noWrap w:val="0"/>
            <w:vAlign w:val="center"/>
          </w:tcPr>
          <w:p w14:paraId="29C5F8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CF14E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教师用显微镜</w:t>
            </w:r>
          </w:p>
        </w:tc>
        <w:tc>
          <w:tcPr>
            <w:tcW w:w="5440" w:type="dxa"/>
            <w:tcBorders>
              <w:top w:val="single" w:color="000000" w:sz="4" w:space="0"/>
              <w:left w:val="single" w:color="000000" w:sz="4" w:space="0"/>
              <w:bottom w:val="single" w:color="000000" w:sz="4" w:space="0"/>
              <w:right w:val="single" w:color="000000" w:sz="4" w:space="0"/>
            </w:tcBorders>
            <w:noWrap w:val="0"/>
            <w:vAlign w:val="center"/>
          </w:tcPr>
          <w:p w14:paraId="43A9FA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1.光路要求：非无限远光学系统。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2.观察筒要求：单目镜筒观察倾斜角度不大于30°，观察筒须和机身为一体化结构，不可分离，避免发生坠落。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3.目镜：12.5×大视野、高眼点平场目镜，带指针，可固定。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4.专业消色差减光物镜三只： 4×0.1，10×0.25，40X；</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5.机械移动载物台：硬膜涂层表面，防腐、耐磨，进口三角导轨，移动范围可完全覆盖整张标准切片。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6.物镜转换器：向机身内倾式内定位四孔转换器，带防霉装置。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7.调焦装置：粗微动同轴调焦，微调格值2um；调焦行程不小于25mm，便于放入和移除切片；调焦上限位出厂预设，学生不能将上限位自行进行调节。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安全照明电路：LED冷光源，不高于5-12V低电压输入（手机充电器也可为显微镜供电），确保产品用电安全(可使用充电宝、手提电脑、车载充电等外置电源供电)；每次开启电源开关确保光源亮度处于最低值，即可保护人眼，也可减少开机瞬间大电流对灯泡的冲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9.聚光镜：NA1.25阿贝聚光镜，带可变孔径光阑。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10.机身后部储物空间，用于放置电源线，充电宝等，便于搬运和储藏。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11.光学系统：芯片类型：高性能逐行扫描芯片（非CCD芯片）；物理分辨率不低于630万；传感器尺寸大于1/1.9 “；像元尺寸不小于2.4 um×2.4 um；图像帧率：全像素下不低于15fps；曝光范围与方式：0.1ms~1h,ROI自动或手动；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12.成像系统：屏幕≥10.5英寸，分辨率≥1920 x 1280（220 PPI），≥10点触控，处理器不低于英特尔4425Y，存储≥128GB，内存≥4GB，电池续航常规使用时间不低于10小时。</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14C30D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1FA792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2257E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615" w:type="dxa"/>
            <w:tcBorders>
              <w:top w:val="single" w:color="000000" w:sz="4" w:space="0"/>
              <w:left w:val="single" w:color="000000" w:sz="4" w:space="0"/>
              <w:bottom w:val="single" w:color="000000" w:sz="4" w:space="0"/>
              <w:right w:val="single" w:color="000000" w:sz="4" w:space="0"/>
            </w:tcBorders>
            <w:noWrap w:val="0"/>
            <w:vAlign w:val="center"/>
          </w:tcPr>
          <w:p w14:paraId="5E7239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9D23E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学生用显微镜</w:t>
            </w:r>
          </w:p>
        </w:tc>
        <w:tc>
          <w:tcPr>
            <w:tcW w:w="5440" w:type="dxa"/>
            <w:tcBorders>
              <w:top w:val="single" w:color="000000" w:sz="4" w:space="0"/>
              <w:left w:val="single" w:color="000000" w:sz="4" w:space="0"/>
              <w:bottom w:val="single" w:color="000000" w:sz="4" w:space="0"/>
              <w:right w:val="single" w:color="000000" w:sz="4" w:space="0"/>
            </w:tcBorders>
            <w:noWrap w:val="0"/>
            <w:vAlign w:val="center"/>
          </w:tcPr>
          <w:p w14:paraId="24E6DC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1.光路要求：非无限远光学系统。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2.观察筒要求：单目镜筒观察倾斜角度不大于30°，观察筒须和机身为一体化结构，不可分离，避免发生坠落。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3.目镜：12.5×大视野、高眼点平场目镜，带指针，可固定。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4.专业消色差减光物镜三只： 4×0.1，10×0.25，40X；</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5.机械移动载物台：硬膜涂层表面，防腐、耐磨，进口三角导轨，移动范围可完全覆盖整张标准切片。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6.物镜转换器：向机身内倾式内定位四孔转换器，带防霉装置。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7.调焦装置：粗微动同轴调焦，微调格值2um；调焦行程不小于25mm，便于放入和移除切片；调焦上限位出厂预设，学生不能将上限位自行进行调节。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安全照明电路：LED冷光源，不高于5-12V低电压输入（手机充电器也可为显微镜供电），确保产品用电安全(可使用充电宝、手提电脑、车载充电等外置电源供电)；每次开启电源开关确保光源亮度处于最低值，即可保护人眼，也可减少开机瞬间大电流对灯泡的冲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9.聚光镜：NA1.25阿贝聚光镜，带可变孔径光阑，学生不会因聚光镜升降结构而分散上课注意力。</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10.机身后部储物空间，用于放置电源线，充电宝等，便于搬运和储藏。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11.成像系统：高色彩还原度的高速1600万像素成像系统，搭配正版图像处理分析系统；LCD触摸式，不小于11英寸，显示分辨率不低于1920*1080。</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7FAC08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0C7D49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r>
      <w:tr w14:paraId="2BE9A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615" w:type="dxa"/>
            <w:tcBorders>
              <w:top w:val="single" w:color="000000" w:sz="4" w:space="0"/>
              <w:left w:val="single" w:color="000000" w:sz="4" w:space="0"/>
              <w:bottom w:val="single" w:color="000000" w:sz="4" w:space="0"/>
              <w:right w:val="single" w:color="000000" w:sz="4" w:space="0"/>
            </w:tcBorders>
            <w:noWrap w:val="0"/>
            <w:vAlign w:val="center"/>
          </w:tcPr>
          <w:p w14:paraId="2E1D52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9723F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网络互动软件 </w:t>
            </w:r>
          </w:p>
        </w:tc>
        <w:tc>
          <w:tcPr>
            <w:tcW w:w="5440" w:type="dxa"/>
            <w:tcBorders>
              <w:top w:val="single" w:color="000000" w:sz="4" w:space="0"/>
              <w:left w:val="single" w:color="000000" w:sz="4" w:space="0"/>
              <w:bottom w:val="single" w:color="000000" w:sz="4" w:space="0"/>
              <w:right w:val="single" w:color="000000" w:sz="4" w:space="0"/>
            </w:tcBorders>
            <w:noWrap w:val="0"/>
            <w:vAlign w:val="center"/>
          </w:tcPr>
          <w:p w14:paraId="1D71CA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规格要求：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必须支持无线传输，软件与显微镜同品牌，获得计算机著作权证书；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1、网络教学系统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显微网络教学系统包课堂管理系统是应用于日常课堂教学的重要组成部分，满足各学科的教学需求，采用网络传输数据，教师与学生进行灵活高效地课堂教学，轻松展示多媒体化的教学内容，提供多种师生互动方式，及时深入地了解学生学习情况，实现个性化教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2、教师备课功能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教师安装显微网络教学系统的教师端软件后，即可在家中或办公室备课、编辑试卷，为学生准备各类教学资源。所制作的试卷或录制的视频资料只需拷贝到学校网络教室的教师主机上，即可直接使用。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录制屏幕操作：利用显微网络教学系统的“屏幕录制”功能可以将重要的教学操作过程或展示内容以ASF等常用视频格式录制下来，既能在课堂上广播给学生，又可上传到相关网站，供学生点播自学。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创建标准化试卷：通过显微网络教学系统的“试卷编辑”功能，可预先创建、编辑试题，便于随堂测验或阶段考试；试卷内容支持单选、多选、判断、论述等多种题型。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3、教学内容展示功能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显微网络教学系统课堂管理系统拥有屏幕广播、网络影院、视频直播等广播功能，同时具有学生演示功能，便于教师快速广播指定学生的演示操作，极大方便了各种媒体形式教学内容的展示。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共享白板：教师通过导入图片、文档或桌面创建白板，将白板内容共享给学生，学生和教师可以共享在白板上完成学习任务或绘画作品，提高学生团队合作的兴趣。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教师也可以允许学生自己独立完成学习任务，教师可以在教师机上监看学生的完成情况。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屏幕广播：教师通过“屏幕广播”，可将演示文稿、word等各种形式的教学内容广播给学生，并能够流畅无延时地广播Direct3D 、DirectDraw、OpenGL、游戏、全屏电影等；讲授过程中，教师可调用屏幕笔，让学生清晰完整地看到整个解题过程。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网络影院：教师通过网络影院，可将WMV、ASF等主流格式视频以流媒体方式无延迟地播放给学生，并自动记忆播放位置，便于下次继续播放，提高了音视频资源在教学中的应用质量。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视频直播：教师通过“视频直播”，可将外接VCD、DVD、录像机、摄像机的音视频信号广播给学生，拓展了教师可利用的教学资源，最大程度地丰富课堂教学内容。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学生演示：教师通过“学生演示”功能可调用任何一个学生机屏幕，并广播到其他学生机上，方便教师及时发现学生中的典型个案、开展示范教学，促进学生间智慧共享，激发学习动力，提升教学效果。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4、教学组织与师生互动功能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显微网络教学系统课堂管理系统为网络教学提供了多样化的师生交互动能。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一对一交互：学生机通过“举手”功能可以向教师求助；教师也可以通过“屏幕监控”发现学生的学习困难，并可用语音、文字、演示操作等方式进行个性化指导。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抢答和竞赛：教师可快速发布抢答任务，学生通过抢答按钮回答，通过答对升级的策略激励学生主动参与。教师可设置抢答时间。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学生通过分组抢答形成竞赛模式，竞赛支持组内排名，大队的题目越多获得的奖励越高。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分组教学：教师通过“分组功能”可创建多个小组，并指定组长。各小组内部、小组之间可进行团队学习。小组讨论可通过分组形式或不同主题形式进行分类讨论，组内可通过语音、文字、图片、手写输入等方式进行自由研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收作业：教师点击“文件收集”，即可从部分或全体学生机上强制收取各种格式作业，并可以方便地通过文件收集的日志查看收集到的作业情况，无需每个学生单独提交作业。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分发文件：教师点击“文件分发”，以更人性化的“拖拽”方式将教师机相关文件分发给学生，并可以分发不同目录下的文件或分发目录。“文件分发”便于教师快速发放作业、资料等，节省课堂时间，进一步提高课堂效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交作业：学生通过“作业提交”功能，可主动将作业提交到教师机中的指定文件夹下，便于作业管理，节省收取作业的时间。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5、教学管理功能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（1）班级管理与分组管理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班级模型：可在同一个网络教室系统中对不同上课班级进行管理，提供缩图示、图标、详细排列三种方式显示所管理的班级，方便教师操作。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分组管理：教师可在同一个班级中新建、删除、保存、重命名不同小组，添加、删除小组成员，并可将分组信息与班级模型匹配并永久保存，下次上课可直接调用。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（2）学生机的远程管理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显微网络教学系统提供了远程控制、远程命令等多种强大的学生机远程管理功能，方便教师对网络课堂教学进行高效、有序控制。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远程监控：通过“监控转播”功能，在不影响学生操作的情况下，即可远程监看学生机屏幕。教师可设定显示的学生屏幕数、切换时间及是否显示警告信息等，并可保存学生机屏幕画面截图。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远程命令：教师通过一系列远程命令，可远程控制学生机的开机、关机、重启及应用程序的启动与关闭等。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远程设置：通过“远程设置”功能，教师可对学生机的桌面主题、背景、屏保、音量、卸载密码、进程保护、断线锁屏、热键退出等进行统一设置。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学生限制：通过“学生限制”的系列设定，教师可对学生机的U盘使用、网页浏览、程序运行、打印、发言等进行限制设定。其中网页浏览限制支持多浏览器，IE、谷歌、360、火狐等浏览器网页都可被限制。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黑屏警告：当学生上课开小差或扰乱课堂秩序时，可通过“黑屏”功能将学生机变成黑屏，提醒其集中注意力。</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断线锁屏：上课时，如果学生试图断开网络连接、逃避教师监控，系统会自动锁定学生机键盘、鼠标和屏幕。</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5295C9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38B185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r>
      <w:tr w14:paraId="15F86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615" w:type="dxa"/>
            <w:tcBorders>
              <w:top w:val="single" w:color="000000" w:sz="4" w:space="0"/>
              <w:left w:val="single" w:color="000000" w:sz="4" w:space="0"/>
              <w:bottom w:val="single" w:color="000000" w:sz="4" w:space="0"/>
              <w:right w:val="single" w:color="000000" w:sz="4" w:space="0"/>
            </w:tcBorders>
            <w:noWrap w:val="0"/>
            <w:vAlign w:val="center"/>
          </w:tcPr>
          <w:p w14:paraId="43B2B3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BA41C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无线智能AP</w:t>
            </w:r>
          </w:p>
        </w:tc>
        <w:tc>
          <w:tcPr>
            <w:tcW w:w="5440" w:type="dxa"/>
            <w:tcBorders>
              <w:top w:val="single" w:color="000000" w:sz="4" w:space="0"/>
              <w:left w:val="single" w:color="000000" w:sz="4" w:space="0"/>
              <w:bottom w:val="single" w:color="000000" w:sz="4" w:space="0"/>
              <w:right w:val="single" w:color="000000" w:sz="4" w:space="0"/>
            </w:tcBorders>
            <w:noWrap w:val="0"/>
            <w:vAlign w:val="center"/>
          </w:tcPr>
          <w:p w14:paraId="029F63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1.工作频段：支持2.4G和5G。（2.4G、3G和5G）。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2.支持协议：必须支持 802.11 a/b/g/n/ac多种协议模式。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3.无线射频链：射频空间流不低于MIMO 4*4。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4.最大工作速率：工作在11ac 80Mhz频宽时，传输速率最高可达到1300Mbps。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5.功率要求：整机功率低于15W，发射功率，在2.4GHz模式下，最大可达20dBm，5GHz模式下，最大可达23dBm；发射功能可根据环境进行调整，调整粒度为1dBm。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6.承载用户数：单AP最大可同时承载63个用户并发访问。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7.AP工作模式：能够支持胖AP模式，且在胖AP模式下，支持DHCP Server功能，能够给连线的终端自动分配IP地址。</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40D07A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6DDA4F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bl>
    <w:p w14:paraId="0EA5D9C6">
      <w:pPr>
        <w:rPr>
          <w:rFonts w:hint="eastAsia" w:ascii="宋体" w:hAnsi="宋体" w:eastAsia="宋体" w:cs="宋体"/>
          <w:sz w:val="18"/>
          <w:szCs w:val="18"/>
        </w:rPr>
      </w:pPr>
    </w:p>
    <w:tbl>
      <w:tblPr>
        <w:tblStyle w:val="2"/>
        <w:tblW w:w="965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36"/>
        <w:gridCol w:w="735"/>
        <w:gridCol w:w="5940"/>
        <w:gridCol w:w="375"/>
        <w:gridCol w:w="450"/>
        <w:gridCol w:w="1515"/>
      </w:tblGrid>
      <w:tr w14:paraId="6C342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9651" w:type="dxa"/>
            <w:gridSpan w:val="6"/>
            <w:tcBorders>
              <w:top w:val="single" w:color="000000" w:sz="4" w:space="0"/>
              <w:left w:val="single" w:color="000000" w:sz="4" w:space="0"/>
              <w:bottom w:val="single" w:color="000000" w:sz="4" w:space="0"/>
              <w:right w:val="single" w:color="000000" w:sz="4" w:space="0"/>
            </w:tcBorders>
            <w:noWrap/>
            <w:vAlign w:val="center"/>
          </w:tcPr>
          <w:p w14:paraId="75EE2DB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生物数字化实验系统配置清单</w:t>
            </w:r>
          </w:p>
        </w:tc>
      </w:tr>
      <w:tr w14:paraId="484EE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651" w:type="dxa"/>
            <w:gridSpan w:val="6"/>
            <w:tcBorders>
              <w:top w:val="single" w:color="000000" w:sz="4" w:space="0"/>
              <w:left w:val="single" w:color="000000" w:sz="4" w:space="0"/>
              <w:bottom w:val="single" w:color="000000" w:sz="4" w:space="0"/>
              <w:right w:val="single" w:color="000000" w:sz="4" w:space="0"/>
            </w:tcBorders>
            <w:noWrap w:val="0"/>
            <w:vAlign w:val="center"/>
          </w:tcPr>
          <w:p w14:paraId="0676E28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     根据学校实际需求，现按56名学生4人一组计14组，加教师1组共计15组配置。</w:t>
            </w:r>
          </w:p>
        </w:tc>
      </w:tr>
      <w:tr w14:paraId="7BD57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636" w:type="dxa"/>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3CAFDA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735" w:type="dxa"/>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312759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产品名称</w:t>
            </w:r>
          </w:p>
        </w:tc>
        <w:tc>
          <w:tcPr>
            <w:tcW w:w="5940" w:type="dxa"/>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44CF94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参数说明</w:t>
            </w:r>
          </w:p>
        </w:tc>
        <w:tc>
          <w:tcPr>
            <w:tcW w:w="375" w:type="dxa"/>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4A3187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450" w:type="dxa"/>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28CC03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1515" w:type="dxa"/>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0A5C77C2">
            <w:pPr>
              <w:keepNext w:val="0"/>
              <w:keepLines w:val="0"/>
              <w:widowControl/>
              <w:suppressLineNumbers w:val="0"/>
              <w:jc w:val="center"/>
              <w:textAlignment w:val="center"/>
              <w:rPr>
                <w:rFonts w:hint="eastAsia" w:ascii="宋体" w:hAnsi="宋体" w:eastAsia="宋体" w:cs="宋体"/>
                <w:i w:val="0"/>
                <w:iCs w:val="0"/>
                <w:color w:val="FF0000"/>
                <w:sz w:val="18"/>
                <w:szCs w:val="18"/>
                <w:u w:val="none"/>
              </w:rPr>
            </w:pPr>
          </w:p>
        </w:tc>
      </w:tr>
      <w:tr w14:paraId="68204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26B2D6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 </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759F0B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智能实验数据采集终端</w:t>
            </w:r>
          </w:p>
        </w:tc>
        <w:tc>
          <w:tcPr>
            <w:tcW w:w="5940" w:type="dxa"/>
            <w:tcBorders>
              <w:top w:val="single" w:color="000000" w:sz="4" w:space="0"/>
              <w:left w:val="single" w:color="000000" w:sz="4" w:space="0"/>
              <w:bottom w:val="single" w:color="000000" w:sz="4" w:space="0"/>
              <w:right w:val="single" w:color="000000" w:sz="4" w:space="0"/>
            </w:tcBorders>
            <w:noWrap w:val="0"/>
            <w:vAlign w:val="center"/>
          </w:tcPr>
          <w:p w14:paraId="6EB9AF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触摸平板式10.1英寸，10点电容屏，分辨率1920*1200IPS，30000mWh聚合物锂离子电池，连续使用≥8小时，4GDDR4LRAM，64GBROM支持扩展卡，前置2.0M后置5.0MP摄像头，标准USB3.0接口，HDMImini接口，type-C数据接口，3.5mm耳机接口；windows10 64位操作系统。智能采集并保存数据，内置64G存储空间，方便存储实验数据﹔前置后置摄像头，方便拍摄实验图片;支持网络连接，方便传送实验数据﹔内置USB接口和蓝牙模块，支持多种连接方式；</w:t>
            </w:r>
          </w:p>
        </w:tc>
        <w:tc>
          <w:tcPr>
            <w:tcW w:w="375" w:type="dxa"/>
            <w:tcBorders>
              <w:top w:val="single" w:color="000000" w:sz="4" w:space="0"/>
              <w:left w:val="single" w:color="000000" w:sz="4" w:space="0"/>
              <w:bottom w:val="single" w:color="000000" w:sz="4" w:space="0"/>
              <w:right w:val="single" w:color="000000" w:sz="4" w:space="0"/>
            </w:tcBorders>
            <w:noWrap w:val="0"/>
            <w:vAlign w:val="center"/>
          </w:tcPr>
          <w:p w14:paraId="4E31F2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160644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14:paraId="78DAA1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bl>
    <w:p w14:paraId="1943A73B">
      <w:pPr>
        <w:rPr>
          <w:rFonts w:hint="eastAsia" w:ascii="宋体" w:hAnsi="宋体" w:eastAsia="宋体" w:cs="宋体"/>
          <w:sz w:val="18"/>
          <w:szCs w:val="18"/>
        </w:rPr>
      </w:pPr>
    </w:p>
    <w:tbl>
      <w:tblPr>
        <w:tblStyle w:val="2"/>
        <w:tblW w:w="84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64"/>
        <w:gridCol w:w="1431"/>
        <w:gridCol w:w="3193"/>
        <w:gridCol w:w="494"/>
        <w:gridCol w:w="476"/>
        <w:gridCol w:w="2256"/>
      </w:tblGrid>
      <w:tr w14:paraId="5922C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8414" w:type="dxa"/>
            <w:gridSpan w:val="6"/>
            <w:tcBorders>
              <w:top w:val="single" w:color="000000" w:sz="4" w:space="0"/>
              <w:left w:val="single" w:color="000000" w:sz="4" w:space="0"/>
              <w:bottom w:val="single" w:color="000000" w:sz="4" w:space="0"/>
              <w:right w:val="single" w:color="000000" w:sz="4" w:space="0"/>
            </w:tcBorders>
            <w:noWrap/>
            <w:vAlign w:val="center"/>
          </w:tcPr>
          <w:p w14:paraId="00F3B14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物理准备室清单</w:t>
            </w:r>
          </w:p>
        </w:tc>
      </w:tr>
      <w:tr w14:paraId="16A3C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564" w:type="dxa"/>
            <w:tcBorders>
              <w:top w:val="single" w:color="000000" w:sz="4" w:space="0"/>
              <w:left w:val="single" w:color="000000" w:sz="4" w:space="0"/>
              <w:bottom w:val="single" w:color="000000" w:sz="4" w:space="0"/>
              <w:right w:val="single" w:color="000000" w:sz="4" w:space="0"/>
            </w:tcBorders>
            <w:noWrap w:val="0"/>
            <w:vAlign w:val="center"/>
          </w:tcPr>
          <w:p w14:paraId="151886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23C647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货物名称</w:t>
            </w:r>
          </w:p>
        </w:tc>
        <w:tc>
          <w:tcPr>
            <w:tcW w:w="3193" w:type="dxa"/>
            <w:tcBorders>
              <w:top w:val="single" w:color="000000" w:sz="4" w:space="0"/>
              <w:left w:val="single" w:color="000000" w:sz="4" w:space="0"/>
              <w:bottom w:val="single" w:color="000000" w:sz="4" w:space="0"/>
              <w:right w:val="single" w:color="000000" w:sz="4" w:space="0"/>
            </w:tcBorders>
            <w:noWrap w:val="0"/>
            <w:vAlign w:val="center"/>
          </w:tcPr>
          <w:p w14:paraId="7FC894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技术参数</w:t>
            </w:r>
          </w:p>
        </w:tc>
        <w:tc>
          <w:tcPr>
            <w:tcW w:w="494" w:type="dxa"/>
            <w:tcBorders>
              <w:top w:val="single" w:color="000000" w:sz="4" w:space="0"/>
              <w:left w:val="single" w:color="000000" w:sz="4" w:space="0"/>
              <w:bottom w:val="single" w:color="000000" w:sz="4" w:space="0"/>
              <w:right w:val="single" w:color="000000" w:sz="4" w:space="0"/>
            </w:tcBorders>
            <w:noWrap w:val="0"/>
            <w:vAlign w:val="center"/>
          </w:tcPr>
          <w:p w14:paraId="46EF53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2DBB1D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2981" w:type="dxa"/>
            <w:tcBorders>
              <w:top w:val="single" w:color="000000" w:sz="4" w:space="0"/>
              <w:left w:val="single" w:color="000000" w:sz="4" w:space="0"/>
              <w:bottom w:val="single" w:color="000000" w:sz="4" w:space="0"/>
              <w:right w:val="single" w:color="000000" w:sz="4" w:space="0"/>
            </w:tcBorders>
            <w:noWrap w:val="0"/>
            <w:vAlign w:val="center"/>
          </w:tcPr>
          <w:p w14:paraId="1C0BB86F">
            <w:pPr>
              <w:keepNext w:val="0"/>
              <w:keepLines w:val="0"/>
              <w:widowControl/>
              <w:suppressLineNumbers w:val="0"/>
              <w:jc w:val="center"/>
              <w:textAlignment w:val="center"/>
              <w:rPr>
                <w:rFonts w:hint="eastAsia" w:ascii="宋体" w:hAnsi="宋体" w:eastAsia="宋体" w:cs="宋体"/>
                <w:i w:val="0"/>
                <w:iCs w:val="0"/>
                <w:color w:val="FF0000"/>
                <w:sz w:val="18"/>
                <w:szCs w:val="18"/>
                <w:u w:val="none"/>
              </w:rPr>
            </w:pPr>
          </w:p>
        </w:tc>
      </w:tr>
      <w:tr w14:paraId="3FEFC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8414"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457EB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基础设备</w:t>
            </w:r>
          </w:p>
        </w:tc>
      </w:tr>
      <w:tr w14:paraId="16950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EB5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6CE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准备台</w:t>
            </w:r>
          </w:p>
        </w:tc>
        <w:tc>
          <w:tcPr>
            <w:tcW w:w="31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45E8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规格：2600*1200*780mm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1、桌身</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1.1台面采用12.7mm厚双面膜实芯理化板，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1.2、新型塑铝结构。学生位镂空式，符合人体工程学设计，美观大方。书包斗采用整体ABS工程塑料一次性注塑成型，规格425*270*165，镂空设计，便于清理，不屯垃圾，中间设挂凳卡。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桌脚采用三段式高强度铝合金结构，整体规格545*770，中立柱采用122*55mm*1.5mm厚承重型铝合金型材微倾斜式设计，上下脚采用铝合金一次压铸成型，采用8个高强度螺丝连接；下桌架设有专用孔位与地面固定，并配有专用装饰盖，同一侧面两只工型腿上部采用一条66*25mm铝合金型材连成一个整体；外观流线形设计，简洁美观，易碰撞处全部采用倒圆角，产品款式要求整体设计美观、合理、安全、牢固、耐用。金属表面经环氧树脂粉末喷涂高温固化处理。要做到承重性能强和耐酸碱、耐腐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桌脚间通过金属三卡锁专用连接件将铝合金型材连接，并可根据实际需求在中柱的凹槽内随意调节位置，便于组装及拆卸，外观流线形设计，简洁美观,易碰撞处全部采用倒圆角，产品款式要求整体设计美观、合理、安全、牢固、耐用。金属表面经环氧树脂粉末喷涂高温固化处理。要做到承重性能强和耐酸碱、耐腐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F85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B91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9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05FA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34091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EBD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68E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w:t>
            </w:r>
          </w:p>
        </w:tc>
        <w:tc>
          <w:tcPr>
            <w:tcW w:w="31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F1B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台侧装有一个交流220V输出五孔插座。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学生电源的性能指标符合JY/T 0374-2004标准。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BDE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1A7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9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4219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28EB2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0BF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92F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水槽</w:t>
            </w:r>
          </w:p>
        </w:tc>
        <w:tc>
          <w:tcPr>
            <w:tcW w:w="31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F4F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外径：550×450×310mm，内径：480×380×290mm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采用环保型PP材料一次性注塑成型，耐强酸碱及有机溶剂，壁厚6mm。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09B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2E1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9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CA22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55EC8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AC7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E4C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水嘴</w:t>
            </w:r>
          </w:p>
        </w:tc>
        <w:tc>
          <w:tcPr>
            <w:tcW w:w="31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C644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三联(一高二低）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采用实验室专用三联水嘴，陶瓷阀芯90°旋转，铜质表面烤漆处理，增强耐酸碱防腐蚀以及防锈性能，特制鹅颈管可360度旋转。</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A86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35B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9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BA1F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19ACE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12D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B81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塑料仪器柜ABS</w:t>
            </w:r>
          </w:p>
        </w:tc>
        <w:tc>
          <w:tcPr>
            <w:tcW w:w="31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BC4F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1、规格1000*500*2000mm；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侧板、层板采用环保型pp改性材料一次注塑成型，表面做磨砂处理。榫卯连接结构并合理布局加强筋，配合专用塑料紧固件连接，顶板、中板和底板的底部镶嵌15*30mm钢管加强，承重力强，产品不变形、不扭曲，可重复拆装使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3、上柜门：采用增强型PP材质一体注塑成型，外嵌4mm±0.5mm钢化烤漆玻璃,中间玻璃做镂空处理，透明可视。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4、下柜门：采用增强型PP材质一体注塑成型，外嵌4mm±0.5mm钢化烤漆玻璃。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5、门把手：采用增强型PP材质一次注塑成型，安装于两门的门缝处，凹凸配套，增加柜子内部的气密性。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层板：上柜配两块活动层板，下柜配一块活动层板；层板采用工程塑料经模具挤出成型，中空双层结构，内部均匀分布加强筋并内置两条30*15mm钢管；两边配置密封堵头，整板无裸露金属，避免腐蚀生锈，美观耐用。层板可以抽取，自由组合各层空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7、门铰链：用改性pp材料模具一次成型，伸缩式pp旋转门轴，内嵌隐藏方便安装，耐腐蚀。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8、柜门固定所需螺丝均采用304不锈钢，柜子内部空间无裸露金属材料，确保柜子的耐腐蚀性。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9、柜子顶部和底部都预留通风系统接口，与通风管路连接；接口处配有手动调节装置，可以打开或关闭通风口。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C7B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B1A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29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0146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2FF84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0" w:hRule="atLeast"/>
        </w:trPr>
        <w:tc>
          <w:tcPr>
            <w:tcW w:w="8414"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52D77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水电部分</w:t>
            </w:r>
          </w:p>
        </w:tc>
      </w:tr>
      <w:tr w14:paraId="02941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3DD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2ED4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布线系统</w:t>
            </w:r>
          </w:p>
        </w:tc>
        <w:tc>
          <w:tcPr>
            <w:tcW w:w="31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A7F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地面对接，由教师主控电源控制学生电源，安装调试（含辅料及耗材）。符合安全用电要求。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D8D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D82F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9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AF2A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地下工程自建</w:t>
            </w:r>
          </w:p>
        </w:tc>
      </w:tr>
      <w:tr w14:paraId="58F89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18AC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F65F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给排水系统</w:t>
            </w:r>
          </w:p>
        </w:tc>
        <w:tc>
          <w:tcPr>
            <w:tcW w:w="31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7B57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地面对接，安装调试（含辅料及耗材）。符合安全用水要求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D6B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DD39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9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2F6D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地下工程自建</w:t>
            </w:r>
          </w:p>
        </w:tc>
      </w:tr>
      <w:tr w14:paraId="4E92A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8414"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78141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装修部分</w:t>
            </w:r>
          </w:p>
        </w:tc>
      </w:tr>
      <w:tr w14:paraId="500E7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564" w:type="dxa"/>
            <w:tcBorders>
              <w:top w:val="nil"/>
              <w:left w:val="single" w:color="000000" w:sz="4" w:space="0"/>
              <w:bottom w:val="single" w:color="000000" w:sz="4" w:space="0"/>
              <w:right w:val="single" w:color="000000" w:sz="4" w:space="0"/>
            </w:tcBorders>
            <w:shd w:val="clear" w:color="auto" w:fill="auto"/>
            <w:noWrap w:val="0"/>
            <w:vAlign w:val="center"/>
          </w:tcPr>
          <w:p w14:paraId="4A90EC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06" w:type="dxa"/>
            <w:tcBorders>
              <w:top w:val="nil"/>
              <w:left w:val="single" w:color="000000" w:sz="4" w:space="0"/>
              <w:bottom w:val="single" w:color="000000" w:sz="4" w:space="0"/>
              <w:right w:val="single" w:color="000000" w:sz="4" w:space="0"/>
            </w:tcBorders>
            <w:shd w:val="clear" w:color="auto" w:fill="auto"/>
            <w:noWrap w:val="0"/>
            <w:vAlign w:val="center"/>
          </w:tcPr>
          <w:p w14:paraId="2D4919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布线系统（地下部分）</w:t>
            </w:r>
          </w:p>
        </w:tc>
        <w:tc>
          <w:tcPr>
            <w:tcW w:w="3193" w:type="dxa"/>
            <w:tcBorders>
              <w:top w:val="nil"/>
              <w:left w:val="single" w:color="000000" w:sz="4" w:space="0"/>
              <w:bottom w:val="single" w:color="000000" w:sz="4" w:space="0"/>
              <w:right w:val="single" w:color="000000" w:sz="4" w:space="0"/>
            </w:tcBorders>
            <w:shd w:val="clear" w:color="auto" w:fill="auto"/>
            <w:noWrap w:val="0"/>
            <w:vAlign w:val="center"/>
          </w:tcPr>
          <w:p w14:paraId="79FA5F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线2.5平方、4平方、6平方插排、PVC管、网线、空气开关、网络接口Rosenberger超五类模块；开槽暗敷，电线连接部分采用焊接方式防水胶布2层，绝缘胶布2层，加以保护，配电采用铝塑管护套,内穿BV塑铜线，多媒体产品安装、调试</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41403F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76" w:type="dxa"/>
            <w:tcBorders>
              <w:top w:val="nil"/>
              <w:left w:val="single" w:color="000000" w:sz="4" w:space="0"/>
              <w:bottom w:val="single" w:color="000000" w:sz="4" w:space="0"/>
              <w:right w:val="single" w:color="000000" w:sz="4" w:space="0"/>
            </w:tcBorders>
            <w:shd w:val="clear" w:color="auto" w:fill="auto"/>
            <w:noWrap w:val="0"/>
            <w:vAlign w:val="center"/>
          </w:tcPr>
          <w:p w14:paraId="7B0599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981" w:type="dxa"/>
            <w:tcBorders>
              <w:top w:val="nil"/>
              <w:left w:val="single" w:color="000000" w:sz="4" w:space="0"/>
              <w:bottom w:val="single" w:color="000000" w:sz="4" w:space="0"/>
              <w:right w:val="single" w:color="000000" w:sz="4" w:space="0"/>
            </w:tcBorders>
            <w:shd w:val="clear" w:color="auto" w:fill="FFFFFF"/>
            <w:noWrap w:val="0"/>
            <w:vAlign w:val="center"/>
          </w:tcPr>
          <w:p w14:paraId="7DFA787B">
            <w:pPr>
              <w:jc w:val="center"/>
              <w:rPr>
                <w:rFonts w:hint="eastAsia" w:ascii="宋体" w:hAnsi="宋体" w:eastAsia="宋体" w:cs="宋体"/>
                <w:i w:val="0"/>
                <w:iCs w:val="0"/>
                <w:color w:val="000000"/>
                <w:sz w:val="18"/>
                <w:szCs w:val="18"/>
                <w:u w:val="none"/>
              </w:rPr>
            </w:pPr>
          </w:p>
        </w:tc>
      </w:tr>
      <w:tr w14:paraId="21303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29E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5A5E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给排水系统（地下部分）</w:t>
            </w:r>
          </w:p>
        </w:tc>
        <w:tc>
          <w:tcPr>
            <w:tcW w:w="31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9B9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给水采用φ25㎜优质PPR(国标)管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排水采用φ50㎜优质PVC(国标)管，暗敷，安装调试（含辅料及耗材）。符合安全用水要求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F08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6179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9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DD4CEE">
            <w:pPr>
              <w:jc w:val="center"/>
              <w:rPr>
                <w:rFonts w:hint="eastAsia" w:ascii="宋体" w:hAnsi="宋体" w:eastAsia="宋体" w:cs="宋体"/>
                <w:i w:val="0"/>
                <w:iCs w:val="0"/>
                <w:color w:val="000000"/>
                <w:sz w:val="18"/>
                <w:szCs w:val="18"/>
                <w:u w:val="none"/>
              </w:rPr>
            </w:pPr>
          </w:p>
        </w:tc>
      </w:tr>
      <w:tr w14:paraId="68C2C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2E7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C86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灯具</w:t>
            </w:r>
          </w:p>
        </w:tc>
        <w:tc>
          <w:tcPr>
            <w:tcW w:w="31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F944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LED教室灯尺寸长宽600*600±5mm；为一体式侧发光微晶防眩面板灯，棱锥体光学结构设计，微晶结构长短轴尺寸比值≥2，采用高性能光学板材辊压成型；至少有3种光学材料组成，包含反射纸、导光板、微晶防眩板等，采用侧发光的出光方式，灯体表面发光均匀，无暗影。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LED教室灯光源模组采用铝基板，导入胶带均匀的固定在灯体上，使灯条和散热体大面积接触；灯体上至少有4个防掉落挂钩，安装好后可挂在吊架上，保证安全无掉落风险。光源使用双蓝光光谱，有效减少蓝光危害。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3、LED教室灯驱动电源需为隔离型恒流驱动，电源有外壳并可靠固定。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4、LED教室灯功率＜45W。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5、LED教室灯光效（或灯具效能）≥80 lm/W。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6、LED教室灯色温（或相关色温）4300K-5300K。</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7、LED教室灯显色指数Ra＞90、R9＞50。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8、LED教室灯色容差（色品容差）≤5 SDCM。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9、LED教室灯通过人体电磁辐射测试。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10、LED教室灯蓝光危害等级为RG0（或0类危险）。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11、LED教室灯频闪无危害或无显著影响或无频闪危害。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12、LED教室灯至少依据《GB/T 26572》标准通过电器电子产品认证。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★13、LED教室灯选用足够数量小功率LED灯珠，灯珠实际使用功率不宜超过额定功率的50%，以提高其发光效率和降低灯具光衰，且LED教室灯须通过CCC认证。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14、LED教室灯在大气压力≥100kPa，平均湿度≥50%RH、极值空气温度≤-20℃及相对温差≥33℃的实地自然环境条件下至少持续运行400小时，至少依据《GB/T9468》标准满足光通量的实测值与初始值的偏差不超过-10%。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15、LED教室灯在大气压力≥100kPa，平均湿度≥50%RH、极值空气温度≤-20℃及相对温差≥33℃的实地自然环境条件下至少持续运行400小时，至少依据《GB/T36979》满足空间颜色非均匀性△u’v’≤0.007。</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LED教室灯在大气压力≥100kPa，平均湿度≥50%RH、极值空气温度≤-20℃及相对温差≥33℃的实地自然环境条件下至少持续运行400小时，至少依据《GB/T9468》标准满足光束角C0-C180及C90-C270的实测值与初始值偏差均不超过±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17、LED教室灯在大气压力≥100kPa，平均湿度≥50%RH、极值空气温度≤-20℃及相对温差≥33℃的实地自然环境条件下至少持续运行400小时，至少依据《GB/T 18595》标准满足浪涌性能达到C或以上等级。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18、LED教室灯在大气压力≥100kPa，平均湿度≥50%RH、极值空气温度≤-20℃及相对温差≥33℃的实地自然环境条件下至少持续运行400小时，至少依据《GB/T6882》标准满足噪声＜17dB（A）。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19、LED教室灯依据《GB40070》标准并符合《CQC16-465145-2021》认证规则通过近视防控认证。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备注：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▲序号1至序号3投标人须提供相关佐证材料，包含但不限于产品彩页或技术参数确认函。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序号9投标人须提供第三方检测机构出具的封面带有CMA及CNAS标志的检测报告及检测报告编号在全国认证认可信息公共服务平台的查询证明复印件，同时提供报告所引用检测标准依据在中国合格评定国家认可委员会官网查询的能力范围证明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序号10至序号19投标人须提供第三方认证机构出具的认证证书及全国认证认可信息公共服务平台证书状态为“有效”查询证明复印件（证书与查询证明文件上均须同时体现产品型号及认证标准；若有要求实地自然环境条件的，证书上须体现“实地验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103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A0D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29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98BEEE">
            <w:pPr>
              <w:jc w:val="center"/>
              <w:rPr>
                <w:rFonts w:hint="eastAsia" w:ascii="宋体" w:hAnsi="宋体" w:eastAsia="宋体" w:cs="宋体"/>
                <w:i w:val="0"/>
                <w:iCs w:val="0"/>
                <w:color w:val="000000"/>
                <w:sz w:val="18"/>
                <w:szCs w:val="18"/>
                <w:u w:val="none"/>
              </w:rPr>
            </w:pPr>
          </w:p>
        </w:tc>
      </w:tr>
    </w:tbl>
    <w:p w14:paraId="15250865">
      <w:pPr>
        <w:rPr>
          <w:rFonts w:hint="eastAsia" w:ascii="宋体" w:hAnsi="宋体" w:eastAsia="宋体" w:cs="宋体"/>
          <w:sz w:val="18"/>
          <w:szCs w:val="18"/>
        </w:rPr>
      </w:pPr>
    </w:p>
    <w:tbl>
      <w:tblPr>
        <w:tblStyle w:val="2"/>
        <w:tblW w:w="981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3"/>
        <w:gridCol w:w="648"/>
        <w:gridCol w:w="5877"/>
        <w:gridCol w:w="416"/>
        <w:gridCol w:w="416"/>
        <w:gridCol w:w="2033"/>
      </w:tblGrid>
      <w:tr w14:paraId="01787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9813" w:type="dxa"/>
            <w:gridSpan w:val="6"/>
            <w:tcBorders>
              <w:top w:val="single" w:color="000000" w:sz="4" w:space="0"/>
              <w:left w:val="single" w:color="000000" w:sz="4" w:space="0"/>
              <w:bottom w:val="single" w:color="000000" w:sz="4" w:space="0"/>
              <w:right w:val="single" w:color="000000" w:sz="4" w:space="0"/>
            </w:tcBorders>
            <w:noWrap/>
            <w:vAlign w:val="center"/>
          </w:tcPr>
          <w:p w14:paraId="1F6A16D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化学准备室清单</w:t>
            </w:r>
          </w:p>
        </w:tc>
      </w:tr>
      <w:tr w14:paraId="240E4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23" w:type="dxa"/>
            <w:tcBorders>
              <w:top w:val="single" w:color="000000" w:sz="4" w:space="0"/>
              <w:left w:val="single" w:color="000000" w:sz="4" w:space="0"/>
              <w:bottom w:val="single" w:color="000000" w:sz="4" w:space="0"/>
              <w:right w:val="single" w:color="000000" w:sz="4" w:space="0"/>
            </w:tcBorders>
            <w:noWrap w:val="0"/>
            <w:vAlign w:val="center"/>
          </w:tcPr>
          <w:p w14:paraId="1FAE71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26AEB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货物名称</w:t>
            </w:r>
          </w:p>
        </w:tc>
        <w:tc>
          <w:tcPr>
            <w:tcW w:w="5877" w:type="dxa"/>
            <w:tcBorders>
              <w:top w:val="single" w:color="000000" w:sz="4" w:space="0"/>
              <w:left w:val="single" w:color="000000" w:sz="4" w:space="0"/>
              <w:bottom w:val="single" w:color="000000" w:sz="4" w:space="0"/>
              <w:right w:val="single" w:color="000000" w:sz="4" w:space="0"/>
            </w:tcBorders>
            <w:noWrap w:val="0"/>
            <w:vAlign w:val="center"/>
          </w:tcPr>
          <w:p w14:paraId="5C386B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技术参数</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43FB94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404A2D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2033" w:type="dxa"/>
            <w:tcBorders>
              <w:top w:val="single" w:color="000000" w:sz="4" w:space="0"/>
              <w:left w:val="single" w:color="000000" w:sz="4" w:space="0"/>
              <w:bottom w:val="single" w:color="000000" w:sz="4" w:space="0"/>
              <w:right w:val="single" w:color="000000" w:sz="4" w:space="0"/>
            </w:tcBorders>
            <w:noWrap w:val="0"/>
            <w:vAlign w:val="center"/>
          </w:tcPr>
          <w:p w14:paraId="0CA1FBA8">
            <w:pPr>
              <w:keepNext w:val="0"/>
              <w:keepLines w:val="0"/>
              <w:widowControl/>
              <w:suppressLineNumbers w:val="0"/>
              <w:jc w:val="center"/>
              <w:textAlignment w:val="center"/>
              <w:rPr>
                <w:rFonts w:hint="eastAsia" w:ascii="宋体" w:hAnsi="宋体" w:eastAsia="宋体" w:cs="宋体"/>
                <w:i w:val="0"/>
                <w:iCs w:val="0"/>
                <w:color w:val="FF0000"/>
                <w:sz w:val="18"/>
                <w:szCs w:val="18"/>
                <w:u w:val="none"/>
              </w:rPr>
            </w:pPr>
          </w:p>
        </w:tc>
      </w:tr>
      <w:tr w14:paraId="4DE1C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13"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D9982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基础设备</w:t>
            </w:r>
          </w:p>
        </w:tc>
      </w:tr>
      <w:tr w14:paraId="3EE7C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756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818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准备台</w:t>
            </w:r>
          </w:p>
        </w:tc>
        <w:tc>
          <w:tcPr>
            <w:tcW w:w="58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976BB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规格：2400*1200*780mm（含水槽台长3000mm）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1、桌身</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1.1台面采用12.7mm厚双面膜实芯理化板，▲投标人须提供省级及以上检测机构出具的检测报告（具备CMA或CNAS标志）复印件，各项性能满足或优于如下要求：（1）化学性能检测：依据GB/T 17657-2022《人造板及饰面人造板理化性能试验方法》标准，耐污染性能不少于128项试验污染物的检测，且包含：65%硝酸、98%硫酸、氢氧化钾、液溴、乙酸氨、液体石蜡、红药水、丙酮、四氢呋喃、松节油等试剂，覆盖玻璃盖板和未覆盖玻璃盖板检验结果均为5级：无明显变化。（2）物理性能检测：依据GB/T 17657-2022《人造板及饰面人造板理化性能试验方法》标准，符合： 含水率：≤0.9%；吸水厚度膨胀率≤0.1%；尺寸稳定性：横向≤0.07%、纵向≤0.04%；板面握螺钉力≥3490N；表面耐冷热循环性能：表面无裂纹及鼓泡；浸渍剥离性能：贴面层与基材之间的胶层无剥离和分层现象；表面耐划痕性能：4.5N作用下试件表面无大于90%的连续划痕，表面装饰花纹无破坏现象；耐沸水性能：质量增加百分率≤0.01%、厚度增加百分率≤0.08%，表面质量等级：5级：无变化，边缘质量等级：5级：无明显变化；耐开裂性能：5级：无细微裂纹；表面耐磨性能：≥1100r,未出现磨损点等不低于27项检测。（3）环保性能检测：依据GB 18580-2017《室内装饰装修材料人造板及其制品中甲醛释放限量》标准，符合甲醛释放量&lt;0.005 mg/M3；同时参照GB 18584-2001《室内装饰装修材料木家具中有害物质限量》标准，符合4种重金属含量mg/kg（可溶性铅≤2.8、镉：≤0.1、铬≤0.2、汞：未检出）。（4）抗菌性能检测：依据JC/T2039-2010标准，符合：大肠杆菌、金黄色葡萄球菌、肺炎克雷伯氏菌、鼠伤寒沙门氏菌、表皮葡萄球菌、铜绿假单胞菌、宋氏志贺氏菌、白色葡萄球菌、粪肠球菌；耐甲氧西林金黄色葡萄球菌、单核细胞增生李斯特氏菌、变异库克菌、溶血性链球菌等不少于 13 种的菌种检测，且抗菌率≥95%。（5）防霉性能检测：依据JC/T2039-2010标准，符合：黑曲霉、土曲霉、球毛壳霉、宛氏拟青霉、绳状青霉、出芽短梗霉等不少于6种的霉菌检测，且防霉等级为0级。（6）烟气毒性检测：依据GB 8624-2012《建筑材料及制品燃烧性能分级》标准，烟气毒性等级 t1 级：ZA3（达到准安全三级ZA3）。（7）抗老化性检测：依据GB/T24508-2020标准：48小时无开裂、无鼓泡、无粉化。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1.2、新型塑铝结构。学生位镂空式，符合人体工程学设计，美观大方。书包斗采用整体ABS工程塑料一次性注塑成型，规格425*270*165，镂空设计，便于清理，不屯垃圾，中间设挂凳卡。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桌脚采用三段式高强度铝合金结构，整体规格545*770，中立柱采用122*55mm*1.5mm厚承重型铝合金型材微倾斜式设计，上下脚采用铝合金一次压铸成型，采用8个高强度螺丝连接；下桌架设有专用孔位与地面固定，并配有专用装饰盖，同一侧面两只工型腿上部采用一条66*25mm铝合金型材连成一个整体；外观流线形设计，简洁美观，易碰撞处全部采用倒圆角，产品款式要求整体设计美观、合理、安全、牢固、耐用。金属表面经环氧树脂粉末喷涂高温固化处理。要做到承重性能强和耐酸碱、耐腐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桌脚间通过金属三卡锁专用连接件将铝合金型材连接，并可根据实际需求在中柱的凹槽内随意调节位置，便于组装及拆卸，外观流线形设计，简洁美观,易碰撞处全部采用倒圆角，产品款式要求整体设计美观、合理、安全、牢固、耐用。金属表面经环氧树脂粉末喷涂高温固化处理。要做到承重性能强和耐酸碱、耐腐蚀。</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A53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4DF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03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6802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6CFB6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299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E7E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单面可调滴水架</w:t>
            </w:r>
          </w:p>
        </w:tc>
        <w:tc>
          <w:tcPr>
            <w:tcW w:w="58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793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550×700mm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1、材质：高密度PP；</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2、类型：单面；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3、底部托盘中间设有排水孔；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4、可拆卸式滴水棒，具有锁扣功能，方便使用（56根棒）；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5、安装方式：壁挂式/台式。</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F37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490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03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65DA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45DC9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134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C2AE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试剂架</w:t>
            </w:r>
          </w:p>
        </w:tc>
        <w:tc>
          <w:tcPr>
            <w:tcW w:w="58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5133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规格2400*335*750mm，试剂架安装方便、简单；外形美观大气，主要框架有铝合金组成，有不生锈，抗酸碱，耐腐蚀的特点，承重力好；晃动小等优点。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立柱：试剂架立柱采用一体挤压成型规格≥42mm*90mm，厚度1.25mm（±0.2mm），两边都设计有一个凹槽，方便连接挂板；侧面镶嵌pvc装饰彩条和桌面同色。立柱上预留插座安装孔位，可选装电源插座、RJ45网络接口和USB接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护栏：采用优质铝材一体挤压成型，规格≥15mm*40mm，厚度1.2mm（±0.2mm）；外侧面镶嵌PVC装饰彩条和桌面同色；材料表面经过防腐氧化和纯环氧树脂塑粉高温固化处理，具有较强的耐蚀性及承重性。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试剂架玻璃挂板：中央台挂板规格335mm。采用高性能钢铁冲压成型，材料表面经过防腐氧化处理和纯环氧树脂塑粉高温固化处理，具有较强的耐蚀性及承重性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试剂架立柱底座：采用2.0厚镀锌冷轧钢冲压成U字型，底部和侧面均有预留螺丝孔位用于固定桌面和立柱。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试剂架立柱堵头：采用一体注塑成型，原料采用全新料，有耐酸、耐碱等特性。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玻璃：8mm厚的钢化玻璃，四周磨砂安全角。</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05A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FF8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03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2ADA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24731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E7F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EEE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w:t>
            </w:r>
          </w:p>
        </w:tc>
        <w:tc>
          <w:tcPr>
            <w:tcW w:w="58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CCBA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台侧装有一个交流220V输出五孔插座。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学生电源的性能指标符合JY/T 0374-2004标准。</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975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0BA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03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8AFE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6CDD7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905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8677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水槽柜</w:t>
            </w:r>
          </w:p>
        </w:tc>
        <w:tc>
          <w:tcPr>
            <w:tcW w:w="58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B785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水槽台整体规格：长500*宽600*高845mm，分柜体和水槽两部分组成。柜体部分采用PP改性材料，塑料注塑模一次性成型，卯榫结构连接，螺丝加固确保柜体结构稳固；柜体前后各有一个带锁的检修门，方便日后维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2、水槽部分，采用PP材料一次注塑成型，前沿有挡水并带有防溢水孔，水槽预留安装水嘴和洗眼器孔，水封式水塞可防止废水回流和堵塞。</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3、水槽台的甲醛、苯、甲苯等有害物质释放量按GB/T35607-2017《绿色产品评价 家具》的标准检测均未检出，并提供相应检测报告。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4、水槽台外观符合G/T 32487-2016《塑料家具通用技术条件》标准中相关规定，并提供检测报告；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▲投标人提供序号3、4具有CMA或CNAS认证的检测机构出具的检测报告，检测报告可在“国家认证认可监督管理委员会”官网和检测机构的官网上同时可查真伪，复印件或扫描件需注明本次招标采购项目名称及编号。</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418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B06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03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FF6E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453C7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0" w:hRule="atLeast"/>
        </w:trPr>
        <w:tc>
          <w:tcPr>
            <w:tcW w:w="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C8E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75C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三联水嘴</w:t>
            </w:r>
          </w:p>
        </w:tc>
        <w:tc>
          <w:tcPr>
            <w:tcW w:w="58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0A0FF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鹅颈式实验室专用优质化验水嘴：要求防酸碱、防锈、防虹吸、防阻塞，表面环氧树脂喷涂。出水嘴为铜质瓷芯，高头，便于多用途使用，可拆卸清洗阻塞。出水嘴可拆卸，内有成型螺纹，可方便连接循环等特殊用水水管。</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C9C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ED5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03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0BF8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5AB01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5" w:hRule="atLeast"/>
        </w:trPr>
        <w:tc>
          <w:tcPr>
            <w:tcW w:w="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8AE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714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塑料仪器柜ABS</w:t>
            </w:r>
          </w:p>
        </w:tc>
        <w:tc>
          <w:tcPr>
            <w:tcW w:w="58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C6AEC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1、规格1000*500*2000mm；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侧板、层板采用环保型pp改性材料一次注塑成型，表面做磨砂处理。榫卯连接结构并合理布局加强筋，配合专用塑料紧固件连接，顶板、中板和底板的底部镶嵌15*30mm钢管加强，承重力强，产品不变形、不扭曲，可重复拆装使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3、上柜门：采用增强型PP材质一体注塑成型，外嵌4mm±0.5mm钢化烤漆玻璃,中间玻璃做镂空处理，透明可视。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4、下柜门：采用增强型PP材质一体注塑成型，外嵌4mm±0.5mm钢化烤漆玻璃。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5、门把手：采用增强型PP材质一次注塑成型，安装于两门的门缝处，凹凸配套，增加柜子内部的气密性。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层板：上柜配两块活动层板，下柜配一块活动层板；层板采用工程塑料经模具挤出成型，中空双层结构，内部均匀分布加强筋并内置两条30*15mm钢管；两边配置密封堵头，整板无裸露金属，避免腐蚀生锈，美观耐用。层板可以抽取，自由组合各层空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7、门铰链：用改性pp材料模具一次成型，伸缩式pp旋转门轴，内嵌隐藏方便安装，耐腐蚀。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8、柜门固定所需螺丝均采用304不锈钢，柜子内部空间无裸露金属材料，确保柜子的耐腐蚀性。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9、柜子顶部和底部都预留通风系统接口，与通风管路连接；接口处配有手动调节装置，可以打开或关闭通风口。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10、产品有害物质限量要求符合GB 28481-2012《塑料家具中有害物质限量》中相关要求，并提供检测报告。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11、柜子力学性能要符合标准GB 24820-2009《实验室家具通用技术条件》中储物柜力学性能的相关要求，并提供检测报告。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投标人须提供序号9、10具有CMA、CNAS认证的检测机构出具的检测报告，检测报告可在“国家认证认可监督管理委员会”官网和检测机构的官网上同时可查真伪，复印件或扫描件需注明本次招标采购项目名称及编号。</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B66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55C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203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541F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1F6D6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813"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CAD71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水电部分</w:t>
            </w:r>
          </w:p>
        </w:tc>
      </w:tr>
      <w:tr w14:paraId="7ED65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4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47DB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3F37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布线系统</w:t>
            </w:r>
          </w:p>
        </w:tc>
        <w:tc>
          <w:tcPr>
            <w:tcW w:w="58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F5F0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地面对接，由教师主控电源控制学生电源，安装调试（含辅料及耗材）。符合安全用电要求。</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4E9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6C3E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03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6D4D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地下工程自建</w:t>
            </w:r>
          </w:p>
        </w:tc>
      </w:tr>
      <w:tr w14:paraId="61ED8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4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ACC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A10F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给排水系统</w:t>
            </w:r>
          </w:p>
        </w:tc>
        <w:tc>
          <w:tcPr>
            <w:tcW w:w="58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3087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地面对接，安装调试（含辅料及耗材）。符合安全用水要求</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EE5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F03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03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F5C7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地下工程自建</w:t>
            </w:r>
          </w:p>
        </w:tc>
      </w:tr>
      <w:tr w14:paraId="464A7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9813"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5E4D6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装修部分</w:t>
            </w:r>
          </w:p>
        </w:tc>
      </w:tr>
      <w:tr w14:paraId="3B3C2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23" w:type="dxa"/>
            <w:tcBorders>
              <w:top w:val="nil"/>
              <w:left w:val="single" w:color="000000" w:sz="4" w:space="0"/>
              <w:bottom w:val="single" w:color="000000" w:sz="4" w:space="0"/>
              <w:right w:val="single" w:color="000000" w:sz="4" w:space="0"/>
            </w:tcBorders>
            <w:shd w:val="clear" w:color="auto" w:fill="auto"/>
            <w:noWrap w:val="0"/>
            <w:vAlign w:val="center"/>
          </w:tcPr>
          <w:p w14:paraId="06959A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48" w:type="dxa"/>
            <w:tcBorders>
              <w:top w:val="nil"/>
              <w:left w:val="single" w:color="000000" w:sz="4" w:space="0"/>
              <w:bottom w:val="single" w:color="000000" w:sz="4" w:space="0"/>
              <w:right w:val="single" w:color="000000" w:sz="4" w:space="0"/>
            </w:tcBorders>
            <w:shd w:val="clear" w:color="auto" w:fill="auto"/>
            <w:noWrap w:val="0"/>
            <w:vAlign w:val="center"/>
          </w:tcPr>
          <w:p w14:paraId="63648E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布线系统（地下部分）</w:t>
            </w:r>
          </w:p>
        </w:tc>
        <w:tc>
          <w:tcPr>
            <w:tcW w:w="5877" w:type="dxa"/>
            <w:tcBorders>
              <w:top w:val="nil"/>
              <w:left w:val="single" w:color="000000" w:sz="4" w:space="0"/>
              <w:bottom w:val="single" w:color="000000" w:sz="4" w:space="0"/>
              <w:right w:val="single" w:color="000000" w:sz="4" w:space="0"/>
            </w:tcBorders>
            <w:shd w:val="clear" w:color="auto" w:fill="auto"/>
            <w:noWrap w:val="0"/>
            <w:vAlign w:val="center"/>
          </w:tcPr>
          <w:p w14:paraId="11009E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线2.5平方、4平方、6平方插排、PVC管、网线、空气开关、网络接口Rosenberger超五类模块；开槽暗敷，电线连接部分采用焊接方式防水胶布2层，绝缘胶布2层，加以保护，配电采用铝塑管护套,内穿BV塑铜线，多媒体产品安装、调试</w:t>
            </w:r>
          </w:p>
        </w:tc>
        <w:tc>
          <w:tcPr>
            <w:tcW w:w="416" w:type="dxa"/>
            <w:tcBorders>
              <w:top w:val="nil"/>
              <w:left w:val="single" w:color="000000" w:sz="4" w:space="0"/>
              <w:bottom w:val="single" w:color="000000" w:sz="4" w:space="0"/>
              <w:right w:val="single" w:color="000000" w:sz="4" w:space="0"/>
            </w:tcBorders>
            <w:shd w:val="clear" w:color="auto" w:fill="auto"/>
            <w:noWrap/>
            <w:vAlign w:val="center"/>
          </w:tcPr>
          <w:p w14:paraId="1D5017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6" w:type="dxa"/>
            <w:tcBorders>
              <w:top w:val="nil"/>
              <w:left w:val="single" w:color="000000" w:sz="4" w:space="0"/>
              <w:bottom w:val="single" w:color="000000" w:sz="4" w:space="0"/>
              <w:right w:val="single" w:color="000000" w:sz="4" w:space="0"/>
            </w:tcBorders>
            <w:shd w:val="clear" w:color="auto" w:fill="auto"/>
            <w:noWrap w:val="0"/>
            <w:vAlign w:val="center"/>
          </w:tcPr>
          <w:p w14:paraId="1E49AB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033" w:type="dxa"/>
            <w:tcBorders>
              <w:top w:val="nil"/>
              <w:left w:val="single" w:color="000000" w:sz="4" w:space="0"/>
              <w:bottom w:val="single" w:color="000000" w:sz="4" w:space="0"/>
              <w:right w:val="single" w:color="000000" w:sz="4" w:space="0"/>
            </w:tcBorders>
            <w:shd w:val="clear" w:color="auto" w:fill="FFFFFF"/>
            <w:noWrap w:val="0"/>
            <w:vAlign w:val="center"/>
          </w:tcPr>
          <w:p w14:paraId="3539641A">
            <w:pPr>
              <w:jc w:val="center"/>
              <w:rPr>
                <w:rFonts w:hint="eastAsia" w:ascii="宋体" w:hAnsi="宋体" w:eastAsia="宋体" w:cs="宋体"/>
                <w:i w:val="0"/>
                <w:iCs w:val="0"/>
                <w:color w:val="000000"/>
                <w:sz w:val="18"/>
                <w:szCs w:val="18"/>
                <w:u w:val="none"/>
              </w:rPr>
            </w:pPr>
          </w:p>
        </w:tc>
      </w:tr>
      <w:tr w14:paraId="2370F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C823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8D84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给排水系统（地下部分）</w:t>
            </w:r>
          </w:p>
        </w:tc>
        <w:tc>
          <w:tcPr>
            <w:tcW w:w="58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906B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给水采用φ25㎜优质PPR(国标)管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排水采用φ50㎜优质PVC(国标)管，暗敷，安装调试（含辅料及耗材）。符合安全用水要求</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D52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ADFA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03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8C0C87">
            <w:pPr>
              <w:jc w:val="center"/>
              <w:rPr>
                <w:rFonts w:hint="eastAsia" w:ascii="宋体" w:hAnsi="宋体" w:eastAsia="宋体" w:cs="宋体"/>
                <w:i w:val="0"/>
                <w:iCs w:val="0"/>
                <w:color w:val="000000"/>
                <w:sz w:val="18"/>
                <w:szCs w:val="18"/>
                <w:u w:val="none"/>
              </w:rPr>
            </w:pPr>
          </w:p>
        </w:tc>
      </w:tr>
      <w:tr w14:paraId="02770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EFE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1A5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灯具</w:t>
            </w:r>
          </w:p>
        </w:tc>
        <w:tc>
          <w:tcPr>
            <w:tcW w:w="58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EBA4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LED教室灯尺寸长宽600*600±5mm；为一体式侧发光微晶防眩面板灯，棱锥体光学结构设计，微晶结构长短轴尺寸比值≥2，采用高性能光学板材辊压成型；至少有3种光学材料组成，包含反射纸、导光板、微晶防眩板等，采用侧发光的出光方式，灯体表面发光均匀，无暗影。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LED教室灯光源模组采用铝基板，导入胶带均匀的固定在灯体上，使灯条和散热体大面积接触；灯体上至少有4个防掉落挂钩，安装好后可挂在吊架上，保证安全无掉落风险。光源使用双蓝光光谱，有效减少蓝光危害。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3、LED教室灯驱动电源需为隔离型恒流驱动，电源有外壳并可靠固定。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4、LED教室灯功率＜45W。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5、LED教室灯光效（或灯具效能）≥80 lm/W。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6、LED教室灯色温（或相关色温）4300K-5300K。</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7、LED教室灯显色指数Ra＞90、R9＞50。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8、LED教室灯色容差（色品容差）≤5 SDCM。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9、LED教室灯通过人体电磁辐射测试。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10、LED教室灯蓝光危害等级为RG0（或0类危险）。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11、LED教室灯频闪无危害或无显著影响或无频闪危害。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12、LED教室灯至少依据《GB/T 26572》标准通过电器电子产品认证。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★13、LED教室灯选用足够数量小功率LED灯珠，灯珠实际使用功率不宜超过额定功率的50%，以提高其发光效率和降低灯具光衰，且LED教室灯须通过CCC认证。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14、LED教室灯在大气压力≥100kPa，平均湿度≥50%RH、极值空气温度≤-20℃及相对温差≥33℃的实地自然环境条件下至少持续运行400小时，至少依据《GB/T9468》标准满足光通量的实测值与初始值的偏差不超过-10%。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15、LED教室灯在大气压力≥100kPa，平均湿度≥50%RH、极值空气温度≤-20℃及相对温差≥33℃的实地自然环境条件下至少持续运行400小时，至少依据《GB/T36979》满足空间颜色非均匀性△u’v’≤0.007。</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LED教室灯在大气压力≥100kPa，平均湿度≥50%RH、极值空气温度≤-20℃及相对温差≥33℃的实地自然环境条件下至少持续运行400小时，至少依据《GB/T9468》标准满足光束角C0-C180及C90-C270的实测值与初始值偏差均不超过±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17、LED教室灯在大气压力≥100kPa，平均湿度≥50%RH、极值空气温度≤-20℃及相对温差≥33℃的实地自然环境条件下至少持续运行400小时，至少依据《GB/T 18595》标准满足浪涌性能达到C或以上等级。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18、LED教室灯在大气压力≥100kPa，平均湿度≥50%RH、极值空气温度≤-20℃及相对温差≥33℃的实地自然环境条件下至少持续运行400小时，至少依据《GB/T6882》标准满足噪声＜17dB（A）。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19、LED教室灯依据《GB40070》标准并符合《CQC16-465145-2021》认证规则通过近视防控认证。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备注：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▲序号1至序号3投标人须提供相关佐证材料，包含但不限于产品彩页或技术参数确认函。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序号9投标人须提供第三方检测机构出具的封面带有CMA及CNAS标志的检测报告及检测报告编号在全国认证认可信息公共服务平台的查询证明复印件，同时提供报告所引用检测标准依据在中国合格评定国家认可委员会官网查询的能力范围证明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序号10至序号19投标人须提供第三方认证机构出具的认证证书及全国认证认可信息公共服务平台证书状态为“有效”查询证明复印件（证书与查询证明文件上均须同时体现产品型号及认证标准；若有要求实地自然环境条件的，证书上须体现“实地验证”）。</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830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5F9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203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15D933">
            <w:pPr>
              <w:jc w:val="center"/>
              <w:rPr>
                <w:rFonts w:hint="eastAsia" w:ascii="宋体" w:hAnsi="宋体" w:eastAsia="宋体" w:cs="宋体"/>
                <w:i w:val="0"/>
                <w:iCs w:val="0"/>
                <w:color w:val="000000"/>
                <w:sz w:val="18"/>
                <w:szCs w:val="18"/>
                <w:u w:val="none"/>
              </w:rPr>
            </w:pPr>
          </w:p>
        </w:tc>
      </w:tr>
    </w:tbl>
    <w:p w14:paraId="67A17CE6">
      <w:pPr>
        <w:rPr>
          <w:rFonts w:hint="eastAsia" w:ascii="宋体" w:hAnsi="宋体" w:eastAsia="宋体" w:cs="宋体"/>
          <w:sz w:val="18"/>
          <w:szCs w:val="18"/>
        </w:rPr>
      </w:pPr>
    </w:p>
    <w:tbl>
      <w:tblPr>
        <w:tblStyle w:val="2"/>
        <w:tblW w:w="96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16"/>
        <w:gridCol w:w="790"/>
        <w:gridCol w:w="6045"/>
        <w:gridCol w:w="345"/>
        <w:gridCol w:w="513"/>
        <w:gridCol w:w="1571"/>
      </w:tblGrid>
      <w:tr w14:paraId="6C747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8" w:hRule="atLeast"/>
        </w:trPr>
        <w:tc>
          <w:tcPr>
            <w:tcW w:w="9680" w:type="dxa"/>
            <w:gridSpan w:val="6"/>
            <w:tcBorders>
              <w:top w:val="single" w:color="000000" w:sz="4" w:space="0"/>
              <w:left w:val="single" w:color="000000" w:sz="4" w:space="0"/>
              <w:bottom w:val="single" w:color="000000" w:sz="4" w:space="0"/>
              <w:right w:val="single" w:color="000000" w:sz="4" w:space="0"/>
            </w:tcBorders>
            <w:noWrap/>
            <w:vAlign w:val="center"/>
          </w:tcPr>
          <w:p w14:paraId="2639CD9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生物准备室清单</w:t>
            </w:r>
          </w:p>
        </w:tc>
      </w:tr>
      <w:tr w14:paraId="58013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trPr>
        <w:tc>
          <w:tcPr>
            <w:tcW w:w="416" w:type="dxa"/>
            <w:tcBorders>
              <w:top w:val="single" w:color="000000" w:sz="4" w:space="0"/>
              <w:left w:val="single" w:color="000000" w:sz="4" w:space="0"/>
              <w:bottom w:val="single" w:color="000000" w:sz="4" w:space="0"/>
              <w:right w:val="single" w:color="000000" w:sz="4" w:space="0"/>
            </w:tcBorders>
            <w:noWrap w:val="0"/>
            <w:vAlign w:val="center"/>
          </w:tcPr>
          <w:p w14:paraId="7805F2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14:paraId="34E40E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货物名称</w:t>
            </w:r>
          </w:p>
        </w:tc>
        <w:tc>
          <w:tcPr>
            <w:tcW w:w="6045" w:type="dxa"/>
            <w:tcBorders>
              <w:top w:val="single" w:color="000000" w:sz="4" w:space="0"/>
              <w:left w:val="single" w:color="000000" w:sz="4" w:space="0"/>
              <w:bottom w:val="single" w:color="000000" w:sz="4" w:space="0"/>
              <w:right w:val="single" w:color="000000" w:sz="4" w:space="0"/>
            </w:tcBorders>
            <w:noWrap w:val="0"/>
            <w:vAlign w:val="center"/>
          </w:tcPr>
          <w:p w14:paraId="584E6D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技术参数</w:t>
            </w:r>
          </w:p>
        </w:tc>
        <w:tc>
          <w:tcPr>
            <w:tcW w:w="345" w:type="dxa"/>
            <w:tcBorders>
              <w:top w:val="single" w:color="000000" w:sz="4" w:space="0"/>
              <w:left w:val="single" w:color="000000" w:sz="4" w:space="0"/>
              <w:bottom w:val="single" w:color="000000" w:sz="4" w:space="0"/>
              <w:right w:val="single" w:color="000000" w:sz="4" w:space="0"/>
            </w:tcBorders>
            <w:noWrap w:val="0"/>
            <w:vAlign w:val="center"/>
          </w:tcPr>
          <w:p w14:paraId="1B0F40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513" w:type="dxa"/>
            <w:tcBorders>
              <w:top w:val="single" w:color="000000" w:sz="4" w:space="0"/>
              <w:left w:val="single" w:color="000000" w:sz="4" w:space="0"/>
              <w:bottom w:val="single" w:color="000000" w:sz="4" w:space="0"/>
              <w:right w:val="single" w:color="000000" w:sz="4" w:space="0"/>
            </w:tcBorders>
            <w:noWrap w:val="0"/>
            <w:vAlign w:val="center"/>
          </w:tcPr>
          <w:p w14:paraId="6BA4C3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1571" w:type="dxa"/>
            <w:tcBorders>
              <w:top w:val="single" w:color="000000" w:sz="4" w:space="0"/>
              <w:left w:val="single" w:color="000000" w:sz="4" w:space="0"/>
              <w:bottom w:val="single" w:color="000000" w:sz="4" w:space="0"/>
              <w:right w:val="single" w:color="000000" w:sz="4" w:space="0"/>
            </w:tcBorders>
            <w:noWrap w:val="0"/>
            <w:vAlign w:val="center"/>
          </w:tcPr>
          <w:p w14:paraId="010BE43D">
            <w:pPr>
              <w:keepNext w:val="0"/>
              <w:keepLines w:val="0"/>
              <w:widowControl/>
              <w:suppressLineNumbers w:val="0"/>
              <w:jc w:val="center"/>
              <w:textAlignment w:val="center"/>
              <w:rPr>
                <w:rFonts w:hint="eastAsia" w:ascii="宋体" w:hAnsi="宋体" w:eastAsia="宋体" w:cs="宋体"/>
                <w:i w:val="0"/>
                <w:iCs w:val="0"/>
                <w:color w:val="FF0000"/>
                <w:sz w:val="18"/>
                <w:szCs w:val="18"/>
                <w:u w:val="none"/>
              </w:rPr>
            </w:pPr>
          </w:p>
        </w:tc>
      </w:tr>
      <w:tr w14:paraId="32B98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9680"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49425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基础设备</w:t>
            </w:r>
          </w:p>
        </w:tc>
      </w:tr>
      <w:tr w14:paraId="2BFD2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2"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C95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E57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准备台</w:t>
            </w:r>
          </w:p>
        </w:tc>
        <w:tc>
          <w:tcPr>
            <w:tcW w:w="60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E65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规格：2400*1200*780mm（含水槽台长3000mm）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1、桌身</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1.2、新型塑铝结构。学生位镂空式，符合人体工程学设计，美观大方。书包斗采用整体ABS工程塑料一次性注塑成型，规格425*270*165，镂空设计，便于清理，不屯垃圾，中间设挂凳卡。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桌脚采用三段式高强度铝合金结构，整体规格545*770，中立柱采用122*55mm*1.5mm厚承重型铝合金型材微倾斜式设计，上下脚采用铝合金一次压铸成型，采用8个高强度螺丝连接；下桌架设有专用孔位与地面固定，并配有专用装饰盖，同一侧面两只工型腿上部采用一条66*25mm铝合金型材连成一个整体；外观流线形设计，简洁美观，易碰撞处全部采用倒圆角，产品款式要求整体设计美观、合理、安全、牢固、耐用。金属表面经环氧树脂粉末喷涂高温固化处理。要做到承重性能强和耐酸碱、耐腐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桌脚间通过金属三卡锁专用连接件将铝合金型材连接，并可根据实际需求在中柱的凹槽内随意调节位置，便于组装及拆卸，外观流线形设计，简洁美观,易碰撞处全部采用倒圆角，产品款式要求整体设计美观、合理、安全、牢固、耐用。金属表面经环氧树脂粉末喷涂高温固化处理。要做到承重性能强和耐酸碱、耐腐蚀。</w:t>
            </w:r>
          </w:p>
        </w:tc>
        <w:tc>
          <w:tcPr>
            <w:tcW w:w="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1E3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71B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5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92BC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69BF8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45"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5A1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3BE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单面可调滴水架</w:t>
            </w:r>
          </w:p>
        </w:tc>
        <w:tc>
          <w:tcPr>
            <w:tcW w:w="60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05FD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550×700mm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1、材质：高密度PP；</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2、类型：单面；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3、底部托盘中间设有排水孔；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4、可拆卸式滴水棒，具有锁扣功能，方便使用（56根棒）；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5、安装方式：壁挂式/台式。</w:t>
            </w:r>
          </w:p>
        </w:tc>
        <w:tc>
          <w:tcPr>
            <w:tcW w:w="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ACD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439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5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9F0A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55714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3"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E7D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A64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试剂架</w:t>
            </w:r>
          </w:p>
        </w:tc>
        <w:tc>
          <w:tcPr>
            <w:tcW w:w="60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B60A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规格2400*335*750mm，试剂架安装方便、简单；外形美观大气，主要框架有铝合金组成，有不生锈，抗酸碱，耐腐蚀的特点，承重力好；晃动小等优点。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立柱：试剂架立柱采用一体挤压成型规格≥42mm*90mm，厚度1.25mm（±0.2mm），两边都设计有一个凹槽，方便连接挂板；侧面镶嵌pvc装饰彩条和桌面同色。立柱上预留插座安装孔位，可选装电源插座、RJ45网络接口和USB接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护栏：采用优质铝材一体挤压成型，规格≥15mm*40mm，厚度1.2mm（±0.2mm）；外侧面镶嵌PVC装饰彩条和桌面同色；材料表面经过防腐氧化和纯环氧树脂塑粉高温固化处理，具有较强的耐蚀性及承重性。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试剂架玻璃挂板：中央台挂板规格335mm。采用高性能钢铁冲压成型，材料表面经过防腐氧化处理和纯环氧树脂塑粉高温固化处理，具有较强的耐蚀性及承重性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试剂架立柱底座：采用2.0厚镀锌冷轧钢冲压成U字型，底部和侧面均有预留螺丝孔位用于固定桌面和立柱。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试剂架立柱堵头：采用一体注塑成型，原料采用全新料，有耐酸、耐碱等特性。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玻璃：8mm厚的钢化玻璃，四周磨砂安全角。</w:t>
            </w:r>
          </w:p>
        </w:tc>
        <w:tc>
          <w:tcPr>
            <w:tcW w:w="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FBE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5FB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5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30D4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5AB38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9B7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943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w:t>
            </w:r>
          </w:p>
        </w:tc>
        <w:tc>
          <w:tcPr>
            <w:tcW w:w="60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4E1E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台侧装有一个交流220V输出五孔插座。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学生电源的性能指标符合JY/T 0374-2004标准。</w:t>
            </w:r>
          </w:p>
        </w:tc>
        <w:tc>
          <w:tcPr>
            <w:tcW w:w="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051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0AC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5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94CE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6D12C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34"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131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CB9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水槽</w:t>
            </w:r>
          </w:p>
        </w:tc>
        <w:tc>
          <w:tcPr>
            <w:tcW w:w="60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8028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水槽台整体规格：长500*宽600*高845mm，分柜体和水槽两部分组成。柜体部分采用PP改性材料，塑料注塑模一次性成型，卯榫结构连接，螺丝加固确保柜体结构稳固；柜体前后各有一个带锁的检修门，方便日后维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2、水槽部分，采用PP材料一次注塑成型，前沿有挡水并带有防溢水孔，水槽预留安装水嘴和洗眼器孔，水封式水塞可防止废水回流和堵塞。</w:t>
            </w:r>
          </w:p>
        </w:tc>
        <w:tc>
          <w:tcPr>
            <w:tcW w:w="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82D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090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5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1CBE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3F81A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4"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053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46C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水嘴</w:t>
            </w:r>
          </w:p>
        </w:tc>
        <w:tc>
          <w:tcPr>
            <w:tcW w:w="60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4098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鹅颈式实验室专用优质化验水嘴：要求防酸碱、防锈、防虹吸、防阻塞，表面环氧树脂喷涂。出水嘴为铜质瓷芯，高头，便于多用途使用，可拆卸清洗阻塞。出水嘴可拆卸，内有成型螺纹，可方便连接循环等特殊用水水管。</w:t>
            </w:r>
          </w:p>
        </w:tc>
        <w:tc>
          <w:tcPr>
            <w:tcW w:w="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DC7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277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5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38D3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1E306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38"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58C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3BB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塑料仪器柜ABS</w:t>
            </w:r>
          </w:p>
        </w:tc>
        <w:tc>
          <w:tcPr>
            <w:tcW w:w="60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591F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1、规格1000*500*2000mm；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侧板、层板采用环保型pp改性材料一次注塑成型，表面做磨砂处理。榫卯连接结构并合理布局加强筋，配合专用塑料紧固件连接，顶板、中板和底板的底部镶嵌15*30mm钢管加强，承重力强，产品不变形、不扭曲，可重复拆装使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3、上柜门：采用增强型PP材质一体注塑成型，外嵌4mm±0.5mm钢化烤漆玻璃,中间玻璃做镂空处理，透明可视。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4、下柜门：采用增强型PP材质一体注塑成型，外嵌4mm±0.5mm钢化烤漆玻璃。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5、门把手：采用增强型PP材质一次注塑成型，安装于两门的门缝处，凹凸配套，增加柜子内部的气密性。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层板：上柜配两块活动层板，下柜配一块活动层板；层板采用工程塑料经模具挤出成型，中空双层结构，内部均匀分布加强筋并内置两条30*15mm钢管；两边配置密封堵头，整板无裸露金属，避免腐蚀生锈，美观耐用。层板可以抽取，自由组合各层空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7、门铰链：用改性pp材料模具一次成型，伸缩式pp旋转门轴，内嵌隐藏方便安装，耐腐蚀。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8、柜门固定所需螺丝均采用304不锈钢，柜子内部空间无裸露金属材料，确保柜子的耐腐蚀性。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9、柜子顶部和底部都预留通风系统接口，与通风管路连接；接口处配有手动调节装置，可以打开或关闭通风口。</w:t>
            </w:r>
          </w:p>
        </w:tc>
        <w:tc>
          <w:tcPr>
            <w:tcW w:w="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609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CF2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5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293D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43224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9680"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81C7E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水电部分</w:t>
            </w:r>
          </w:p>
        </w:tc>
      </w:tr>
      <w:tr w14:paraId="40FFF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5"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C25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1F98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布线系统</w:t>
            </w:r>
          </w:p>
        </w:tc>
        <w:tc>
          <w:tcPr>
            <w:tcW w:w="60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E38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地面对接，由教师主控电源控制学生电源，安装调试（含辅料及耗材）。符合安全用电要求。</w:t>
            </w:r>
          </w:p>
        </w:tc>
        <w:tc>
          <w:tcPr>
            <w:tcW w:w="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D37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49B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5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190A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地下工程自建</w:t>
            </w:r>
          </w:p>
        </w:tc>
      </w:tr>
      <w:tr w14:paraId="789C8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1"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BD96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7C9B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给排水系统</w:t>
            </w:r>
          </w:p>
        </w:tc>
        <w:tc>
          <w:tcPr>
            <w:tcW w:w="60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5B2E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地面对接，安装调试（含辅料及耗材）。符合安全用水要求</w:t>
            </w:r>
          </w:p>
        </w:tc>
        <w:tc>
          <w:tcPr>
            <w:tcW w:w="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D03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86E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5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56D5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地下工程自建</w:t>
            </w:r>
          </w:p>
        </w:tc>
      </w:tr>
      <w:tr w14:paraId="46985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9680"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F01F8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装修部分</w:t>
            </w:r>
          </w:p>
        </w:tc>
      </w:tr>
      <w:tr w14:paraId="02376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6" w:hRule="atLeast"/>
        </w:trPr>
        <w:tc>
          <w:tcPr>
            <w:tcW w:w="416" w:type="dxa"/>
            <w:tcBorders>
              <w:top w:val="nil"/>
              <w:left w:val="single" w:color="000000" w:sz="4" w:space="0"/>
              <w:bottom w:val="single" w:color="000000" w:sz="4" w:space="0"/>
              <w:right w:val="single" w:color="000000" w:sz="4" w:space="0"/>
            </w:tcBorders>
            <w:shd w:val="clear" w:color="auto" w:fill="auto"/>
            <w:noWrap w:val="0"/>
            <w:vAlign w:val="center"/>
          </w:tcPr>
          <w:p w14:paraId="10E218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90" w:type="dxa"/>
            <w:tcBorders>
              <w:top w:val="nil"/>
              <w:left w:val="single" w:color="000000" w:sz="4" w:space="0"/>
              <w:bottom w:val="single" w:color="000000" w:sz="4" w:space="0"/>
              <w:right w:val="single" w:color="000000" w:sz="4" w:space="0"/>
            </w:tcBorders>
            <w:shd w:val="clear" w:color="auto" w:fill="auto"/>
            <w:noWrap w:val="0"/>
            <w:vAlign w:val="center"/>
          </w:tcPr>
          <w:p w14:paraId="4CDC64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布线系统（地下部分）</w:t>
            </w:r>
          </w:p>
        </w:tc>
        <w:tc>
          <w:tcPr>
            <w:tcW w:w="6045" w:type="dxa"/>
            <w:tcBorders>
              <w:top w:val="nil"/>
              <w:left w:val="single" w:color="000000" w:sz="4" w:space="0"/>
              <w:bottom w:val="single" w:color="000000" w:sz="4" w:space="0"/>
              <w:right w:val="single" w:color="000000" w:sz="4" w:space="0"/>
            </w:tcBorders>
            <w:shd w:val="clear" w:color="auto" w:fill="auto"/>
            <w:noWrap w:val="0"/>
            <w:vAlign w:val="center"/>
          </w:tcPr>
          <w:p w14:paraId="0247F1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线2.5平方、4平方、6平方插排、PVC管、网线、空气开关、网络接口Rosenberger超五类模块；开槽暗敷，电线连接部分采用焊接方式防水胶布2层，绝缘胶布2层，加以保护，配电采用铝塑管护套,内穿BV塑铜线，多媒体产品安装、调试</w:t>
            </w:r>
          </w:p>
        </w:tc>
        <w:tc>
          <w:tcPr>
            <w:tcW w:w="345" w:type="dxa"/>
            <w:tcBorders>
              <w:top w:val="nil"/>
              <w:left w:val="single" w:color="000000" w:sz="4" w:space="0"/>
              <w:bottom w:val="single" w:color="000000" w:sz="4" w:space="0"/>
              <w:right w:val="single" w:color="000000" w:sz="4" w:space="0"/>
            </w:tcBorders>
            <w:shd w:val="clear" w:color="auto" w:fill="auto"/>
            <w:noWrap/>
            <w:vAlign w:val="center"/>
          </w:tcPr>
          <w:p w14:paraId="70C329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13" w:type="dxa"/>
            <w:tcBorders>
              <w:top w:val="nil"/>
              <w:left w:val="single" w:color="000000" w:sz="4" w:space="0"/>
              <w:bottom w:val="single" w:color="000000" w:sz="4" w:space="0"/>
              <w:right w:val="single" w:color="000000" w:sz="4" w:space="0"/>
            </w:tcBorders>
            <w:shd w:val="clear" w:color="auto" w:fill="auto"/>
            <w:noWrap w:val="0"/>
            <w:vAlign w:val="center"/>
          </w:tcPr>
          <w:p w14:paraId="673957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571" w:type="dxa"/>
            <w:tcBorders>
              <w:top w:val="nil"/>
              <w:left w:val="single" w:color="000000" w:sz="4" w:space="0"/>
              <w:bottom w:val="single" w:color="000000" w:sz="4" w:space="0"/>
              <w:right w:val="single" w:color="000000" w:sz="4" w:space="0"/>
            </w:tcBorders>
            <w:shd w:val="clear" w:color="auto" w:fill="FFFFFF"/>
            <w:noWrap w:val="0"/>
            <w:vAlign w:val="center"/>
          </w:tcPr>
          <w:p w14:paraId="6DFB2634">
            <w:pPr>
              <w:jc w:val="center"/>
              <w:rPr>
                <w:rFonts w:hint="eastAsia" w:ascii="宋体" w:hAnsi="宋体" w:eastAsia="宋体" w:cs="宋体"/>
                <w:i w:val="0"/>
                <w:iCs w:val="0"/>
                <w:color w:val="000000"/>
                <w:sz w:val="18"/>
                <w:szCs w:val="18"/>
                <w:u w:val="none"/>
              </w:rPr>
            </w:pPr>
          </w:p>
        </w:tc>
      </w:tr>
      <w:tr w14:paraId="5F1C9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2"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BBEE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E423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给排水系统（地下部分）</w:t>
            </w:r>
          </w:p>
        </w:tc>
        <w:tc>
          <w:tcPr>
            <w:tcW w:w="60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407F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给水采用φ25㎜优质PPR(国标)管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排水采用φ50㎜优质PVC(国标)管，暗敷，安装调试（含辅料及耗材）。符合安全用水要求</w:t>
            </w:r>
          </w:p>
        </w:tc>
        <w:tc>
          <w:tcPr>
            <w:tcW w:w="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292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FBE1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5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5A0A1D">
            <w:pPr>
              <w:jc w:val="center"/>
              <w:rPr>
                <w:rFonts w:hint="eastAsia" w:ascii="宋体" w:hAnsi="宋体" w:eastAsia="宋体" w:cs="宋体"/>
                <w:i w:val="0"/>
                <w:iCs w:val="0"/>
                <w:color w:val="000000"/>
                <w:sz w:val="18"/>
                <w:szCs w:val="18"/>
                <w:u w:val="none"/>
              </w:rPr>
            </w:pPr>
          </w:p>
        </w:tc>
      </w:tr>
      <w:tr w14:paraId="30D0F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6"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1A3E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162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灯具</w:t>
            </w:r>
          </w:p>
        </w:tc>
        <w:tc>
          <w:tcPr>
            <w:tcW w:w="60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1C56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LED教室灯尺寸长宽600*600±5mm；为一体式侧发光微晶防眩面板灯，棱锥体光学结构设计，微晶结构长短轴尺寸比值≥2，采用高性能光学板材辊压成型；至少有3种光学材料组成，包含反射纸、导光板、微晶防眩板等，采用侧发光的出光方式，灯体表面发光均匀，无暗影。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LED教室灯光源模组采用铝基板，导入胶带均匀的固定在灯体上，使灯条和散热体大面积接触；灯体上至少有4个防掉落挂钩，安装好后可挂在吊架上，保证安全无掉落风险。光源使用双蓝光光谱，有效减少蓝光危害。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3、LED教室灯驱动电源需为隔离型恒流驱动，电源有外壳并可靠固定。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4、LED教室灯功率＜45W。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5、LED教室灯光效（或灯具效能）≥80 lm/W。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6、LED教室灯色温（或相关色温）4300K-5300K。</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7、LED教室灯显色指数Ra＞90、R9＞50。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8、LED教室灯色容差（色品容差）≤5 SDCM。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9、LED教室灯通过人体电磁辐射测试。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10、LED教室灯蓝光危害等级为RG0（或0类危险）。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11、LED教室灯频闪无危害或无显著影响或无频闪危害。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12、LED教室灯至少依据《GB/T 26572》标准通过电器电子产品认证。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★13、LED教室灯选用足够数量小功率LED灯珠，灯珠实际使用功率不宜超过额定功率的50%，以提高其发光效率和降低灯具光衰，且LED教室灯须通过CCC认证。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14、LED教室灯在大气压力≥100kPa，平均湿度≥50%RH、极值空气温度≤-20℃及相对温差≥33℃的实地自然环境条件下至少持续运行400小时，至少依据《GB/T9468》标准满足光通量的实测值与初始值的偏差不超过-10%。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15、LED教室灯在大气压力≥100kPa，平均湿度≥50%RH、极值空气温度≤-20℃及相对温差≥33℃的实地自然环境条件下至少持续运行400小时，至少依据《GB/T36979》满足空间颜色非均匀性△u’v’≤0.007。</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LED教室灯在大气压力≥100kPa，平均湿度≥50%RH、极值空气温度≤-20℃及相对温差≥33℃的实地自然环境条件下至少持续运行400小时，至少依据《GB/T9468》标准满足光束角C0-C180及C90-C270的实测值与初始值偏差均不超过±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17、LED教室灯在大气压力≥100kPa，平均湿度≥50%RH、极值空气温度≤-20℃及相对温差≥33℃的实地自然环境条件下至少持续运行400小时，至少依据《GB/T 18595》标准满足浪涌性能达到C或以上等级。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18、LED教室灯在大气压力≥100kPa，平均湿度≥50%RH、极值空气温度≤-20℃及相对温差≥33℃的实地自然环境条件下至少持续运行400小时，至少依据《GB/T6882》标准满足噪声＜17dB（A）。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19、LED教室灯依据《GB40070》标准并符合《CQC16-465145-2021》认证规则通过近视防控认证。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备注：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▲序号1至序号3投标人须提供相关佐证材料，包含但不限于产品彩页或技术参数确认函。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序号9投标人须提供第三方检测机构出具的封面带有CMA及CNAS标志的检测报告及检测报告编号在全国认证认可信息公共服务平台的查询证明复印件，同时提供报告所引用检测标准依据在中国合格评定国家认可委员会官网查询的能力范围证明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序号10至序号19投标人须提供第三方认证机构出具的认证证书及全国认证认可信息公共服务平台证书状态为“有效”查询证明复印件（证书与查询证明文件上均须同时体现产品型号及认证标准；若有要求实地自然环境条件的，证书上须体现“实地验证”）。</w:t>
            </w:r>
          </w:p>
        </w:tc>
        <w:tc>
          <w:tcPr>
            <w:tcW w:w="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C5C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57F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5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1F43C0">
            <w:pPr>
              <w:jc w:val="center"/>
              <w:rPr>
                <w:rFonts w:hint="eastAsia" w:ascii="宋体" w:hAnsi="宋体" w:eastAsia="宋体" w:cs="宋体"/>
                <w:i w:val="0"/>
                <w:iCs w:val="0"/>
                <w:color w:val="000000"/>
                <w:sz w:val="18"/>
                <w:szCs w:val="18"/>
                <w:u w:val="none"/>
              </w:rPr>
            </w:pPr>
          </w:p>
        </w:tc>
      </w:tr>
    </w:tbl>
    <w:p w14:paraId="44BEAC20">
      <w:pPr>
        <w:rPr>
          <w:rFonts w:hint="eastAsia" w:ascii="宋体" w:hAnsi="宋体" w:eastAsia="宋体" w:cs="宋体"/>
          <w:sz w:val="18"/>
          <w:szCs w:val="18"/>
        </w:rPr>
      </w:pPr>
    </w:p>
    <w:tbl>
      <w:tblPr>
        <w:tblStyle w:val="2"/>
        <w:tblW w:w="948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75"/>
        <w:gridCol w:w="731"/>
        <w:gridCol w:w="5625"/>
        <w:gridCol w:w="405"/>
        <w:gridCol w:w="405"/>
        <w:gridCol w:w="1845"/>
      </w:tblGrid>
      <w:tr w14:paraId="45928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9486" w:type="dxa"/>
            <w:gridSpan w:val="6"/>
            <w:tcBorders>
              <w:top w:val="single" w:color="000000" w:sz="4" w:space="0"/>
              <w:left w:val="single" w:color="000000" w:sz="4" w:space="0"/>
              <w:bottom w:val="single" w:color="000000" w:sz="4" w:space="0"/>
              <w:right w:val="single" w:color="000000" w:sz="4" w:space="0"/>
            </w:tcBorders>
            <w:noWrap/>
            <w:vAlign w:val="center"/>
          </w:tcPr>
          <w:p w14:paraId="4F90D0F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仪器室1清单</w:t>
            </w:r>
          </w:p>
        </w:tc>
      </w:tr>
      <w:tr w14:paraId="611F8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75" w:type="dxa"/>
            <w:tcBorders>
              <w:top w:val="single" w:color="000000" w:sz="4" w:space="0"/>
              <w:left w:val="single" w:color="000000" w:sz="4" w:space="0"/>
              <w:bottom w:val="single" w:color="000000" w:sz="4" w:space="0"/>
              <w:right w:val="single" w:color="000000" w:sz="4" w:space="0"/>
            </w:tcBorders>
            <w:noWrap w:val="0"/>
            <w:vAlign w:val="center"/>
          </w:tcPr>
          <w:p w14:paraId="44125F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4F2D68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货物名称</w:t>
            </w:r>
          </w:p>
        </w:tc>
        <w:tc>
          <w:tcPr>
            <w:tcW w:w="5625" w:type="dxa"/>
            <w:tcBorders>
              <w:top w:val="single" w:color="000000" w:sz="4" w:space="0"/>
              <w:left w:val="single" w:color="000000" w:sz="4" w:space="0"/>
              <w:bottom w:val="single" w:color="000000" w:sz="4" w:space="0"/>
              <w:right w:val="single" w:color="000000" w:sz="4" w:space="0"/>
            </w:tcBorders>
            <w:noWrap w:val="0"/>
            <w:vAlign w:val="center"/>
          </w:tcPr>
          <w:p w14:paraId="6CF452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技术参数</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7EB8B0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690D4C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77889B35">
            <w:pPr>
              <w:keepNext w:val="0"/>
              <w:keepLines w:val="0"/>
              <w:widowControl/>
              <w:suppressLineNumbers w:val="0"/>
              <w:jc w:val="center"/>
              <w:textAlignment w:val="center"/>
              <w:rPr>
                <w:rFonts w:hint="eastAsia" w:ascii="宋体" w:hAnsi="宋体" w:eastAsia="宋体" w:cs="宋体"/>
                <w:i w:val="0"/>
                <w:iCs w:val="0"/>
                <w:color w:val="FF0000"/>
                <w:sz w:val="18"/>
                <w:szCs w:val="18"/>
                <w:u w:val="none"/>
              </w:rPr>
            </w:pPr>
          </w:p>
        </w:tc>
      </w:tr>
      <w:tr w14:paraId="546B1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486"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C339F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基础设备</w:t>
            </w:r>
          </w:p>
        </w:tc>
      </w:tr>
      <w:tr w14:paraId="6867B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3F6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1F18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仪器柜</w:t>
            </w:r>
          </w:p>
        </w:tc>
        <w:tc>
          <w:tcPr>
            <w:tcW w:w="56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CEB5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1、规格1000*500*2000mm；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侧板、层板采用环保型pp改性材料一次注塑成型，表面做磨砂处理。榫卯连接结构并合理布局加强筋，配合专用塑料紧固件连接，顶板、中板和底板的底部镶嵌15*30mm钢管加强，承重力强，产品不变形、不扭曲，可重复拆装使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3、上柜门：采用增强型PP材质一体注塑成型，外嵌4mm±0.5mm钢化烤漆玻璃,中间玻璃做镂空处理，透明可视。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4、下柜门：采用增强型PP材质一体注塑成型，外嵌4mm±0.5mm钢化烤漆玻璃。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5、门把手：采用增强型PP材质一次注塑成型，安装于两门的门缝处，凹凸配套，增加柜子内部的气密性。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层板：上柜配两块活动层板，下柜配一块活动层板；层板采用工程塑料经模具挤出成型，中空双层结构，内部均匀分布加强筋并内置两条30*15mm钢管；两边配置密封堵头，整板无裸露金属，避免腐蚀生锈，美观耐用。层板可以抽取，自由组合各层空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7、门铰链：用改性pp材料模具一次成型，伸缩式pp旋转门轴，内嵌隐藏方便安装，耐腐蚀。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8、柜门固定所需螺丝均采用304不锈钢，柜子内部空间无裸露金属材料，确保柜子的耐腐蚀性。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9、柜子顶部和底部都预留通风系统接口，与通风管路连接；接口处配有手动调节装置，可以打开或关闭通风口。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10、产品有害物质限量要求符合GB 28481-2012《塑料家具中有害物质限量》中相关要求，并提供检测报告。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11、柜子力学性能要符合标准GB 24820-2009《实验室家具通用技术条件》中储物柜力学性能的相关要求，并提供检测报告。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投标人须提供序号9、10具有CMA、CNAS认证的检测机构出具的检测报告，检测报告可在“国家认证认可监督管理委员会”官网和检测机构的官网上同时可查真伪，复印件或扫描件需注明本次招标采购项目名称及编号。</w:t>
            </w:r>
          </w:p>
        </w:tc>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CC6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F22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8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A5A9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r w14:paraId="4FF0D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75" w:type="dxa"/>
            <w:tcBorders>
              <w:top w:val="single" w:color="000000" w:sz="4" w:space="0"/>
              <w:left w:val="single" w:color="000000" w:sz="4" w:space="0"/>
              <w:bottom w:val="single" w:color="000000" w:sz="4" w:space="0"/>
              <w:right w:val="single" w:color="000000" w:sz="4" w:space="0"/>
            </w:tcBorders>
            <w:noWrap/>
            <w:vAlign w:val="center"/>
          </w:tcPr>
          <w:p w14:paraId="4F5164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58F1C5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易燃存储柜</w:t>
            </w:r>
          </w:p>
        </w:tc>
        <w:tc>
          <w:tcPr>
            <w:tcW w:w="5625" w:type="dxa"/>
            <w:tcBorders>
              <w:top w:val="single" w:color="000000" w:sz="4" w:space="0"/>
              <w:left w:val="single" w:color="000000" w:sz="4" w:space="0"/>
              <w:bottom w:val="single" w:color="000000" w:sz="4" w:space="0"/>
              <w:right w:val="single" w:color="000000" w:sz="4" w:space="0"/>
            </w:tcBorders>
            <w:noWrap w:val="0"/>
            <w:vAlign w:val="center"/>
          </w:tcPr>
          <w:p w14:paraId="22C7D6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规格尺寸：H1800*W900*D510mm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1、壳体全部采用≥1.2mm 冷轧钢板，柜体底座采用 2.0mm 冷轧钢板, 内外表面经酸洗磷化环氧树脂粉末喷涂，烘热固化处理。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2、柜体内胆（上、下、左、右内衬板）全部采用瓷白 pp（聚丙烯树脂）板；柜底右侧设有PP聚丙烯可调风阀；柜体内部最下层留有可以存放不少于 120mm 厚黄沙的填埋腔（漏液漕），用于埋放金属钠、黄磷（白磷）等的易燃物品，挡板应与柜体连为一体；柜底装有四个Φ50mm 的移动脚轮。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3、柜体设3块瓷白色一体注塑阶梯式PP聚丙烯树脂活动搁板（一次注塑成型），并预留包钢位置，确保承重不变型，隔板设有10mm的通气孔。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柜顶部中间有φ150mm出风口且风口中内置一个AC220V、50H、0.18A轴流风机，最大风量大于300m3/h、转速2550转/min、环境温度（-10-+70）℃控制开关设置柜体顶部的右上角；当风机打开前要把柜门下面中间的进风口推置打开状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5、避免挥发物对风道的腐蚀，风道采用耐腐蚀一体注塑成型，风道外观尺寸为220*220mm，风道内直径为146mm，风道高度为160mm,风道四周做加强筋处理，保证风道的稳固性和耐用性。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6、防火材料：柜体填充具有保温隔热作用的防火材料陶瓷纤维。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铰链：钢琴式铰链，确保门能开180度。柜体门与柜体之间安装防火膨胀密封件，密封件应符合GB16807-2009的要求。（柜体门与柜体之间应安装环保热膨胀密封条。当温度150℃-180℃时密封条局部膨胀，温度达到750℃时密封条全部膨胀，膨胀比例为1：5，以保证储存安全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8、附加装置：应符合GB10409-2001中5.6要求。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9、通风控制装置：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a.柜体底部设置进风口及可调风阀，可调风阀灵活，并能控制风量大小。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b.柜体应设置通风口，通风口最大风速应不小于0.5m/s。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c.配有微电脑时控开关，能根据用户设定的时间自动打开和关闭风机，电源开关指示灯指示风机是否正常工作，可自动或手动控制。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d.通风管道口径宜采用φ160mm，通风管应耐高温、阻燃、耐腐蚀、符合JGJ141的要求。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10、锁具：锁具采用三点联动式结构，两把B级机械锁设置在同一面板上，锁具内置弹簧把手，便于开门使用。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11、柜门贴有醒目的警示标识，显而易见。标识符合GB18597-2001规定，尺寸、颜色及印刷按GB190的有关规定执行。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12、产品需符合NFPA30第42章规定温度曲线要求，柜体通过15分钟耐火燃烧测试。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13、产品需符合EN 14470-1：2004标准。</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493B36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4493D4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2D05992B">
            <w:pPr>
              <w:rPr>
                <w:rFonts w:hint="eastAsia" w:ascii="宋体" w:hAnsi="宋体" w:eastAsia="宋体" w:cs="宋体"/>
                <w:i w:val="0"/>
                <w:iCs w:val="0"/>
                <w:color w:val="000000"/>
                <w:sz w:val="18"/>
                <w:szCs w:val="18"/>
                <w:u w:val="none"/>
              </w:rPr>
            </w:pPr>
          </w:p>
        </w:tc>
      </w:tr>
      <w:tr w14:paraId="152B2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75" w:type="dxa"/>
            <w:tcBorders>
              <w:top w:val="single" w:color="000000" w:sz="4" w:space="0"/>
              <w:left w:val="single" w:color="000000" w:sz="4" w:space="0"/>
              <w:bottom w:val="single" w:color="000000" w:sz="4" w:space="0"/>
              <w:right w:val="single" w:color="000000" w:sz="4" w:space="0"/>
            </w:tcBorders>
            <w:noWrap/>
            <w:vAlign w:val="center"/>
          </w:tcPr>
          <w:p w14:paraId="2611FF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36BED8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易爆存储柜</w:t>
            </w:r>
          </w:p>
        </w:tc>
        <w:tc>
          <w:tcPr>
            <w:tcW w:w="5625" w:type="dxa"/>
            <w:tcBorders>
              <w:top w:val="single" w:color="000000" w:sz="4" w:space="0"/>
              <w:left w:val="single" w:color="000000" w:sz="4" w:space="0"/>
              <w:bottom w:val="single" w:color="000000" w:sz="4" w:space="0"/>
              <w:right w:val="single" w:color="000000" w:sz="4" w:space="0"/>
            </w:tcBorders>
            <w:noWrap w:val="0"/>
            <w:vAlign w:val="center"/>
          </w:tcPr>
          <w:p w14:paraId="15FEBB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规格尺寸：H1800*W900*D510mm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1、壳体全部采用≥1.2mm 的一级冷轧钢板，柜体底座采用 2.0mm 的一级冷轧钢板，内外表面经酸洗磷化环氧树脂粉末喷涂，烘热固化处理。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2、柜体内胆（上、下、左、右内衬板）全部采用瓷白 pp（聚丙烯树脂）板；柜底右侧设耐腐蚀PP材质一次注塑成型可调进风口；柜体内部最下层留有可以存放不少于 120mm 厚黄沙的填埋腔（漏液漕），用于埋放金属钠、黄磷（白磷）等的易燃物品，挡板应与柜体连为一体；柜底装有四个Φ50mm 的移动尼龙脚轮，脚轮内侧设置固定地脚，方便固定地面。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3、柜体设3块瓷白色一体注塑阶梯式PP聚丙烯树脂活动搁板（一次注塑成型），层板底部做网状加强筋，并做包钢处理，内置加强钢管，确保承重不变型，隔板设有10mm的通气孔。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柜顶部中间有φ150mm出风口且风口中内置一个AC220V、50H、0.18A轴流风机，最大风量大于300m3/h、转速2550转/min、环境温度（-10-+70）℃控制开关设置柜体顶部的右上角；当风机打开前要把柜门下面中间的进风口推置打开状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5、防火材料: 柜体应填充具有保温隔热作用的防火材料陶瓷纤维。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6、铰链：钢琴式铰链，确保门能开180度。柜体门与柜体之间安装防火膨胀密封条，密封条应符合GB16807-2009的要求。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7、锁具：锁具采用三点联动式结构，两把B级机械锁设置在同一面板上，锁具内置弹簧把手，便于开门使用。锁具及柜体结构符合《易制爆危险化学品储存场所治安防范要求》（GA1511-2018）。</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8、特殊安全性要求：双机械锁钥匙由两人分别保管，开启时两人应同时在场。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9、柜体顶部设置时控+温湿度控制一体报警装置，符合GB3836.1-2010的相关标准，防爆等级为ExdIIBT6。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a.柜体底部设置进风口及可调风阀，可调风阀灵活，并能控制风量大小。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b.柜体应设置通风口，通风口最大风速应不小于0.5m/s。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c.配有微电脑时控开关，能根据用户设定的时间自动打开和关闭风机，电源开关指示灯指示风机是否正常工作，可自动或手动控制。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d.通风管道口径宜采用φ160mm，通风管应耐高温、阻燃、耐腐蚀、符合JGJ141的要求。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e.柜体顶部配置温湿度控制器，对柜内相对温湿度实时监控，数字显示设定和测量值，柜内的温湿度如超过设定的测量值即时报警提示。电源AC220V±10％50HZ,温度启控0～99.9℃（用户设定），湿度启控0-99.9％RH(用户设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10、避免挥发物对风机箱的腐蚀，风机箱采用耐腐蚀一体注塑成型，风机箱外观尺寸为220*220mm，内直径为146mm，高度为160mm,风机箱四周做加强筋处理，保证风道的稳固性和耐用性。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11、为保障用户产品的后期升级，柜体预留可升级接口，便于后期升级过滤装置及增加监测系统对外信号输出端口，实现与管理平台对接等无限升级空间。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12、便于用户科学正确存储，柜门外侧张贴有含有危险品贮存禁忌物配存表，材采用0.38mmPVC，UV打印,哑面，背胶采用3M背胶，具有防水、防晒、 耐高温、耐腐蚀。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配备资料收纳盒（MSDS），用于存放相关信息资料，材质聚丙烯，具有耐酸碱、抗静电、抗UV、阻燃、耐低温等，开合方式，为了防止外部液体进入，采用整体结构，结构采用整体开放式打开.局部设计加强筋大大加强了牢固性和稳定性.也可以局部打开，安装方式挂壁。</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77D8F3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2F91C8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421439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77169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75" w:type="dxa"/>
            <w:tcBorders>
              <w:top w:val="single" w:color="000000" w:sz="4" w:space="0"/>
              <w:left w:val="single" w:color="000000" w:sz="4" w:space="0"/>
              <w:bottom w:val="single" w:color="000000" w:sz="4" w:space="0"/>
              <w:right w:val="single" w:color="000000" w:sz="4" w:space="0"/>
            </w:tcBorders>
            <w:noWrap/>
            <w:vAlign w:val="center"/>
          </w:tcPr>
          <w:p w14:paraId="2E0B5C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5C5937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耐腐蚀品储存柜</w:t>
            </w:r>
          </w:p>
        </w:tc>
        <w:tc>
          <w:tcPr>
            <w:tcW w:w="5625" w:type="dxa"/>
            <w:tcBorders>
              <w:top w:val="single" w:color="000000" w:sz="4" w:space="0"/>
              <w:left w:val="single" w:color="000000" w:sz="4" w:space="0"/>
              <w:bottom w:val="single" w:color="000000" w:sz="4" w:space="0"/>
              <w:right w:val="single" w:color="000000" w:sz="4" w:space="0"/>
            </w:tcBorders>
            <w:noWrap w:val="0"/>
            <w:vAlign w:val="center"/>
          </w:tcPr>
          <w:p w14:paraId="744E76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规格尺寸：H1800*W900*D510mm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1、壳体全部采用≥1.2mm 的一级冷轧钢板，柜体底座采用 2.0mm 的一级冷轧钢板，内外表面经酸洗磷化环氧树脂粉末喷涂，烘热固化处理。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2、柜体内胆（上、下、左、右内衬板）全部采用瓷白 pp（聚丙烯树脂）板；柜底右侧设耐腐蚀PP材质一次注塑成型可调进风口；柜体内部最下层留有可以存放不少于 120mm 厚黄沙的填埋腔（漏液漕），用于埋放金属钠、黄磷（白磷）等的易燃物品，挡板应与柜体连为一体；柜底装有四个Φ50mm 的移动尼龙脚轮，脚轮内侧设置固定地脚，方便固定地面。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3、柜体设3块瓷白色一体注塑阶梯式PP聚丙烯树脂活动搁板（一次注塑成型），层板底部做网状加强筋，并做包钢处理，内置加强钢管，确保承重不变型，隔板设有10mm的通气孔。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柜顶部中间有φ150mm出风口且风口中内置一个AC220V、50H、0.18A轴流风机，最大风量大于300m3/h、转速2550转/min、环境温度（-10-+70）℃控制开关设置柜体顶部的右上角；当风机打开前要把柜门下面中间的进风口推置打开状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5、防火材料: 柜体应填充具有保温隔热作用的防火材料陶瓷纤维。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6、铰链：钢琴式铰链，确保门能开180度。柜体门与柜体之间安装防火膨胀密封条，密封条应符合GB16807-2009的要求。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7、锁具：锁具采用三点联动式结构，两把B级机械锁设置在同一面板上，锁具内置弹簧把手，便于开门使用。锁具及柜体结构符合《易制爆危险化学品储存场所治安防范要求》（GA1511-2018）。</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8、特殊安全性要求：双机械锁钥匙由两人分别保管，开启时两人应同时在场。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9、柜体顶部设置时控+温湿度控制一体报警装置，符合GB3836.1-2010的相关标准，防爆等级为ExdIIBT6。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a.柜体底部设置进风口及可调风阀，可调风阀灵活，并能控制风量大小。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b.柜体应设置通风口，通风口最大风速应不小于0.5m/s。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c.配有微电脑时控开关，能根据用户设定的时间自动打开和关闭风机，电源开关指示灯指示风机是否正常工作，可自动或手动控制。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d.通风管道口径宜采用φ160mm，通风管应耐高温、阻燃、耐腐蚀、符合JGJ141的要求。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e.柜体顶部配置温湿度控制器，对柜内相对温湿度实时监控，数字显示设定和测量值，柜内的温湿度如超过设定的测量值即时报警提示。电源AC220V±10％50HZ,温度启控0～99.9℃（用户设定），湿度启控0-99.9％RH(用户设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10、避免挥发物对风机箱的腐蚀，风机箱采用耐腐蚀一体注塑成型，风机箱外观尺寸为220*220mm，内直径为146mm，高度为160mm,风机箱四周做加强筋处理，保证风道的稳固性和耐用性。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11、为保障用户产品的后期升级，柜体预留可升级接口，便于后期升级过滤装置及增加监测系统对外信号输出端口，实现与管理平台对接等无限升级空间。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12、便于用户科学正确存储，柜门外侧张贴有含有危险品贮存禁忌物配存表，材采用0.38mmPVC，UV打印,哑面，背胶采用3M背胶，具有防水、防晒、 耐高温、耐腐蚀。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配备资料收纳盒（MSDS），用于存放相关信息资料，材质聚丙烯，具有耐酸碱、抗静电、抗UV、阻燃、耐低温等，开合方式，为了防止外部液体进入，采用整体结构，结构采用整体开放式打开.局部设计加强筋大大加强了牢固性和稳定性.也可以局部打开，安装方式挂壁。</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17B0DC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10E5CA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4C5072E8">
            <w:pPr>
              <w:rPr>
                <w:rFonts w:hint="eastAsia" w:ascii="宋体" w:hAnsi="宋体" w:eastAsia="宋体" w:cs="宋体"/>
                <w:i w:val="0"/>
                <w:iCs w:val="0"/>
                <w:color w:val="000000"/>
                <w:sz w:val="18"/>
                <w:szCs w:val="18"/>
                <w:u w:val="none"/>
              </w:rPr>
            </w:pPr>
          </w:p>
        </w:tc>
      </w:tr>
      <w:tr w14:paraId="07D8D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475" w:type="dxa"/>
            <w:tcBorders>
              <w:top w:val="single" w:color="000000" w:sz="4" w:space="0"/>
              <w:left w:val="single" w:color="000000" w:sz="4" w:space="0"/>
              <w:bottom w:val="single" w:color="000000" w:sz="4" w:space="0"/>
              <w:right w:val="single" w:color="000000" w:sz="4" w:space="0"/>
            </w:tcBorders>
            <w:noWrap/>
            <w:vAlign w:val="center"/>
          </w:tcPr>
          <w:p w14:paraId="6FE75E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0514BC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通风系统</w:t>
            </w:r>
          </w:p>
        </w:tc>
        <w:tc>
          <w:tcPr>
            <w:tcW w:w="5625" w:type="dxa"/>
            <w:tcBorders>
              <w:top w:val="single" w:color="000000" w:sz="4" w:space="0"/>
              <w:left w:val="single" w:color="000000" w:sz="4" w:space="0"/>
              <w:bottom w:val="single" w:color="000000" w:sz="4" w:space="0"/>
              <w:right w:val="single" w:color="000000" w:sz="4" w:space="0"/>
            </w:tcBorders>
            <w:noWrap w:val="0"/>
            <w:vAlign w:val="center"/>
          </w:tcPr>
          <w:p w14:paraId="01781D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通风风机：250轴流风单相220V，功率110W，转速 1450r/min，流量1850m³/小时，噪声符合国家标准,风机外壳和叶轮均采用模具一次成型。</w:t>
            </w:r>
          </w:p>
        </w:tc>
        <w:tc>
          <w:tcPr>
            <w:tcW w:w="405" w:type="dxa"/>
            <w:tcBorders>
              <w:top w:val="single" w:color="000000" w:sz="4" w:space="0"/>
              <w:left w:val="single" w:color="000000" w:sz="4" w:space="0"/>
              <w:bottom w:val="single" w:color="000000" w:sz="4" w:space="0"/>
              <w:right w:val="single" w:color="000000" w:sz="4" w:space="0"/>
            </w:tcBorders>
            <w:noWrap/>
            <w:vAlign w:val="center"/>
          </w:tcPr>
          <w:p w14:paraId="2282B6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48AAEA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2DB8C322">
            <w:pPr>
              <w:jc w:val="center"/>
              <w:rPr>
                <w:rFonts w:hint="eastAsia" w:ascii="宋体" w:hAnsi="宋体" w:eastAsia="宋体" w:cs="宋体"/>
                <w:i w:val="0"/>
                <w:iCs w:val="0"/>
                <w:color w:val="000000"/>
                <w:sz w:val="18"/>
                <w:szCs w:val="18"/>
                <w:u w:val="none"/>
              </w:rPr>
            </w:pPr>
          </w:p>
        </w:tc>
      </w:tr>
      <w:tr w14:paraId="5ABA5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475" w:type="dxa"/>
            <w:tcBorders>
              <w:top w:val="single" w:color="000000" w:sz="4" w:space="0"/>
              <w:left w:val="single" w:color="000000" w:sz="4" w:space="0"/>
              <w:bottom w:val="single" w:color="000000" w:sz="4" w:space="0"/>
              <w:right w:val="single" w:color="000000" w:sz="4" w:space="0"/>
            </w:tcBorders>
            <w:noWrap/>
            <w:vAlign w:val="center"/>
          </w:tcPr>
          <w:p w14:paraId="3341BD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5D9007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室内通风管道配件</w:t>
            </w:r>
          </w:p>
        </w:tc>
        <w:tc>
          <w:tcPr>
            <w:tcW w:w="5625" w:type="dxa"/>
            <w:tcBorders>
              <w:top w:val="single" w:color="000000" w:sz="4" w:space="0"/>
              <w:left w:val="single" w:color="000000" w:sz="4" w:space="0"/>
              <w:bottom w:val="single" w:color="000000" w:sz="4" w:space="0"/>
              <w:right w:val="single" w:color="000000" w:sz="4" w:space="0"/>
            </w:tcBorders>
            <w:noWrap w:val="0"/>
            <w:vAlign w:val="center"/>
          </w:tcPr>
          <w:p w14:paraId="6F19C7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1、主风管：采用具有耐酸碱性能PVCФ200㎜、支分管Ф160㎜，Ф110mm。                                                                                                                                                                 2、管卡采用碳钢制作，表面经镀铬处理，具有耐腐蚀、防火、防潮等功能。</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71269E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批</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44831E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29CED0DD">
            <w:pPr>
              <w:jc w:val="center"/>
              <w:rPr>
                <w:rFonts w:hint="eastAsia" w:ascii="宋体" w:hAnsi="宋体" w:eastAsia="宋体" w:cs="宋体"/>
                <w:i w:val="0"/>
                <w:iCs w:val="0"/>
                <w:color w:val="000000"/>
                <w:sz w:val="18"/>
                <w:szCs w:val="18"/>
                <w:u w:val="none"/>
              </w:rPr>
            </w:pPr>
          </w:p>
        </w:tc>
      </w:tr>
      <w:tr w14:paraId="22E6F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475" w:type="dxa"/>
            <w:tcBorders>
              <w:top w:val="single" w:color="000000" w:sz="4" w:space="0"/>
              <w:left w:val="single" w:color="000000" w:sz="4" w:space="0"/>
              <w:bottom w:val="single" w:color="000000" w:sz="4" w:space="0"/>
              <w:right w:val="single" w:color="000000" w:sz="4" w:space="0"/>
            </w:tcBorders>
            <w:noWrap/>
            <w:vAlign w:val="center"/>
          </w:tcPr>
          <w:p w14:paraId="70595E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5BE452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电器布线</w:t>
            </w:r>
          </w:p>
        </w:tc>
        <w:tc>
          <w:tcPr>
            <w:tcW w:w="5625" w:type="dxa"/>
            <w:tcBorders>
              <w:top w:val="single" w:color="000000" w:sz="4" w:space="0"/>
              <w:left w:val="single" w:color="000000" w:sz="4" w:space="0"/>
              <w:bottom w:val="single" w:color="000000" w:sz="4" w:space="0"/>
              <w:right w:val="single" w:color="000000" w:sz="4" w:space="0"/>
            </w:tcBorders>
            <w:noWrap w:val="0"/>
            <w:vAlign w:val="center"/>
          </w:tcPr>
          <w:p w14:paraId="5404108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DN25mm阻燃线管；2.5平方国标线材，符合国家标准。</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675185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544F96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48BEB318">
            <w:pPr>
              <w:jc w:val="center"/>
              <w:rPr>
                <w:rFonts w:hint="eastAsia" w:ascii="宋体" w:hAnsi="宋体" w:eastAsia="宋体" w:cs="宋体"/>
                <w:i w:val="0"/>
                <w:iCs w:val="0"/>
                <w:color w:val="000000"/>
                <w:sz w:val="18"/>
                <w:szCs w:val="18"/>
                <w:u w:val="none"/>
              </w:rPr>
            </w:pPr>
          </w:p>
        </w:tc>
      </w:tr>
      <w:tr w14:paraId="2BA4E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75" w:type="dxa"/>
            <w:tcBorders>
              <w:top w:val="single" w:color="000000" w:sz="4" w:space="0"/>
              <w:left w:val="single" w:color="000000" w:sz="4" w:space="0"/>
              <w:bottom w:val="single" w:color="000000" w:sz="4" w:space="0"/>
              <w:right w:val="single" w:color="000000" w:sz="4" w:space="0"/>
            </w:tcBorders>
            <w:noWrap/>
            <w:vAlign w:val="center"/>
          </w:tcPr>
          <w:p w14:paraId="7A3BBA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31" w:type="dxa"/>
            <w:tcBorders>
              <w:top w:val="nil"/>
              <w:left w:val="nil"/>
              <w:bottom w:val="nil"/>
              <w:right w:val="nil"/>
            </w:tcBorders>
            <w:noWrap/>
            <w:vAlign w:val="center"/>
          </w:tcPr>
          <w:p w14:paraId="1D65CC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设备安装及调试</w:t>
            </w:r>
          </w:p>
        </w:tc>
        <w:tc>
          <w:tcPr>
            <w:tcW w:w="5625" w:type="dxa"/>
            <w:tcBorders>
              <w:top w:val="nil"/>
              <w:left w:val="single" w:color="000000" w:sz="4" w:space="0"/>
              <w:bottom w:val="single" w:color="000000" w:sz="4" w:space="0"/>
              <w:right w:val="single" w:color="000000" w:sz="4" w:space="0"/>
            </w:tcBorders>
            <w:noWrap w:val="0"/>
            <w:vAlign w:val="center"/>
          </w:tcPr>
          <w:p w14:paraId="7D94D1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设备安装及调试等，必须按JY/T0385-2006《中小学理科教室装备规范》有关规定执行。</w:t>
            </w:r>
          </w:p>
        </w:tc>
        <w:tc>
          <w:tcPr>
            <w:tcW w:w="405" w:type="dxa"/>
            <w:tcBorders>
              <w:top w:val="nil"/>
              <w:left w:val="nil"/>
              <w:bottom w:val="nil"/>
              <w:right w:val="nil"/>
            </w:tcBorders>
            <w:noWrap/>
            <w:vAlign w:val="center"/>
          </w:tcPr>
          <w:p w14:paraId="77976C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间</w:t>
            </w:r>
          </w:p>
        </w:tc>
        <w:tc>
          <w:tcPr>
            <w:tcW w:w="405" w:type="dxa"/>
            <w:tcBorders>
              <w:top w:val="single" w:color="000000" w:sz="4" w:space="0"/>
              <w:left w:val="single" w:color="000000" w:sz="4" w:space="0"/>
              <w:bottom w:val="single" w:color="000000" w:sz="4" w:space="0"/>
              <w:right w:val="single" w:color="000000" w:sz="4" w:space="0"/>
            </w:tcBorders>
            <w:noWrap w:val="0"/>
            <w:vAlign w:val="center"/>
          </w:tcPr>
          <w:p w14:paraId="4AE6AE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845" w:type="dxa"/>
            <w:tcBorders>
              <w:top w:val="nil"/>
              <w:left w:val="single" w:color="000000" w:sz="4" w:space="0"/>
              <w:bottom w:val="single" w:color="000000" w:sz="4" w:space="0"/>
              <w:right w:val="single" w:color="000000" w:sz="4" w:space="0"/>
            </w:tcBorders>
            <w:noWrap/>
            <w:vAlign w:val="center"/>
          </w:tcPr>
          <w:p w14:paraId="7DB1D508">
            <w:pPr>
              <w:rPr>
                <w:rFonts w:hint="eastAsia" w:ascii="宋体" w:hAnsi="宋体" w:eastAsia="宋体" w:cs="宋体"/>
                <w:b/>
                <w:bCs/>
                <w:i w:val="0"/>
                <w:iCs w:val="0"/>
                <w:color w:val="000000"/>
                <w:sz w:val="18"/>
                <w:szCs w:val="18"/>
                <w:u w:val="none"/>
              </w:rPr>
            </w:pPr>
          </w:p>
        </w:tc>
      </w:tr>
      <w:tr w14:paraId="74874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 w:hRule="atLeast"/>
        </w:trPr>
        <w:tc>
          <w:tcPr>
            <w:tcW w:w="9486"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0ED6E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装修部分</w:t>
            </w:r>
          </w:p>
        </w:tc>
      </w:tr>
      <w:tr w14:paraId="466B1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02B8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CA3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灯具</w:t>
            </w:r>
          </w:p>
        </w:tc>
        <w:tc>
          <w:tcPr>
            <w:tcW w:w="56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FBE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LED教室灯尺寸长宽600*600±5mm；为一体式侧发光微晶防眩面板灯，棱锥体光学结构设计，微晶结构长短轴尺寸比值≥2，采用高性能光学板材辊压成型；至少有3种光学材料组成，包含反射纸、导光板、微晶防眩板等，采用侧发光的出光方式，灯体表面发光均匀，无暗影。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LED教室灯光源模组采用铝基板，导入胶带均匀的固定在灯体上，使灯条和散热体大面积接触；灯体上至少有4个防掉落挂钩，安装好后可挂在吊架上，保证安全无掉落风险。光源使用双蓝光光谱，有效减少蓝光危害。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3、LED教室灯驱动电源需为隔离型恒流驱动，电源有外壳并可靠固定。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4、LED教室灯功率＜45W。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5、LED教室灯光效（或灯具效能）≥80 lm/W。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6、LED教室灯色温（或相关色温）4300K-5300K。</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7、LED教室灯显色指数Ra＞90、R9＞50。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8、LED教室灯色容差（色品容差）≤5 SDCM。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9、LED教室灯通过人体电磁辐射测试。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10、LED教室灯蓝光危害等级为RG0（或0类危险）。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11、LED教室灯频闪无危害或无显著影响或无频闪危害。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12、LED教室灯至少依据《GB/T 26572》标准通过电器电子产品认证。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★13、LED教室灯选用足够数量小功率LED灯珠，灯珠实际使用功率不宜超过额定功率的50%，以提高其发光效率和降低灯具光衰，且LED教室灯须通过CCC认证。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14、LED教室灯在大气压力≥100kPa，平均湿度≥50%RH、极值空气温度≤-20℃及相对温差≥33℃的实地自然环境条件下至少持续运行400小时，至少依据《GB/T9468》标准满足光通量的实测值与初始值的偏差不超过-10%。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15、LED教室灯在大气压力≥100kPa，平均湿度≥50%RH、极值空气温度≤-20℃及相对温差≥33℃的实地自然环境条件下至少持续运行400小时，至少依据《GB/T36979》满足空间颜色非均匀性△u’v’≤0.007。</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LED教室灯在大气压力≥100kPa，平均湿度≥50%RH、极值空气温度≤-20℃及相对温差≥33℃的实地自然环境条件下至少持续运行400小时，至少依据《GB/T9468》标准满足光束角C0-C180及C90-C270的实测值与初始值偏差均不超过±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17、LED教室灯在大气压力≥100kPa，平均湿度≥50%RH、极值空气温度≤-20℃及相对温差≥33℃的实地自然环境条件下至少持续运行400小时，至少依据《GB/T 18595》标准满足浪涌性能达到C或以上等级。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18、LED教室灯在大气压力≥100kPa，平均湿度≥50%RH、极值空气温度≤-20℃及相对温差≥33℃的实地自然环境条件下至少持续运行400小时，至少依据《GB/T6882》标准满足噪声＜17dB（A）。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19、LED教室灯依据《GB40070》标准并符合《CQC16-465145-2021》认证规则通过近视防控认证。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备注：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▲序号1至序号3投标人须提供相关佐证材料，包含但不限于产品彩页或技术参数确认函。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序号9投标人须提供第三方检测机构出具的封面带有CMA及CNAS标志的检测报告及检测报告编号在全国认证认可信息公共服务平台的查询证明复印件，同时提供报告所引用检测标准依据在中国合格评定国家认可委员会官网查询的能力范围证明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序号10至序号19投标人须提供第三方认证机构出具的认证证书及全国认证认可信息公共服务平台证书状态为“有效”查询证明复印件（证书与查询证明文件上均须同时体现产品型号及认证标准；若有要求实地自然环境条件的，证书上须体现“实地验证”）。</w:t>
            </w:r>
          </w:p>
        </w:tc>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5D4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A8B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8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5A7469">
            <w:pPr>
              <w:jc w:val="center"/>
              <w:rPr>
                <w:rFonts w:hint="eastAsia" w:ascii="宋体" w:hAnsi="宋体" w:eastAsia="宋体" w:cs="宋体"/>
                <w:i w:val="0"/>
                <w:iCs w:val="0"/>
                <w:color w:val="000000"/>
                <w:sz w:val="18"/>
                <w:szCs w:val="18"/>
                <w:u w:val="none"/>
              </w:rPr>
            </w:pPr>
          </w:p>
        </w:tc>
      </w:tr>
    </w:tbl>
    <w:p w14:paraId="1A2FB893">
      <w:pPr>
        <w:rPr>
          <w:rFonts w:hint="eastAsia" w:ascii="宋体" w:hAnsi="宋体" w:eastAsia="宋体" w:cs="宋体"/>
          <w:sz w:val="18"/>
          <w:szCs w:val="18"/>
        </w:rPr>
      </w:pPr>
    </w:p>
    <w:tbl>
      <w:tblPr>
        <w:tblStyle w:val="2"/>
        <w:tblW w:w="948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16"/>
        <w:gridCol w:w="625"/>
        <w:gridCol w:w="5655"/>
        <w:gridCol w:w="390"/>
        <w:gridCol w:w="540"/>
        <w:gridCol w:w="1860"/>
      </w:tblGrid>
      <w:tr w14:paraId="4F57C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9486" w:type="dxa"/>
            <w:gridSpan w:val="6"/>
            <w:tcBorders>
              <w:top w:val="single" w:color="000000" w:sz="4" w:space="0"/>
              <w:left w:val="single" w:color="000000" w:sz="4" w:space="0"/>
              <w:bottom w:val="single" w:color="000000" w:sz="4" w:space="0"/>
              <w:right w:val="single" w:color="000000" w:sz="4" w:space="0"/>
            </w:tcBorders>
            <w:noWrap/>
            <w:vAlign w:val="center"/>
          </w:tcPr>
          <w:p w14:paraId="677E2DE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仪器室2清单</w:t>
            </w:r>
          </w:p>
        </w:tc>
      </w:tr>
      <w:tr w14:paraId="6761E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8" w:hRule="atLeast"/>
        </w:trPr>
        <w:tc>
          <w:tcPr>
            <w:tcW w:w="416" w:type="dxa"/>
            <w:tcBorders>
              <w:top w:val="single" w:color="000000" w:sz="4" w:space="0"/>
              <w:left w:val="single" w:color="000000" w:sz="4" w:space="0"/>
              <w:bottom w:val="single" w:color="000000" w:sz="4" w:space="0"/>
              <w:right w:val="single" w:color="000000" w:sz="4" w:space="0"/>
            </w:tcBorders>
            <w:noWrap w:val="0"/>
            <w:vAlign w:val="center"/>
          </w:tcPr>
          <w:p w14:paraId="5BD628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703055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货物名称</w:t>
            </w:r>
          </w:p>
        </w:tc>
        <w:tc>
          <w:tcPr>
            <w:tcW w:w="5655" w:type="dxa"/>
            <w:tcBorders>
              <w:top w:val="single" w:color="000000" w:sz="4" w:space="0"/>
              <w:left w:val="single" w:color="000000" w:sz="4" w:space="0"/>
              <w:bottom w:val="single" w:color="000000" w:sz="4" w:space="0"/>
              <w:right w:val="single" w:color="000000" w:sz="4" w:space="0"/>
            </w:tcBorders>
            <w:noWrap w:val="0"/>
            <w:vAlign w:val="center"/>
          </w:tcPr>
          <w:p w14:paraId="72A7D3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技术参数</w:t>
            </w:r>
          </w:p>
        </w:tc>
        <w:tc>
          <w:tcPr>
            <w:tcW w:w="390" w:type="dxa"/>
            <w:tcBorders>
              <w:top w:val="single" w:color="000000" w:sz="4" w:space="0"/>
              <w:left w:val="single" w:color="000000" w:sz="4" w:space="0"/>
              <w:bottom w:val="single" w:color="000000" w:sz="4" w:space="0"/>
              <w:right w:val="single" w:color="000000" w:sz="4" w:space="0"/>
            </w:tcBorders>
            <w:noWrap w:val="0"/>
            <w:vAlign w:val="center"/>
          </w:tcPr>
          <w:p w14:paraId="338014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14:paraId="378E41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1860" w:type="dxa"/>
            <w:tcBorders>
              <w:top w:val="single" w:color="000000" w:sz="4" w:space="0"/>
              <w:left w:val="single" w:color="000000" w:sz="4" w:space="0"/>
              <w:bottom w:val="single" w:color="000000" w:sz="4" w:space="0"/>
              <w:right w:val="single" w:color="000000" w:sz="4" w:space="0"/>
            </w:tcBorders>
            <w:noWrap w:val="0"/>
            <w:vAlign w:val="center"/>
          </w:tcPr>
          <w:p w14:paraId="4686D964">
            <w:pPr>
              <w:keepNext w:val="0"/>
              <w:keepLines w:val="0"/>
              <w:widowControl/>
              <w:suppressLineNumbers w:val="0"/>
              <w:jc w:val="center"/>
              <w:textAlignment w:val="center"/>
              <w:rPr>
                <w:rFonts w:hint="eastAsia" w:ascii="宋体" w:hAnsi="宋体" w:eastAsia="宋体" w:cs="宋体"/>
                <w:i w:val="0"/>
                <w:iCs w:val="0"/>
                <w:color w:val="FF0000"/>
                <w:sz w:val="18"/>
                <w:szCs w:val="18"/>
                <w:u w:val="none"/>
              </w:rPr>
            </w:pPr>
          </w:p>
        </w:tc>
      </w:tr>
      <w:tr w14:paraId="3D2DD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486"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35721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基础设备</w:t>
            </w:r>
          </w:p>
        </w:tc>
      </w:tr>
      <w:tr w14:paraId="2B6E3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30B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7C89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仪器柜</w:t>
            </w:r>
          </w:p>
        </w:tc>
        <w:tc>
          <w:tcPr>
            <w:tcW w:w="56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5610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1、规格1000*500*2000mm；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侧板、层板采用环保型pp改性材料一次注塑成型，表面做磨砂处理。榫卯连接结构并合理布局加强筋，配合专用塑料紧固件连接，顶板、中板和底板的底部镶嵌15*30mm钢管加强，承重力强，产品不变形、不扭曲，可重复拆装使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3、上柜门：采用增强型PP材质一体注塑成型，外嵌4mm±0.5mm钢化烤漆玻璃,中间玻璃做镂空处理，透明可视。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4、下柜门：采用增强型PP材质一体注塑成型，外嵌4mm±0.5mm钢化烤漆玻璃。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5、门把手：采用增强型PP材质一次注塑成型，安装于两门的门缝处，凹凸配套，增加柜子内部的气密性。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层板：上柜配两块活动层板，下柜配一块活动层板；层板采用工程塑料经模具挤出成型，中空双层结构，内部均匀分布加强筋并内置两条30*15mm钢管；两边配置密封堵头，整板无裸露金属，避免腐蚀生锈，美观耐用。层板可以抽取，自由组合各层空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7、门铰链：用改性pp材料模具一次成型，伸缩式pp旋转门轴，内嵌隐藏方便安装，耐腐蚀。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8、柜门固定所需螺丝均采用304不锈钢，柜子内部空间无裸露金属材料，确保柜子的耐腐蚀性。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9、柜子顶部和底部都预留通风系统接口，与通风管路连接；接口处配有手动调节装置，可以打开或关闭通风口。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10、产品有害物质限量要求符合GB 28481-2012《塑料家具中有害物质限量》中相关要求，并提供检测报告。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11、柜子力学性能要符合标准GB 24820-2009《实验室家具通用技术条件》中储物柜力学性能的相关要求，并提供检测报告。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投标人须提供序号9、10具有CMA、CNAS认证的检测机构出具的检测报告，检测报告可在“国家认证认可监督管理委员会”官网和检测机构的官网上同时可查真伪，复印件或扫描件需注明本次招标采购项目名称及编号。</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70E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6B4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8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770ABC">
            <w:pPr>
              <w:jc w:val="center"/>
              <w:rPr>
                <w:rFonts w:hint="eastAsia" w:ascii="宋体" w:hAnsi="宋体" w:eastAsia="宋体" w:cs="宋体"/>
                <w:i w:val="0"/>
                <w:iCs w:val="0"/>
                <w:color w:val="000000"/>
                <w:sz w:val="18"/>
                <w:szCs w:val="18"/>
                <w:u w:val="none"/>
              </w:rPr>
            </w:pPr>
          </w:p>
        </w:tc>
      </w:tr>
      <w:tr w14:paraId="265F1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trPr>
        <w:tc>
          <w:tcPr>
            <w:tcW w:w="9486"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C92F2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装修部分</w:t>
            </w:r>
          </w:p>
        </w:tc>
      </w:tr>
      <w:tr w14:paraId="03BB2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6E82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BCF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灯具</w:t>
            </w:r>
          </w:p>
        </w:tc>
        <w:tc>
          <w:tcPr>
            <w:tcW w:w="56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875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LED教室灯尺寸长宽600*600±5mm；为一体式侧发光微晶防眩面板灯，棱锥体光学结构设计，微晶结构长短轴尺寸比值≥2，采用高性能光学板材辊压成型；至少有3种光学材料组成，包含反射纸、导光板、微晶防眩板等，采用侧发光的出光方式，灯体表面发光均匀，无暗影。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LED教室灯光源模组采用铝基板，导入胶带均匀的固定在灯体上，使灯条和散热体大面积接触；灯体上至少有4个防掉落挂钩，安装好后可挂在吊架上，保证安全无掉落风险。光源使用双蓝光光谱，有效减少蓝光危害。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3、LED教室灯驱动电源需为隔离型恒流驱动，电源有外壳并可靠固定。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4、LED教室灯功率＜45W。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5、LED教室灯光效（或灯具效能）≥80 lm/W。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6、LED教室灯色温（或相关色温）4300K-5300K。</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7、LED教室灯显色指数Ra＞90、R9＞50。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8、LED教室灯色容差（色品容差）≤5 SDCM。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9、LED教室灯通过人体电磁辐射测试。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10、LED教室灯蓝光危害等级为RG0（或0类危险）。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11、LED教室灯频闪无危害或无显著影响或无频闪危害。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12、LED教室灯至少依据《GB/T 26572》标准通过电器电子产品认证。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★13、LED教室灯选用足够数量小功率LED灯珠，灯珠实际使用功率不宜超过额定功率的50%，以提高其发光效率和降低灯具光衰，且LED教室灯须通过CCC认证。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14、LED教室灯在大气压力≥100kPa，平均湿度≥50%RH、极值空气温度≤-20℃及相对温差≥33℃的实地自然环境条件下至少持续运行400小时，至少依据《GB/T9468》标准满足光通量的实测值与初始值的偏差不超过-10%。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15、LED教室灯在大气压力≥100kPa，平均湿度≥50%RH、极值空气温度≤-20℃及相对温差≥33℃的实地自然环境条件下至少持续运行400小时，至少依据《GB/T36979》满足空间颜色非均匀性△u’v’≤0.007。</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LED教室灯在大气压力≥100kPa，平均湿度≥50%RH、极值空气温度≤-20℃及相对温差≥33℃的实地自然环境条件下至少持续运行400小时，至少依据《GB/T9468》标准满足光束角C0-C180及C90-C270的实测值与初始值偏差均不超过±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17、LED教室灯在大气压力≥100kPa，平均湿度≥50%RH、极值空气温度≤-20℃及相对温差≥33℃的实地自然环境条件下至少持续运行400小时，至少依据《GB/T 18595》标准满足浪涌性能达到C或以上等级。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18、LED教室灯在大气压力≥100kPa，平均湿度≥50%RH、极值空气温度≤-20℃及相对温差≥33℃的实地自然环境条件下至少持续运行400小时，至少依据《GB/T6882》标准满足噪声＜17dB（A）。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19、LED教室灯依据《GB40070》标准并符合《CQC16-465145-2021》认证规则通过近视防控认证。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备注：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▲序号1至序号3投标人须提供相关佐证材料，包含但不限于产品彩页或技术参数确认函。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序号9投标人须提供第三方检测机构出具的封面带有CMA及CNAS标志的检测报告及检测报告编号在全国认证认可信息公共服务平台的查询证明复印件，同时提供报告所引用检测标准依据在中国合格评定国家认可委员会官网查询的能力范围证明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序号10至序号19投标人须提供第三方认证机构出具的认证证书及全国认证认可信息公共服务平台证书状态为“有效”查询证明复印件（证书与查询证明文件上均须同时体现产品型号及认证标准；若有要求实地自然环境条件的，证书上须体现“实地验证”）。</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A73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DAB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8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88B97D">
            <w:pPr>
              <w:jc w:val="center"/>
              <w:rPr>
                <w:rFonts w:hint="eastAsia" w:ascii="宋体" w:hAnsi="宋体" w:eastAsia="宋体" w:cs="宋体"/>
                <w:i w:val="0"/>
                <w:iCs w:val="0"/>
                <w:color w:val="000000"/>
                <w:sz w:val="18"/>
                <w:szCs w:val="18"/>
                <w:u w:val="none"/>
              </w:rPr>
            </w:pPr>
          </w:p>
        </w:tc>
      </w:tr>
    </w:tbl>
    <w:p w14:paraId="0FF160BE">
      <w:pPr>
        <w:rPr>
          <w:rFonts w:hint="eastAsia" w:ascii="宋体" w:hAnsi="宋体" w:eastAsia="宋体" w:cs="宋体"/>
          <w:sz w:val="18"/>
          <w:szCs w:val="18"/>
        </w:rPr>
      </w:pPr>
    </w:p>
    <w:tbl>
      <w:tblPr>
        <w:tblStyle w:val="2"/>
        <w:tblW w:w="911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6"/>
        <w:gridCol w:w="777"/>
        <w:gridCol w:w="6963"/>
        <w:gridCol w:w="465"/>
        <w:gridCol w:w="450"/>
      </w:tblGrid>
      <w:tr w14:paraId="1CBB3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9111" w:type="dxa"/>
            <w:gridSpan w:val="5"/>
            <w:tcBorders>
              <w:top w:val="single" w:color="000000" w:sz="8" w:space="0"/>
              <w:left w:val="single" w:color="000000" w:sz="8" w:space="0"/>
              <w:bottom w:val="single" w:color="000000" w:sz="8" w:space="0"/>
              <w:right w:val="single" w:color="000000" w:sz="8" w:space="0"/>
            </w:tcBorders>
            <w:noWrap/>
            <w:vAlign w:val="center"/>
          </w:tcPr>
          <w:p w14:paraId="4046FCF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克州二中校级学科实验教学管理平台</w:t>
            </w:r>
          </w:p>
        </w:tc>
      </w:tr>
      <w:tr w14:paraId="4423A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56" w:type="dxa"/>
            <w:tcBorders>
              <w:top w:val="single" w:color="000000" w:sz="8" w:space="0"/>
              <w:left w:val="single" w:color="000000" w:sz="8" w:space="0"/>
              <w:bottom w:val="single" w:color="000000" w:sz="8" w:space="0"/>
              <w:right w:val="single" w:color="000000" w:sz="8" w:space="0"/>
            </w:tcBorders>
            <w:noWrap/>
            <w:vAlign w:val="center"/>
          </w:tcPr>
          <w:p w14:paraId="2925C87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777" w:type="dxa"/>
            <w:tcBorders>
              <w:top w:val="single" w:color="000000" w:sz="8" w:space="0"/>
              <w:left w:val="single" w:color="000000" w:sz="8" w:space="0"/>
              <w:bottom w:val="single" w:color="000000" w:sz="8" w:space="0"/>
              <w:right w:val="single" w:color="000000" w:sz="8" w:space="0"/>
            </w:tcBorders>
            <w:noWrap w:val="0"/>
            <w:vAlign w:val="center"/>
          </w:tcPr>
          <w:p w14:paraId="0191886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名称</w:t>
            </w:r>
          </w:p>
        </w:tc>
        <w:tc>
          <w:tcPr>
            <w:tcW w:w="6963" w:type="dxa"/>
            <w:tcBorders>
              <w:top w:val="single" w:color="000000" w:sz="8" w:space="0"/>
              <w:left w:val="single" w:color="000000" w:sz="8" w:space="0"/>
              <w:bottom w:val="single" w:color="000000" w:sz="8" w:space="0"/>
              <w:right w:val="single" w:color="000000" w:sz="8" w:space="0"/>
            </w:tcBorders>
            <w:noWrap w:val="0"/>
            <w:vAlign w:val="center"/>
          </w:tcPr>
          <w:p w14:paraId="29D2868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产品技术参数</w:t>
            </w:r>
          </w:p>
        </w:tc>
        <w:tc>
          <w:tcPr>
            <w:tcW w:w="465" w:type="dxa"/>
            <w:tcBorders>
              <w:top w:val="single" w:color="000000" w:sz="8" w:space="0"/>
              <w:left w:val="single" w:color="000000" w:sz="8" w:space="0"/>
              <w:bottom w:val="single" w:color="000000" w:sz="8" w:space="0"/>
              <w:right w:val="single" w:color="000000" w:sz="8" w:space="0"/>
            </w:tcBorders>
            <w:noWrap w:val="0"/>
            <w:vAlign w:val="center"/>
          </w:tcPr>
          <w:p w14:paraId="7128B7D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单位</w:t>
            </w:r>
          </w:p>
        </w:tc>
        <w:tc>
          <w:tcPr>
            <w:tcW w:w="450" w:type="dxa"/>
            <w:tcBorders>
              <w:top w:val="single" w:color="000000" w:sz="8" w:space="0"/>
              <w:left w:val="single" w:color="000000" w:sz="8" w:space="0"/>
              <w:bottom w:val="single" w:color="000000" w:sz="8" w:space="0"/>
              <w:right w:val="single" w:color="000000" w:sz="8" w:space="0"/>
            </w:tcBorders>
            <w:noWrap/>
            <w:vAlign w:val="center"/>
          </w:tcPr>
          <w:p w14:paraId="5D7E6A5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数量</w:t>
            </w:r>
          </w:p>
        </w:tc>
      </w:tr>
      <w:tr w14:paraId="41D71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0" w:hRule="atLeast"/>
        </w:trPr>
        <w:tc>
          <w:tcPr>
            <w:tcW w:w="456" w:type="dxa"/>
            <w:tcBorders>
              <w:top w:val="nil"/>
              <w:left w:val="single" w:color="000000" w:sz="8" w:space="0"/>
              <w:bottom w:val="single" w:color="000000" w:sz="4" w:space="0"/>
              <w:right w:val="single" w:color="000000" w:sz="4" w:space="0"/>
            </w:tcBorders>
            <w:noWrap/>
            <w:vAlign w:val="center"/>
          </w:tcPr>
          <w:p w14:paraId="2C04CC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77" w:type="dxa"/>
            <w:tcBorders>
              <w:top w:val="nil"/>
              <w:left w:val="single" w:color="000000" w:sz="4" w:space="0"/>
              <w:bottom w:val="single" w:color="000000" w:sz="4" w:space="0"/>
              <w:right w:val="single" w:color="000000" w:sz="4" w:space="0"/>
            </w:tcBorders>
            <w:noWrap w:val="0"/>
            <w:vAlign w:val="center"/>
          </w:tcPr>
          <w:p w14:paraId="5F06CC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数据监测系统</w:t>
            </w:r>
          </w:p>
        </w:tc>
        <w:tc>
          <w:tcPr>
            <w:tcW w:w="6963" w:type="dxa"/>
            <w:tcBorders>
              <w:top w:val="nil"/>
              <w:left w:val="single" w:color="000000" w:sz="4" w:space="0"/>
              <w:bottom w:val="single" w:color="000000" w:sz="4" w:space="0"/>
              <w:right w:val="nil"/>
            </w:tcBorders>
            <w:noWrap w:val="0"/>
            <w:vAlign w:val="center"/>
          </w:tcPr>
          <w:p w14:paraId="30BE59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支持教育装备部门/学校负责人查看实验教学分析，并可根据要求定期生成报告，分析包括以下维度：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(1)实验开课数据统计分析：以市级/区县级/校级为统计区间，可以对开课数据进行多维度的分析，包括统计开课数、开课率、各年级开课频次信息等，分析实验课是否开齐开足；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(2)实验室数据统计分析：以市级/区县级/校级为统计区间，统计各学科实验室建设数量、各类型占比、实验室总量达标情况、使用频次、利用率信息；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仪器设备数据统计分析：以市级/区县级/校级为统计区间，统计仪器设备的总体情况，根据多种形式测算达标，包括装备应配与缺配总量，仪器选配与必配达标率；根据生均仪器金额完成的达标测算。统计仪器与设备的总量变化趋势，以及维修、报废等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(4)自定义数据统计图：提供多种统计组件，由管理员根据需要选择组件完成数据监测中心的页面配置；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自定义数据统计：提供基础数据表，由管理员自定义条件筛选数据，自定义统计类型与图表类型完成多方面的维度分析，统计灵活多变，可完成近70种维度的统计表，同时可自定义统计图形式（柱状图、条形图、饼图、折线图）支持学校管理者查看实验教学分析，并可根据要求定期生成报告，分析包括以下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▲供应商投标时提供响应以下功能要求的产品功能界面截图：(1)统计实验开课率、装备达标率、实验室达标率等；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(2)自定义数据统计图：提供多种统计组件，由管理员根据需要选择组件完成数据监测中心的页面配置；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自定义数据统计：提供基础数据表，由管理员自定义条件筛选数据，自定义统计类型与图表类型完成多方面的维度分析，统计灵活多变，可完成近70种维度的统计表，同时可自定义统计图形式（柱状图、条形图、饼图、折线图）；</w:t>
            </w:r>
          </w:p>
        </w:tc>
        <w:tc>
          <w:tcPr>
            <w:tcW w:w="465" w:type="dxa"/>
            <w:tcBorders>
              <w:top w:val="nil"/>
              <w:left w:val="single" w:color="000000" w:sz="4" w:space="0"/>
              <w:bottom w:val="single" w:color="000000" w:sz="4" w:space="0"/>
              <w:right w:val="single" w:color="000000" w:sz="4" w:space="0"/>
            </w:tcBorders>
            <w:noWrap w:val="0"/>
            <w:vAlign w:val="center"/>
          </w:tcPr>
          <w:p w14:paraId="4762B4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50" w:type="dxa"/>
            <w:tcBorders>
              <w:top w:val="nil"/>
              <w:left w:val="single" w:color="000000" w:sz="4" w:space="0"/>
              <w:bottom w:val="single" w:color="000000" w:sz="4" w:space="0"/>
              <w:right w:val="single" w:color="000000" w:sz="4" w:space="0"/>
            </w:tcBorders>
            <w:noWrap w:val="0"/>
            <w:vAlign w:val="center"/>
          </w:tcPr>
          <w:p w14:paraId="60535C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5AD02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trPr>
        <w:tc>
          <w:tcPr>
            <w:tcW w:w="456" w:type="dxa"/>
            <w:tcBorders>
              <w:top w:val="nil"/>
              <w:left w:val="single" w:color="000000" w:sz="8" w:space="0"/>
              <w:bottom w:val="single" w:color="000000" w:sz="4" w:space="0"/>
              <w:right w:val="single" w:color="000000" w:sz="4" w:space="0"/>
            </w:tcBorders>
            <w:noWrap/>
            <w:vAlign w:val="center"/>
          </w:tcPr>
          <w:p w14:paraId="73553C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77" w:type="dxa"/>
            <w:tcBorders>
              <w:top w:val="nil"/>
              <w:left w:val="single" w:color="000000" w:sz="4" w:space="0"/>
              <w:bottom w:val="single" w:color="000000" w:sz="4" w:space="0"/>
              <w:right w:val="single" w:color="000000" w:sz="4" w:space="0"/>
            </w:tcBorders>
            <w:noWrap w:val="0"/>
            <w:vAlign w:val="center"/>
          </w:tcPr>
          <w:p w14:paraId="2058E4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实验教学过程管理</w:t>
            </w:r>
          </w:p>
        </w:tc>
        <w:tc>
          <w:tcPr>
            <w:tcW w:w="6963" w:type="dxa"/>
            <w:tcBorders>
              <w:top w:val="nil"/>
              <w:left w:val="single" w:color="000000" w:sz="4" w:space="0"/>
              <w:bottom w:val="single" w:color="000000" w:sz="4" w:space="0"/>
              <w:right w:val="nil"/>
            </w:tcBorders>
            <w:noWrap w:val="0"/>
            <w:vAlign w:val="center"/>
          </w:tcPr>
          <w:p w14:paraId="26123FB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(6)实验教学计划录入：按照学年学期、学科完成对各年级班级的实验教学计划的管理，涵盖实验名称、开课周次、演示分组类型、仪器列表等信息，支持下载打印功能；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(7)实验目录：按照学校所需标准收录每门学科的实验目录信息，使用者只需在后台进行对目录里面的学科实验进行增、删、改、查等操作即可进行管理，快速使用；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(8)学科实验室开放管理：根据实验需要开放对应实验室，实验员只需在后台根据计划设置实验室的开放，例如电学实验室只能预约有电学相关配置的实验室；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(9)课程大纲管理：实验室课程大纲上传下载；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课程管理：学校教师可自行录入实验信息，上传文字、图片或视频资源，Word、PPT、PDF等多种形式的附件，关联实验仪器；同时备课组长可将录入的课程信息加入学校课程，关联到实验教学计划中，供开课教师快速引用使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在线报告管理：教师对实验在线报告进行增、删、改等操作，在线报告包括填空题、问答题等多种题型，可加入视频、图片、文字等信息。学生通过在线报告填写提交，教师可直接在后台查看所有组的提交结果，并进行快速的评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实验开课预约管理：教师可在微信小程序或电脑端上预约实验，选择实验即可关联仪器。支持实验预约审核机制，并且可自定义预约审核的流程。若需要审核，则教师提交预约实验信息后，由负责人审核，审核的同时可以根据情况调整实验室和仪器，并且给出实验所需仪器清单的具体位置信息（支持仪器数据的导出）；准备完成后，实验员上传准备好的仪器图片，可通过线上消息直接通知到教师；若无需审核，则实验员直接根据要求准备仪器信息完成仪器准备完成的确认提交，消息发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(13)实验排课管理：实验员可在微信小程序或电脑端上根据实验教学计划选择班级来排课；在排课成功后，对应教师可查看相应的排课信息，完成备课以及开课；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(14)调课管理：需要调课的教师，可在微信小程序或电脑端上进行调课变更；调课审批通过后，完成课程的调整；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(15)实验课程课表可按照列表或图表的形式进行直观的展示；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(16)参考课表录入管理：教师在后台录入自己的课表，在每次实验预约或排课时，都会直接展示该时间段需要开课的班级信息；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(17)登记已开课实验：教师或者实验员可在微信小程序或电脑端上登记，同时补充开课过程中的部分资料，包括评价的信息、学生分组实验的图片信息等；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(18)开课管理：课中教师可使用微信小程序扫码签到确认上课；同时教师在课中拍摄图片或者视频记录学生分组实验过程，并评价；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公开课管理：学校管理员可在后台管理公开课评价的模版，支持公开课评价模版的增、删、改、查操作，快速导入导出的管理。开课教师通过移动端选择评价模版生成公开课二维码信息，听课教师扫描二维码即可对本次开课数据，按照条目打分点评提交，可匿名，评价的数据会自动记录到后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(20)实验总结：教师在开课后，可通过微信小程序以及后台进行自我总结评价；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(21)开课签退管理：课后移动端的开课签退功能，支持自评完成后自动签退；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(22)开课记录生成：课程完成后，自动生成开课记录并记录所有课程开课中的流转数据；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(23)实验室自动采集管理：支持学生摄像头的录入管理，录入后摄像头能够定时定点的记录实验开课画面；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(24)导入导出：系统存在多种数据汇总，可以根据数据源自定义导入数据和导出数据，配置方便易用操作性强；包括实验开课记录、实验课列表、所有数据统计的导出；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(25)对学校实验进行多维度统计，统计各个老师的开课数，后台只需要选择时间信息、实验室、教师名称等信息，点击查询就会自动统计出全校范围内各个实验室及各个老师实验室开课的详细情况，并自动生成可视化数据图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(26)开课数据实时统计：以实验开课为维度，统计教师今日需要开课的实验和已经开课的实验数据，生成可视化图表；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(27)开出率统计：以实验开出作为统计维度，统计各科实验在不同的时间段内的开出率，后台只需要选择时间信息、年级信息、教师信息，点击查询就会自动统计出全校范围内各个科目实验开出的详细情况；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(28)演示实验统计：以演示实验作为统计维度，统计各科演示实验在不同的时间段的开出情况，后台只需要选择时间信息、学科信息、教师信息等，点击查询就会自动统计出全校范围内各个科目各个教师演示实验开出的详细情况；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(29)学生实验统计：以分组实验作为统计维度，统计各年级分组实验在不同的时间段开出情况，后台只需要选择时间信息、年级信息、学科信息等，可查看全校范围内班级各个科目分组实验开出的详细情况；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(30)班级实验按学科统计：以班级实验作为统计维度，按学科统计各个班级的实验开出情况，后台只需要选择时间信息、年级信息、学科等信息，自动统计出全校范围内各个班级的各科实验开出情况；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(31)计划完成统计：以实验计划作为统计维度，按实验统计各个班级的完成情况，后台只需要选择时间信息、学年学期信息、教师信息，点击查询就会自动统计出全校范围内各个实验计划各个教师的完成情况；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教师进度统计：以教师实验完成进度作为统计维度，按照实验应开、实开、开课率统计每个教师的完成情况，后台只需要选择时间信息、学年学期信息、年级信息，点击查询就会自动统计出全校范围内各个年级每个教师实验计划的完成情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(33)评价统计：以公开课评价为统计维度，按照五星、四星等评级统计评价情况，后台只需要选择时间信息、学年学期信息、年级信息、教师信息，点击查询就会自动统计出全校范围内各个年级每个教师收到评价的情况</w:t>
            </w:r>
          </w:p>
        </w:tc>
        <w:tc>
          <w:tcPr>
            <w:tcW w:w="465" w:type="dxa"/>
            <w:tcBorders>
              <w:top w:val="nil"/>
              <w:left w:val="single" w:color="000000" w:sz="4" w:space="0"/>
              <w:bottom w:val="single" w:color="000000" w:sz="4" w:space="0"/>
              <w:right w:val="single" w:color="000000" w:sz="4" w:space="0"/>
            </w:tcBorders>
            <w:noWrap w:val="0"/>
            <w:vAlign w:val="center"/>
          </w:tcPr>
          <w:p w14:paraId="753151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50" w:type="dxa"/>
            <w:tcBorders>
              <w:top w:val="nil"/>
              <w:left w:val="single" w:color="000000" w:sz="4" w:space="0"/>
              <w:bottom w:val="single" w:color="000000" w:sz="4" w:space="0"/>
              <w:right w:val="single" w:color="000000" w:sz="4" w:space="0"/>
            </w:tcBorders>
            <w:noWrap w:val="0"/>
            <w:vAlign w:val="center"/>
          </w:tcPr>
          <w:p w14:paraId="2C3FA2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435ED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5" w:hRule="atLeast"/>
        </w:trPr>
        <w:tc>
          <w:tcPr>
            <w:tcW w:w="456" w:type="dxa"/>
            <w:tcBorders>
              <w:top w:val="single" w:color="000000" w:sz="4" w:space="0"/>
              <w:left w:val="single" w:color="000000" w:sz="8" w:space="0"/>
              <w:bottom w:val="single" w:color="000000" w:sz="4" w:space="0"/>
              <w:right w:val="single" w:color="000000" w:sz="4" w:space="0"/>
            </w:tcBorders>
            <w:noWrap/>
            <w:vAlign w:val="center"/>
          </w:tcPr>
          <w:p w14:paraId="0B0CED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70B1EF1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实验室及仪器设备管理</w:t>
            </w:r>
          </w:p>
        </w:tc>
        <w:tc>
          <w:tcPr>
            <w:tcW w:w="6963" w:type="dxa"/>
            <w:tcBorders>
              <w:top w:val="single" w:color="000000" w:sz="4" w:space="0"/>
              <w:left w:val="single" w:color="000000" w:sz="4" w:space="0"/>
              <w:bottom w:val="single" w:color="000000" w:sz="4" w:space="0"/>
              <w:right w:val="nil"/>
            </w:tcBorders>
            <w:noWrap w:val="0"/>
            <w:vAlign w:val="center"/>
          </w:tcPr>
          <w:p w14:paraId="3B6370D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(1)实验教学计划录入：按照学年学期、学科完成对各年级班级的实验教学计划的管理，涵盖实验名称、开课周次、演示分组类型、仪器列表等信息，支持下载打印功能；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(2)实验目录：按照学校所需标准收录每门学科的实验目录信息，使用者只需在后台进行对目录里面的学科实验进行增、删、改、查等操作即可进行管理，快速使用；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(3)学科实验室开放管理：根据实验需要开放对应实验室，实验员只需在后台根据计划设置实验室的开放，例如电学实验室只能预约有电学相关配置的实验室；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(4)课程大纲管理：实验室课程大纲上传下载；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课程管理：学校教师可自行录入实验信息，上传文字、图片或视频资源，Word、PPT、PDF等多种形式的附件，关联实验仪器；同时备课组长可将录入的课程信息加入学校课程，关联到实验教学计划中，供开课教师快速引用使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在线报告管理：教师对实验在线报告进行增、删、改等操作，在线报告包括填空题、问答题等多种题型，可加入视频、图片、文字等信息。学生通过在线报告填写提交，教师可直接在后台查看所有组的提交结果，并进行快速的评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实验开课预约管理：教师可在微信小程序或电脑端上预约实验，选择实验即可关联仪器。支持实验预约审核机制，并且可自定义预约审核的流程。若需要审核，则教师提交预约实验信息后，由负责人审核，审核的同时可以根据情况调整实验室和仪器，并且给出实验所需仪器清单的具体位置信息（支持仪器数据的导出）；准备完成后，实验员上传准备好的仪器图片，可通过线上消息直接通知到教师；若无需审核，则实验员直接根据要求准备仪器信息完成仪器准备完成的确认提交，消息发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(8)实验排课管理：实验员可在微信小程序或电脑端上根据实验教学计划选择班级来排课；在排课成功后，对应教师可查看相应的排课信息，完成备课以及开课；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(9)调课管理：需要调课的教师，可在微信小程序或电脑端上进行调课变更；调课审批通过后，完成课程的调整；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(10)实验课程课表可按照列表或图表的形式进行直观的展示；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(11)参考课表录入管理：教师在后台录入自己的课表，在每次实验预约或排课时，都会直接展示该时间段需要开课的班级信息；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(12)登记已开课实验：教师或者实验员可在微信小程序或电脑端上登记，同时补充开课过程中的部分资料，包括评价的信息、学生分组实验的图片信息等；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(13)开课管理：课中教师可使用微信小程序扫码签到确认上课；同时教师在课中拍摄图片或者视频记录学生分组实验过程，并评价；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公开课管理：学校管理员可在后台管理公开课评价的模版，支持公开课评价模版的增、删、改、查操作，快速导入导出的管理。开课教师通过移动端选择评价模版生成公开课二维码信息，听课教师扫描二维码即可对本次开课数据，按照条目打分点评提交，可匿名，评价的数据会自动记录到后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(15)实验总结：教师在开课后，可通过微信小程序以及后台进行自我总结评价；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(16)开课签退管理：课后移动端的开课签退功能，支持自评完成后自动签退；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(17)开课记录生成：课程完成后，自动生成开课记录并记录所有课程开课中的流转数据；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(18)实验室自动采集管理：支持学生摄像头的录入管理，录入后摄像头能够定时定点的记录实验开课画面；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(19)导入导出：系统存在多种数据汇总，可以根据数据源自定义导入数据和导出数据，配置方便易用操作性强；包括实验开课记录、实验课列表、所有数据统计的导出；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(20)对学校实验进行多维度统计，统计各个老师的开课数，后台只需要选择时间信息、实验室、教师名称等信息，点击查询就会自动统计出全校范围内各个实验室及各个老师实验室开课的详细情况，并自动生成可视化数据图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(21)开课数据实时统计：以实验开课为维度，统计教师今日需要开课的实验和已经开课的实验数据，生成可视化图表；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(22)开出率统计：以实验开出作为统计维度，统计各科实验在不同的时间段内的开出率，后台只需要选择时间信息、年级信息、教师信息，点击查询就会自动统计出全校范围内各个科目实验开出的详细情况；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(23)演示实验统计：以演示实验作为统计维度，统计各科演示实验在不同的时间段的开出情况，后台只需要选择时间信息、学科信息、教师信息等，点击查询就会自动统计出全校范围内各个科目各个教师演示实验开出的详细情况；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(24)学生实验统计：以分组实验作为统计维度，统计各年级分组实验在不同的时间段开出情况，后台只需要选择时间信息、年级信息、学科信息等，可查看全校范围内班级各个科目分组实验开出的详细情况；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(25)班级实验按学科统计：以班级实验作为统计维度，按学科统计各个班级的实验开出情况，后台只需要选择时间信息、年级信息、学科等信息，自动统计出全校范围内各个班级的各科实验开出情况；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(26)计划完成统计：以实验计划作为统计维度，按实验统计各个班级的完成情况，后台只需要选择时间信息、学年学期信息、教师信息，点击查询就会自动统计出全校范围内各个实验计划各个教师的完成情况；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(27)教师进度统计：以教师实验完成进度作为统计维度，按照实验应开、实开、开课率统计每个教师的完成情况，后台只需要选择时间信息、学年学期信息、年级信息，点击查询就会自动统计出全校范围内各个年级每个教师实验计划的完成情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评价统计：以公开课评价为统计维度，按照五星、四星等评级统计评价情况，后台只需要选择时间信息、学年学期信息、年级信息、教师信息，点击查询就会自动统计出全校范围内各个年级每个教师收到评价的情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▲供应商投标时提供响应以下功能要求的产品功能界面截图：(1)根据学期、年级、学科信息，系统提供实验计划模版，涵盖实验列表及实验开课周次；可供备课组长直接引用，快速完成计划的录入；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(2)学科实验室开放管理：根据实验需要开放对应实验室，实验员只需在后台根据计划设置实验室的开放，例如电学实验室只能预约有电学相关配置的实验室；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实验开课预约管理：教师可在微信小程序或管理后台上预约实验，预约后会给到实验员实验所需仪器的存放位置信息（支持仪器数据的导出）；实验员准备完成后上传准备好的仪器情况，开课教师在线上即可收到消息通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(4)排课管理：实验员可在微信小程序或管理后台根据实验教学计划选择班级来排课；排课成功后，对应教师可查看相应的排课信息；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(5)调课管理：需要调课的教师，可在微信小程序或管理后台上进行调课变更；调课审批通过后，完成课程的调整；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(6)开课管理：课中教师可使用微信小程序扫码签到，并且拍摄的学生分组实验图片或者视频能够通过小程序快速关联到开课，以及完成学生评价与自我总结；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(7)开出率统计：以实验开出作为统计维度，统计各科实验在不同的时间段内的开出率，后台只需要选择时间信息、年级信息、教师信息，点击查询就会自动统计出全校范围内各个科目实验开出的详细情况；</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1C2099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7E84D9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4547C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40" w:hRule="atLeast"/>
        </w:trPr>
        <w:tc>
          <w:tcPr>
            <w:tcW w:w="456" w:type="dxa"/>
            <w:tcBorders>
              <w:top w:val="single" w:color="000000" w:sz="4" w:space="0"/>
              <w:left w:val="single" w:color="000000" w:sz="8" w:space="0"/>
              <w:bottom w:val="single" w:color="000000" w:sz="4" w:space="0"/>
              <w:right w:val="single" w:color="000000" w:sz="4" w:space="0"/>
            </w:tcBorders>
            <w:noWrap/>
            <w:vAlign w:val="center"/>
          </w:tcPr>
          <w:p w14:paraId="5B962648">
            <w:pPr>
              <w:jc w:val="center"/>
              <w:rPr>
                <w:rFonts w:hint="eastAsia" w:ascii="宋体" w:hAnsi="宋体" w:eastAsia="宋体" w:cs="宋体"/>
                <w:i w:val="0"/>
                <w:iCs w:val="0"/>
                <w:color w:val="000000"/>
                <w:sz w:val="18"/>
                <w:szCs w:val="18"/>
                <w:u w:val="none"/>
              </w:rPr>
            </w:pP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55F199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危化品管理</w:t>
            </w:r>
          </w:p>
        </w:tc>
        <w:tc>
          <w:tcPr>
            <w:tcW w:w="6963" w:type="dxa"/>
            <w:tcBorders>
              <w:top w:val="single" w:color="000000" w:sz="4" w:space="0"/>
              <w:left w:val="single" w:color="000000" w:sz="4" w:space="0"/>
              <w:bottom w:val="single" w:color="000000" w:sz="4" w:space="0"/>
              <w:right w:val="nil"/>
            </w:tcBorders>
            <w:noWrap w:val="0"/>
            <w:vAlign w:val="center"/>
          </w:tcPr>
          <w:p w14:paraId="02D247E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(1)危化品采购管理：生成危化品采购清单，根据危化品清单选择需采购的危化品，生成危化品采购清单，并支持导出清单；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(2)采购管理：根据采购清单，一键进行危化品入库，入库时需要双人验收；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(3)危化品采购历史记录管理：查询危化品采购历史记录，采购记录的具体内容有：申请人、采购批次、采购金额、危化品明细、申请时间等；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(4)危化品库管理：管理者可在后台对危化品库进行管理，根据危化品柜的颜色、层级进行危化品存储记录，可进行存量入库，同时可以查询具体的入库记录；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(5)危化品二维码管理：根据危化品柜生成二维码编码，可通过微信小程序扫码查看存储的危化品；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(6)支持危化品库进行库存盘点、库存报废；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(7)支持危化品库超量预警、超期预警，并可自定义预警要求；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(8)危化品领用管理：在线填报领用申请，审核通过可以进行领用，领用和发放采用双人双密模式。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(9)危化品使用后的退回管理：危化品使用完成后，未使用完的危废品可以在线申请退回；</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(10)危废物处置，支持在线填报危废物处置申请，审核通过后，可以对危废物进行处置，可记录处置时间、处置过程材料、处置过程图片等；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(11)安全保障，支持设置问题及隐患排查的清单列表，定期生成检查任务，并根据检查的结果自动生成问题隐患清单，在线记录整改情况  ▲供应商投标时提供响应以下功能要求的产品功能界面截图：(1)采购管理：根据采购清单，一键进行危化品入库，入库时需要双人验收；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(2)危化品二维码管理：根据危化品柜生成二维码编码，可通过微信小程序扫码查看存储的危化品；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(3)支持危化品库超量预警、超期预警，并可自定义预警要求；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(4)危化品领用管理：在线填报领用申请，审核通过可以进行领用，领用和发放采用双人双密模式。：危化品使用完成后，未使用完的危废品可以在线申请退回；</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(5)安全保障，支持设置问题及隐患排查的清单列表，定期生成检查任务，并根据检查的结果自动生成问题隐患清单，在线记录整改情况；</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02E02D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71D10B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7C772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0" w:hRule="atLeast"/>
        </w:trPr>
        <w:tc>
          <w:tcPr>
            <w:tcW w:w="456" w:type="dxa"/>
            <w:tcBorders>
              <w:top w:val="single" w:color="000000" w:sz="4" w:space="0"/>
              <w:left w:val="single" w:color="000000" w:sz="8" w:space="0"/>
              <w:bottom w:val="single" w:color="000000" w:sz="4" w:space="0"/>
              <w:right w:val="single" w:color="000000" w:sz="4" w:space="0"/>
            </w:tcBorders>
            <w:noWrap/>
            <w:vAlign w:val="center"/>
          </w:tcPr>
          <w:p w14:paraId="28FFD9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592CA2C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资源管理</w:t>
            </w:r>
          </w:p>
        </w:tc>
        <w:tc>
          <w:tcPr>
            <w:tcW w:w="6963" w:type="dxa"/>
            <w:tcBorders>
              <w:top w:val="single" w:color="000000" w:sz="4" w:space="0"/>
              <w:left w:val="single" w:color="000000" w:sz="4" w:space="0"/>
              <w:bottom w:val="single" w:color="000000" w:sz="4" w:space="0"/>
              <w:right w:val="nil"/>
            </w:tcBorders>
            <w:noWrap w:val="0"/>
            <w:vAlign w:val="center"/>
          </w:tcPr>
          <w:p w14:paraId="0CD68F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(1)实验资源库管理：包含公共资源库、学校资源库、个人资源库；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(2)公共资源库提供常规实验视频和数字化实验视频200+个、实验指导手册1000+份；内容包括教师页、学生页、学生报告页，以及详细的实验过程指导；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(3)实验指导手册与实验仪器相互关联：通过实验可以查询实验所需仪器，通过仪器可以查询仪器能完成的所有实验；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(4)支持资源类型分类：常规课程资源、校本课程资源、特色活动资源等。包括课件、教案、素材、试卷、习题、报告等；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支持资源的共享，教师与学生、教师与教师、学校与学校之间均可完成资源的分享；</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▲供应商投标时提供响应以下功能要求的产品功能界面截图：(1)公共资源库提供常规实验视频和数字化实验视频200+个、实验指导手册1000+份；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(2)内容包括教师页、学生页、学生报告页，以及详细的实验过程指导。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(3)实验指导手册与实验仪器相互关联：通过实验可以查询实验所需仪器，通过仪器可以查询仪器能完成的所有实验；</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6E5AB8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2235A0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r w14:paraId="083FC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0" w:hRule="atLeast"/>
        </w:trPr>
        <w:tc>
          <w:tcPr>
            <w:tcW w:w="456" w:type="dxa"/>
            <w:tcBorders>
              <w:top w:val="single" w:color="000000" w:sz="4" w:space="0"/>
              <w:left w:val="single" w:color="000000" w:sz="8" w:space="0"/>
              <w:bottom w:val="single" w:color="000000" w:sz="4" w:space="0"/>
              <w:right w:val="single" w:color="000000" w:sz="4" w:space="0"/>
            </w:tcBorders>
            <w:noWrap/>
            <w:vAlign w:val="center"/>
          </w:tcPr>
          <w:p w14:paraId="21C457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2CEF45B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基础信息管理</w:t>
            </w:r>
          </w:p>
        </w:tc>
        <w:tc>
          <w:tcPr>
            <w:tcW w:w="6963" w:type="dxa"/>
            <w:tcBorders>
              <w:top w:val="single" w:color="000000" w:sz="4" w:space="0"/>
              <w:left w:val="single" w:color="000000" w:sz="4" w:space="0"/>
              <w:bottom w:val="single" w:color="000000" w:sz="4" w:space="0"/>
              <w:right w:val="nil"/>
            </w:tcBorders>
            <w:noWrap w:val="0"/>
            <w:vAlign w:val="center"/>
          </w:tcPr>
          <w:p w14:paraId="121598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教学基础信息模块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(1)学期管理：设置学期基本信息（学年、学期起始时间、周次信息）；可自助查询、删除、修改学期信息；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(2)课节管理：设置课节信息，课程开始及结束时间；可设置课节冬令时夏令时等；可查看、删除、编辑修改课节信息；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(3)班级及年级信息管理：可以建立年级、班级信息，以及年级、班级名称信息的自定义编辑；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(4)学生信息管理：支持学校管理员建立及编辑学生信息，包括学生的姓名、年级、班级、学号等，支持下载模板并批量上传；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教师信息管理：设置教师账号及编辑账号信息，包括教师的姓名、学历、职称、授课学科、授课年级班级、岗位角色（任课老师、实验室管理员、备课组长）、登录密码等；教师可在后台完成平台账号信息注册申请，并由学校管理员进行审核完善信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(6)单个教师账号支持有多个岗位角色，贴合学校实际；可以配置对应的教学管理人员的管理权限；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(7)学校信息管理：在后台可对学校的基本信息进行管理，包括学校名称、logo、代码、轨数、所属区域、学段学制、星级、学校的组织机构信息等；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(8)通知公告信息管理：学校管理人员可发布公告信息，对公告信息完成增、改、查操作，展示与不展示的管理，管理者能够上传附件，查看人员可下载附件信息；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(9)权限管理：超级管理员可在后台完成对角色页面的自定义配置</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14985D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0B78C8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r>
    </w:tbl>
    <w:p w14:paraId="29173789">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E752F3"/>
    <w:rsid w:val="65E752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11"/>
    <w:basedOn w:val="3"/>
    <w:qFormat/>
    <w:uiPriority w:val="0"/>
    <w:rPr>
      <w:rFonts w:hint="eastAsia" w:ascii="宋体" w:hAnsi="宋体" w:eastAsia="宋体" w:cs="宋体"/>
      <w:color w:val="000000"/>
      <w:sz w:val="20"/>
      <w:szCs w:val="20"/>
      <w:u w:val="none"/>
    </w:rPr>
  </w:style>
  <w:style w:type="character" w:customStyle="1" w:styleId="5">
    <w:name w:val="font21"/>
    <w:basedOn w:val="3"/>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2" Type="http://schemas.openxmlformats.org/officeDocument/2006/relationships/fontTable" Target="fontTable.xml"/><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136</Pages>
  <Words>0</Words>
  <Characters>0</Characters>
  <Lines>0</Lines>
  <Paragraphs>0</Paragraphs>
  <TotalTime>0</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2024-12-03T09:29:00Z</dcterms:created>
  <dc:creator>前戏</dc:creator>
  <cp:lastModifiedBy>前戏</cp:lastModifiedBy>
  <dcterms:modified xsi:type="dcterms:W3CDTF">2024-12-03T09:30:12Z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498A186F7E804EDAAB52AB2A0618549C_11</vt:lpwstr>
  </property>
</Properties>
</file>