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0F2D90">
      <w:pPr>
        <w:rPr>
          <w:rFonts w:hint="eastAsia" w:ascii="宋体" w:hAnsi="宋体" w:eastAsia="宋体" w:cs="宋体"/>
          <w:sz w:val="28"/>
          <w:szCs w:val="28"/>
          <w:lang w:val="en-US" w:eastAsia="zh-CN"/>
        </w:rPr>
      </w:pPr>
      <w:r>
        <w:rPr>
          <w:rFonts w:hint="eastAsia" w:ascii="宋体" w:hAnsi="宋体" w:eastAsia="宋体" w:cs="宋体"/>
          <w:b/>
          <w:bCs/>
          <w:sz w:val="32"/>
          <w:szCs w:val="32"/>
          <w:lang w:val="en-US" w:eastAsia="zh-CN"/>
        </w:rPr>
        <w:t>克孜勒苏职业技术学院承接区教学设备采购项目</w:t>
      </w:r>
      <w:r>
        <w:rPr>
          <w:rFonts w:hint="eastAsia" w:ascii="宋体" w:hAnsi="宋体" w:cs="宋体"/>
          <w:b/>
          <w:bCs/>
          <w:sz w:val="32"/>
          <w:szCs w:val="32"/>
          <w:lang w:val="en-US" w:eastAsia="zh-CN"/>
        </w:rPr>
        <w:t>二包参数</w:t>
      </w:r>
    </w:p>
    <w:tbl>
      <w:tblPr>
        <w:tblStyle w:val="13"/>
        <w:tblW w:w="6114" w:type="pct"/>
        <w:tblInd w:w="-1039" w:type="dxa"/>
        <w:tblLayout w:type="fixed"/>
        <w:tblCellMar>
          <w:top w:w="0" w:type="dxa"/>
          <w:left w:w="108" w:type="dxa"/>
          <w:bottom w:w="0" w:type="dxa"/>
          <w:right w:w="108" w:type="dxa"/>
        </w:tblCellMar>
      </w:tblPr>
      <w:tblGrid>
        <w:gridCol w:w="667"/>
        <w:gridCol w:w="866"/>
        <w:gridCol w:w="7348"/>
        <w:gridCol w:w="834"/>
        <w:gridCol w:w="706"/>
      </w:tblGrid>
      <w:tr w14:paraId="5F082D98">
        <w:tblPrEx>
          <w:tblCellMar>
            <w:top w:w="0" w:type="dxa"/>
            <w:left w:w="108" w:type="dxa"/>
            <w:bottom w:w="0" w:type="dxa"/>
            <w:right w:w="108" w:type="dxa"/>
          </w:tblCellMar>
        </w:tblPrEx>
        <w:trPr>
          <w:trHeight w:val="902" w:hRule="atLeast"/>
        </w:trPr>
        <w:tc>
          <w:tcPr>
            <w:tcW w:w="320" w:type="pct"/>
            <w:tcBorders>
              <w:top w:val="single" w:color="000000" w:sz="4" w:space="0"/>
              <w:left w:val="single" w:color="000000" w:sz="4" w:space="0"/>
              <w:bottom w:val="single" w:color="000000" w:sz="4" w:space="0"/>
              <w:right w:val="single" w:color="000000" w:sz="4" w:space="0"/>
            </w:tcBorders>
            <w:noWrap w:val="0"/>
            <w:vAlign w:val="center"/>
          </w:tcPr>
          <w:p w14:paraId="77F507E6">
            <w:pPr>
              <w:pageBreakBefore w:val="0"/>
              <w:widowControl/>
              <w:kinsoku/>
              <w:wordWrap/>
              <w:overflowPunct/>
              <w:topLinePunct w:val="0"/>
              <w:bidi w:val="0"/>
              <w:spacing w:line="360" w:lineRule="auto"/>
              <w:ind w:left="0" w:firstLine="0"/>
              <w:jc w:val="center"/>
              <w:textAlignment w:val="center"/>
              <w:rPr>
                <w:rFonts w:hint="eastAsia" w:ascii="仿宋" w:hAnsi="仿宋" w:eastAsia="仿宋" w:cs="仿宋"/>
                <w:color w:val="auto"/>
                <w:kern w:val="0"/>
                <w:sz w:val="24"/>
                <w:szCs w:val="24"/>
                <w:highlight w:val="none"/>
                <w:lang w:eastAsia="en-US" w:bidi="en-US"/>
              </w:rPr>
            </w:pPr>
            <w:bookmarkStart w:id="0" w:name="OLE_LINK4"/>
            <w:bookmarkStart w:id="1" w:name="_Toc267320052"/>
            <w:bookmarkStart w:id="2" w:name="_Toc340225294"/>
            <w:r>
              <w:rPr>
                <w:rFonts w:hint="eastAsia" w:ascii="仿宋" w:hAnsi="仿宋" w:eastAsia="仿宋" w:cs="仿宋"/>
                <w:color w:val="auto"/>
                <w:kern w:val="0"/>
                <w:sz w:val="24"/>
                <w:szCs w:val="24"/>
                <w:highlight w:val="none"/>
                <w:lang w:eastAsia="zh-CN" w:bidi="ar"/>
              </w:rPr>
              <w:t>序号</w:t>
            </w:r>
          </w:p>
        </w:tc>
        <w:tc>
          <w:tcPr>
            <w:tcW w:w="415" w:type="pct"/>
            <w:tcBorders>
              <w:top w:val="single" w:color="000000" w:sz="4" w:space="0"/>
              <w:left w:val="single" w:color="000000" w:sz="4" w:space="0"/>
              <w:bottom w:val="single" w:color="000000" w:sz="4" w:space="0"/>
              <w:right w:val="single" w:color="000000" w:sz="4" w:space="0"/>
            </w:tcBorders>
            <w:noWrap w:val="0"/>
            <w:vAlign w:val="center"/>
          </w:tcPr>
          <w:p w14:paraId="6CDBCA46">
            <w:pPr>
              <w:pageBreakBefore w:val="0"/>
              <w:widowControl/>
              <w:kinsoku/>
              <w:wordWrap/>
              <w:overflowPunct/>
              <w:topLinePunct w:val="0"/>
              <w:bidi w:val="0"/>
              <w:spacing w:line="360" w:lineRule="auto"/>
              <w:ind w:left="0" w:firstLine="0"/>
              <w:jc w:val="center"/>
              <w:textAlignment w:val="center"/>
              <w:rPr>
                <w:rFonts w:hint="eastAsia" w:ascii="仿宋" w:hAnsi="仿宋" w:eastAsia="仿宋" w:cs="仿宋"/>
                <w:color w:val="auto"/>
                <w:kern w:val="0"/>
                <w:sz w:val="24"/>
                <w:szCs w:val="24"/>
                <w:highlight w:val="none"/>
                <w:lang w:eastAsia="zh-CN" w:bidi="ar"/>
              </w:rPr>
            </w:pPr>
            <w:r>
              <w:rPr>
                <w:rFonts w:hint="eastAsia" w:ascii="仿宋" w:hAnsi="仿宋" w:eastAsia="仿宋" w:cs="仿宋"/>
                <w:color w:val="auto"/>
                <w:kern w:val="0"/>
                <w:sz w:val="24"/>
                <w:szCs w:val="24"/>
                <w:highlight w:val="none"/>
                <w:lang w:eastAsia="zh-CN" w:bidi="ar"/>
              </w:rPr>
              <w:t>设备</w:t>
            </w:r>
          </w:p>
          <w:p w14:paraId="4777C919">
            <w:pPr>
              <w:pageBreakBefore w:val="0"/>
              <w:widowControl/>
              <w:kinsoku/>
              <w:wordWrap/>
              <w:overflowPunct/>
              <w:topLinePunct w:val="0"/>
              <w:bidi w:val="0"/>
              <w:spacing w:line="360" w:lineRule="auto"/>
              <w:ind w:left="0" w:firstLine="0"/>
              <w:jc w:val="center"/>
              <w:textAlignment w:val="center"/>
              <w:rPr>
                <w:rFonts w:hint="eastAsia" w:ascii="仿宋" w:hAnsi="仿宋" w:eastAsia="仿宋" w:cs="仿宋"/>
                <w:color w:val="auto"/>
                <w:kern w:val="0"/>
                <w:sz w:val="24"/>
                <w:szCs w:val="24"/>
                <w:highlight w:val="none"/>
                <w:lang w:eastAsia="en-US" w:bidi="en-US"/>
              </w:rPr>
            </w:pPr>
            <w:r>
              <w:rPr>
                <w:rFonts w:hint="eastAsia" w:ascii="仿宋" w:hAnsi="仿宋" w:eastAsia="仿宋" w:cs="仿宋"/>
                <w:color w:val="auto"/>
                <w:kern w:val="0"/>
                <w:sz w:val="24"/>
                <w:szCs w:val="24"/>
                <w:highlight w:val="none"/>
                <w:lang w:eastAsia="zh-CN" w:bidi="ar"/>
              </w:rPr>
              <w:t>名称</w:t>
            </w:r>
          </w:p>
        </w:tc>
        <w:tc>
          <w:tcPr>
            <w:tcW w:w="3525" w:type="pct"/>
            <w:tcBorders>
              <w:top w:val="single" w:color="000000" w:sz="4" w:space="0"/>
              <w:left w:val="single" w:color="000000" w:sz="4" w:space="0"/>
              <w:bottom w:val="single" w:color="000000" w:sz="4" w:space="0"/>
              <w:right w:val="single" w:color="000000" w:sz="4" w:space="0"/>
            </w:tcBorders>
            <w:noWrap w:val="0"/>
            <w:vAlign w:val="center"/>
          </w:tcPr>
          <w:p w14:paraId="12B550E3">
            <w:pPr>
              <w:pageBreakBefore w:val="0"/>
              <w:widowControl/>
              <w:kinsoku/>
              <w:wordWrap/>
              <w:overflowPunct/>
              <w:topLinePunct w:val="0"/>
              <w:bidi w:val="0"/>
              <w:spacing w:line="360" w:lineRule="auto"/>
              <w:ind w:left="0" w:firstLine="0"/>
              <w:jc w:val="center"/>
              <w:textAlignment w:val="center"/>
              <w:rPr>
                <w:rFonts w:hint="eastAsia" w:ascii="仿宋" w:hAnsi="仿宋" w:eastAsia="仿宋" w:cs="仿宋"/>
                <w:color w:val="auto"/>
                <w:kern w:val="0"/>
                <w:sz w:val="24"/>
                <w:szCs w:val="24"/>
                <w:highlight w:val="none"/>
                <w:lang w:eastAsia="en-US" w:bidi="en-US"/>
              </w:rPr>
            </w:pPr>
            <w:r>
              <w:rPr>
                <w:rFonts w:hint="eastAsia" w:ascii="仿宋" w:hAnsi="仿宋" w:eastAsia="仿宋" w:cs="仿宋"/>
                <w:color w:val="auto"/>
                <w:kern w:val="0"/>
                <w:sz w:val="24"/>
                <w:szCs w:val="24"/>
                <w:highlight w:val="none"/>
                <w:lang w:eastAsia="zh-CN" w:bidi="ar"/>
              </w:rPr>
              <w:t>技术参数与要求</w:t>
            </w:r>
          </w:p>
        </w:tc>
        <w:tc>
          <w:tcPr>
            <w:tcW w:w="400" w:type="pct"/>
            <w:tcBorders>
              <w:top w:val="single" w:color="000000" w:sz="4" w:space="0"/>
              <w:left w:val="single" w:color="000000" w:sz="4" w:space="0"/>
              <w:bottom w:val="single" w:color="000000" w:sz="4" w:space="0"/>
              <w:right w:val="single" w:color="000000" w:sz="4" w:space="0"/>
            </w:tcBorders>
            <w:noWrap w:val="0"/>
            <w:vAlign w:val="center"/>
          </w:tcPr>
          <w:p w14:paraId="57F6E846">
            <w:pPr>
              <w:pageBreakBefore w:val="0"/>
              <w:widowControl/>
              <w:kinsoku/>
              <w:wordWrap/>
              <w:overflowPunct/>
              <w:topLinePunct w:val="0"/>
              <w:bidi w:val="0"/>
              <w:spacing w:line="360" w:lineRule="auto"/>
              <w:ind w:left="0" w:firstLine="0"/>
              <w:jc w:val="center"/>
              <w:textAlignment w:val="center"/>
              <w:rPr>
                <w:rFonts w:hint="eastAsia" w:ascii="仿宋" w:hAnsi="仿宋" w:eastAsia="仿宋" w:cs="仿宋"/>
                <w:color w:val="auto"/>
                <w:kern w:val="0"/>
                <w:sz w:val="24"/>
                <w:szCs w:val="24"/>
                <w:highlight w:val="none"/>
                <w:lang w:eastAsia="en-US" w:bidi="en-US"/>
              </w:rPr>
            </w:pPr>
            <w:r>
              <w:rPr>
                <w:rFonts w:hint="eastAsia" w:ascii="仿宋" w:hAnsi="仿宋" w:eastAsia="仿宋" w:cs="仿宋"/>
                <w:color w:val="auto"/>
                <w:kern w:val="0"/>
                <w:sz w:val="24"/>
                <w:szCs w:val="24"/>
                <w:highlight w:val="none"/>
                <w:lang w:eastAsia="zh-CN" w:bidi="ar"/>
              </w:rPr>
              <w:t>数量</w:t>
            </w:r>
          </w:p>
        </w:tc>
        <w:tc>
          <w:tcPr>
            <w:tcW w:w="338" w:type="pct"/>
            <w:tcBorders>
              <w:top w:val="single" w:color="000000" w:sz="4" w:space="0"/>
              <w:left w:val="single" w:color="000000" w:sz="4" w:space="0"/>
              <w:bottom w:val="single" w:color="000000" w:sz="4" w:space="0"/>
              <w:right w:val="single" w:color="000000" w:sz="4" w:space="0"/>
            </w:tcBorders>
            <w:noWrap w:val="0"/>
            <w:vAlign w:val="center"/>
          </w:tcPr>
          <w:p w14:paraId="5C35AE5D">
            <w:pPr>
              <w:pageBreakBefore w:val="0"/>
              <w:widowControl/>
              <w:kinsoku/>
              <w:wordWrap/>
              <w:overflowPunct/>
              <w:topLinePunct w:val="0"/>
              <w:bidi w:val="0"/>
              <w:spacing w:line="360" w:lineRule="auto"/>
              <w:ind w:left="0" w:firstLine="0"/>
              <w:jc w:val="center"/>
              <w:textAlignment w:val="center"/>
              <w:rPr>
                <w:rFonts w:hint="eastAsia" w:ascii="仿宋" w:hAnsi="仿宋" w:eastAsia="仿宋" w:cs="仿宋"/>
                <w:color w:val="auto"/>
                <w:kern w:val="0"/>
                <w:sz w:val="24"/>
                <w:szCs w:val="24"/>
                <w:highlight w:val="none"/>
                <w:lang w:eastAsia="zh-CN" w:bidi="ar"/>
              </w:rPr>
            </w:pPr>
            <w:r>
              <w:rPr>
                <w:rFonts w:hint="eastAsia" w:ascii="仿宋" w:hAnsi="仿宋" w:eastAsia="仿宋" w:cs="仿宋"/>
                <w:color w:val="auto"/>
                <w:kern w:val="0"/>
                <w:sz w:val="24"/>
                <w:szCs w:val="24"/>
                <w:highlight w:val="none"/>
                <w:lang w:eastAsia="zh-CN" w:bidi="ar"/>
              </w:rPr>
              <w:t>单位</w:t>
            </w:r>
          </w:p>
        </w:tc>
      </w:tr>
      <w:tr w14:paraId="275CB41D">
        <w:tblPrEx>
          <w:tblCellMar>
            <w:top w:w="0" w:type="dxa"/>
            <w:left w:w="108" w:type="dxa"/>
            <w:bottom w:w="0" w:type="dxa"/>
            <w:right w:w="108" w:type="dxa"/>
          </w:tblCellMar>
        </w:tblPrEx>
        <w:trPr>
          <w:trHeight w:val="1622" w:hRule="atLeast"/>
        </w:trPr>
        <w:tc>
          <w:tcPr>
            <w:tcW w:w="320" w:type="pct"/>
            <w:tcBorders>
              <w:top w:val="single" w:color="000000" w:sz="4" w:space="0"/>
              <w:left w:val="single" w:color="000000" w:sz="4" w:space="0"/>
              <w:bottom w:val="single" w:color="000000" w:sz="4" w:space="0"/>
              <w:right w:val="single" w:color="000000" w:sz="4" w:space="0"/>
            </w:tcBorders>
            <w:noWrap w:val="0"/>
            <w:vAlign w:val="center"/>
          </w:tcPr>
          <w:p w14:paraId="26E942C5">
            <w:pPr>
              <w:pageBreakBefore w:val="0"/>
              <w:widowControl/>
              <w:kinsoku/>
              <w:wordWrap/>
              <w:overflowPunct/>
              <w:topLinePunct w:val="0"/>
              <w:bidi w:val="0"/>
              <w:spacing w:line="360" w:lineRule="auto"/>
              <w:ind w:left="0" w:firstLine="0"/>
              <w:jc w:val="center"/>
              <w:textAlignment w:val="center"/>
              <w:rPr>
                <w:rFonts w:hint="eastAsia" w:ascii="仿宋" w:hAnsi="仿宋" w:eastAsia="仿宋" w:cs="仿宋"/>
                <w:color w:val="auto"/>
                <w:kern w:val="0"/>
                <w:sz w:val="24"/>
                <w:szCs w:val="24"/>
                <w:highlight w:val="none"/>
                <w:lang w:eastAsia="en-US" w:bidi="en-US"/>
              </w:rPr>
            </w:pPr>
            <w:r>
              <w:rPr>
                <w:rFonts w:hint="eastAsia" w:ascii="仿宋" w:hAnsi="仿宋" w:eastAsia="仿宋" w:cs="仿宋"/>
                <w:color w:val="auto"/>
                <w:kern w:val="0"/>
                <w:sz w:val="24"/>
                <w:szCs w:val="24"/>
                <w:highlight w:val="none"/>
                <w:lang w:val="en-US" w:eastAsia="zh-CN" w:bidi="ar"/>
              </w:rPr>
              <w:t>1</w:t>
            </w:r>
          </w:p>
        </w:tc>
        <w:tc>
          <w:tcPr>
            <w:tcW w:w="415" w:type="pct"/>
            <w:tcBorders>
              <w:top w:val="single" w:color="000000" w:sz="4" w:space="0"/>
              <w:left w:val="single" w:color="000000" w:sz="4" w:space="0"/>
              <w:bottom w:val="single" w:color="000000" w:sz="4" w:space="0"/>
              <w:right w:val="single" w:color="000000" w:sz="4" w:space="0"/>
            </w:tcBorders>
            <w:noWrap w:val="0"/>
            <w:vAlign w:val="center"/>
          </w:tcPr>
          <w:p w14:paraId="313F328D">
            <w:pPr>
              <w:pageBreakBefore w:val="0"/>
              <w:widowControl/>
              <w:kinsoku/>
              <w:wordWrap/>
              <w:overflowPunct/>
              <w:topLinePunct w:val="0"/>
              <w:bidi w:val="0"/>
              <w:spacing w:line="360" w:lineRule="auto"/>
              <w:ind w:left="0" w:firstLine="0"/>
              <w:jc w:val="center"/>
              <w:textAlignment w:val="center"/>
              <w:rPr>
                <w:rFonts w:hint="eastAsia" w:ascii="仿宋" w:hAnsi="仿宋" w:eastAsia="仿宋" w:cs="仿宋"/>
                <w:color w:val="auto"/>
                <w:kern w:val="0"/>
                <w:sz w:val="24"/>
                <w:szCs w:val="24"/>
                <w:highlight w:val="none"/>
                <w:lang w:val="en-US" w:eastAsia="zh-CN" w:bidi="en-US"/>
              </w:rPr>
            </w:pPr>
            <w:r>
              <w:rPr>
                <w:rFonts w:hint="eastAsia" w:ascii="仿宋" w:hAnsi="仿宋" w:eastAsia="仿宋" w:cs="仿宋"/>
                <w:color w:val="auto"/>
                <w:kern w:val="0"/>
                <w:sz w:val="24"/>
                <w:szCs w:val="24"/>
                <w:highlight w:val="none"/>
                <w:lang w:val="en-US" w:eastAsia="zh-CN" w:bidi="en-US"/>
              </w:rPr>
              <w:t>课桌椅</w:t>
            </w:r>
          </w:p>
        </w:tc>
        <w:tc>
          <w:tcPr>
            <w:tcW w:w="3525" w:type="pct"/>
            <w:tcBorders>
              <w:top w:val="single" w:color="000000" w:sz="4" w:space="0"/>
              <w:left w:val="single" w:color="000000" w:sz="4" w:space="0"/>
              <w:bottom w:val="single" w:color="000000" w:sz="4" w:space="0"/>
              <w:right w:val="single" w:color="000000" w:sz="4" w:space="0"/>
            </w:tcBorders>
            <w:noWrap w:val="0"/>
            <w:vAlign w:val="center"/>
          </w:tcPr>
          <w:p w14:paraId="2A1654F7">
            <w:pPr>
              <w:pStyle w:val="24"/>
              <w:numPr>
                <w:ilvl w:val="0"/>
                <w:numId w:val="0"/>
              </w:numPr>
              <w:spacing w:line="360" w:lineRule="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1、规格尺寸：单人桌面宽≥650mm，深≥450mm，高≥750mm。桌面板≥18mm厚。</w:t>
            </w:r>
          </w:p>
          <w:p w14:paraId="2E69F7D4">
            <w:pPr>
              <w:pStyle w:val="24"/>
              <w:numPr>
                <w:ilvl w:val="0"/>
                <w:numId w:val="0"/>
              </w:numPr>
              <w:spacing w:line="360" w:lineRule="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2、课桌面板：采用三聚氰胺饰面板，四周注塑封边。优点是课桌面板四角圆润防磕碰，受冷热影响封边不易脱落。</w:t>
            </w:r>
          </w:p>
          <w:p w14:paraId="3D0A2F47">
            <w:pPr>
              <w:pStyle w:val="24"/>
              <w:numPr>
                <w:ilvl w:val="0"/>
                <w:numId w:val="0"/>
              </w:numPr>
              <w:spacing w:line="360" w:lineRule="auto"/>
              <w:rPr>
                <w:rFonts w:hint="eastAsia" w:ascii="仿宋" w:hAnsi="仿宋" w:eastAsia="仿宋" w:cs="仿宋"/>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w:t>
            </w:r>
            <w:r>
              <w:rPr>
                <w:rFonts w:hint="eastAsia" w:ascii="仿宋" w:hAnsi="仿宋" w:eastAsia="仿宋" w:cs="仿宋"/>
                <w:color w:val="auto"/>
                <w:kern w:val="2"/>
                <w:sz w:val="24"/>
                <w:szCs w:val="24"/>
                <w:lang w:val="en-US" w:eastAsia="zh-CN" w:bidi="ar-SA"/>
              </w:rPr>
              <w:t>3、桌腿：立柱采用优质铝合金一体压铸成型，相比其他材料，铝合金一体压铸成型具有结构牢固、质量稳定、经久耐用、可以再生利用、更环保等优点。表面喷塑处理双重保护，不易腐蚀。桌腿上自带装饰卡槽，主要用于遮挡安装螺丝，使外观美观大气。桌脚高725mm±2mm，上端支架长397mm±2mm，脚板长437mm±2mm；宽35mm±2mm。桌脚垫：采用PP环保塑料材质，螺丝连接，耐磨耐压，静音防滑。</w:t>
            </w:r>
          </w:p>
          <w:p w14:paraId="3CFF59F1">
            <w:pPr>
              <w:pStyle w:val="24"/>
              <w:numPr>
                <w:ilvl w:val="0"/>
                <w:numId w:val="0"/>
              </w:numPr>
              <w:spacing w:line="360" w:lineRule="auto"/>
              <w:rPr>
                <w:rFonts w:hint="eastAsia" w:ascii="仿宋" w:hAnsi="仿宋" w:eastAsia="仿宋" w:cs="仿宋"/>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w:t>
            </w:r>
            <w:r>
              <w:rPr>
                <w:rFonts w:hint="eastAsia" w:ascii="仿宋" w:hAnsi="仿宋" w:eastAsia="仿宋" w:cs="仿宋"/>
                <w:color w:val="auto"/>
                <w:kern w:val="2"/>
                <w:sz w:val="24"/>
                <w:szCs w:val="24"/>
                <w:lang w:val="en-US" w:eastAsia="zh-CN" w:bidi="ar-SA"/>
              </w:rPr>
              <w:t>4、书包挂钩：书包挂钩与桌腿经模具一体压铸成型。优点：书包挂钩不易脱落丢失，不易松动。</w:t>
            </w:r>
          </w:p>
          <w:p w14:paraId="216FAC14">
            <w:pPr>
              <w:pStyle w:val="24"/>
              <w:numPr>
                <w:ilvl w:val="0"/>
                <w:numId w:val="0"/>
              </w:numPr>
              <w:spacing w:line="360" w:lineRule="auto"/>
              <w:rPr>
                <w:rFonts w:hint="eastAsia" w:ascii="仿宋" w:hAnsi="仿宋" w:eastAsia="仿宋" w:cs="仿宋"/>
                <w:color w:val="auto"/>
                <w:kern w:val="2"/>
                <w:sz w:val="24"/>
                <w:szCs w:val="24"/>
                <w:lang w:val="en-US" w:eastAsia="zh-CN" w:bidi="ar-SA"/>
              </w:rPr>
            </w:pPr>
            <w:bookmarkStart w:id="3" w:name="OLE_LINK1"/>
            <w:r>
              <w:rPr>
                <w:rFonts w:hint="eastAsia" w:ascii="宋体" w:hAnsi="宋体" w:eastAsia="宋体" w:cs="宋体"/>
                <w:color w:val="auto"/>
                <w:kern w:val="2"/>
                <w:sz w:val="24"/>
                <w:szCs w:val="24"/>
                <w:lang w:val="en-US" w:eastAsia="zh-CN" w:bidi="ar-SA"/>
              </w:rPr>
              <w:t>▲</w:t>
            </w:r>
            <w:bookmarkEnd w:id="3"/>
            <w:r>
              <w:rPr>
                <w:rFonts w:hint="eastAsia" w:ascii="仿宋" w:hAnsi="仿宋" w:eastAsia="仿宋" w:cs="仿宋"/>
                <w:color w:val="auto"/>
                <w:kern w:val="2"/>
                <w:sz w:val="24"/>
                <w:szCs w:val="24"/>
                <w:lang w:val="en-US" w:eastAsia="zh-CN" w:bidi="ar-SA"/>
              </w:rPr>
              <w:t>5、桌挡板：桌挡板采用优质冷拉钢板激光切割成型或桌拉换采用优质冷扎钢管做成网格造型，表面采用静电喷涂处理；与桌腿两侧螺丝连接部分带有塑料装饰盖，防止螺丝外漏，美观耐用。</w:t>
            </w:r>
          </w:p>
          <w:p w14:paraId="525674DE">
            <w:pPr>
              <w:pStyle w:val="24"/>
              <w:numPr>
                <w:ilvl w:val="0"/>
                <w:numId w:val="0"/>
              </w:numPr>
              <w:spacing w:line="360" w:lineRule="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6、桌拉杆：桌下前方设横拉杆，采用椭圆管50*20*1.0mm，起连接作用，整体符合人体工程学；采用优质冷拉钢、表面采用静电喷涂处理。</w:t>
            </w:r>
          </w:p>
          <w:p w14:paraId="5AE37FF0">
            <w:pPr>
              <w:pStyle w:val="24"/>
              <w:numPr>
                <w:ilvl w:val="0"/>
                <w:numId w:val="0"/>
              </w:numPr>
              <w:spacing w:line="360" w:lineRule="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7、课桌书兜：采用优质冷拉钢模压成兜型，或做成冷轧钢板激光切割成网格造型，表面采用静电喷涂处理</w:t>
            </w:r>
          </w:p>
          <w:p w14:paraId="4FD2DD30">
            <w:pPr>
              <w:pStyle w:val="24"/>
              <w:numPr>
                <w:ilvl w:val="0"/>
                <w:numId w:val="0"/>
              </w:numPr>
              <w:spacing w:line="360" w:lineRule="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8、课椅整体尺寸：课椅宽≥455㎜，深≥385㎜，高≥768㎜。</w:t>
            </w:r>
          </w:p>
          <w:p w14:paraId="2B23CFD1">
            <w:pPr>
              <w:pStyle w:val="24"/>
              <w:numPr>
                <w:ilvl w:val="0"/>
                <w:numId w:val="0"/>
              </w:numPr>
              <w:spacing w:line="360" w:lineRule="auto"/>
              <w:rPr>
                <w:rFonts w:hint="eastAsia" w:ascii="仿宋" w:hAnsi="仿宋" w:eastAsia="仿宋" w:cs="仿宋"/>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w:t>
            </w:r>
            <w:r>
              <w:rPr>
                <w:rFonts w:hint="eastAsia" w:ascii="仿宋" w:hAnsi="仿宋" w:eastAsia="仿宋" w:cs="仿宋"/>
                <w:color w:val="auto"/>
                <w:kern w:val="2"/>
                <w:sz w:val="24"/>
                <w:szCs w:val="24"/>
                <w:lang w:val="en-US" w:eastAsia="zh-CN" w:bidi="ar-SA"/>
              </w:rPr>
              <w:t>9、课椅座面和椅背：课椅座面和椅背采用一次性注塑成型环保材料，坐板宽≥400mm，深度≥390mm；靠板宽度≥380mm，高度≥360mm；椅背开孔，便于提拉移动，椅背与铝合金脚架采用优质螺杆直接连接，稳固有弹性，椅背厚度≥5mm。</w:t>
            </w:r>
          </w:p>
          <w:p w14:paraId="45A92C9C">
            <w:pPr>
              <w:pStyle w:val="24"/>
              <w:numPr>
                <w:ilvl w:val="0"/>
                <w:numId w:val="0"/>
              </w:numPr>
              <w:spacing w:line="360" w:lineRule="auto"/>
              <w:rPr>
                <w:rFonts w:hint="eastAsia" w:ascii="仿宋" w:hAnsi="仿宋" w:eastAsia="仿宋" w:cs="仿宋"/>
                <w:lang w:val="en-US" w:eastAsia="zh-CN"/>
              </w:rPr>
            </w:pPr>
            <w:r>
              <w:rPr>
                <w:rFonts w:hint="eastAsia" w:ascii="宋体" w:hAnsi="宋体" w:eastAsia="宋体" w:cs="宋体"/>
                <w:color w:val="auto"/>
                <w:kern w:val="2"/>
                <w:sz w:val="24"/>
                <w:szCs w:val="24"/>
                <w:lang w:val="en-US" w:eastAsia="zh-CN" w:bidi="ar-SA"/>
              </w:rPr>
              <w:t>▲</w:t>
            </w:r>
            <w:r>
              <w:rPr>
                <w:rFonts w:hint="eastAsia" w:ascii="仿宋" w:hAnsi="仿宋" w:eastAsia="仿宋" w:cs="仿宋"/>
                <w:color w:val="auto"/>
                <w:kern w:val="2"/>
                <w:sz w:val="24"/>
                <w:szCs w:val="24"/>
                <w:lang w:val="en-US" w:eastAsia="zh-CN" w:bidi="ar-SA"/>
              </w:rPr>
              <w:t>10、椅腿采用优质铝合金，经模具一次压铸成型，椅腿管成多边形状，增加稳定性。外观表层处理采用高压静电喷塑，喷涂后的塑面厚度均匀、覆盖完整、光泽明亮；无流挂、气泡等。椅脚高430mm±5mm，椅腿之间距离400mm±5mm，上端支架长180mm±5mm，成人字形。椅脚垫：采用PP环保塑料材质，耐磨耐压，静音防滑。</w:t>
            </w:r>
          </w:p>
          <w:p w14:paraId="564D0A7C">
            <w:pPr>
              <w:pStyle w:val="24"/>
              <w:numPr>
                <w:ilvl w:val="0"/>
                <w:numId w:val="0"/>
              </w:numPr>
              <w:spacing w:line="360" w:lineRule="auto"/>
              <w:rPr>
                <w:rFonts w:hint="eastAsia" w:ascii="仿宋" w:hAnsi="仿宋" w:eastAsia="仿宋" w:cs="仿宋"/>
                <w:color w:val="auto"/>
                <w:kern w:val="2"/>
                <w:sz w:val="24"/>
                <w:szCs w:val="24"/>
                <w:lang w:val="en-US" w:eastAsia="zh-CN" w:bidi="ar-SA"/>
              </w:rPr>
            </w:pPr>
            <w:bookmarkStart w:id="4" w:name="_GoBack"/>
            <w:bookmarkEnd w:id="4"/>
            <w:r>
              <w:rPr>
                <w:rFonts w:hint="eastAsia" w:ascii="仿宋" w:hAnsi="仿宋" w:eastAsia="仿宋" w:cs="仿宋"/>
                <w:color w:val="auto"/>
                <w:kern w:val="2"/>
                <w:sz w:val="24"/>
                <w:szCs w:val="24"/>
                <w:lang w:val="en-US" w:eastAsia="zh-CN" w:bidi="ar-SA"/>
              </w:rPr>
              <w:t>11、投标人或所投产品生产企业提供2022年1月1日以来至</w:t>
            </w:r>
            <w:r>
              <w:rPr>
                <w:rFonts w:hint="eastAsia" w:ascii="仿宋" w:hAnsi="仿宋" w:eastAsia="仿宋" w:cs="仿宋"/>
                <w:color w:val="auto"/>
                <w:kern w:val="2"/>
                <w:sz w:val="24"/>
                <w:szCs w:val="24"/>
                <w:highlight w:val="none"/>
                <w:lang w:val="en-US" w:eastAsia="zh-CN" w:bidi="ar-SA"/>
              </w:rPr>
              <w:t>投标截止之日前</w:t>
            </w:r>
            <w:r>
              <w:rPr>
                <w:rFonts w:hint="eastAsia" w:ascii="仿宋" w:hAnsi="仿宋" w:eastAsia="仿宋" w:cs="仿宋"/>
                <w:color w:val="auto"/>
                <w:kern w:val="2"/>
                <w:sz w:val="24"/>
                <w:szCs w:val="24"/>
                <w:lang w:val="en-US" w:eastAsia="zh-CN" w:bidi="ar-SA"/>
              </w:rPr>
              <w:t>，以检测报告出具时间为准，有效期内的原材料抽样检测报告：</w:t>
            </w:r>
          </w:p>
          <w:p w14:paraId="24D26DDC">
            <w:pPr>
              <w:pStyle w:val="24"/>
              <w:numPr>
                <w:ilvl w:val="0"/>
                <w:numId w:val="0"/>
              </w:numPr>
              <w:spacing w:line="360" w:lineRule="auto"/>
              <w:rPr>
                <w:rFonts w:hint="eastAsia" w:ascii="仿宋" w:hAnsi="仿宋" w:eastAsia="仿宋" w:cs="仿宋"/>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w:t>
            </w:r>
            <w:r>
              <w:rPr>
                <w:rFonts w:hint="eastAsia" w:ascii="仿宋" w:hAnsi="仿宋" w:eastAsia="仿宋" w:cs="仿宋"/>
                <w:color w:val="auto"/>
                <w:kern w:val="2"/>
                <w:sz w:val="24"/>
                <w:szCs w:val="24"/>
                <w:lang w:val="en-US" w:eastAsia="zh-CN" w:bidi="ar-SA"/>
              </w:rPr>
              <w:t>⑴脚架、椅脚椅架、支撑脚，检验依据包含但不限于参照GB／T 3325—2017《金属家具通用技术条件》； GB／T 10357.2—2013 《家具力学性能试验 第2部分：椅凳类稳定性》； 检测内容包含但不限于：①外观性能要求金属件喷涂层：涂层应无漏喷、锈蚀和脱色、掉色现象；涂层应光滑均匀、色泽一致，应无流挂、疙瘩、皱皮、飞漆等缺陷。焊接件：焊接处应无脱焊、 虚焊、焊穿、错位；焊接处应无夹渣、 气孔、焊瘤、焊丝头、咬边、飞溅；焊接处表面波纹应均匀。②理化性能要求：金属喷漆（塑）涂层硬度达到3H，附着力达到1级。③力学性能：椅凳类强度和耐久性：椅腿前向静载荷试验：所有零部件无断裂或豁裂；用手揿压某些应为牢固的部件，应无永久性松动；所有零部件应无影响使用功能的磨损或变形：五金连接件应无松动；活动部件（门、抽屉等）开关应灵便；零部件无明显位移变化；达到力500N；座面平衡载荷1000N。</w:t>
            </w:r>
          </w:p>
          <w:p w14:paraId="06EA3DBE">
            <w:pPr>
              <w:pStyle w:val="24"/>
              <w:numPr>
                <w:ilvl w:val="0"/>
                <w:numId w:val="0"/>
              </w:numPr>
              <w:spacing w:line="360" w:lineRule="auto"/>
              <w:rPr>
                <w:rFonts w:hint="eastAsia" w:ascii="仿宋" w:hAnsi="仿宋" w:eastAsia="仿宋" w:cs="仿宋"/>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w:t>
            </w:r>
            <w:r>
              <w:rPr>
                <w:rFonts w:hint="eastAsia" w:ascii="仿宋" w:hAnsi="仿宋" w:eastAsia="仿宋" w:cs="仿宋"/>
                <w:color w:val="auto"/>
                <w:kern w:val="2"/>
                <w:sz w:val="24"/>
                <w:szCs w:val="24"/>
                <w:lang w:val="en-US" w:eastAsia="zh-CN" w:bidi="ar-SA"/>
              </w:rPr>
              <w:t>⑵五金配件，检验依据包含但不限于GB／T3325—2017《金属家具通用技术条件》；QB／T 2454—2013《家具五金抽屉导轨》。检测内容包含但不限于：①外观性能要求：金属件电镀层表面应无剥落、返锈、毛刺，表面应无烧焦、起泡、针孔、裂纹、 花斑（不包括镀彩锌）和划痕；②耐腐蚀18h,1.5mm 以下锈点不应超过20点/dm2,其中直径 1.0mm以上的锈点不应超过5点/dm2（距边缘棱角2mm以内的不计）。</w:t>
            </w:r>
          </w:p>
          <w:p w14:paraId="744A6D1C">
            <w:pPr>
              <w:pStyle w:val="24"/>
              <w:numPr>
                <w:ilvl w:val="0"/>
                <w:numId w:val="0"/>
              </w:numPr>
              <w:spacing w:line="360" w:lineRule="auto"/>
              <w:rPr>
                <w:rFonts w:hint="eastAsia" w:ascii="仿宋" w:hAnsi="仿宋" w:eastAsia="仿宋" w:cs="仿宋"/>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w:t>
            </w:r>
            <w:r>
              <w:rPr>
                <w:rFonts w:hint="eastAsia" w:ascii="仿宋" w:hAnsi="仿宋" w:eastAsia="仿宋" w:cs="仿宋"/>
                <w:color w:val="auto"/>
                <w:kern w:val="2"/>
                <w:sz w:val="24"/>
                <w:szCs w:val="24"/>
                <w:lang w:val="en-US" w:eastAsia="zh-CN" w:bidi="ar-SA"/>
              </w:rPr>
              <w:t>⑶冷轧钢管，检验依据包含但不限于GB／T3325—2017 《金属家具通用技术条件》。检测内容包含但不限于：①外观性能要求：金属件喷涂层应无漏喷、锈蚀和脱色、掉色现象；涂层应光滑均匀、 色泽一致，应无流挂、疙瘩、皱皮、飞漆等缺陷；②理化性能要求：金属喷漆（塑）涂层硬度达到3级，附着力达到1级。</w:t>
            </w:r>
          </w:p>
          <w:p w14:paraId="385617AC">
            <w:pPr>
              <w:pStyle w:val="24"/>
              <w:numPr>
                <w:ilvl w:val="0"/>
                <w:numId w:val="0"/>
              </w:numPr>
              <w:spacing w:line="360" w:lineRule="auto"/>
              <w:rPr>
                <w:rFonts w:hint="eastAsia" w:ascii="仿宋" w:hAnsi="仿宋" w:eastAsia="仿宋" w:cs="仿宋"/>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w:t>
            </w:r>
            <w:r>
              <w:rPr>
                <w:rFonts w:hint="eastAsia" w:ascii="仿宋" w:hAnsi="仿宋" w:eastAsia="仿宋" w:cs="仿宋"/>
                <w:color w:val="auto"/>
                <w:kern w:val="2"/>
                <w:sz w:val="24"/>
                <w:szCs w:val="24"/>
                <w:lang w:val="en-US" w:eastAsia="zh-CN" w:bidi="ar-SA"/>
              </w:rPr>
              <w:t>⑷冷轧钢板,检验依据包含但不限于：检验依据GB/T 3325-2017《金属家具通用技术条件》；GB 24820-2009《实验室家具通用技术条件》。检测内容包含但不限于： ①外观性能要求：金属件喷涂层应无漏喷、锈蚀和脱色、掉色现象；涂层应光滑均匀、色泽一致，应无流挂、疙瘩、皱皮、飞漆等缺陷。②理化性能：操作台柜体以及储物柜表面理化性能，金属喷漆(塑)涂层耐腐蚀，</w:t>
            </w:r>
            <w:r>
              <w:rPr>
                <w:rFonts w:hint="eastAsia" w:ascii="仿宋" w:hAnsi="仿宋" w:eastAsia="仿宋" w:cs="仿宋"/>
                <w:color w:val="auto"/>
                <w:kern w:val="2"/>
                <w:sz w:val="24"/>
                <w:szCs w:val="24"/>
                <w:lang w:val="en-US" w:eastAsia="en-US" w:bidi="ar-SA"/>
              </w:rPr>
              <w:t>24h</w:t>
            </w:r>
            <w:r>
              <w:rPr>
                <w:rFonts w:hint="eastAsia" w:ascii="仿宋" w:hAnsi="仿宋" w:eastAsia="仿宋" w:cs="仿宋"/>
                <w:color w:val="auto"/>
                <w:kern w:val="2"/>
                <w:sz w:val="24"/>
                <w:szCs w:val="24"/>
                <w:lang w:val="en-US" w:eastAsia="zh-CN" w:bidi="ar-SA"/>
              </w:rPr>
              <w:t xml:space="preserve">乙酸盐雾试验 </w:t>
            </w:r>
            <w:r>
              <w:rPr>
                <w:rFonts w:hint="eastAsia" w:ascii="仿宋" w:hAnsi="仿宋" w:eastAsia="仿宋" w:cs="仿宋"/>
                <w:color w:val="auto"/>
                <w:kern w:val="2"/>
                <w:sz w:val="24"/>
                <w:szCs w:val="24"/>
                <w:lang w:val="en-US" w:eastAsia="en-US" w:bidi="ar-SA"/>
              </w:rPr>
              <w:t>(ASS),</w:t>
            </w:r>
            <w:r>
              <w:rPr>
                <w:rFonts w:hint="eastAsia" w:ascii="仿宋" w:hAnsi="仿宋" w:eastAsia="仿宋" w:cs="仿宋"/>
                <w:color w:val="auto"/>
                <w:kern w:val="2"/>
                <w:sz w:val="24"/>
                <w:szCs w:val="24"/>
                <w:lang w:val="en-US" w:eastAsia="zh-CN" w:bidi="ar-SA"/>
              </w:rPr>
              <w:t>达到10级。</w:t>
            </w:r>
          </w:p>
          <w:p w14:paraId="435F9038">
            <w:pPr>
              <w:pStyle w:val="24"/>
              <w:numPr>
                <w:ilvl w:val="0"/>
                <w:numId w:val="0"/>
              </w:numPr>
              <w:spacing w:line="360" w:lineRule="auto"/>
              <w:rPr>
                <w:rFonts w:hint="eastAsia" w:ascii="仿宋" w:hAnsi="仿宋" w:eastAsia="仿宋" w:cs="仿宋"/>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w:t>
            </w:r>
            <w:r>
              <w:rPr>
                <w:rFonts w:hint="eastAsia" w:ascii="仿宋" w:hAnsi="仿宋" w:eastAsia="仿宋" w:cs="仿宋"/>
                <w:color w:val="auto"/>
                <w:kern w:val="2"/>
                <w:sz w:val="24"/>
                <w:szCs w:val="24"/>
                <w:lang w:val="en-US" w:eastAsia="zh-CN" w:bidi="ar-SA"/>
              </w:rPr>
              <w:t>⑸中纤板,检验依据包含但不限于：检验依据 GB/T11718-2009《中密度纤维板》GB 18584-2001《室内装饰装修材料 木家具中有害物质限量》，检测内容包含但不限于：①尺寸偏差、密度及偏差和含水率要求：密度达到0.65g/cm³0.80g/cm³(允许偏差为±10%)； ② 干燥状态下使用的普通型中密度纤维板(MDF -GP REG)性能要求：内结合强度 ≥0.45 MPa ；③甲醛释放量≤0.5 mg/L。</w:t>
            </w:r>
          </w:p>
          <w:p w14:paraId="29AEFDA9">
            <w:pPr>
              <w:pStyle w:val="24"/>
              <w:numPr>
                <w:ilvl w:val="0"/>
                <w:numId w:val="0"/>
              </w:numPr>
              <w:spacing w:line="360" w:lineRule="auto"/>
              <w:rPr>
                <w:rFonts w:hint="eastAsia" w:ascii="仿宋" w:hAnsi="仿宋" w:eastAsia="仿宋" w:cs="仿宋"/>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w:t>
            </w:r>
            <w:r>
              <w:rPr>
                <w:rFonts w:hint="eastAsia" w:ascii="仿宋" w:hAnsi="仿宋" w:eastAsia="仿宋" w:cs="仿宋"/>
                <w:color w:val="auto"/>
                <w:kern w:val="2"/>
                <w:sz w:val="24"/>
                <w:szCs w:val="24"/>
                <w:lang w:val="en-US" w:eastAsia="zh-CN" w:bidi="ar-SA"/>
              </w:rPr>
              <w:t xml:space="preserve">⑹胶水，检验依据包含但不限于：检验依据GB 18583-2008 《室内装饰装修材料 胶粘剂中有害物质限量》；检测内容包含但不限于：①游离甲醛≤O.50g/kg，②苯≤5.0g/kg，③甲苯+二甲苯≤50g/kg。） </w:t>
            </w:r>
          </w:p>
          <w:p w14:paraId="350D6A13">
            <w:pPr>
              <w:pStyle w:val="24"/>
              <w:numPr>
                <w:ilvl w:val="0"/>
                <w:numId w:val="0"/>
              </w:numPr>
              <w:spacing w:line="360" w:lineRule="auto"/>
              <w:rPr>
                <w:rFonts w:hint="eastAsia" w:ascii="仿宋" w:hAnsi="仿宋" w:eastAsia="仿宋" w:cs="仿宋"/>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w:t>
            </w:r>
            <w:r>
              <w:rPr>
                <w:rFonts w:hint="eastAsia" w:ascii="仿宋" w:hAnsi="仿宋" w:eastAsia="仿宋" w:cs="仿宋"/>
                <w:color w:val="auto"/>
                <w:kern w:val="2"/>
                <w:sz w:val="24"/>
                <w:szCs w:val="24"/>
                <w:lang w:val="en-US" w:eastAsia="zh-CN" w:bidi="ar-SA"/>
              </w:rPr>
              <w:t>⑺塑料部件，检验依据包含但不限于：检验依据GB28481-2012《塑料家具中有害物质限量》；检测内容包含但不限于：重金属可溶性铅≤90mg/kg、可溶性镉≤75mg/kg、可溶性铬≤60mg/kg、可溶性汞≤60mg/kg。</w:t>
            </w:r>
          </w:p>
          <w:p w14:paraId="5A75EA0E">
            <w:pPr>
              <w:pStyle w:val="24"/>
              <w:numPr>
                <w:ilvl w:val="0"/>
                <w:numId w:val="0"/>
              </w:numPr>
              <w:spacing w:line="360" w:lineRule="auto"/>
              <w:rPr>
                <w:rFonts w:hint="eastAsia" w:ascii="仿宋" w:hAnsi="仿宋" w:eastAsia="仿宋" w:cs="仿宋"/>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w:t>
            </w:r>
            <w:r>
              <w:rPr>
                <w:rFonts w:hint="eastAsia" w:ascii="仿宋" w:hAnsi="仿宋" w:eastAsia="仿宋" w:cs="仿宋"/>
                <w:color w:val="auto"/>
                <w:kern w:val="2"/>
                <w:sz w:val="24"/>
                <w:szCs w:val="24"/>
                <w:lang w:val="en-US" w:eastAsia="zh-CN" w:bidi="ar-SA"/>
              </w:rPr>
              <w:t>⑻铝材，检验依据包含但不限于：检验依据QB/T 3832-1999《轻工产品金属镀层腐蚀试验结果的评价》，GB/T3325-2017《金属家具通用技术条件》，QB/T 3826-1999《轻工产品金属镀层和化学处理层的耐腐蚀试验方法中性盐雾试验(NSS)法》；检测内容包含但不限于：①产品表面涂饰层/覆面材料理化性能中金属喷漆(塑)涂层硬度≥5H；②中性盐雾试验(NSS）连续喷雾500h：镀(涂)层对基体的保护等级为10级，镀(涂)层本身耐腐蚀等级为10级。</w:t>
            </w:r>
          </w:p>
          <w:p w14:paraId="1B8720B8">
            <w:pPr>
              <w:pStyle w:val="24"/>
              <w:numPr>
                <w:ilvl w:val="0"/>
                <w:numId w:val="0"/>
              </w:numPr>
              <w:spacing w:line="360" w:lineRule="auto"/>
              <w:rPr>
                <w:rFonts w:hint="eastAsia" w:ascii="仿宋" w:hAnsi="仿宋" w:eastAsia="仿宋" w:cs="仿宋"/>
                <w:sz w:val="24"/>
                <w:szCs w:val="24"/>
                <w:lang w:val="en-US" w:eastAsia="zh-CN"/>
              </w:rPr>
            </w:pPr>
            <w:r>
              <w:rPr>
                <w:rFonts w:hint="eastAsia" w:ascii="宋体" w:hAnsi="宋体" w:eastAsia="宋体" w:cs="宋体"/>
                <w:color w:val="auto"/>
                <w:kern w:val="2"/>
                <w:sz w:val="24"/>
                <w:szCs w:val="24"/>
                <w:lang w:val="en-US" w:eastAsia="zh-CN" w:bidi="ar-SA"/>
              </w:rPr>
              <w:t>▲</w:t>
            </w:r>
            <w:r>
              <w:rPr>
                <w:rFonts w:hint="eastAsia" w:ascii="仿宋" w:hAnsi="仿宋" w:eastAsia="仿宋" w:cs="仿宋"/>
                <w:color w:val="auto"/>
                <w:kern w:val="2"/>
                <w:sz w:val="24"/>
                <w:szCs w:val="24"/>
                <w:lang w:val="en-US" w:eastAsia="zh-CN" w:bidi="ar-SA"/>
              </w:rPr>
              <w:t>⑼喷粉塑粉，检验依据包含但不限于：检验依据HG/T 2006-2022《热固性和热塑性粉末涂料》，GB 18581-2020《木器涂料中有害物质限量》；检测内容包含但不限于：①I型1类热固性粉末涂料的要求干附着力≤1；②有害物质限量：总铅(Pb)含量(限色漆、腻子和醇酸清漆)≤90mg/kg；可溶性重金属含量(限色漆腻子和醇酸淸漆)：镉(Cd)含量≤75mg/kg，铬(Cr) 含量≤60mg/kg，汞(Hg)含量≤60mg/kg。</w:t>
            </w:r>
          </w:p>
        </w:tc>
        <w:tc>
          <w:tcPr>
            <w:tcW w:w="400" w:type="pct"/>
            <w:tcBorders>
              <w:top w:val="single" w:color="000000" w:sz="4" w:space="0"/>
              <w:left w:val="single" w:color="000000" w:sz="4" w:space="0"/>
              <w:bottom w:val="single" w:color="000000" w:sz="4" w:space="0"/>
              <w:right w:val="single" w:color="000000" w:sz="4" w:space="0"/>
            </w:tcBorders>
            <w:noWrap w:val="0"/>
            <w:vAlign w:val="center"/>
          </w:tcPr>
          <w:p w14:paraId="4F27F6FD">
            <w:pPr>
              <w:pageBreakBefore w:val="0"/>
              <w:widowControl/>
              <w:kinsoku/>
              <w:wordWrap/>
              <w:overflowPunct/>
              <w:topLinePunct w:val="0"/>
              <w:bidi w:val="0"/>
              <w:spacing w:line="360" w:lineRule="auto"/>
              <w:ind w:left="0" w:firstLine="0"/>
              <w:jc w:val="center"/>
              <w:textAlignment w:val="center"/>
              <w:rPr>
                <w:rFonts w:hint="eastAsia" w:ascii="仿宋" w:hAnsi="仿宋" w:eastAsia="仿宋" w:cs="仿宋"/>
                <w:color w:val="auto"/>
                <w:kern w:val="0"/>
                <w:sz w:val="24"/>
                <w:szCs w:val="24"/>
                <w:highlight w:val="none"/>
                <w:lang w:val="en-US" w:eastAsia="en-US" w:bidi="en-US"/>
              </w:rPr>
            </w:pPr>
            <w:r>
              <w:rPr>
                <w:rFonts w:hint="eastAsia" w:ascii="仿宋" w:hAnsi="仿宋" w:eastAsia="仿宋" w:cs="仿宋"/>
                <w:color w:val="auto"/>
                <w:kern w:val="0"/>
                <w:sz w:val="24"/>
                <w:szCs w:val="24"/>
                <w:highlight w:val="none"/>
                <w:lang w:val="en-US" w:eastAsia="zh-CN" w:bidi="ar"/>
              </w:rPr>
              <w:t>880</w:t>
            </w:r>
          </w:p>
        </w:tc>
        <w:tc>
          <w:tcPr>
            <w:tcW w:w="338" w:type="pct"/>
            <w:tcBorders>
              <w:top w:val="single" w:color="000000" w:sz="4" w:space="0"/>
              <w:left w:val="single" w:color="000000" w:sz="4" w:space="0"/>
              <w:bottom w:val="single" w:color="000000" w:sz="4" w:space="0"/>
              <w:right w:val="single" w:color="000000" w:sz="4" w:space="0"/>
            </w:tcBorders>
            <w:noWrap w:val="0"/>
            <w:vAlign w:val="center"/>
          </w:tcPr>
          <w:p w14:paraId="5B3E5448">
            <w:pPr>
              <w:pageBreakBefore w:val="0"/>
              <w:widowControl/>
              <w:kinsoku/>
              <w:wordWrap/>
              <w:overflowPunct/>
              <w:topLinePunct w:val="0"/>
              <w:bidi w:val="0"/>
              <w:spacing w:line="360" w:lineRule="auto"/>
              <w:ind w:left="0" w:firstLine="0"/>
              <w:jc w:val="center"/>
              <w:textAlignment w:val="center"/>
              <w:rPr>
                <w:rFonts w:hint="eastAsia" w:ascii="仿宋" w:hAnsi="仿宋" w:eastAsia="仿宋" w:cs="仿宋"/>
                <w:color w:val="auto"/>
                <w:kern w:val="0"/>
                <w:sz w:val="24"/>
                <w:szCs w:val="24"/>
                <w:highlight w:val="none"/>
                <w:lang w:eastAsia="zh-CN" w:bidi="ar"/>
              </w:rPr>
            </w:pPr>
            <w:r>
              <w:rPr>
                <w:rFonts w:hint="eastAsia" w:ascii="仿宋" w:hAnsi="仿宋" w:eastAsia="仿宋" w:cs="仿宋"/>
                <w:b/>
                <w:bCs/>
                <w:color w:val="auto"/>
                <w:kern w:val="0"/>
                <w:sz w:val="24"/>
                <w:szCs w:val="24"/>
                <w:highlight w:val="none"/>
                <w:lang w:val="en-US" w:eastAsia="zh-CN" w:bidi="ar"/>
              </w:rPr>
              <w:t>套</w:t>
            </w:r>
          </w:p>
        </w:tc>
      </w:tr>
      <w:tr w14:paraId="02353A00">
        <w:tblPrEx>
          <w:tblCellMar>
            <w:top w:w="0" w:type="dxa"/>
            <w:left w:w="108" w:type="dxa"/>
            <w:bottom w:w="0" w:type="dxa"/>
            <w:right w:w="108" w:type="dxa"/>
          </w:tblCellMar>
        </w:tblPrEx>
        <w:trPr>
          <w:trHeight w:val="997" w:hRule="atLeast"/>
        </w:trPr>
        <w:tc>
          <w:tcPr>
            <w:tcW w:w="320" w:type="pct"/>
            <w:tcBorders>
              <w:top w:val="single" w:color="000000" w:sz="4" w:space="0"/>
              <w:left w:val="single" w:color="000000" w:sz="4" w:space="0"/>
              <w:bottom w:val="single" w:color="000000" w:sz="4" w:space="0"/>
              <w:right w:val="single" w:color="000000" w:sz="4" w:space="0"/>
            </w:tcBorders>
            <w:noWrap w:val="0"/>
            <w:vAlign w:val="center"/>
          </w:tcPr>
          <w:p w14:paraId="10FEB454">
            <w:pPr>
              <w:pageBreakBefore w:val="0"/>
              <w:widowControl/>
              <w:kinsoku/>
              <w:wordWrap/>
              <w:overflowPunct/>
              <w:topLinePunct w:val="0"/>
              <w:bidi w:val="0"/>
              <w:spacing w:line="360" w:lineRule="auto"/>
              <w:ind w:left="0" w:firstLine="0"/>
              <w:jc w:val="center"/>
              <w:textAlignment w:val="center"/>
              <w:rPr>
                <w:rFonts w:hint="eastAsia" w:ascii="仿宋" w:hAnsi="仿宋" w:eastAsia="仿宋" w:cs="仿宋"/>
                <w:color w:val="auto"/>
                <w:kern w:val="0"/>
                <w:sz w:val="24"/>
                <w:szCs w:val="24"/>
                <w:highlight w:val="none"/>
                <w:lang w:eastAsia="en-US" w:bidi="en-US"/>
              </w:rPr>
            </w:pPr>
            <w:r>
              <w:rPr>
                <w:rFonts w:hint="eastAsia" w:ascii="仿宋" w:hAnsi="仿宋" w:eastAsia="仿宋" w:cs="仿宋"/>
                <w:color w:val="auto"/>
                <w:kern w:val="0"/>
                <w:sz w:val="24"/>
                <w:szCs w:val="24"/>
                <w:highlight w:val="none"/>
                <w:lang w:val="en-US" w:eastAsia="zh-CN" w:bidi="ar"/>
              </w:rPr>
              <w:t>2</w:t>
            </w:r>
          </w:p>
        </w:tc>
        <w:tc>
          <w:tcPr>
            <w:tcW w:w="415" w:type="pct"/>
            <w:tcBorders>
              <w:top w:val="single" w:color="000000" w:sz="4" w:space="0"/>
              <w:left w:val="single" w:color="000000" w:sz="4" w:space="0"/>
              <w:bottom w:val="single" w:color="000000" w:sz="4" w:space="0"/>
              <w:right w:val="single" w:color="000000" w:sz="4" w:space="0"/>
            </w:tcBorders>
            <w:noWrap w:val="0"/>
            <w:vAlign w:val="center"/>
          </w:tcPr>
          <w:p w14:paraId="61249886">
            <w:pPr>
              <w:pageBreakBefore w:val="0"/>
              <w:widowControl/>
              <w:kinsoku/>
              <w:wordWrap/>
              <w:overflowPunct/>
              <w:topLinePunct w:val="0"/>
              <w:bidi w:val="0"/>
              <w:spacing w:line="360" w:lineRule="auto"/>
              <w:ind w:left="0" w:firstLine="0"/>
              <w:jc w:val="center"/>
              <w:textAlignment w:val="center"/>
              <w:rPr>
                <w:rFonts w:hint="eastAsia" w:ascii="仿宋" w:hAnsi="仿宋" w:eastAsia="仿宋" w:cs="仿宋"/>
                <w:color w:val="auto"/>
                <w:kern w:val="0"/>
                <w:sz w:val="24"/>
                <w:szCs w:val="24"/>
                <w:highlight w:val="none"/>
                <w:lang w:val="en-US" w:eastAsia="en-US" w:bidi="en-US"/>
              </w:rPr>
            </w:pPr>
            <w:r>
              <w:rPr>
                <w:rFonts w:hint="eastAsia" w:ascii="仿宋" w:hAnsi="仿宋" w:eastAsia="仿宋" w:cs="仿宋"/>
                <w:color w:val="auto"/>
                <w:kern w:val="0"/>
                <w:sz w:val="24"/>
                <w:szCs w:val="24"/>
                <w:highlight w:val="none"/>
                <w:lang w:val="en-US" w:eastAsia="en-US" w:bidi="en-US"/>
              </w:rPr>
              <w:t>多媒体讲桌</w:t>
            </w:r>
          </w:p>
        </w:tc>
        <w:tc>
          <w:tcPr>
            <w:tcW w:w="3525" w:type="pct"/>
            <w:tcBorders>
              <w:top w:val="single" w:color="000000" w:sz="4" w:space="0"/>
              <w:left w:val="single" w:color="000000" w:sz="4" w:space="0"/>
              <w:bottom w:val="single" w:color="000000" w:sz="4" w:space="0"/>
              <w:right w:val="single" w:color="000000" w:sz="4" w:space="0"/>
            </w:tcBorders>
            <w:noWrap w:val="0"/>
            <w:vAlign w:val="center"/>
          </w:tcPr>
          <w:p w14:paraId="4CB1747C">
            <w:pPr>
              <w:spacing w:line="360" w:lineRule="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外形尺寸：总体尺寸≥800*≥560*≥900mm，正负不超过5mm</w:t>
            </w:r>
          </w:p>
          <w:p w14:paraId="79320B3F">
            <w:pPr>
              <w:spacing w:line="360" w:lineRule="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上体部分：≥800*≥560*≥200mm，正负不超过5mm</w:t>
            </w:r>
          </w:p>
          <w:p w14:paraId="2CBE9CF5">
            <w:pPr>
              <w:spacing w:line="360" w:lineRule="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下体部分：≥620*≥480*≥700mm（含小底座），正负不超过5mm</w:t>
            </w:r>
          </w:p>
          <w:p w14:paraId="1720E711">
            <w:pPr>
              <w:spacing w:line="360" w:lineRule="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1.讲台桌面采用平面设计，可以放置不同型号笔记本电脑，桌面四周半包围结构，有效防止物品滑落；桌面采用木质耐划台面，为完整水平木台面，可作为教师演讲桌使用。</w:t>
            </w:r>
          </w:p>
          <w:p w14:paraId="286BCA80">
            <w:pPr>
              <w:spacing w:line="360" w:lineRule="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2.讲台选用优质镀锌钢板≥0.8mm（光洁平整无锈迹），数控设备精加工制作，表面经脱脂除锈磷化、静电喷塑工艺处理。塑层厚度均匀、抗冲击，经久耐用、美观大方。</w:t>
            </w:r>
          </w:p>
          <w:p w14:paraId="196A2AE5">
            <w:pPr>
              <w:spacing w:line="360" w:lineRule="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3.讲台前面设置隐藏式抽拉储物盒，可放置笔记本电脑、键盘鼠标、板擦、粉笔等教学用具。</w:t>
            </w:r>
          </w:p>
          <w:p w14:paraId="645BA7F4">
            <w:pPr>
              <w:spacing w:line="360" w:lineRule="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4.扶手采用高档木质材料，颜色为木纹色，桌面采用木面。讲台下体灰白色和银灰搭配，整个讲台三种颜色结合，美观大方。</w:t>
            </w:r>
          </w:p>
          <w:p w14:paraId="449B4D71">
            <w:pPr>
              <w:spacing w:line="360" w:lineRule="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5.采用两面进线结构，所有布线孔均采用绝缘品装置隔离电源线，安全可靠。</w:t>
            </w:r>
          </w:p>
          <w:p w14:paraId="15AFB44B">
            <w:pPr>
              <w:spacing w:line="360" w:lineRule="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6.全部的加工件均采用模具成型，先进的工装夹具、配合全自动焊接工艺，保障尺寸精度及各部件一致性。</w:t>
            </w:r>
          </w:p>
          <w:p w14:paraId="318CB9EE">
            <w:pPr>
              <w:spacing w:line="360" w:lineRule="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7.胶水、采用国内优质品牌热溶胶，品质优异，证贴合及封边牢固，经得起寒冷和高温气候考验，胶水中的有害物质的含量远底于国家标准。</w:t>
            </w:r>
          </w:p>
          <w:p w14:paraId="2C589E0A">
            <w:pPr>
              <w:spacing w:line="360" w:lineRule="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8.五金配件:采用国内知名品牌五金连接件，永不生锈腐蚀，拼装紧凑牢固。所有五金配件做防 锈、防腐处理。</w:t>
            </w:r>
          </w:p>
          <w:p w14:paraId="65C359CB">
            <w:pPr>
              <w:spacing w:line="360" w:lineRule="auto"/>
              <w:rPr>
                <w:rFonts w:hint="eastAsia" w:ascii="仿宋" w:hAnsi="仿宋" w:eastAsia="仿宋" w:cs="仿宋"/>
                <w:color w:val="auto"/>
                <w:kern w:val="2"/>
                <w:sz w:val="24"/>
                <w:szCs w:val="24"/>
                <w:highlight w:val="none"/>
                <w:lang w:val="en-US" w:eastAsia="zh-CN" w:bidi="ar-SA"/>
              </w:rPr>
            </w:pPr>
            <w:r>
              <w:rPr>
                <w:rFonts w:hint="eastAsia" w:ascii="宋体" w:hAnsi="宋体" w:eastAsia="宋体" w:cs="宋体"/>
                <w:color w:val="auto"/>
                <w:kern w:val="2"/>
                <w:sz w:val="24"/>
                <w:szCs w:val="24"/>
                <w:lang w:val="en-US" w:eastAsia="zh-CN" w:bidi="ar-SA"/>
              </w:rPr>
              <w:t>▲</w:t>
            </w:r>
            <w:r>
              <w:rPr>
                <w:rFonts w:hint="eastAsia" w:ascii="仿宋" w:hAnsi="仿宋" w:eastAsia="仿宋" w:cs="仿宋"/>
                <w:color w:val="auto"/>
                <w:kern w:val="2"/>
                <w:sz w:val="24"/>
                <w:szCs w:val="24"/>
                <w:highlight w:val="none"/>
                <w:lang w:val="en-US" w:eastAsia="zh-CN" w:bidi="ar-SA"/>
              </w:rPr>
              <w:t>9、投标人或所投产品生产企业提供2024年1月1日以来至投标截止之日前，以检测报告出具时间为准，有效期内的成品抽样检测报告：须检验依据包含但不限于：检验依据GB18584-2001《家内装饰装修材料木家具中有害物质限量》:GB/T 35607-2017《绿色产品评价家具》；检测内容包含但不限于：</w:t>
            </w:r>
          </w:p>
          <w:p w14:paraId="6C729F11">
            <w:pPr>
              <w:spacing w:line="360" w:lineRule="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①有害物质限量：甲醛释放量(9-11L干燥器法)：≤1.5mg/L；重金属含量(限色漆)：可溶性铅≤90mg/kg、可溶性镉≤75mg/kg、可溶性铬≤60mg/kg、可溶性汞≤60mg/kg。</w:t>
            </w:r>
          </w:p>
          <w:p w14:paraId="5D7094EA">
            <w:pPr>
              <w:spacing w:line="360" w:lineRule="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②品质属性：产品有害物质：可接触的实木部件中五氯苯酚(PCP)≤5mg/kg。</w:t>
            </w:r>
          </w:p>
        </w:tc>
        <w:tc>
          <w:tcPr>
            <w:tcW w:w="400" w:type="pct"/>
            <w:tcBorders>
              <w:top w:val="single" w:color="000000" w:sz="4" w:space="0"/>
              <w:left w:val="single" w:color="000000" w:sz="4" w:space="0"/>
              <w:bottom w:val="single" w:color="000000" w:sz="4" w:space="0"/>
              <w:right w:val="single" w:color="000000" w:sz="4" w:space="0"/>
            </w:tcBorders>
            <w:noWrap w:val="0"/>
            <w:vAlign w:val="center"/>
          </w:tcPr>
          <w:p w14:paraId="04CED46C">
            <w:pPr>
              <w:pageBreakBefore w:val="0"/>
              <w:widowControl/>
              <w:kinsoku/>
              <w:wordWrap/>
              <w:overflowPunct/>
              <w:topLinePunct w:val="0"/>
              <w:bidi w:val="0"/>
              <w:spacing w:line="360" w:lineRule="auto"/>
              <w:ind w:left="0" w:firstLine="0"/>
              <w:jc w:val="center"/>
              <w:textAlignment w:val="center"/>
              <w:rPr>
                <w:rFonts w:hint="eastAsia" w:ascii="仿宋" w:hAnsi="仿宋" w:eastAsia="仿宋" w:cs="仿宋"/>
                <w:b w:val="0"/>
                <w:bCs w:val="0"/>
                <w:color w:val="auto"/>
                <w:kern w:val="0"/>
                <w:sz w:val="24"/>
                <w:szCs w:val="24"/>
                <w:highlight w:val="none"/>
                <w:lang w:val="en-US" w:eastAsia="en-US" w:bidi="en-US"/>
              </w:rPr>
            </w:pPr>
            <w:r>
              <w:rPr>
                <w:rFonts w:hint="eastAsia" w:ascii="仿宋" w:hAnsi="仿宋" w:eastAsia="仿宋" w:cs="仿宋"/>
                <w:b w:val="0"/>
                <w:bCs w:val="0"/>
                <w:color w:val="auto"/>
                <w:kern w:val="0"/>
                <w:sz w:val="24"/>
                <w:szCs w:val="24"/>
                <w:highlight w:val="none"/>
                <w:lang w:val="en-US" w:eastAsia="zh-CN" w:bidi="ar"/>
              </w:rPr>
              <w:t>20</w:t>
            </w:r>
          </w:p>
        </w:tc>
        <w:tc>
          <w:tcPr>
            <w:tcW w:w="338" w:type="pct"/>
            <w:tcBorders>
              <w:top w:val="single" w:color="000000" w:sz="4" w:space="0"/>
              <w:left w:val="single" w:color="000000" w:sz="4" w:space="0"/>
              <w:bottom w:val="single" w:color="000000" w:sz="4" w:space="0"/>
              <w:right w:val="single" w:color="000000" w:sz="4" w:space="0"/>
            </w:tcBorders>
            <w:noWrap w:val="0"/>
            <w:vAlign w:val="center"/>
          </w:tcPr>
          <w:p w14:paraId="26A2FAFA">
            <w:pPr>
              <w:pageBreakBefore w:val="0"/>
              <w:widowControl/>
              <w:kinsoku/>
              <w:wordWrap/>
              <w:overflowPunct/>
              <w:topLinePunct w:val="0"/>
              <w:bidi w:val="0"/>
              <w:spacing w:line="360" w:lineRule="auto"/>
              <w:ind w:left="0" w:firstLine="0"/>
              <w:jc w:val="center"/>
              <w:textAlignment w:val="center"/>
              <w:rPr>
                <w:rFonts w:hint="eastAsia" w:ascii="仿宋" w:hAnsi="仿宋" w:eastAsia="仿宋" w:cs="仿宋"/>
                <w:b w:val="0"/>
                <w:bCs w:val="0"/>
                <w:color w:val="auto"/>
                <w:kern w:val="0"/>
                <w:sz w:val="24"/>
                <w:szCs w:val="24"/>
                <w:highlight w:val="none"/>
                <w:lang w:eastAsia="zh-CN" w:bidi="ar"/>
              </w:rPr>
            </w:pPr>
            <w:r>
              <w:rPr>
                <w:rFonts w:hint="eastAsia" w:ascii="仿宋" w:hAnsi="仿宋" w:eastAsia="仿宋" w:cs="仿宋"/>
                <w:b/>
                <w:bCs/>
                <w:color w:val="auto"/>
                <w:kern w:val="0"/>
                <w:sz w:val="24"/>
                <w:szCs w:val="24"/>
                <w:highlight w:val="none"/>
                <w:lang w:val="en-US" w:eastAsia="zh-CN" w:bidi="ar"/>
              </w:rPr>
              <w:t>套</w:t>
            </w:r>
          </w:p>
        </w:tc>
      </w:tr>
      <w:bookmarkEnd w:id="0"/>
      <w:bookmarkEnd w:id="1"/>
      <w:bookmarkEnd w:id="2"/>
    </w:tbl>
    <w:p w14:paraId="0A80C066">
      <w:pPr>
        <w:rPr>
          <w:rFonts w:hint="eastAsia" w:ascii="宋体" w:hAnsi="宋体" w:eastAsia="宋体" w:cs="宋体"/>
          <w:sz w:val="28"/>
          <w:szCs w:val="28"/>
        </w:rPr>
      </w:pPr>
    </w:p>
    <w:sectPr>
      <w:footerReference r:id="rId3" w:type="default"/>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5F"/>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14B0AA">
    <w:pPr>
      <w:pStyle w:val="1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4AE929C">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4AE929C">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3AEC8AD"/>
    <w:multiLevelType w:val="multilevel"/>
    <w:tmpl w:val="E3AEC8AD"/>
    <w:lvl w:ilvl="0" w:tentative="0">
      <w:start w:val="1"/>
      <w:numFmt w:val="decimal"/>
      <w:isLgl/>
      <w:suff w:val="space"/>
      <w:lvlText w:val="第%1章"/>
      <w:lvlJc w:val="left"/>
      <w:pPr>
        <w:ind w:left="3677" w:firstLine="0"/>
      </w:pPr>
      <w:rPr>
        <w:rFonts w:hint="eastAsia"/>
      </w:rPr>
    </w:lvl>
    <w:lvl w:ilvl="1" w:tentative="0">
      <w:start w:val="1"/>
      <w:numFmt w:val="decimal"/>
      <w:pStyle w:val="3"/>
      <w:isLgl/>
      <w:suff w:val="space"/>
      <w:lvlText w:val="%1.%2"/>
      <w:lvlJc w:val="left"/>
      <w:pPr>
        <w:ind w:left="3677" w:firstLine="0"/>
      </w:pPr>
      <w:rPr>
        <w:rFonts w:hint="eastAsia"/>
      </w:rPr>
    </w:lvl>
    <w:lvl w:ilvl="2" w:tentative="0">
      <w:start w:val="1"/>
      <w:numFmt w:val="decimal"/>
      <w:isLgl/>
      <w:suff w:val="space"/>
      <w:lvlText w:val="%1.%2.%3"/>
      <w:lvlJc w:val="left"/>
      <w:pPr>
        <w:tabs>
          <w:tab w:val="left" w:pos="0"/>
        </w:tabs>
        <w:ind w:left="3881" w:hanging="204"/>
      </w:pPr>
      <w:rPr>
        <w:rFonts w:hint="eastAsia"/>
      </w:rPr>
    </w:lvl>
    <w:lvl w:ilvl="3" w:tentative="0">
      <w:start w:val="1"/>
      <w:numFmt w:val="decimal"/>
      <w:isLgl/>
      <w:suff w:val="space"/>
      <w:lvlText w:val="%1.%2.%3.%4"/>
      <w:lvlJc w:val="left"/>
      <w:pPr>
        <w:ind w:left="3677" w:firstLine="0"/>
      </w:pPr>
      <w:rPr>
        <w:rFonts w:hint="eastAsia"/>
      </w:rPr>
    </w:lvl>
    <w:lvl w:ilvl="4" w:tentative="0">
      <w:start w:val="1"/>
      <w:numFmt w:val="decimal"/>
      <w:isLgl/>
      <w:suff w:val="space"/>
      <w:lvlText w:val="（%5）"/>
      <w:lvlJc w:val="left"/>
      <w:pPr>
        <w:tabs>
          <w:tab w:val="left" w:pos="0"/>
        </w:tabs>
        <w:ind w:left="3677" w:firstLine="0"/>
      </w:pPr>
      <w:rPr>
        <w:rFonts w:hint="eastAsia"/>
      </w:rPr>
    </w:lvl>
    <w:lvl w:ilvl="5" w:tentative="0">
      <w:start w:val="1"/>
      <w:numFmt w:val="decimal"/>
      <w:lvlText w:val="%1.%2.%3.%4.%5.%6"/>
      <w:lvlJc w:val="left"/>
      <w:pPr>
        <w:ind w:left="3677" w:firstLine="0"/>
      </w:pPr>
      <w:rPr>
        <w:rFonts w:hint="eastAsia"/>
      </w:rPr>
    </w:lvl>
    <w:lvl w:ilvl="6" w:tentative="0">
      <w:start w:val="1"/>
      <w:numFmt w:val="decimal"/>
      <w:lvlText w:val="%1.%2.%3.%4.%5.%6.%7"/>
      <w:lvlJc w:val="left"/>
      <w:pPr>
        <w:ind w:left="3677" w:firstLine="0"/>
      </w:pPr>
      <w:rPr>
        <w:rFonts w:hint="eastAsia"/>
      </w:rPr>
    </w:lvl>
    <w:lvl w:ilvl="7" w:tentative="0">
      <w:start w:val="1"/>
      <w:numFmt w:val="decimal"/>
      <w:lvlText w:val="%1.%2.%3.%4.%5.%6.%7.%8"/>
      <w:lvlJc w:val="left"/>
      <w:pPr>
        <w:ind w:left="3677" w:firstLine="0"/>
      </w:pPr>
      <w:rPr>
        <w:rFonts w:hint="eastAsia"/>
      </w:rPr>
    </w:lvl>
    <w:lvl w:ilvl="8" w:tentative="0">
      <w:start w:val="1"/>
      <w:numFmt w:val="decimal"/>
      <w:lvlText w:val="%1.%2.%3.%4.%5.%6.%7.%8.%9"/>
      <w:lvlJc w:val="left"/>
      <w:pPr>
        <w:ind w:left="3677" w:firstLine="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Q3ZjY2OTczOWM5YTk0Mzk0ZTMxZGMxOWNkODA4MmYifQ=="/>
  </w:docVars>
  <w:rsids>
    <w:rsidRoot w:val="11A9404F"/>
    <w:rsid w:val="02102100"/>
    <w:rsid w:val="05871591"/>
    <w:rsid w:val="07AE4A0C"/>
    <w:rsid w:val="07C276D8"/>
    <w:rsid w:val="0D437187"/>
    <w:rsid w:val="0F5B3F2A"/>
    <w:rsid w:val="10195D92"/>
    <w:rsid w:val="11A9404F"/>
    <w:rsid w:val="13573A01"/>
    <w:rsid w:val="14475BA8"/>
    <w:rsid w:val="146668E0"/>
    <w:rsid w:val="15202CE9"/>
    <w:rsid w:val="15C642A1"/>
    <w:rsid w:val="16A267F5"/>
    <w:rsid w:val="17205C96"/>
    <w:rsid w:val="1BCD7563"/>
    <w:rsid w:val="1D61550E"/>
    <w:rsid w:val="1E6E267D"/>
    <w:rsid w:val="1E7779C5"/>
    <w:rsid w:val="21722EEB"/>
    <w:rsid w:val="2181224D"/>
    <w:rsid w:val="224F61F7"/>
    <w:rsid w:val="23FC2207"/>
    <w:rsid w:val="29293278"/>
    <w:rsid w:val="297A66E1"/>
    <w:rsid w:val="2B280A33"/>
    <w:rsid w:val="2CA740FA"/>
    <w:rsid w:val="2CBF7D81"/>
    <w:rsid w:val="2D7E786B"/>
    <w:rsid w:val="2E7062ED"/>
    <w:rsid w:val="2E887B52"/>
    <w:rsid w:val="331E7540"/>
    <w:rsid w:val="359E2460"/>
    <w:rsid w:val="35B57D54"/>
    <w:rsid w:val="36F577BA"/>
    <w:rsid w:val="37DA49A8"/>
    <w:rsid w:val="38F4395E"/>
    <w:rsid w:val="3A510162"/>
    <w:rsid w:val="3AC6527A"/>
    <w:rsid w:val="3DC026A8"/>
    <w:rsid w:val="426B148F"/>
    <w:rsid w:val="42EB2683"/>
    <w:rsid w:val="44043594"/>
    <w:rsid w:val="4C0E1225"/>
    <w:rsid w:val="4CE32B11"/>
    <w:rsid w:val="528245E6"/>
    <w:rsid w:val="536D74F1"/>
    <w:rsid w:val="56636916"/>
    <w:rsid w:val="579A6DFF"/>
    <w:rsid w:val="59D22870"/>
    <w:rsid w:val="5A2E10B9"/>
    <w:rsid w:val="5BED6F98"/>
    <w:rsid w:val="5C0A0FD5"/>
    <w:rsid w:val="5EC026D6"/>
    <w:rsid w:val="5ECC62FB"/>
    <w:rsid w:val="5F2B76F4"/>
    <w:rsid w:val="5F584F62"/>
    <w:rsid w:val="61292097"/>
    <w:rsid w:val="614B45A8"/>
    <w:rsid w:val="640F4E5C"/>
    <w:rsid w:val="64F85277"/>
    <w:rsid w:val="657560B2"/>
    <w:rsid w:val="6622560F"/>
    <w:rsid w:val="66863B69"/>
    <w:rsid w:val="673130D5"/>
    <w:rsid w:val="697E76BF"/>
    <w:rsid w:val="69E80FFE"/>
    <w:rsid w:val="6AC266DE"/>
    <w:rsid w:val="6D605F65"/>
    <w:rsid w:val="6ED9048D"/>
    <w:rsid w:val="73A92BFF"/>
    <w:rsid w:val="74A960D4"/>
    <w:rsid w:val="76EB46B6"/>
    <w:rsid w:val="77035789"/>
    <w:rsid w:val="79450781"/>
    <w:rsid w:val="7A764FBC"/>
    <w:rsid w:val="7B7B221E"/>
    <w:rsid w:val="7C8B2D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qFormat="1"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99"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qFormat="1"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autoRedefine/>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numPr>
        <w:ilvl w:val="1"/>
        <w:numId w:val="1"/>
      </w:numPr>
      <w:adjustRightInd w:val="0"/>
      <w:spacing w:before="260" w:beforeLines="0" w:beforeAutospacing="0" w:after="260" w:afterLines="0" w:afterAutospacing="0" w:line="413" w:lineRule="auto"/>
      <w:ind w:left="0" w:firstLineChars="0"/>
      <w:outlineLvl w:val="1"/>
    </w:pPr>
    <w:rPr>
      <w:rFonts w:ascii="Arial" w:hAnsi="Arial" w:eastAsia="黑体"/>
      <w:b/>
      <w:sz w:val="32"/>
    </w:rPr>
  </w:style>
  <w:style w:type="paragraph" w:styleId="4">
    <w:name w:val="heading 3"/>
    <w:basedOn w:val="1"/>
    <w:next w:val="1"/>
    <w:autoRedefine/>
    <w:qFormat/>
    <w:uiPriority w:val="0"/>
    <w:pPr>
      <w:keepNext/>
      <w:keepLines/>
      <w:adjustRightInd w:val="0"/>
      <w:spacing w:before="260" w:beforeLines="0" w:after="260" w:afterLines="0" w:line="416" w:lineRule="atLeast"/>
      <w:textAlignment w:val="baseline"/>
      <w:outlineLvl w:val="2"/>
    </w:pPr>
    <w:rPr>
      <w:b/>
      <w:kern w:val="0"/>
      <w:sz w:val="32"/>
      <w:szCs w:val="20"/>
    </w:rPr>
  </w:style>
  <w:style w:type="paragraph" w:styleId="5">
    <w:name w:val="heading 4"/>
    <w:basedOn w:val="1"/>
    <w:next w:val="1"/>
    <w:autoRedefine/>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15">
    <w:name w:val="Default Paragraph Font"/>
    <w:autoRedefine/>
    <w:semiHidden/>
    <w:qFormat/>
    <w:uiPriority w:val="0"/>
  </w:style>
  <w:style w:type="table" w:default="1" w:styleId="13">
    <w:name w:val="Normal Table"/>
    <w:autoRedefine/>
    <w:semiHidden/>
    <w:qFormat/>
    <w:uiPriority w:val="0"/>
    <w:tblPr>
      <w:tblCellMar>
        <w:top w:w="0" w:type="dxa"/>
        <w:left w:w="108" w:type="dxa"/>
        <w:bottom w:w="0" w:type="dxa"/>
        <w:right w:w="108" w:type="dxa"/>
      </w:tblCellMar>
    </w:tblPr>
  </w:style>
  <w:style w:type="paragraph" w:styleId="6">
    <w:name w:val="annotation text"/>
    <w:basedOn w:val="1"/>
    <w:autoRedefine/>
    <w:semiHidden/>
    <w:unhideWhenUsed/>
    <w:qFormat/>
    <w:uiPriority w:val="99"/>
    <w:pPr>
      <w:jc w:val="left"/>
    </w:pPr>
  </w:style>
  <w:style w:type="paragraph" w:styleId="7">
    <w:name w:val="Body Text"/>
    <w:basedOn w:val="1"/>
    <w:next w:val="1"/>
    <w:autoRedefine/>
    <w:qFormat/>
    <w:uiPriority w:val="1"/>
    <w:pPr>
      <w:autoSpaceDE w:val="0"/>
      <w:autoSpaceDN w:val="0"/>
      <w:adjustRightInd w:val="0"/>
      <w:spacing w:before="74"/>
      <w:ind w:left="438"/>
    </w:pPr>
    <w:rPr>
      <w:rFonts w:ascii="宋体" w:hAnsi="Times New Roman" w:eastAsia="宋体" w:cs="宋体"/>
      <w:kern w:val="0"/>
      <w:sz w:val="24"/>
      <w:szCs w:val="24"/>
    </w:rPr>
  </w:style>
  <w:style w:type="paragraph" w:styleId="8">
    <w:name w:val="Plain Text"/>
    <w:basedOn w:val="1"/>
    <w:next w:val="9"/>
    <w:autoRedefine/>
    <w:qFormat/>
    <w:uiPriority w:val="0"/>
    <w:rPr>
      <w:rFonts w:ascii="宋体" w:hAnsi="Courier New"/>
      <w:szCs w:val="20"/>
    </w:rPr>
  </w:style>
  <w:style w:type="paragraph" w:styleId="9">
    <w:name w:val="index 7"/>
    <w:basedOn w:val="1"/>
    <w:next w:val="1"/>
    <w:autoRedefine/>
    <w:qFormat/>
    <w:uiPriority w:val="0"/>
    <w:pPr>
      <w:autoSpaceDE/>
      <w:autoSpaceDN/>
      <w:adjustRightInd/>
      <w:ind w:left="1200" w:leftChars="1200"/>
    </w:pPr>
    <w:rPr>
      <w:color w:val="auto"/>
      <w:kern w:val="2"/>
      <w:szCs w:val="24"/>
    </w:rPr>
  </w:style>
  <w:style w:type="paragraph" w:styleId="10">
    <w:name w:val="footer"/>
    <w:basedOn w:val="1"/>
    <w:autoRedefine/>
    <w:qFormat/>
    <w:uiPriority w:val="0"/>
    <w:pPr>
      <w:tabs>
        <w:tab w:val="center" w:pos="4153"/>
        <w:tab w:val="right" w:pos="8306"/>
      </w:tabs>
      <w:snapToGrid w:val="0"/>
      <w:jc w:val="left"/>
    </w:pPr>
    <w:rPr>
      <w:sz w:val="18"/>
    </w:rPr>
  </w:style>
  <w:style w:type="paragraph" w:styleId="11">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2">
    <w:name w:val="Normal (Web)"/>
    <w:basedOn w:val="1"/>
    <w:autoRedefine/>
    <w:semiHidden/>
    <w:unhideWhenUsed/>
    <w:qFormat/>
    <w:uiPriority w:val="99"/>
    <w:pPr>
      <w:widowControl/>
      <w:jc w:val="left"/>
    </w:pPr>
    <w:rPr>
      <w:rFonts w:ascii="宋体" w:hAnsi="宋体" w:eastAsia="宋体" w:cs="宋体"/>
      <w:kern w:val="0"/>
      <w:sz w:val="24"/>
      <w:szCs w:val="24"/>
    </w:rPr>
  </w:style>
  <w:style w:type="table" w:styleId="14">
    <w:name w:val="Table Grid"/>
    <w:basedOn w:val="13"/>
    <w:autoRedefine/>
    <w:qFormat/>
    <w:uiPriority w:val="59"/>
    <w:pPr>
      <w:spacing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16">
    <w:name w:val="Strong"/>
    <w:basedOn w:val="15"/>
    <w:autoRedefine/>
    <w:qFormat/>
    <w:uiPriority w:val="22"/>
    <w:rPr>
      <w:b/>
      <w:bCs/>
    </w:rPr>
  </w:style>
  <w:style w:type="paragraph" w:customStyle="1" w:styleId="17">
    <w:name w:val="wdcj_5_p"/>
    <w:basedOn w:val="1"/>
    <w:autoRedefine/>
    <w:qFormat/>
    <w:uiPriority w:val="0"/>
    <w:pPr>
      <w:widowControl/>
      <w:spacing w:line="360" w:lineRule="auto"/>
      <w:jc w:val="left"/>
    </w:pPr>
    <w:rPr>
      <w:rFonts w:ascii="宋体" w:hAnsi="宋体" w:eastAsia="宋体" w:cs="宋体"/>
      <w:b/>
      <w:bCs/>
      <w:kern w:val="0"/>
      <w:sz w:val="24"/>
      <w:szCs w:val="24"/>
    </w:rPr>
  </w:style>
  <w:style w:type="paragraph" w:customStyle="1" w:styleId="18">
    <w:name w:val="wdcj_7_p"/>
    <w:basedOn w:val="1"/>
    <w:autoRedefine/>
    <w:qFormat/>
    <w:uiPriority w:val="0"/>
    <w:pPr>
      <w:widowControl/>
      <w:spacing w:line="360" w:lineRule="auto"/>
      <w:ind w:firstLine="480"/>
      <w:jc w:val="left"/>
    </w:pPr>
    <w:rPr>
      <w:rFonts w:ascii="宋体" w:hAnsi="宋体" w:eastAsia="宋体" w:cs="宋体"/>
      <w:kern w:val="0"/>
      <w:sz w:val="24"/>
      <w:szCs w:val="24"/>
    </w:rPr>
  </w:style>
  <w:style w:type="paragraph" w:customStyle="1" w:styleId="19">
    <w:name w:val="wdcj_6_p"/>
    <w:basedOn w:val="1"/>
    <w:autoRedefine/>
    <w:qFormat/>
    <w:uiPriority w:val="0"/>
    <w:pPr>
      <w:widowControl/>
      <w:spacing w:line="360" w:lineRule="auto"/>
      <w:jc w:val="left"/>
    </w:pPr>
    <w:rPr>
      <w:rFonts w:ascii="宋体" w:hAnsi="宋体" w:eastAsia="宋体" w:cs="宋体"/>
      <w:kern w:val="0"/>
      <w:sz w:val="24"/>
      <w:szCs w:val="24"/>
    </w:rPr>
  </w:style>
  <w:style w:type="character" w:customStyle="1" w:styleId="20">
    <w:name w:val="font31"/>
    <w:basedOn w:val="15"/>
    <w:autoRedefine/>
    <w:qFormat/>
    <w:uiPriority w:val="0"/>
    <w:rPr>
      <w:rFonts w:hint="eastAsia" w:ascii="宋体" w:hAnsi="宋体" w:eastAsia="宋体" w:cs="宋体"/>
      <w:color w:val="000000"/>
      <w:sz w:val="21"/>
      <w:szCs w:val="21"/>
      <w:u w:val="none"/>
    </w:rPr>
  </w:style>
  <w:style w:type="character" w:customStyle="1" w:styleId="21">
    <w:name w:val="font21"/>
    <w:basedOn w:val="15"/>
    <w:autoRedefine/>
    <w:qFormat/>
    <w:uiPriority w:val="0"/>
    <w:rPr>
      <w:rFonts w:hint="eastAsia" w:ascii="宋体" w:hAnsi="宋体" w:eastAsia="宋体" w:cs="宋体"/>
      <w:b/>
      <w:bCs/>
      <w:color w:val="000000"/>
      <w:sz w:val="21"/>
      <w:szCs w:val="21"/>
      <w:u w:val="none"/>
    </w:rPr>
  </w:style>
  <w:style w:type="paragraph" w:styleId="22">
    <w:name w:val="No Spacing"/>
    <w:autoRedefine/>
    <w:qFormat/>
    <w:uiPriority w:val="1"/>
    <w:pPr>
      <w:adjustRightInd w:val="0"/>
      <w:snapToGrid w:val="0"/>
    </w:pPr>
    <w:rPr>
      <w:rFonts w:ascii="Tahoma" w:hAnsi="Tahoma" w:eastAsia="宋体" w:cs="Times New Roman"/>
      <w:sz w:val="22"/>
      <w:szCs w:val="22"/>
      <w:lang w:val="en-US" w:eastAsia="zh-CN" w:bidi="ar-SA"/>
    </w:rPr>
  </w:style>
  <w:style w:type="paragraph" w:styleId="23">
    <w:name w:val="List Paragraph"/>
    <w:basedOn w:val="1"/>
    <w:autoRedefine/>
    <w:qFormat/>
    <w:uiPriority w:val="34"/>
    <w:pPr>
      <w:ind w:firstLine="420" w:firstLineChars="200"/>
    </w:pPr>
  </w:style>
  <w:style w:type="paragraph" w:customStyle="1" w:styleId="24">
    <w:name w:val="Table Paragraph"/>
    <w:basedOn w:val="1"/>
    <w:qFormat/>
    <w:uiPriority w:val="1"/>
    <w:pPr>
      <w:autoSpaceDE w:val="0"/>
      <w:autoSpaceDN w:val="0"/>
      <w:jc w:val="left"/>
    </w:pPr>
    <w:rPr>
      <w:rFonts w:ascii="宋体" w:hAnsi="宋体" w:eastAsia="宋体" w:cs="宋体"/>
      <w:kern w:val="0"/>
      <w:sz w:val="22"/>
      <w:lang w:val="zh-CN" w:bidi="zh-C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3048</Words>
  <Characters>3593</Characters>
  <Lines>0</Lines>
  <Paragraphs>0</Paragraphs>
  <TotalTime>3</TotalTime>
  <ScaleCrop>false</ScaleCrop>
  <LinksUpToDate>false</LinksUpToDate>
  <CharactersWithSpaces>3633</CharactersWithSpaces>
  <Application>WPS Office_12.1.0.17857_F1E327BC-269C-435d-A152-05C5408002CA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2020-07-20T15:24:00Z</dcterms:created>
  <dc:creator>397191422</dc:creator>
  <cp:lastModifiedBy>Administrator</cp:lastModifiedBy>
  <cp:lastPrinted>2024-05-06T10:17:00Z</cp:lastPrinted>
  <dcterms:modified xsi:type="dcterms:W3CDTF">2024-08-23T03:45:15Z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2052-12.1.0.17857</vt:lpwstr>
  </property>
  <property fmtid="{D5CDD505-2E9C-101B-9397-08002B2CF9AE}" pid="3" name="ICV">
    <vt:lpwstr>F84684B5C45E4037B146971268A88382_13</vt:lpwstr>
  </property>
</Properties>
</file>