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C4453">
      <w:pPr>
        <w:widowControl w:val="0"/>
        <w:wordWrap w:val="0"/>
        <w:spacing w:before="243" w:after="243"/>
        <w:jc w:val="center"/>
        <w:textAlignment w:val="auto"/>
        <w:outlineLvl w:val="1"/>
        <w:rPr>
          <w:rFonts w:hint="eastAsia" w:ascii="宋体" w:hAnsi="宋体" w:eastAsia="宋体" w:cs="宋体"/>
          <w:b/>
          <w:color w:val="000000"/>
          <w:sz w:val="28"/>
          <w:szCs w:val="22"/>
          <w:highlight w:val="none"/>
          <w14:ligatures w14:val="standardContextual"/>
        </w:rPr>
      </w:pPr>
      <w:bookmarkStart w:id="0" w:name="_Toc148991795"/>
      <w:r>
        <w:rPr>
          <w:rFonts w:hint="eastAsia" w:ascii="宋体" w:hAnsi="宋体" w:eastAsia="宋体" w:cs="宋体"/>
          <w:b/>
          <w:bCs/>
          <w:sz w:val="36"/>
          <w:szCs w:val="36"/>
          <w:lang w:eastAsia="zh-CN"/>
        </w:rPr>
        <w:t>智能制造工程技术实训基地</w:t>
      </w:r>
      <w:r>
        <w:rPr>
          <w:rFonts w:hint="eastAsia" w:ascii="宋体" w:hAnsi="宋体" w:eastAsia="宋体" w:cs="宋体"/>
          <w:b/>
          <w:bCs/>
          <w:sz w:val="36"/>
          <w:szCs w:val="36"/>
          <w:lang w:val="en-US" w:eastAsia="zh-CN"/>
        </w:rPr>
        <w:t>建设内容</w:t>
      </w:r>
    </w:p>
    <w:p w14:paraId="601FFB28">
      <w:pPr>
        <w:widowControl w:val="0"/>
        <w:wordWrap w:val="0"/>
        <w:spacing w:before="243" w:after="243"/>
        <w:jc w:val="left"/>
        <w:textAlignment w:val="auto"/>
        <w:outlineLvl w:val="1"/>
        <w:rPr>
          <w:rFonts w:ascii="宋体" w:hAnsi="宋体" w:eastAsia="宋体" w:cs="宋体"/>
          <w:szCs w:val="22"/>
          <w:highlight w:val="none"/>
          <w14:ligatures w14:val="standardContextual"/>
        </w:rPr>
      </w:pPr>
      <w:r>
        <w:rPr>
          <w:rFonts w:hint="eastAsia" w:ascii="宋体" w:hAnsi="宋体" w:eastAsia="宋体" w:cs="宋体"/>
          <w:b/>
          <w:color w:val="000000"/>
          <w:sz w:val="28"/>
          <w:szCs w:val="22"/>
          <w:highlight w:val="none"/>
          <w14:ligatures w14:val="standardContextual"/>
        </w:rPr>
        <w:t>一、采购清单</w:t>
      </w:r>
      <w:bookmarkEnd w:id="0"/>
    </w:p>
    <w:tbl>
      <w:tblPr>
        <w:tblStyle w:val="2"/>
        <w:tblW w:w="9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6"/>
        <w:gridCol w:w="3921"/>
        <w:gridCol w:w="992"/>
        <w:gridCol w:w="1276"/>
        <w:gridCol w:w="1843"/>
        <w:gridCol w:w="898"/>
      </w:tblGrid>
      <w:tr w14:paraId="7433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05" w:hRule="atLeast"/>
          <w:jc w:val="center"/>
        </w:trPr>
        <w:tc>
          <w:tcPr>
            <w:tcW w:w="806" w:type="dxa"/>
            <w:tcMar>
              <w:top w:w="20" w:type="dxa"/>
              <w:left w:w="20" w:type="dxa"/>
              <w:bottom w:w="20" w:type="dxa"/>
              <w:right w:w="20" w:type="dxa"/>
            </w:tcMar>
            <w:vAlign w:val="center"/>
          </w:tcPr>
          <w:p w14:paraId="71B4AE6C">
            <w:pPr>
              <w:widowControl w:val="0"/>
              <w:wordWrap w:val="0"/>
              <w:jc w:val="center"/>
              <w:textAlignment w:val="auto"/>
              <w:rPr>
                <w:rFonts w:ascii="宋体" w:hAnsi="宋体" w:eastAsia="宋体" w:cs="宋体"/>
                <w:b/>
                <w:szCs w:val="22"/>
                <w:highlight w:val="none"/>
                <w14:ligatures w14:val="standardContextual"/>
              </w:rPr>
            </w:pPr>
            <w:r>
              <w:rPr>
                <w:rFonts w:hint="eastAsia" w:ascii="宋体" w:hAnsi="宋体" w:eastAsia="宋体" w:cs="宋体"/>
                <w:b/>
                <w:color w:val="000000"/>
                <w:szCs w:val="22"/>
                <w:highlight w:val="none"/>
                <w14:ligatures w14:val="standardContextual"/>
              </w:rPr>
              <w:t>序号</w:t>
            </w:r>
          </w:p>
        </w:tc>
        <w:tc>
          <w:tcPr>
            <w:tcW w:w="3921" w:type="dxa"/>
            <w:tcMar>
              <w:top w:w="20" w:type="dxa"/>
              <w:left w:w="20" w:type="dxa"/>
              <w:bottom w:w="20" w:type="dxa"/>
              <w:right w:w="20" w:type="dxa"/>
            </w:tcMar>
            <w:vAlign w:val="center"/>
          </w:tcPr>
          <w:p w14:paraId="0ACA6B34">
            <w:pPr>
              <w:widowControl w:val="0"/>
              <w:wordWrap w:val="0"/>
              <w:spacing w:line="273" w:lineRule="exact"/>
              <w:jc w:val="center"/>
              <w:textAlignment w:val="auto"/>
              <w:rPr>
                <w:rFonts w:ascii="宋体" w:hAnsi="宋体" w:eastAsia="宋体" w:cs="宋体"/>
                <w:b/>
                <w:szCs w:val="22"/>
                <w:highlight w:val="none"/>
                <w14:ligatures w14:val="standardContextual"/>
              </w:rPr>
            </w:pPr>
            <w:r>
              <w:rPr>
                <w:rFonts w:hint="eastAsia" w:ascii="宋体" w:hAnsi="宋体" w:eastAsia="宋体" w:cs="宋体"/>
                <w:b/>
                <w:color w:val="000000"/>
                <w:szCs w:val="22"/>
                <w:highlight w:val="none"/>
                <w14:ligatures w14:val="standardContextual"/>
              </w:rPr>
              <w:t>名称</w:t>
            </w:r>
          </w:p>
        </w:tc>
        <w:tc>
          <w:tcPr>
            <w:tcW w:w="992" w:type="dxa"/>
            <w:tcMar>
              <w:top w:w="20" w:type="dxa"/>
              <w:left w:w="20" w:type="dxa"/>
              <w:bottom w:w="20" w:type="dxa"/>
              <w:right w:w="20" w:type="dxa"/>
            </w:tcMar>
            <w:vAlign w:val="center"/>
          </w:tcPr>
          <w:p w14:paraId="71F6DCC6">
            <w:pPr>
              <w:widowControl w:val="0"/>
              <w:wordWrap w:val="0"/>
              <w:spacing w:line="273" w:lineRule="exact"/>
              <w:jc w:val="center"/>
              <w:textAlignment w:val="auto"/>
              <w:rPr>
                <w:rFonts w:ascii="宋体" w:hAnsi="宋体" w:eastAsia="宋体" w:cs="宋体"/>
                <w:b/>
                <w:szCs w:val="22"/>
                <w:highlight w:val="none"/>
                <w14:ligatures w14:val="standardContextual"/>
              </w:rPr>
            </w:pPr>
            <w:r>
              <w:rPr>
                <w:rFonts w:hint="eastAsia" w:ascii="宋体" w:hAnsi="宋体" w:eastAsia="宋体" w:cs="宋体"/>
                <w:b/>
                <w:color w:val="000000"/>
                <w:szCs w:val="22"/>
                <w:highlight w:val="none"/>
                <w14:ligatures w14:val="standardContextual"/>
              </w:rPr>
              <w:t>数量</w:t>
            </w:r>
          </w:p>
        </w:tc>
        <w:tc>
          <w:tcPr>
            <w:tcW w:w="1276" w:type="dxa"/>
            <w:tcMar>
              <w:top w:w="20" w:type="dxa"/>
              <w:left w:w="20" w:type="dxa"/>
              <w:bottom w:w="20" w:type="dxa"/>
              <w:right w:w="20" w:type="dxa"/>
            </w:tcMar>
            <w:vAlign w:val="center"/>
          </w:tcPr>
          <w:p w14:paraId="02DAAA6F">
            <w:pPr>
              <w:widowControl w:val="0"/>
              <w:wordWrap w:val="0"/>
              <w:spacing w:line="273" w:lineRule="exact"/>
              <w:jc w:val="center"/>
              <w:textAlignment w:val="auto"/>
              <w:rPr>
                <w:rFonts w:ascii="宋体" w:hAnsi="宋体" w:eastAsia="宋体" w:cs="宋体"/>
                <w:b/>
                <w:szCs w:val="22"/>
                <w:highlight w:val="none"/>
                <w14:ligatures w14:val="standardContextual"/>
              </w:rPr>
            </w:pPr>
            <w:r>
              <w:rPr>
                <w:rFonts w:hint="eastAsia" w:ascii="宋体" w:hAnsi="宋体" w:eastAsia="宋体" w:cs="宋体"/>
                <w:b/>
                <w:color w:val="000000"/>
                <w:szCs w:val="22"/>
                <w:highlight w:val="none"/>
                <w14:ligatures w14:val="standardContextual"/>
              </w:rPr>
              <w:t>单位</w:t>
            </w:r>
          </w:p>
        </w:tc>
        <w:tc>
          <w:tcPr>
            <w:tcW w:w="1843" w:type="dxa"/>
            <w:tcMar>
              <w:top w:w="20" w:type="dxa"/>
              <w:left w:w="20" w:type="dxa"/>
              <w:bottom w:w="20" w:type="dxa"/>
              <w:right w:w="20" w:type="dxa"/>
            </w:tcMar>
            <w:vAlign w:val="center"/>
          </w:tcPr>
          <w:p w14:paraId="09179A81">
            <w:pPr>
              <w:widowControl w:val="0"/>
              <w:wordWrap w:val="0"/>
              <w:spacing w:line="273" w:lineRule="exact"/>
              <w:jc w:val="center"/>
              <w:textAlignment w:val="auto"/>
              <w:rPr>
                <w:rFonts w:ascii="宋体" w:hAnsi="宋体" w:eastAsia="宋体" w:cs="宋体"/>
                <w:b/>
                <w:szCs w:val="22"/>
                <w:highlight w:val="none"/>
                <w14:ligatures w14:val="standardContextual"/>
              </w:rPr>
            </w:pPr>
            <w:r>
              <w:rPr>
                <w:rFonts w:hint="eastAsia" w:ascii="宋体" w:hAnsi="宋体" w:eastAsia="宋体" w:cs="宋体"/>
                <w:b/>
                <w:color w:val="000000"/>
                <w:szCs w:val="22"/>
                <w:highlight w:val="none"/>
                <w14:ligatures w14:val="standardContextual"/>
              </w:rPr>
              <w:t>产品要求</w:t>
            </w:r>
          </w:p>
        </w:tc>
        <w:tc>
          <w:tcPr>
            <w:tcW w:w="898" w:type="dxa"/>
            <w:tcMar>
              <w:top w:w="20" w:type="dxa"/>
              <w:left w:w="20" w:type="dxa"/>
              <w:bottom w:w="20" w:type="dxa"/>
              <w:right w:w="20" w:type="dxa"/>
            </w:tcMar>
            <w:vAlign w:val="center"/>
          </w:tcPr>
          <w:p w14:paraId="4F830E04">
            <w:pPr>
              <w:widowControl w:val="0"/>
              <w:wordWrap w:val="0"/>
              <w:spacing w:line="273" w:lineRule="exact"/>
              <w:jc w:val="center"/>
              <w:textAlignment w:val="auto"/>
              <w:rPr>
                <w:rFonts w:ascii="宋体" w:hAnsi="宋体" w:eastAsia="宋体" w:cs="宋体"/>
                <w:b/>
                <w:szCs w:val="22"/>
                <w:highlight w:val="none"/>
                <w14:ligatures w14:val="standardContextual"/>
              </w:rPr>
            </w:pPr>
            <w:r>
              <w:rPr>
                <w:rFonts w:hint="eastAsia" w:ascii="宋体" w:hAnsi="宋体" w:eastAsia="宋体" w:cs="宋体"/>
                <w:b/>
                <w:color w:val="000000"/>
                <w:szCs w:val="22"/>
                <w:highlight w:val="none"/>
                <w14:ligatures w14:val="standardContextual"/>
              </w:rPr>
              <w:t>备注</w:t>
            </w:r>
          </w:p>
        </w:tc>
      </w:tr>
      <w:tr w14:paraId="7E17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67A6C35F">
            <w:pPr>
              <w:widowControl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1</w:t>
            </w:r>
          </w:p>
        </w:tc>
        <w:tc>
          <w:tcPr>
            <w:tcW w:w="3921" w:type="dxa"/>
            <w:tcMar>
              <w:top w:w="20" w:type="dxa"/>
              <w:left w:w="20" w:type="dxa"/>
              <w:bottom w:w="20" w:type="dxa"/>
              <w:right w:w="20" w:type="dxa"/>
            </w:tcMar>
            <w:vAlign w:val="center"/>
          </w:tcPr>
          <w:p w14:paraId="2BAE12D0">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智能数控加工机器人上下料工作站</w:t>
            </w:r>
          </w:p>
        </w:tc>
        <w:tc>
          <w:tcPr>
            <w:tcW w:w="992" w:type="dxa"/>
            <w:tcMar>
              <w:top w:w="20" w:type="dxa"/>
              <w:left w:w="20" w:type="dxa"/>
              <w:bottom w:w="20" w:type="dxa"/>
              <w:right w:w="20" w:type="dxa"/>
            </w:tcMar>
            <w:vAlign w:val="center"/>
          </w:tcPr>
          <w:p w14:paraId="2F70F645">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1</w:t>
            </w:r>
          </w:p>
        </w:tc>
        <w:tc>
          <w:tcPr>
            <w:tcW w:w="1276" w:type="dxa"/>
            <w:tcMar>
              <w:top w:w="20" w:type="dxa"/>
              <w:left w:w="20" w:type="dxa"/>
              <w:bottom w:w="20" w:type="dxa"/>
              <w:right w:w="20" w:type="dxa"/>
            </w:tcMar>
            <w:vAlign w:val="center"/>
          </w:tcPr>
          <w:p w14:paraId="21542869">
            <w:pPr>
              <w:widowControl w:val="0"/>
              <w:wordWrap w:val="0"/>
              <w:spacing w:line="273" w:lineRule="exact"/>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3AE64A16">
            <w:pPr>
              <w:widowControl w:val="0"/>
              <w:wordWrap w:val="0"/>
              <w:spacing w:line="273" w:lineRule="exact"/>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3A552860">
            <w:pPr>
              <w:widowControl w:val="0"/>
              <w:wordWrap w:val="0"/>
              <w:jc w:val="center"/>
              <w:textAlignment w:val="auto"/>
              <w:rPr>
                <w:rFonts w:ascii="宋体" w:hAnsi="宋体" w:eastAsia="宋体" w:cs="宋体"/>
                <w:szCs w:val="22"/>
                <w:highlight w:val="none"/>
                <w14:ligatures w14:val="standardContextual"/>
              </w:rPr>
            </w:pPr>
          </w:p>
        </w:tc>
      </w:tr>
      <w:tr w14:paraId="27E1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45EED786">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2</w:t>
            </w:r>
          </w:p>
        </w:tc>
        <w:tc>
          <w:tcPr>
            <w:tcW w:w="3921" w:type="dxa"/>
            <w:tcMar>
              <w:top w:w="20" w:type="dxa"/>
              <w:left w:w="20" w:type="dxa"/>
              <w:bottom w:w="20" w:type="dxa"/>
              <w:right w:w="20" w:type="dxa"/>
            </w:tcMar>
            <w:vAlign w:val="center"/>
          </w:tcPr>
          <w:p w14:paraId="776D992B">
            <w:pPr>
              <w:widowControl w:val="0"/>
              <w:wordWrap w:val="0"/>
              <w:spacing w:line="273" w:lineRule="exact"/>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高速型立式加工中心</w:t>
            </w:r>
          </w:p>
        </w:tc>
        <w:tc>
          <w:tcPr>
            <w:tcW w:w="992" w:type="dxa"/>
            <w:tcMar>
              <w:top w:w="20" w:type="dxa"/>
              <w:left w:w="20" w:type="dxa"/>
              <w:bottom w:w="20" w:type="dxa"/>
              <w:right w:w="20" w:type="dxa"/>
            </w:tcMar>
            <w:vAlign w:val="center"/>
          </w:tcPr>
          <w:p w14:paraId="338A6897">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1</w:t>
            </w:r>
          </w:p>
        </w:tc>
        <w:tc>
          <w:tcPr>
            <w:tcW w:w="1276" w:type="dxa"/>
            <w:tcMar>
              <w:top w:w="20" w:type="dxa"/>
              <w:left w:w="20" w:type="dxa"/>
              <w:bottom w:w="20" w:type="dxa"/>
              <w:right w:w="20" w:type="dxa"/>
            </w:tcMar>
            <w:vAlign w:val="center"/>
          </w:tcPr>
          <w:p w14:paraId="40263AA9">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14E7E3B4">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6D2320A6">
            <w:pPr>
              <w:widowControl w:val="0"/>
              <w:wordWrap w:val="0"/>
              <w:jc w:val="center"/>
              <w:textAlignment w:val="auto"/>
              <w:rPr>
                <w:rFonts w:ascii="宋体" w:hAnsi="宋体" w:eastAsia="宋体" w:cs="宋体"/>
                <w:color w:val="000000"/>
                <w:szCs w:val="22"/>
                <w:highlight w:val="none"/>
                <w14:ligatures w14:val="standardContextual"/>
              </w:rPr>
            </w:pPr>
          </w:p>
        </w:tc>
      </w:tr>
      <w:tr w14:paraId="1899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07368D06">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3</w:t>
            </w:r>
          </w:p>
        </w:tc>
        <w:tc>
          <w:tcPr>
            <w:tcW w:w="3921" w:type="dxa"/>
            <w:tcMar>
              <w:top w:w="20" w:type="dxa"/>
              <w:left w:w="20" w:type="dxa"/>
              <w:bottom w:w="20" w:type="dxa"/>
              <w:right w:w="20" w:type="dxa"/>
            </w:tcMar>
            <w:vAlign w:val="center"/>
          </w:tcPr>
          <w:p w14:paraId="694FD844">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DELTA并联机器人分拣工作站</w:t>
            </w:r>
          </w:p>
        </w:tc>
        <w:tc>
          <w:tcPr>
            <w:tcW w:w="992" w:type="dxa"/>
            <w:tcMar>
              <w:top w:w="20" w:type="dxa"/>
              <w:left w:w="20" w:type="dxa"/>
              <w:bottom w:w="20" w:type="dxa"/>
              <w:right w:w="20" w:type="dxa"/>
            </w:tcMar>
            <w:vAlign w:val="center"/>
          </w:tcPr>
          <w:p w14:paraId="067D6B08">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1</w:t>
            </w:r>
          </w:p>
        </w:tc>
        <w:tc>
          <w:tcPr>
            <w:tcW w:w="1276" w:type="dxa"/>
            <w:tcMar>
              <w:top w:w="20" w:type="dxa"/>
              <w:left w:w="20" w:type="dxa"/>
              <w:bottom w:w="20" w:type="dxa"/>
              <w:right w:w="20" w:type="dxa"/>
            </w:tcMar>
            <w:vAlign w:val="center"/>
          </w:tcPr>
          <w:p w14:paraId="7C4BB770">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套</w:t>
            </w:r>
          </w:p>
        </w:tc>
        <w:tc>
          <w:tcPr>
            <w:tcW w:w="1843" w:type="dxa"/>
            <w:tcMar>
              <w:top w:w="20" w:type="dxa"/>
              <w:left w:w="20" w:type="dxa"/>
              <w:bottom w:w="20" w:type="dxa"/>
              <w:right w:w="20" w:type="dxa"/>
            </w:tcMar>
            <w:vAlign w:val="center"/>
          </w:tcPr>
          <w:p w14:paraId="2A06A9BE">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184480C6">
            <w:pPr>
              <w:widowControl w:val="0"/>
              <w:wordWrap w:val="0"/>
              <w:jc w:val="center"/>
              <w:textAlignment w:val="auto"/>
              <w:rPr>
                <w:rFonts w:ascii="宋体" w:hAnsi="宋体" w:eastAsia="宋体" w:cs="宋体"/>
                <w:color w:val="000000"/>
                <w:szCs w:val="22"/>
                <w:highlight w:val="none"/>
                <w14:ligatures w14:val="standardContextual"/>
              </w:rPr>
            </w:pPr>
          </w:p>
        </w:tc>
      </w:tr>
      <w:tr w14:paraId="15DF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27EA1ED0">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4</w:t>
            </w:r>
          </w:p>
        </w:tc>
        <w:tc>
          <w:tcPr>
            <w:tcW w:w="3921" w:type="dxa"/>
            <w:tcMar>
              <w:top w:w="20" w:type="dxa"/>
              <w:left w:w="20" w:type="dxa"/>
              <w:bottom w:w="20" w:type="dxa"/>
              <w:right w:w="20" w:type="dxa"/>
            </w:tcMar>
            <w:vAlign w:val="center"/>
          </w:tcPr>
          <w:p w14:paraId="6EA772F3">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工业机器人激光打标与检测工作站</w:t>
            </w:r>
          </w:p>
        </w:tc>
        <w:tc>
          <w:tcPr>
            <w:tcW w:w="992" w:type="dxa"/>
            <w:tcMar>
              <w:top w:w="20" w:type="dxa"/>
              <w:left w:w="20" w:type="dxa"/>
              <w:bottom w:w="20" w:type="dxa"/>
              <w:right w:w="20" w:type="dxa"/>
            </w:tcMar>
            <w:vAlign w:val="center"/>
          </w:tcPr>
          <w:p w14:paraId="7884B5EA">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1</w:t>
            </w:r>
          </w:p>
        </w:tc>
        <w:tc>
          <w:tcPr>
            <w:tcW w:w="1276" w:type="dxa"/>
            <w:tcMar>
              <w:top w:w="20" w:type="dxa"/>
              <w:left w:w="20" w:type="dxa"/>
              <w:bottom w:w="20" w:type="dxa"/>
              <w:right w:w="20" w:type="dxa"/>
            </w:tcMar>
            <w:vAlign w:val="center"/>
          </w:tcPr>
          <w:p w14:paraId="24310373">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408A8B08">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58FEA038">
            <w:pPr>
              <w:widowControl w:val="0"/>
              <w:wordWrap w:val="0"/>
              <w:jc w:val="center"/>
              <w:textAlignment w:val="auto"/>
              <w:rPr>
                <w:rFonts w:ascii="宋体" w:hAnsi="宋体" w:eastAsia="宋体" w:cs="宋体"/>
                <w:color w:val="000000"/>
                <w:szCs w:val="22"/>
                <w:highlight w:val="none"/>
                <w14:ligatures w14:val="standardContextual"/>
              </w:rPr>
            </w:pPr>
          </w:p>
        </w:tc>
      </w:tr>
      <w:tr w14:paraId="615D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28291A02">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5</w:t>
            </w:r>
          </w:p>
        </w:tc>
        <w:tc>
          <w:tcPr>
            <w:tcW w:w="3921" w:type="dxa"/>
            <w:tcMar>
              <w:top w:w="20" w:type="dxa"/>
              <w:left w:w="20" w:type="dxa"/>
              <w:bottom w:w="20" w:type="dxa"/>
              <w:right w:w="20" w:type="dxa"/>
            </w:tcMar>
            <w:vAlign w:val="center"/>
          </w:tcPr>
          <w:p w14:paraId="6C7E791E">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工业机器人智能装配工作站</w:t>
            </w:r>
          </w:p>
        </w:tc>
        <w:tc>
          <w:tcPr>
            <w:tcW w:w="992" w:type="dxa"/>
            <w:tcMar>
              <w:top w:w="20" w:type="dxa"/>
              <w:left w:w="20" w:type="dxa"/>
              <w:bottom w:w="20" w:type="dxa"/>
              <w:right w:w="20" w:type="dxa"/>
            </w:tcMar>
            <w:vAlign w:val="center"/>
          </w:tcPr>
          <w:p w14:paraId="41D9F4F9">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1</w:t>
            </w:r>
          </w:p>
        </w:tc>
        <w:tc>
          <w:tcPr>
            <w:tcW w:w="1276" w:type="dxa"/>
            <w:tcMar>
              <w:top w:w="20" w:type="dxa"/>
              <w:left w:w="20" w:type="dxa"/>
              <w:bottom w:w="20" w:type="dxa"/>
              <w:right w:w="20" w:type="dxa"/>
            </w:tcMar>
            <w:vAlign w:val="center"/>
          </w:tcPr>
          <w:p w14:paraId="48A34DC3">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7BF152FC">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40F217FB">
            <w:pPr>
              <w:widowControl w:val="0"/>
              <w:wordWrap w:val="0"/>
              <w:jc w:val="center"/>
              <w:textAlignment w:val="auto"/>
              <w:rPr>
                <w:rFonts w:ascii="宋体" w:hAnsi="宋体" w:eastAsia="宋体" w:cs="宋体"/>
                <w:color w:val="000000"/>
                <w:szCs w:val="22"/>
                <w:highlight w:val="none"/>
                <w14:ligatures w14:val="standardContextual"/>
              </w:rPr>
            </w:pPr>
          </w:p>
        </w:tc>
      </w:tr>
      <w:tr w14:paraId="67C5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50700EC2">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6</w:t>
            </w:r>
          </w:p>
        </w:tc>
        <w:tc>
          <w:tcPr>
            <w:tcW w:w="3921" w:type="dxa"/>
            <w:tcMar>
              <w:top w:w="20" w:type="dxa"/>
              <w:left w:w="20" w:type="dxa"/>
              <w:bottom w:w="20" w:type="dxa"/>
              <w:right w:w="20" w:type="dxa"/>
            </w:tcMar>
            <w:vAlign w:val="center"/>
          </w:tcPr>
          <w:p w14:paraId="09327809">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工业机器人智能包装工作站</w:t>
            </w:r>
          </w:p>
        </w:tc>
        <w:tc>
          <w:tcPr>
            <w:tcW w:w="992" w:type="dxa"/>
            <w:tcMar>
              <w:top w:w="20" w:type="dxa"/>
              <w:left w:w="20" w:type="dxa"/>
              <w:bottom w:w="20" w:type="dxa"/>
              <w:right w:w="20" w:type="dxa"/>
            </w:tcMar>
            <w:vAlign w:val="center"/>
          </w:tcPr>
          <w:p w14:paraId="564453F7">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1</w:t>
            </w:r>
          </w:p>
        </w:tc>
        <w:tc>
          <w:tcPr>
            <w:tcW w:w="1276" w:type="dxa"/>
            <w:tcMar>
              <w:top w:w="20" w:type="dxa"/>
              <w:left w:w="20" w:type="dxa"/>
              <w:bottom w:w="20" w:type="dxa"/>
              <w:right w:w="20" w:type="dxa"/>
            </w:tcMar>
            <w:vAlign w:val="center"/>
          </w:tcPr>
          <w:p w14:paraId="5C884F27">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51F9A2FD">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3EA43B2B">
            <w:pPr>
              <w:widowControl w:val="0"/>
              <w:wordWrap w:val="0"/>
              <w:jc w:val="center"/>
              <w:textAlignment w:val="auto"/>
              <w:rPr>
                <w:rFonts w:ascii="宋体" w:hAnsi="宋体" w:eastAsia="宋体" w:cs="宋体"/>
                <w:color w:val="000000"/>
                <w:szCs w:val="22"/>
                <w:highlight w:val="none"/>
                <w14:ligatures w14:val="standardContextual"/>
              </w:rPr>
            </w:pPr>
          </w:p>
        </w:tc>
      </w:tr>
      <w:tr w14:paraId="782F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5CF4DEE2">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7</w:t>
            </w:r>
          </w:p>
        </w:tc>
        <w:tc>
          <w:tcPr>
            <w:tcW w:w="3921" w:type="dxa"/>
            <w:tcMar>
              <w:top w:w="20" w:type="dxa"/>
              <w:left w:w="20" w:type="dxa"/>
              <w:bottom w:w="20" w:type="dxa"/>
              <w:right w:w="20" w:type="dxa"/>
            </w:tcMar>
            <w:vAlign w:val="center"/>
          </w:tcPr>
          <w:p w14:paraId="07049112">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柔性AGV运载机器人</w:t>
            </w:r>
          </w:p>
        </w:tc>
        <w:tc>
          <w:tcPr>
            <w:tcW w:w="992" w:type="dxa"/>
            <w:tcMar>
              <w:top w:w="20" w:type="dxa"/>
              <w:left w:w="20" w:type="dxa"/>
              <w:bottom w:w="20" w:type="dxa"/>
              <w:right w:w="20" w:type="dxa"/>
            </w:tcMar>
            <w:vAlign w:val="center"/>
          </w:tcPr>
          <w:p w14:paraId="2017EABA">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1</w:t>
            </w:r>
          </w:p>
        </w:tc>
        <w:tc>
          <w:tcPr>
            <w:tcW w:w="1276" w:type="dxa"/>
            <w:tcMar>
              <w:top w:w="20" w:type="dxa"/>
              <w:left w:w="20" w:type="dxa"/>
              <w:bottom w:w="20" w:type="dxa"/>
              <w:right w:w="20" w:type="dxa"/>
            </w:tcMar>
            <w:vAlign w:val="center"/>
          </w:tcPr>
          <w:p w14:paraId="6C062842">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053F23A7">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7C6BB60F">
            <w:pPr>
              <w:widowControl w:val="0"/>
              <w:wordWrap w:val="0"/>
              <w:jc w:val="center"/>
              <w:textAlignment w:val="auto"/>
              <w:rPr>
                <w:rFonts w:ascii="宋体" w:hAnsi="宋体" w:eastAsia="宋体" w:cs="宋体"/>
                <w:color w:val="000000"/>
                <w:szCs w:val="22"/>
                <w:highlight w:val="none"/>
                <w14:ligatures w14:val="standardContextual"/>
              </w:rPr>
            </w:pPr>
          </w:p>
        </w:tc>
      </w:tr>
      <w:tr w14:paraId="142C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3376C385">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8</w:t>
            </w:r>
          </w:p>
        </w:tc>
        <w:tc>
          <w:tcPr>
            <w:tcW w:w="3921" w:type="dxa"/>
            <w:tcMar>
              <w:top w:w="20" w:type="dxa"/>
              <w:left w:w="20" w:type="dxa"/>
              <w:bottom w:w="20" w:type="dxa"/>
              <w:right w:w="20" w:type="dxa"/>
            </w:tcMar>
            <w:vAlign w:val="center"/>
          </w:tcPr>
          <w:p w14:paraId="69B52E66">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1"/>
                <w:highlight w:val="none"/>
                <w14:ligatures w14:val="standardContextual"/>
              </w:rPr>
              <w:t>数字孪生总控信息管理单元</w:t>
            </w:r>
          </w:p>
        </w:tc>
        <w:tc>
          <w:tcPr>
            <w:tcW w:w="992" w:type="dxa"/>
            <w:tcMar>
              <w:top w:w="20" w:type="dxa"/>
              <w:left w:w="20" w:type="dxa"/>
              <w:bottom w:w="20" w:type="dxa"/>
              <w:right w:w="20" w:type="dxa"/>
            </w:tcMar>
            <w:vAlign w:val="center"/>
          </w:tcPr>
          <w:p w14:paraId="5C82F7B6">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1</w:t>
            </w:r>
          </w:p>
        </w:tc>
        <w:tc>
          <w:tcPr>
            <w:tcW w:w="1276" w:type="dxa"/>
            <w:tcMar>
              <w:top w:w="20" w:type="dxa"/>
              <w:left w:w="20" w:type="dxa"/>
              <w:bottom w:w="20" w:type="dxa"/>
              <w:right w:w="20" w:type="dxa"/>
            </w:tcMar>
            <w:vAlign w:val="center"/>
          </w:tcPr>
          <w:p w14:paraId="7B23B45C">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594F1C4D">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18072FC4">
            <w:pPr>
              <w:widowControl w:val="0"/>
              <w:wordWrap w:val="0"/>
              <w:jc w:val="center"/>
              <w:textAlignment w:val="auto"/>
              <w:rPr>
                <w:rFonts w:ascii="宋体" w:hAnsi="宋体" w:eastAsia="宋体" w:cs="宋体"/>
                <w:color w:val="000000"/>
                <w:szCs w:val="22"/>
                <w:highlight w:val="none"/>
                <w14:ligatures w14:val="standardContextual"/>
              </w:rPr>
            </w:pPr>
          </w:p>
        </w:tc>
      </w:tr>
      <w:tr w14:paraId="7261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44AD62FC">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9</w:t>
            </w:r>
          </w:p>
        </w:tc>
        <w:tc>
          <w:tcPr>
            <w:tcW w:w="3921" w:type="dxa"/>
            <w:tcMar>
              <w:top w:w="20" w:type="dxa"/>
              <w:left w:w="20" w:type="dxa"/>
              <w:bottom w:w="20" w:type="dxa"/>
              <w:right w:w="20" w:type="dxa"/>
            </w:tcMar>
            <w:vAlign w:val="center"/>
          </w:tcPr>
          <w:p w14:paraId="6B9D4F77">
            <w:pPr>
              <w:widowControl w:val="0"/>
              <w:wordWrap w:val="0"/>
              <w:spacing w:line="273" w:lineRule="exact"/>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嵌入式ROS机器人实训开发平台</w:t>
            </w:r>
          </w:p>
        </w:tc>
        <w:tc>
          <w:tcPr>
            <w:tcW w:w="992" w:type="dxa"/>
            <w:tcMar>
              <w:top w:w="20" w:type="dxa"/>
              <w:left w:w="20" w:type="dxa"/>
              <w:bottom w:w="20" w:type="dxa"/>
              <w:right w:w="20" w:type="dxa"/>
            </w:tcMar>
            <w:vAlign w:val="center"/>
          </w:tcPr>
          <w:p w14:paraId="0FA12325">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szCs w:val="22"/>
                <w:highlight w:val="none"/>
                <w14:ligatures w14:val="standardContextual"/>
              </w:rPr>
              <w:t>1</w:t>
            </w:r>
          </w:p>
        </w:tc>
        <w:tc>
          <w:tcPr>
            <w:tcW w:w="1276" w:type="dxa"/>
            <w:tcMar>
              <w:top w:w="20" w:type="dxa"/>
              <w:left w:w="20" w:type="dxa"/>
              <w:bottom w:w="20" w:type="dxa"/>
              <w:right w:w="20" w:type="dxa"/>
            </w:tcMar>
            <w:vAlign w:val="center"/>
          </w:tcPr>
          <w:p w14:paraId="56F7DA49">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22AC8E70">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53B3BC63">
            <w:pPr>
              <w:widowControl w:val="0"/>
              <w:wordWrap w:val="0"/>
              <w:jc w:val="center"/>
              <w:textAlignment w:val="auto"/>
              <w:rPr>
                <w:rFonts w:ascii="宋体" w:hAnsi="宋体" w:eastAsia="宋体" w:cs="宋体"/>
                <w:color w:val="000000"/>
                <w:szCs w:val="22"/>
                <w:highlight w:val="none"/>
                <w14:ligatures w14:val="standardContextual"/>
              </w:rPr>
            </w:pPr>
          </w:p>
        </w:tc>
      </w:tr>
      <w:tr w14:paraId="67A7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576C0A90">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10</w:t>
            </w:r>
          </w:p>
        </w:tc>
        <w:tc>
          <w:tcPr>
            <w:tcW w:w="3921" w:type="dxa"/>
            <w:tcMar>
              <w:top w:w="20" w:type="dxa"/>
              <w:left w:w="20" w:type="dxa"/>
              <w:bottom w:w="20" w:type="dxa"/>
              <w:right w:w="20" w:type="dxa"/>
            </w:tcMar>
            <w:vAlign w:val="center"/>
          </w:tcPr>
          <w:p w14:paraId="37F5632D">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六边形折叠培训桌椅</w:t>
            </w:r>
          </w:p>
        </w:tc>
        <w:tc>
          <w:tcPr>
            <w:tcW w:w="992" w:type="dxa"/>
            <w:tcMar>
              <w:top w:w="20" w:type="dxa"/>
              <w:left w:w="20" w:type="dxa"/>
              <w:bottom w:w="20" w:type="dxa"/>
              <w:right w:w="20" w:type="dxa"/>
            </w:tcMar>
            <w:vAlign w:val="center"/>
          </w:tcPr>
          <w:p w14:paraId="4BFA5A22">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5</w:t>
            </w:r>
          </w:p>
        </w:tc>
        <w:tc>
          <w:tcPr>
            <w:tcW w:w="1276" w:type="dxa"/>
            <w:tcMar>
              <w:top w:w="20" w:type="dxa"/>
              <w:left w:w="20" w:type="dxa"/>
              <w:bottom w:w="20" w:type="dxa"/>
              <w:right w:w="20" w:type="dxa"/>
            </w:tcMar>
            <w:vAlign w:val="center"/>
          </w:tcPr>
          <w:p w14:paraId="50907199">
            <w:pPr>
              <w:widowControl w:val="0"/>
              <w:wordWrap w:val="0"/>
              <w:jc w:val="center"/>
              <w:textAlignment w:val="auto"/>
              <w:rPr>
                <w:rFonts w:ascii="宋体" w:hAnsi="宋体" w:eastAsia="宋体" w:cs="宋体"/>
                <w:szCs w:val="22"/>
                <w:highlight w:val="none"/>
                <w14:ligatures w14:val="standardContextual"/>
              </w:rPr>
            </w:pPr>
            <w:r>
              <w:rPr>
                <w:rFonts w:hint="eastAsia" w:ascii="宋体" w:hAnsi="宋体" w:eastAsia="宋体" w:cs="宋体"/>
                <w:color w:val="000000"/>
                <w:szCs w:val="22"/>
                <w:highlight w:val="none"/>
                <w14:ligatures w14:val="standardContextual"/>
              </w:rPr>
              <w:t>套</w:t>
            </w:r>
          </w:p>
        </w:tc>
        <w:tc>
          <w:tcPr>
            <w:tcW w:w="1843" w:type="dxa"/>
            <w:tcMar>
              <w:top w:w="20" w:type="dxa"/>
              <w:left w:w="20" w:type="dxa"/>
              <w:bottom w:w="20" w:type="dxa"/>
              <w:right w:w="20" w:type="dxa"/>
            </w:tcMar>
            <w:vAlign w:val="center"/>
          </w:tcPr>
          <w:p w14:paraId="0657A9A1">
            <w:pPr>
              <w:widowControl w:val="0"/>
              <w:wordWrap w:val="0"/>
              <w:spacing w:line="273" w:lineRule="exact"/>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详见招标文件</w:t>
            </w:r>
          </w:p>
        </w:tc>
        <w:tc>
          <w:tcPr>
            <w:tcW w:w="898" w:type="dxa"/>
            <w:tcMar>
              <w:top w:w="20" w:type="dxa"/>
              <w:left w:w="20" w:type="dxa"/>
              <w:bottom w:w="20" w:type="dxa"/>
              <w:right w:w="20" w:type="dxa"/>
            </w:tcMar>
            <w:vAlign w:val="center"/>
          </w:tcPr>
          <w:p w14:paraId="2469CB93">
            <w:pPr>
              <w:widowControl w:val="0"/>
              <w:wordWrap w:val="0"/>
              <w:jc w:val="center"/>
              <w:textAlignment w:val="auto"/>
              <w:rPr>
                <w:rFonts w:ascii="宋体" w:hAnsi="宋体" w:eastAsia="宋体" w:cs="宋体"/>
                <w:color w:val="000000"/>
                <w:szCs w:val="22"/>
                <w:highlight w:val="none"/>
                <w14:ligatures w14:val="standardContextual"/>
              </w:rPr>
            </w:pPr>
          </w:p>
        </w:tc>
      </w:tr>
    </w:tbl>
    <w:p w14:paraId="7AE62A3C">
      <w:pPr>
        <w:widowControl w:val="0"/>
        <w:textAlignment w:val="auto"/>
        <w:rPr>
          <w:rFonts w:ascii="宋体" w:hAnsi="宋体" w:eastAsia="宋体" w:cs="宋体"/>
          <w:b/>
          <w:color w:val="000000"/>
          <w:sz w:val="28"/>
          <w:szCs w:val="22"/>
          <w:highlight w:val="none"/>
          <w14:ligatures w14:val="standardContextual"/>
        </w:rPr>
      </w:pPr>
    </w:p>
    <w:p w14:paraId="428F2AA9">
      <w:pPr>
        <w:widowControl w:val="0"/>
        <w:wordWrap w:val="0"/>
        <w:spacing w:before="243" w:after="243"/>
        <w:jc w:val="left"/>
        <w:textAlignment w:val="auto"/>
        <w:outlineLvl w:val="1"/>
        <w:rPr>
          <w:rFonts w:ascii="宋体" w:hAnsi="宋体" w:eastAsia="宋体" w:cs="宋体"/>
          <w:szCs w:val="22"/>
          <w:highlight w:val="none"/>
          <w14:ligatures w14:val="standardContextual"/>
        </w:rPr>
      </w:pPr>
      <w:r>
        <w:rPr>
          <w:rFonts w:hint="eastAsia" w:ascii="宋体" w:hAnsi="宋体" w:eastAsia="宋体" w:cs="宋体"/>
          <w:b/>
          <w:color w:val="000000"/>
          <w:sz w:val="28"/>
          <w:szCs w:val="22"/>
          <w:highlight w:val="none"/>
          <w14:ligatures w14:val="standardContextual"/>
        </w:rPr>
        <w:t>二、技术参数（标准）</w:t>
      </w:r>
    </w:p>
    <w:tbl>
      <w:tblPr>
        <w:tblStyle w:val="2"/>
        <w:tblpPr w:leftFromText="180" w:rightFromText="180" w:vertAnchor="text" w:horzAnchor="margin" w:tblpXSpec="center" w:tblpY="64"/>
        <w:tblW w:w="9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033"/>
        <w:gridCol w:w="6282"/>
        <w:gridCol w:w="858"/>
        <w:gridCol w:w="871"/>
      </w:tblGrid>
      <w:tr w14:paraId="3958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773" w:type="dxa"/>
            <w:vAlign w:val="center"/>
          </w:tcPr>
          <w:p w14:paraId="14F0176E">
            <w:pPr>
              <w:widowControl w:val="0"/>
              <w:jc w:val="center"/>
              <w:textAlignment w:val="auto"/>
              <w:rPr>
                <w:rFonts w:ascii="宋体" w:hAnsi="宋体" w:eastAsia="宋体" w:cs="宋体"/>
                <w:szCs w:val="21"/>
                <w:highlight w:val="none"/>
                <w14:ligatures w14:val="standardContextual"/>
              </w:rPr>
            </w:pPr>
            <w:bookmarkStart w:id="1" w:name="_Toc148991796"/>
            <w:r>
              <w:rPr>
                <w:rFonts w:hint="eastAsia" w:ascii="宋体" w:hAnsi="宋体" w:eastAsia="宋体" w:cs="宋体"/>
                <w:szCs w:val="21"/>
                <w:highlight w:val="none"/>
                <w14:ligatures w14:val="standardContextual"/>
              </w:rPr>
              <w:t>序号</w:t>
            </w:r>
          </w:p>
        </w:tc>
        <w:tc>
          <w:tcPr>
            <w:tcW w:w="1033" w:type="dxa"/>
            <w:vAlign w:val="center"/>
          </w:tcPr>
          <w:p w14:paraId="7062F354">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名称</w:t>
            </w:r>
          </w:p>
        </w:tc>
        <w:tc>
          <w:tcPr>
            <w:tcW w:w="6282" w:type="dxa"/>
            <w:vAlign w:val="center"/>
          </w:tcPr>
          <w:p w14:paraId="0BCD0078">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规格参数</w:t>
            </w:r>
          </w:p>
        </w:tc>
        <w:tc>
          <w:tcPr>
            <w:tcW w:w="858" w:type="dxa"/>
            <w:vAlign w:val="center"/>
          </w:tcPr>
          <w:p w14:paraId="69C4C1C7">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单位</w:t>
            </w:r>
          </w:p>
        </w:tc>
        <w:tc>
          <w:tcPr>
            <w:tcW w:w="871" w:type="dxa"/>
            <w:vAlign w:val="center"/>
          </w:tcPr>
          <w:p w14:paraId="4E7E58D9">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数量</w:t>
            </w:r>
          </w:p>
        </w:tc>
      </w:tr>
      <w:tr w14:paraId="7AF2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1ED81F27">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c>
          <w:tcPr>
            <w:tcW w:w="1033" w:type="dxa"/>
            <w:vAlign w:val="center"/>
          </w:tcPr>
          <w:p w14:paraId="398C8128">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智能数控加工机器人上下料工作站</w:t>
            </w:r>
          </w:p>
        </w:tc>
        <w:tc>
          <w:tcPr>
            <w:tcW w:w="6282" w:type="dxa"/>
            <w:vAlign w:val="center"/>
          </w:tcPr>
          <w:p w14:paraId="007CFCD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功能：智能数控加工机器人上下料工作站可进行关键零部件或工艺品的数控加工作业。工业机器人于立体仓库中拾取系统工件，利用数控车床进行加工。单元独立电气控制，既可联机运行，亦可脱离系统通过人机界面进行操作和实验。</w:t>
            </w:r>
          </w:p>
          <w:p w14:paraId="7987B6B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组成：智能数控加工机器人上下料工作站由立体仓库、RFID电子标签系统、数控车床、数控车床自动化改造、摄像头与气吹装置、工业机器人、机器人底板、机器人末端工具、转接输送机、单元可编程控制器电气控制系统、人机界面与支架等设备组成。</w:t>
            </w:r>
          </w:p>
          <w:p w14:paraId="43D0FDD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 立体仓库：1套；立体仓库由钣金板材加工而成，用于放置系统工件。立体仓库仓位均安装RFID电子标签、传感器、状态指示灯和定位装置，传感器用于检测该位置是否有工件。</w:t>
            </w:r>
          </w:p>
          <w:p w14:paraId="34B690D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立体仓库技术参数要求：</w:t>
            </w:r>
          </w:p>
          <w:p w14:paraId="7C61E6A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 仓位数量：6列5层30个；</w:t>
            </w:r>
          </w:p>
          <w:p w14:paraId="5D2AA90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 仓位承重：≥3kg；</w:t>
            </w:r>
          </w:p>
          <w:p w14:paraId="71B0F88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 外形尺寸：≥1200×340×1800mm。</w:t>
            </w:r>
          </w:p>
          <w:p w14:paraId="62872A54">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 RFID电子标签系统：1套；RFID读写器：工作频率/额定值：13.56MHz；作用范围/最大值：140mm；传输率/无线电传输时/最大值：106kbit/s；净重：0.25kg；尺寸(长×宽×高)：75×75×41mm；防护等级：IP67；电子标签：存储空间：112 byte ；要求温度：-40℃～100℃；尺寸：</w:t>
            </w:r>
            <w:r>
              <w:rPr>
                <w:rFonts w:hint="eastAsia" w:ascii="宋体" w:hAnsi="宋体" w:eastAsia="宋体" w:cs="宋体"/>
                <w:szCs w:val="21"/>
                <w:highlight w:val="none"/>
                <w:lang w:val="zh-CN"/>
                <w14:ligatures w14:val="standardContextual"/>
              </w:rPr>
              <w:t>Φ50×3.6mm；</w:t>
            </w:r>
            <w:r>
              <w:rPr>
                <w:rFonts w:hint="eastAsia" w:ascii="宋体" w:hAnsi="宋体" w:eastAsia="宋体" w:cs="宋体"/>
                <w:szCs w:val="21"/>
                <w:highlight w:val="none"/>
                <w14:ligatures w14:val="standardContextual"/>
              </w:rPr>
              <w:t>防护等级：</w:t>
            </w:r>
            <w:r>
              <w:rPr>
                <w:rFonts w:hint="eastAsia" w:ascii="宋体" w:hAnsi="宋体" w:eastAsia="宋体" w:cs="宋体"/>
                <w:szCs w:val="21"/>
                <w:highlight w:val="none"/>
                <w:lang w:val="zh-CN"/>
                <w14:ligatures w14:val="standardContextual"/>
              </w:rPr>
              <w:t>IP68。</w:t>
            </w:r>
          </w:p>
          <w:p w14:paraId="477E8710">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 数控车床及自动化改造：1套；</w:t>
            </w:r>
          </w:p>
          <w:p w14:paraId="2985B2C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 数控系统：Fanuc 0i-TF PLUS(5)系统</w:t>
            </w:r>
          </w:p>
          <w:p w14:paraId="533A5F9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 最大回转直径（床身/床鞍）：Φ500mm/Φ300mm</w:t>
            </w:r>
          </w:p>
          <w:p w14:paraId="07195E6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 最大加工直径：Φ320mm</w:t>
            </w:r>
          </w:p>
          <w:p w14:paraId="226B9B3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 最大加工长度：320mm</w:t>
            </w:r>
          </w:p>
          <w:p w14:paraId="475233F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 主轴通孔直径：Φ56mm</w:t>
            </w:r>
          </w:p>
          <w:p w14:paraId="7BDDEB7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 X轴伺服电机扭矩：7N·m</w:t>
            </w:r>
          </w:p>
          <w:p w14:paraId="2F909E8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 Z轴伺服电机扭矩：7N·m</w:t>
            </w:r>
          </w:p>
          <w:p w14:paraId="64E9AD7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 X轴行程：180mm</w:t>
            </w:r>
          </w:p>
          <w:p w14:paraId="4CD5F95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 Z轴行程：350mm</w:t>
            </w:r>
          </w:p>
          <w:p w14:paraId="011A07F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 X轴快移速度：30m/min</w:t>
            </w:r>
          </w:p>
          <w:p w14:paraId="4B22BED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 Z轴快移速度：30m/min</w:t>
            </w:r>
          </w:p>
          <w:p w14:paraId="1126F7B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 切削进给速度：1-8000mm/min</w:t>
            </w:r>
          </w:p>
          <w:p w14:paraId="34A5B6D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 刀具容量：8把</w:t>
            </w:r>
          </w:p>
          <w:p w14:paraId="091DAC0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 刀具分度时间：0.5秒/位</w:t>
            </w:r>
          </w:p>
          <w:p w14:paraId="36B3115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 车刀刀体尺寸：25×25mm</w:t>
            </w:r>
          </w:p>
          <w:p w14:paraId="6887D81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 最大镗刀直径：Φ40mm</w:t>
            </w:r>
          </w:p>
          <w:p w14:paraId="0F86762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 X轴定位精度：0.006mm</w:t>
            </w:r>
          </w:p>
          <w:p w14:paraId="69D37CA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 Z轴定位精度：0.006mm</w:t>
            </w:r>
          </w:p>
          <w:p w14:paraId="1BB38DE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19) X轴重复定位精度：0.004mm</w:t>
            </w:r>
          </w:p>
          <w:p w14:paraId="110DB4F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20) Z轴重复定位精度：0.004mm</w:t>
            </w:r>
          </w:p>
          <w:p w14:paraId="17B99CD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21) 切削液槽容积：160L</w:t>
            </w:r>
          </w:p>
          <w:p w14:paraId="2E9FB7A8">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22) </w:t>
            </w:r>
            <w:r>
              <w:rPr>
                <w:rFonts w:hint="eastAsia" w:ascii="宋体" w:hAnsi="宋体" w:eastAsia="宋体" w:cs="宋体"/>
                <w:color w:val="000000"/>
                <w:szCs w:val="21"/>
                <w:highlight w:val="none"/>
                <w14:ligatures w14:val="standardContextual"/>
              </w:rPr>
              <w:t>数控车床三爪夹盘、挡门自动化改造、电气系统联网改造与系统配套</w:t>
            </w:r>
            <w:r>
              <w:rPr>
                <w:rFonts w:hint="eastAsia" w:ascii="宋体" w:hAnsi="宋体" w:eastAsia="宋体" w:cs="宋体"/>
                <w:color w:val="000000"/>
                <w:kern w:val="0"/>
                <w:szCs w:val="21"/>
                <w:highlight w:val="none"/>
                <w14:ligatures w14:val="standardContextual"/>
              </w:rPr>
              <w:t>。</w:t>
            </w:r>
          </w:p>
          <w:p w14:paraId="77FE9C9A">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 摄像头与气吹系统：1套；数控机床安装有摄像头和气吹装置，通过设置摄像头通信参数，能够在显示器上清晰显示图像，以便于观察零件的加工过程。气吹装置通过编写可编程控制器程序或者设置机床参数可实现定时或随时手动清洁。</w:t>
            </w:r>
          </w:p>
          <w:p w14:paraId="0EA62CE5">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1.5 工业机器人：1套；</w:t>
            </w:r>
          </w:p>
          <w:p w14:paraId="1E9365DE">
            <w:pPr>
              <w:widowControl/>
              <w:adjustRightInd w:val="0"/>
              <w:snapToGrid w:val="0"/>
              <w:textAlignment w:val="auto"/>
              <w:rPr>
                <w:rFonts w:ascii="宋体" w:hAnsi="宋体" w:eastAsia="宋体" w:cs="宋体"/>
                <w:b/>
                <w:bCs/>
                <w:szCs w:val="21"/>
                <w:highlight w:val="none"/>
                <w14:ligatures w14:val="standardContextual"/>
              </w:rPr>
            </w:pPr>
            <w:r>
              <w:rPr>
                <w:rFonts w:hint="eastAsia" w:ascii="宋体" w:hAnsi="宋体" w:eastAsia="宋体" w:cs="宋体"/>
                <w:kern w:val="0"/>
                <w:szCs w:val="21"/>
                <w:highlight w:val="none"/>
                <w14:ligatures w14:val="standardContextual"/>
              </w:rPr>
              <w:t>（1）具有6个自由度，串联关节型工业机器人</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（2）安装方式为地面安装</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（3）工作范围：≥1640mm</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（4）手腕荷重能力：20kg</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（5）重复定位精度：0.04mm</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（6）机器人单元防护等级IP67</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（7）可工作环境相对湿度最高95%</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（8）工作环境温度范围5℃~45°℃</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（9）第1轴工作范围为+180°/-180°，最大旋转速度175°/s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（10）第2轴工作范围为+155°/-95°，最大旋转速度175°/s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（11）第3轴工作范围为+75°/-180°，最大旋转速度175°/s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（12）第4轴工作范围为+400°/-400°，最大旋转速度360°/s</w:t>
            </w:r>
          </w:p>
          <w:p w14:paraId="04DBA06B">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14:ligatures w14:val="standardContextual"/>
              </w:rPr>
              <w:t>（13）第5轴工作范围为+120°/-120°，最大旋转速度360°/s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（14）第6轴工作范围为+400°/-400°，最大旋转速度500°/s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（15）机器人本体重量：272Kg</w:t>
            </w:r>
          </w:p>
          <w:p w14:paraId="6C48BFBA">
            <w:pPr>
              <w:widowControl/>
              <w:adjustRightInd w:val="0"/>
              <w:snapToGrid w:val="0"/>
              <w:textAlignment w:val="auto"/>
              <w:rPr>
                <w:rFonts w:ascii="宋体" w:hAnsi="宋体" w:eastAsia="宋体" w:cs="宋体"/>
                <w:color w:val="000000"/>
                <w:szCs w:val="21"/>
                <w:highlight w:val="none"/>
                <w:shd w:val="clear" w:color="auto" w:fill="FFFFFF"/>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（16）</w:t>
            </w:r>
            <w:r>
              <w:rPr>
                <w:rFonts w:hint="eastAsia" w:ascii="宋体" w:hAnsi="宋体" w:eastAsia="宋体" w:cs="宋体"/>
                <w:szCs w:val="21"/>
                <w:highlight w:val="none"/>
                <w14:ligatures w14:val="standardContextual"/>
              </w:rPr>
              <w:t>机器人控制器：1）</w:t>
            </w:r>
            <w:r>
              <w:rPr>
                <w:rFonts w:hint="eastAsia" w:ascii="宋体" w:hAnsi="宋体" w:eastAsia="宋体" w:cs="宋体"/>
                <w:color w:val="000000"/>
                <w:szCs w:val="21"/>
                <w:highlight w:val="none"/>
                <w:shd w:val="clear" w:color="auto" w:fill="FFFFFF"/>
                <w14:ligatures w14:val="standardContextual"/>
              </w:rPr>
              <w:t>控制硬件：</w:t>
            </w:r>
            <w:r>
              <w:rPr>
                <w:rFonts w:hint="eastAsia" w:ascii="宋体" w:hAnsi="宋体" w:eastAsia="宋体" w:cs="宋体"/>
                <w:szCs w:val="21"/>
                <w:highlight w:val="none"/>
                <w14:ligatures w14:val="standardContextual"/>
              </w:rPr>
              <w:t>多处理器系统、PCI 总线、奔腾CPU、大容量闪存(1GB)、20s UPS 备份电源</w:t>
            </w:r>
            <w:r>
              <w:rPr>
                <w:rFonts w:hint="eastAsia" w:ascii="宋体" w:hAnsi="宋体" w:eastAsia="宋体" w:cs="宋体"/>
                <w:color w:val="000000"/>
                <w:szCs w:val="21"/>
                <w:highlight w:val="none"/>
                <w:shd w:val="clear" w:color="auto" w:fill="FFFFFF"/>
                <w14:ligatures w14:val="standardContextual"/>
              </w:rPr>
              <w:t>；2）控制软件：</w:t>
            </w:r>
            <w:r>
              <w:rPr>
                <w:rFonts w:hint="eastAsia" w:ascii="宋体" w:hAnsi="宋体" w:eastAsia="宋体" w:cs="宋体"/>
                <w:szCs w:val="21"/>
                <w:highlight w:val="none"/>
                <w14:ligatures w14:val="standardContextual"/>
              </w:rPr>
              <w:t>BaseWare 机器人操作系统、强大的RAPID编程语言、PC-DOS文本格式、</w:t>
            </w:r>
            <w:r>
              <w:rPr>
                <w:rFonts w:hint="eastAsia" w:ascii="宋体" w:hAnsi="宋体" w:eastAsia="宋体" w:cs="宋体"/>
                <w:color w:val="000000"/>
                <w:szCs w:val="21"/>
                <w:highlight w:val="none"/>
                <w:shd w:val="clear" w:color="auto" w:fill="FFFFFF"/>
                <w14:ligatures w14:val="standardContextual"/>
              </w:rPr>
              <w:t>预装软件；3）外形尺寸：970 x 725 x 710mm；</w:t>
            </w:r>
          </w:p>
          <w:p w14:paraId="6D393A5A">
            <w:pPr>
              <w:widowControl/>
              <w:adjustRightInd w:val="0"/>
              <w:snapToGrid w:val="0"/>
              <w:textAlignment w:val="auto"/>
              <w:rPr>
                <w:rFonts w:ascii="宋体" w:hAnsi="宋体" w:eastAsia="宋体" w:cs="宋体"/>
                <w:szCs w:val="21"/>
                <w:highlight w:val="none"/>
              </w:rPr>
            </w:pPr>
            <w:r>
              <w:rPr>
                <w:rFonts w:hint="eastAsia" w:ascii="宋体" w:hAnsi="宋体" w:eastAsia="宋体" w:cs="宋体"/>
                <w:kern w:val="0"/>
                <w:szCs w:val="21"/>
                <w:highlight w:val="none"/>
                <w:lang w:bidi="ar"/>
              </w:rPr>
              <w:t>★</w:t>
            </w:r>
            <w:r>
              <w:rPr>
                <w:rFonts w:hint="eastAsia" w:ascii="宋体" w:hAnsi="宋体" w:eastAsia="宋体" w:cs="宋体"/>
                <w:kern w:val="0"/>
                <w:szCs w:val="21"/>
                <w:highlight w:val="none"/>
              </w:rPr>
              <w:t>（17）</w:t>
            </w:r>
            <w:r>
              <w:rPr>
                <w:rFonts w:hint="eastAsia" w:ascii="宋体" w:hAnsi="宋体" w:eastAsia="宋体" w:cs="宋体"/>
                <w:color w:val="000000"/>
                <w:szCs w:val="21"/>
                <w:highlight w:val="none"/>
                <w:shd w:val="clear" w:color="auto" w:fill="FFFFFF"/>
              </w:rPr>
              <w:t>机器人示教器：</w:t>
            </w:r>
            <w:r>
              <w:rPr>
                <w:rFonts w:hint="eastAsia" w:ascii="宋体" w:hAnsi="宋体" w:eastAsia="宋体" w:cs="宋体"/>
                <w:szCs w:val="21"/>
                <w:highlight w:val="none"/>
              </w:rPr>
              <w:t>便携式，具备操纵杆和键盘，</w:t>
            </w:r>
            <w:r>
              <w:rPr>
                <w:rFonts w:hint="eastAsia" w:ascii="宋体" w:hAnsi="宋体" w:eastAsia="宋体" w:cs="宋体"/>
                <w:color w:val="000000"/>
                <w:szCs w:val="21"/>
                <w:highlight w:val="none"/>
                <w:shd w:val="clear" w:color="auto" w:fill="FFFFFF"/>
              </w:rPr>
              <w:t>6.5英寸图形化彩色，防护等级：IP54。</w:t>
            </w:r>
          </w:p>
          <w:p w14:paraId="571F9C4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 工业机器人导轨：1套；</w:t>
            </w:r>
          </w:p>
          <w:p w14:paraId="17624F6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由伺服电机驱动，齿轮-齿条传动；配置自动润滑系统，上部滑板防尘防护。</w:t>
            </w:r>
          </w:p>
          <w:p w14:paraId="6DACC48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 自由度：1；</w:t>
            </w:r>
          </w:p>
          <w:p w14:paraId="377CDF5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 重复定位精度：≤±0.1mm；</w:t>
            </w:r>
          </w:p>
          <w:p w14:paraId="0810ECB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 动作范围：≥3800mm；</w:t>
            </w:r>
          </w:p>
          <w:p w14:paraId="2B2E97C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 最大速度：1000mm/s；</w:t>
            </w:r>
          </w:p>
          <w:p w14:paraId="6AED06E9">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 机器人底板：1套；机器人底座与工业机器人配套使用。</w:t>
            </w:r>
          </w:p>
          <w:p w14:paraId="77509095">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 机器人末端工具：1套；系统工业机器人配置3套上下料末端工具（2套工件手爪工具、1套托盘手爪工具），分别安装于3套快换工具盘，可实现2种以上工件及零点定位托盘的搬运。。</w:t>
            </w:r>
          </w:p>
          <w:p w14:paraId="23385A5D">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1.9 转接输送机：1套；单元配置1套转接输送机，便于工件和托盘的运转。转接输送机由铝合金型材搭建，直流电机带动同步齿形带驱动。由铝型材构建成货台机架，转接输送机底部配可调支脚。</w:t>
            </w:r>
            <w:r>
              <w:rPr>
                <w:rFonts w:hint="eastAsia" w:ascii="宋体" w:hAnsi="宋体" w:eastAsia="宋体" w:cs="宋体"/>
                <w:kern w:val="0"/>
                <w:szCs w:val="21"/>
                <w:highlight w:val="none"/>
                <w14:ligatures w14:val="standardContextual"/>
              </w:rPr>
              <w:t>承载能力：25</w:t>
            </w:r>
            <w:r>
              <w:rPr>
                <w:rFonts w:hint="eastAsia" w:ascii="宋体" w:hAnsi="宋体" w:eastAsia="宋体" w:cs="宋体"/>
                <w:szCs w:val="21"/>
                <w:highlight w:val="none"/>
                <w14:ligatures w14:val="standardContextual"/>
              </w:rPr>
              <w:t>kg；</w:t>
            </w:r>
            <w:r>
              <w:rPr>
                <w:rFonts w:hint="eastAsia" w:ascii="宋体" w:hAnsi="宋体" w:eastAsia="宋体" w:cs="宋体"/>
                <w:kern w:val="0"/>
                <w:szCs w:val="21"/>
                <w:highlight w:val="none"/>
                <w14:ligatures w14:val="standardContextual"/>
              </w:rPr>
              <w:t>驱动方式：直流电机+行星减速器；运行速度：6m/min</w:t>
            </w:r>
            <w:r>
              <w:rPr>
                <w:rFonts w:hint="eastAsia" w:ascii="宋体" w:hAnsi="宋体" w:eastAsia="宋体" w:cs="宋体"/>
                <w:szCs w:val="21"/>
                <w:highlight w:val="none"/>
                <w14:ligatures w14:val="standardContextual"/>
              </w:rPr>
              <w:t>。</w:t>
            </w:r>
          </w:p>
          <w:p w14:paraId="5B4DC710">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1.10 单元可编程控制器电气控制系统：1套；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highlight w:val="none"/>
                <w14:ligatures w14:val="standardContextual"/>
              </w:rPr>
              <w:t>CPU：CPU 1215C DC/DC/DC；</w:t>
            </w:r>
            <w:r>
              <w:rPr>
                <w:rFonts w:hint="eastAsia" w:ascii="宋体" w:hAnsi="宋体" w:eastAsia="宋体" w:cs="宋体"/>
                <w:kern w:val="0"/>
                <w:szCs w:val="21"/>
                <w:highlight w:val="none"/>
                <w:lang w:val="zh-CN"/>
                <w14:ligatures w14:val="standardContextual"/>
              </w:rPr>
              <w:t>工作存储器：</w:t>
            </w:r>
            <w:r>
              <w:rPr>
                <w:rFonts w:hint="eastAsia" w:ascii="宋体" w:hAnsi="宋体" w:eastAsia="宋体" w:cs="宋体"/>
                <w:color w:val="000000"/>
                <w:kern w:val="0"/>
                <w:szCs w:val="21"/>
                <w:highlight w:val="none"/>
                <w:lang w:val="zh-CN"/>
                <w14:ligatures w14:val="standardContextual"/>
              </w:rPr>
              <w:t>125KB；</w:t>
            </w:r>
            <w:r>
              <w:rPr>
                <w:rFonts w:hint="eastAsia" w:ascii="宋体" w:hAnsi="宋体" w:eastAsia="宋体" w:cs="宋体"/>
                <w:kern w:val="0"/>
                <w:szCs w:val="21"/>
                <w:highlight w:val="none"/>
                <w:lang w:val="zh-CN"/>
                <w14:ligatures w14:val="standardContextual"/>
              </w:rPr>
              <w:t>装载存储器：</w:t>
            </w:r>
            <w:r>
              <w:rPr>
                <w:rFonts w:hint="eastAsia" w:ascii="宋体" w:hAnsi="宋体" w:eastAsia="宋体" w:cs="宋体"/>
                <w:color w:val="000000"/>
                <w:kern w:val="0"/>
                <w:szCs w:val="21"/>
                <w:highlight w:val="none"/>
                <w:lang w:val="zh-CN"/>
                <w14:ligatures w14:val="standardContextual"/>
              </w:rPr>
              <w:t>4MB；</w:t>
            </w:r>
            <w:r>
              <w:rPr>
                <w:rFonts w:hint="eastAsia" w:ascii="宋体" w:hAnsi="宋体" w:eastAsia="宋体" w:cs="宋体"/>
                <w:kern w:val="0"/>
                <w:szCs w:val="21"/>
                <w:highlight w:val="none"/>
                <w:lang w:val="zh-CN"/>
                <w14:ligatures w14:val="standardContextual"/>
              </w:rPr>
              <w:t>模拟量：</w:t>
            </w:r>
            <w:r>
              <w:rPr>
                <w:rFonts w:hint="eastAsia" w:ascii="宋体" w:hAnsi="宋体" w:eastAsia="宋体" w:cs="宋体"/>
                <w:color w:val="000000"/>
                <w:kern w:val="0"/>
                <w:szCs w:val="21"/>
                <w:highlight w:val="none"/>
                <w:lang w:val="zh-CN"/>
                <w14:ligatures w14:val="standardContextual"/>
              </w:rPr>
              <w:t>2AI/2AO；</w:t>
            </w:r>
            <w:r>
              <w:rPr>
                <w:rFonts w:hint="eastAsia" w:ascii="宋体" w:hAnsi="宋体" w:eastAsia="宋体" w:cs="宋体"/>
                <w:kern w:val="0"/>
                <w:szCs w:val="21"/>
                <w:highlight w:val="none"/>
                <w:lang w:val="zh-CN"/>
                <w14:ligatures w14:val="standardContextual"/>
              </w:rPr>
              <w:t>通信协议：</w:t>
            </w:r>
            <w:r>
              <w:rPr>
                <w:rFonts w:hint="eastAsia" w:ascii="宋体" w:hAnsi="宋体" w:eastAsia="宋体" w:cs="宋体"/>
                <w:color w:val="000000"/>
                <w:kern w:val="0"/>
                <w:szCs w:val="21"/>
                <w:highlight w:val="none"/>
                <w:lang w:val="zh-CN"/>
                <w14:ligatures w14:val="standardContextual"/>
              </w:rPr>
              <w:t>支持</w:t>
            </w:r>
            <w:r>
              <w:rPr>
                <w:rFonts w:hint="eastAsia" w:ascii="宋体" w:hAnsi="宋体" w:eastAsia="宋体" w:cs="宋体"/>
                <w:color w:val="000000"/>
                <w:kern w:val="0"/>
                <w:szCs w:val="21"/>
                <w:highlight w:val="none"/>
                <w14:ligatures w14:val="standardContextual"/>
              </w:rPr>
              <w:t>PROFINET</w:t>
            </w:r>
            <w:r>
              <w:rPr>
                <w:rFonts w:hint="eastAsia" w:ascii="宋体" w:hAnsi="宋体" w:eastAsia="宋体" w:cs="宋体"/>
                <w:color w:val="000000"/>
                <w:kern w:val="0"/>
                <w:szCs w:val="21"/>
                <w:highlight w:val="none"/>
                <w:lang w:val="zh-CN"/>
                <w14:ligatures w14:val="standardContextual"/>
              </w:rPr>
              <w:t>、</w:t>
            </w:r>
            <w:r>
              <w:rPr>
                <w:rFonts w:hint="eastAsia" w:ascii="宋体" w:hAnsi="宋体" w:eastAsia="宋体" w:cs="宋体"/>
                <w:color w:val="000000"/>
                <w:kern w:val="0"/>
                <w:szCs w:val="21"/>
                <w:highlight w:val="none"/>
                <w14:ligatures w14:val="standardContextual"/>
              </w:rPr>
              <w:t>TCP/IP</w:t>
            </w:r>
            <w:r>
              <w:rPr>
                <w:rFonts w:hint="eastAsia" w:ascii="宋体" w:hAnsi="宋体" w:eastAsia="宋体" w:cs="宋体"/>
                <w:color w:val="000000"/>
                <w:kern w:val="0"/>
                <w:szCs w:val="21"/>
                <w:highlight w:val="none"/>
                <w:lang w:val="zh-CN"/>
                <w14:ligatures w14:val="standardContextual"/>
              </w:rPr>
              <w:t>、</w:t>
            </w:r>
            <w:r>
              <w:rPr>
                <w:rFonts w:hint="eastAsia" w:ascii="宋体" w:hAnsi="宋体" w:eastAsia="宋体" w:cs="宋体"/>
                <w:color w:val="000000"/>
                <w:kern w:val="0"/>
                <w:szCs w:val="21"/>
                <w:highlight w:val="none"/>
                <w14:ligatures w14:val="standardContextual"/>
              </w:rPr>
              <w:t>SNMP</w:t>
            </w:r>
            <w:r>
              <w:rPr>
                <w:rFonts w:hint="eastAsia" w:ascii="宋体" w:hAnsi="宋体" w:eastAsia="宋体" w:cs="宋体"/>
                <w:color w:val="000000"/>
                <w:kern w:val="0"/>
                <w:szCs w:val="21"/>
                <w:highlight w:val="none"/>
                <w:lang w:val="zh-CN"/>
                <w14:ligatures w14:val="standardContextual"/>
              </w:rPr>
              <w:t>、</w:t>
            </w:r>
            <w:r>
              <w:rPr>
                <w:rFonts w:hint="eastAsia" w:ascii="宋体" w:hAnsi="宋体" w:eastAsia="宋体" w:cs="宋体"/>
                <w:color w:val="000000"/>
                <w:kern w:val="0"/>
                <w:szCs w:val="21"/>
                <w:highlight w:val="none"/>
                <w14:ligatures w14:val="standardContextual"/>
              </w:rPr>
              <w:t>DCP</w:t>
            </w:r>
            <w:r>
              <w:rPr>
                <w:rFonts w:hint="eastAsia" w:ascii="宋体" w:hAnsi="宋体" w:eastAsia="宋体" w:cs="宋体"/>
                <w:color w:val="000000"/>
                <w:kern w:val="0"/>
                <w:szCs w:val="21"/>
                <w:highlight w:val="none"/>
                <w:lang w:val="zh-CN"/>
                <w14:ligatures w14:val="standardContextual"/>
              </w:rPr>
              <w:t>、</w:t>
            </w:r>
            <w:r>
              <w:rPr>
                <w:rFonts w:hint="eastAsia" w:ascii="宋体" w:hAnsi="宋体" w:eastAsia="宋体" w:cs="宋体"/>
                <w:color w:val="000000"/>
                <w:kern w:val="0"/>
                <w:szCs w:val="21"/>
                <w:highlight w:val="none"/>
                <w14:ligatures w14:val="standardContextual"/>
              </w:rPr>
              <w:t>LLDP、ISO-on-TCP、UDP、MODBUS、S7等通信协议，PROFIBUS</w:t>
            </w:r>
            <w:r>
              <w:rPr>
                <w:rFonts w:hint="eastAsia" w:ascii="宋体" w:hAnsi="宋体" w:eastAsia="宋体" w:cs="宋体"/>
                <w:color w:val="000000"/>
                <w:kern w:val="0"/>
                <w:szCs w:val="21"/>
                <w:highlight w:val="none"/>
                <w:lang w:val="zh-CN"/>
                <w14:ligatures w14:val="standardContextual"/>
              </w:rPr>
              <w:t>、</w:t>
            </w:r>
            <w:r>
              <w:rPr>
                <w:rFonts w:hint="eastAsia" w:ascii="宋体" w:hAnsi="宋体" w:eastAsia="宋体" w:cs="宋体"/>
                <w:color w:val="000000"/>
                <w:kern w:val="0"/>
                <w:szCs w:val="21"/>
                <w:highlight w:val="none"/>
                <w14:ligatures w14:val="standardContextual"/>
              </w:rPr>
              <w:t>AS接口通信扩展可支持；</w:t>
            </w:r>
            <w:r>
              <w:rPr>
                <w:rFonts w:hint="eastAsia" w:ascii="宋体" w:hAnsi="宋体" w:eastAsia="宋体" w:cs="宋体"/>
                <w:kern w:val="0"/>
                <w:szCs w:val="21"/>
                <w:highlight w:val="none"/>
                <w:lang w:val="zh-CN"/>
                <w14:ligatures w14:val="standardContextual"/>
              </w:rPr>
              <w:t>布尔运算执行速度：</w:t>
            </w:r>
            <w:r>
              <w:rPr>
                <w:rFonts w:hint="eastAsia" w:ascii="宋体" w:hAnsi="宋体" w:eastAsia="宋体" w:cs="宋体"/>
                <w:color w:val="000000"/>
                <w:kern w:val="0"/>
                <w:szCs w:val="21"/>
                <w:highlight w:val="none"/>
                <w:lang w:val="zh-CN"/>
                <w14:ligatures w14:val="standardContextual"/>
              </w:rPr>
              <w:t>0.08μs/指令；</w:t>
            </w:r>
            <w:r>
              <w:rPr>
                <w:rFonts w:hint="eastAsia" w:ascii="宋体" w:hAnsi="宋体" w:eastAsia="宋体" w:cs="宋体"/>
                <w:kern w:val="0"/>
                <w:szCs w:val="21"/>
                <w:highlight w:val="none"/>
                <w:lang w:val="zh-CN"/>
                <w14:ligatures w14:val="standardContextual"/>
              </w:rPr>
              <w:t>移动字执行速度：</w:t>
            </w:r>
            <w:r>
              <w:rPr>
                <w:rFonts w:hint="eastAsia" w:ascii="宋体" w:hAnsi="宋体" w:eastAsia="宋体" w:cs="宋体"/>
                <w:color w:val="000000"/>
                <w:kern w:val="0"/>
                <w:szCs w:val="21"/>
                <w:highlight w:val="none"/>
                <w:lang w:val="zh-CN"/>
                <w14:ligatures w14:val="standardContextual"/>
              </w:rPr>
              <w:t>1.7μs/指令；</w:t>
            </w:r>
            <w:r>
              <w:rPr>
                <w:rFonts w:hint="eastAsia" w:ascii="宋体" w:hAnsi="宋体" w:eastAsia="宋体" w:cs="宋体"/>
                <w:kern w:val="0"/>
                <w:szCs w:val="21"/>
                <w:highlight w:val="none"/>
                <w:lang w:val="zh-CN"/>
                <w14:ligatures w14:val="standardContextual"/>
              </w:rPr>
              <w:t>实数数学运算执行速度：</w:t>
            </w:r>
            <w:r>
              <w:rPr>
                <w:rFonts w:hint="eastAsia" w:ascii="宋体" w:hAnsi="宋体" w:eastAsia="宋体" w:cs="宋体"/>
                <w:color w:val="000000"/>
                <w:kern w:val="0"/>
                <w:szCs w:val="21"/>
                <w:highlight w:val="none"/>
                <w:lang w:val="zh-CN"/>
                <w14:ligatures w14:val="standardContextual"/>
              </w:rPr>
              <w:t>2.3μs 指令。</w:t>
            </w:r>
          </w:p>
          <w:p w14:paraId="08DDA551">
            <w:pPr>
              <w:widowControl/>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宋体" w:cs="宋体"/>
                <w:szCs w:val="21"/>
                <w:highlight w:val="none"/>
                <w14:ligatures w14:val="standardContextual"/>
              </w:rPr>
              <w:t>1.11 人机界面与支架：1套；工作站采用企业通用人机界面操作控制，安装于工作站电气控制柜上。企业通用人机界面友好，明亮的显示屏和无差错人机工程学操作，可以为每个应用提供合适的解决方案。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highlight w:val="none"/>
                <w14:ligatures w14:val="standardContextual"/>
              </w:rPr>
              <w:t>显示：9英寸的TFT真彩显示屏，65536色；分辨率：800×480像素；操作方式：触摸屏和覆膜按键；背光无故障时间：20000H；存储器：10MB；电压额定值：DC24V；接口：以太网接口×1，USB接口×1；防护等级：正面IP65，背面IP20；</w:t>
            </w:r>
          </w:p>
          <w:p w14:paraId="23E0CF5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1.12 机器人数据采集软件</w:t>
            </w:r>
          </w:p>
          <w:p w14:paraId="2586F3F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机器人数据采集软件采用C# 语言进行开发设计，支持各种不同品牌的机器人数据采集，并将这些数据统一转换为OPC UA 通用协议，可保证数据传输的安全性。软件可实时采集机器人IO 信号、关节坐标等数据。为MES 系统、数字孪生软件、数据可视化看板等第三方软件或系统提供机器人实时运行数据。软件界面简洁美观、易学易用，运行稳定，已广泛应用于多个项目中。可为数据可视化看板、MES 数据提供准确可靠的实时数据，亦可为预测性维护系统提供实时可靠的设备状态数据。软件具备高可扩展性，可根据其他机器人厂商提供的接口实现快速集成。</w:t>
            </w:r>
          </w:p>
          <w:p w14:paraId="515AF93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软件功能：</w:t>
            </w:r>
          </w:p>
          <w:p w14:paraId="22AD94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color w:val="FF0000"/>
                <w:szCs w:val="21"/>
                <w:highlight w:val="none"/>
                <w14:ligatures w14:val="standardContextual"/>
              </w:rPr>
              <w:t>★1）支持多个不同版本不同品牌机器人的数据采集</w:t>
            </w:r>
            <w:r>
              <w:rPr>
                <w:rFonts w:hint="eastAsia" w:ascii="宋体" w:hAnsi="宋体" w:eastAsia="宋体" w:cs="宋体"/>
                <w:szCs w:val="21"/>
                <w:highlight w:val="none"/>
                <w14:ligatures w14:val="standardContextual"/>
              </w:rPr>
              <w:t xml:space="preserve">； </w:t>
            </w:r>
          </w:p>
          <w:p w14:paraId="594E790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2）软件支持开机启动，可支持后台自动运行，可快速在界面切换不同品牌不同型号的机器人设备；</w:t>
            </w:r>
          </w:p>
          <w:p w14:paraId="1B4C00A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3）机器人数据采集周期在10~100ms以内，可为三方软件提供可靠的机器人实时数据。软件运行时，可实时显示当前数据采集周期，可分析出最长和最短采集时间；</w:t>
            </w:r>
          </w:p>
          <w:p w14:paraId="67614E9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4）软件可设置将数据发送至同一台计算机的单个网卡和多个网卡，可显示当前绑定网卡的IP地址和当前使用的端口号，利用OPC UA协议实现机器人数据分发和共享；</w:t>
            </w:r>
          </w:p>
          <w:p w14:paraId="30C76CB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5）软件界面可实时显示当前连接机器人的IO列表和当前信号状态，当前OPC UA服务打开状态，以及机器人的当前连接状态和实时关节坐标；</w:t>
            </w:r>
          </w:p>
          <w:p w14:paraId="5637C36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6）软件可设置参数，自动对</w:t>
            </w:r>
            <w:r>
              <w:rPr>
                <w:rFonts w:hint="eastAsia" w:ascii="宋体" w:hAnsi="宋体" w:eastAsia="宋体" w:cs="宋体"/>
                <w:color w:val="FF0000"/>
                <w:szCs w:val="21"/>
                <w:highlight w:val="none"/>
                <w14:ligatures w14:val="standardContextual"/>
              </w:rPr>
              <w:t>机器人</w:t>
            </w:r>
            <w:r>
              <w:rPr>
                <w:rFonts w:hint="eastAsia" w:ascii="宋体" w:hAnsi="宋体" w:eastAsia="宋体" w:cs="宋体"/>
                <w:szCs w:val="21"/>
                <w:highlight w:val="none"/>
                <w14:ligatures w14:val="standardContextual"/>
              </w:rPr>
              <w:t>进行3轴坐标的转换，保持与实际位置情况一致；</w:t>
            </w:r>
          </w:p>
          <w:p w14:paraId="5FF4E80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7）软件可将用户设计的采集对象、软件使用端口、监控IP、连接的机器人型号等参数进行保存，下次打开可自动进行还原用户配置信息进行工作。</w:t>
            </w:r>
          </w:p>
          <w:p w14:paraId="06B1860A">
            <w:pPr>
              <w:widowControl w:val="0"/>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8）软件采用序列号或加密狗授权，支持对每台电脑进行单独授权。</w:t>
            </w:r>
          </w:p>
          <w:p w14:paraId="7483084D">
            <w:pPr>
              <w:widowControl w:val="0"/>
              <w:textAlignment w:val="auto"/>
              <w:rPr>
                <w:rFonts w:ascii="宋体" w:hAnsi="宋体" w:eastAsia="宋体" w:cs="宋体"/>
                <w:color w:val="000000"/>
                <w:szCs w:val="21"/>
                <w:highlight w:val="none"/>
                <w14:ligatures w14:val="standardContextual"/>
              </w:rPr>
            </w:pPr>
            <w:r>
              <w:rPr>
                <w:rFonts w:hint="eastAsia" w:ascii="宋体" w:hAnsi="宋体" w:eastAsia="宋体" w:cs="宋体"/>
                <w:szCs w:val="21"/>
                <w:highlight w:val="none"/>
                <w14:ligatures w14:val="standardContextual"/>
              </w:rPr>
              <w:t>9）需具备专业测试机构（测试机构需取得“中国合格评定国家认可委员会（CNAS）” 实验室认可证书资质）出具的带有“CNAS”标志的本软件测试报告（复印件）。</w:t>
            </w:r>
          </w:p>
        </w:tc>
        <w:tc>
          <w:tcPr>
            <w:tcW w:w="858" w:type="dxa"/>
            <w:vAlign w:val="center"/>
          </w:tcPr>
          <w:p w14:paraId="4234B214">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46077987">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3FF0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7C25CA0C">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w:t>
            </w:r>
          </w:p>
        </w:tc>
        <w:tc>
          <w:tcPr>
            <w:tcW w:w="1033" w:type="dxa"/>
            <w:vAlign w:val="center"/>
          </w:tcPr>
          <w:p w14:paraId="0D24A6A6">
            <w:pPr>
              <w:widowControl w:val="0"/>
              <w:wordWrap w:val="0"/>
              <w:spacing w:line="273" w:lineRule="exact"/>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高速型立式加工中心</w:t>
            </w:r>
          </w:p>
        </w:tc>
        <w:tc>
          <w:tcPr>
            <w:tcW w:w="6282" w:type="dxa"/>
            <w:vAlign w:val="center"/>
          </w:tcPr>
          <w:p w14:paraId="336DC83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1、高速型立式加工中心技术参数（与整体生产线集成）： </w:t>
            </w:r>
          </w:p>
          <w:p w14:paraId="4897BDC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r>
              <w:rPr>
                <w:rFonts w:hint="eastAsia" w:ascii="宋体" w:hAnsi="宋体" w:eastAsia="等线" w:cs="宋体"/>
                <w:szCs w:val="21"/>
                <w:highlight w:val="none"/>
                <w14:ligatures w14:val="standardContextual"/>
              </w:rPr>
              <w:t xml:space="preserve"> </w:t>
            </w:r>
            <w:r>
              <w:rPr>
                <w:rFonts w:hint="eastAsia" w:ascii="宋体" w:hAnsi="宋体" w:eastAsia="宋体" w:cs="宋体"/>
                <w:szCs w:val="21"/>
                <w:highlight w:val="none"/>
                <w14:ligatures w14:val="standardContextual"/>
              </w:rPr>
              <w:t>重量：≤4200Kg</w:t>
            </w:r>
          </w:p>
          <w:p w14:paraId="4B54C60E">
            <w:pPr>
              <w:widowControl w:val="0"/>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2) 加工范围：三轴行程（X/Y/Z）：650mm/420mm/500mm，扩展第四轴。</w:t>
            </w:r>
          </w:p>
          <w:p w14:paraId="7A29D53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 主轴中心线至立柱导轨面距离：485mm</w:t>
            </w:r>
          </w:p>
          <w:p w14:paraId="37D6CFD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 主轴鼻端至工作台面距离：120-620mm</w:t>
            </w:r>
          </w:p>
          <w:p w14:paraId="14D7A8F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 主轴转速：10000rpm</w:t>
            </w:r>
          </w:p>
          <w:p w14:paraId="042C91D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 主轴锥孔：BT40</w:t>
            </w:r>
          </w:p>
          <w:p w14:paraId="335E51F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 主轴电机功率：5.5/7.5kW</w:t>
            </w:r>
          </w:p>
          <w:p w14:paraId="406082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 工作台尺寸：750×420mm</w:t>
            </w:r>
          </w:p>
          <w:p w14:paraId="3A9CDC8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 工作台最大负荷：350kg</w:t>
            </w:r>
          </w:p>
          <w:p w14:paraId="383889A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 工作台T型槽槽数×槽宽×间距：3×1</w:t>
            </w:r>
            <w:bookmarkStart w:id="2" w:name="_GoBack"/>
            <w:bookmarkEnd w:id="2"/>
            <w:r>
              <w:rPr>
                <w:rFonts w:hint="eastAsia" w:ascii="宋体" w:hAnsi="宋体" w:eastAsia="宋体" w:cs="宋体"/>
                <w:szCs w:val="21"/>
                <w:highlight w:val="none"/>
                <w14:ligatures w14:val="standardContextual"/>
              </w:rPr>
              <w:t>4mm×125mm</w:t>
            </w:r>
          </w:p>
          <w:p w14:paraId="2C67B74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 X/Y/Z轴快速移动速度：40/40/30m/min</w:t>
            </w:r>
          </w:p>
          <w:p w14:paraId="01AEC3E0">
            <w:pPr>
              <w:widowControl w:val="0"/>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12) 切削进给率：1—10000 mm/min</w:t>
            </w:r>
          </w:p>
          <w:p w14:paraId="13EF8B9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 定位精度：0.008mm</w:t>
            </w:r>
          </w:p>
          <w:p w14:paraId="2E08F39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 重复定位精度：0.005mm</w:t>
            </w:r>
          </w:p>
          <w:p w14:paraId="3AC4C65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 刀库系统数量：20把</w:t>
            </w:r>
          </w:p>
          <w:p w14:paraId="54C5B74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 最大刀具直径/长度/重量：Φ80mm/300mm/8kg</w:t>
            </w:r>
          </w:p>
          <w:p w14:paraId="5FBC2A7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 冷却箱容积：200L</w:t>
            </w:r>
          </w:p>
          <w:p w14:paraId="0DD6182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w:t>
            </w:r>
            <w:r>
              <w:rPr>
                <w:rFonts w:hint="eastAsia" w:ascii="宋体" w:hAnsi="宋体" w:eastAsia="宋体" w:cs="宋体"/>
                <w:color w:val="FF0000"/>
                <w:szCs w:val="21"/>
                <w:highlight w:val="none"/>
                <w14:ligatures w14:val="standardContextual"/>
              </w:rPr>
              <w:t>数控系统：数控行业常用知名数控系统</w:t>
            </w:r>
            <w:r>
              <w:rPr>
                <w:rFonts w:hint="eastAsia" w:ascii="宋体" w:hAnsi="宋体" w:eastAsia="等线" w:cs="宋体"/>
                <w:szCs w:val="21"/>
                <w:highlight w:val="none"/>
                <w14:ligatures w14:val="standardContextual"/>
              </w:rPr>
              <w:t>。</w:t>
            </w:r>
          </w:p>
          <w:p w14:paraId="6352602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3、其他要求</w:t>
            </w:r>
          </w:p>
          <w:p w14:paraId="40364F8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1）加工中心夹盘或夹具自动化改造：加工中心增加气动夹具、零点定位夹具等；</w:t>
            </w:r>
          </w:p>
          <w:p w14:paraId="4AF9959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2）在线测量改造：加工中心需完成在线测量装置的安装应用，使加工中心能够实现工件加工完成后的在机检测功能，可以辅助工件位置矫正和进行自动刀补补偿。</w:t>
            </w:r>
          </w:p>
          <w:p w14:paraId="4C16154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可在加工中心实现自动对刀、工件找正、序中测量及工件测量。</w:t>
            </w:r>
          </w:p>
          <w:p w14:paraId="0CAB186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主要技术参数：测针触发方向：±X，±Y，+Z；测针各向触发保护行程：XY±15°，Z+5 mm；测针各向触发力（出厂设置）：XY=1.0 N，Z=8.0 N；测针任意单向触发重复（2σ）精度：≤1 μm；无线电信号传输范围：≤10m；新电池(单班5%使用率)的工作天数：150天；防护等级：IP67。</w:t>
            </w:r>
          </w:p>
          <w:p w14:paraId="4310AD5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3）加工中心挡门自动化改造：加工中心本体需进行挡门自动化改造，以便上料自动开和加工自动关； </w:t>
            </w:r>
          </w:p>
          <w:p w14:paraId="55A560B7">
            <w:pPr>
              <w:widowControl w:val="0"/>
              <w:textAlignment w:val="auto"/>
              <w:rPr>
                <w:rFonts w:ascii="宋体" w:hAnsi="宋体" w:eastAsia="宋体" w:cs="宋体"/>
                <w:color w:val="000000"/>
                <w:szCs w:val="21"/>
                <w:highlight w:val="none"/>
                <w14:ligatures w14:val="standardContextual"/>
              </w:rPr>
            </w:pPr>
            <w:r>
              <w:rPr>
                <w:rFonts w:hint="eastAsia" w:ascii="宋体" w:hAnsi="宋体" w:eastAsia="宋体" w:cs="宋体"/>
                <w:szCs w:val="21"/>
                <w:highlight w:val="none"/>
                <w14:ligatures w14:val="standardContextual"/>
              </w:rPr>
              <w:t>4）加工中心电气部分联网改造：上述部分改造需要与加工中心控制系统联接，进行自动化改造。保证在机器人上下料工件前后与装夹前后均需与系统进行通讯，以便控制机床动作。</w:t>
            </w:r>
          </w:p>
        </w:tc>
        <w:tc>
          <w:tcPr>
            <w:tcW w:w="858" w:type="dxa"/>
            <w:vAlign w:val="center"/>
          </w:tcPr>
          <w:p w14:paraId="2262548D">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60EE0B66">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2EAA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32532CA7">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w:t>
            </w:r>
          </w:p>
        </w:tc>
        <w:tc>
          <w:tcPr>
            <w:tcW w:w="1033" w:type="dxa"/>
            <w:vAlign w:val="center"/>
          </w:tcPr>
          <w:p w14:paraId="29E5D046">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DELTA并联机器人分拣工作站</w:t>
            </w:r>
          </w:p>
        </w:tc>
        <w:tc>
          <w:tcPr>
            <w:tcW w:w="6282" w:type="dxa"/>
            <w:vAlign w:val="center"/>
          </w:tcPr>
          <w:p w14:paraId="063819C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功能：加工完成的工件与托盘经工业视觉系统进行加工信息等状况检测，并与DELTA并联机器人总控通讯，不良品沿分拣输送机流入废品槽内，合格品随托盘继续向下输送。并联分拣视觉检测工件信息是否准确并与总控通讯，为后续装配作业做准备。</w:t>
            </w:r>
          </w:p>
          <w:p w14:paraId="3DAE01D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工作站组成：DELTA并联机器人分拣工作站由DELTA并联机器人、皮带输送机、分拣输送机、工业视觉检测系统、机器人末端工具、机器人型钢框架、控制平台、废品槽等设备组成。</w:t>
            </w:r>
          </w:p>
          <w:p w14:paraId="5167E66A">
            <w:pPr>
              <w:widowControl/>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 xml:space="preserve">3.1 </w:t>
            </w:r>
            <w:r>
              <w:rPr>
                <w:rFonts w:hint="eastAsia" w:ascii="宋体" w:hAnsi="宋体" w:eastAsia="宋体" w:cs="宋体"/>
                <w:color w:val="000000"/>
                <w:szCs w:val="21"/>
                <w:highlight w:val="none"/>
                <w14:ligatures w14:val="standardContextual"/>
              </w:rPr>
              <w:t>DELTA并联机器人：1套；</w:t>
            </w:r>
            <w:r>
              <w:rPr>
                <w:rFonts w:hint="eastAsia" w:ascii="宋体" w:hAnsi="宋体" w:eastAsia="宋体" w:cs="宋体"/>
                <w:szCs w:val="21"/>
                <w:highlight w:val="none"/>
                <w14:ligatures w14:val="standardContextual"/>
              </w:rPr>
              <w:t xml:space="preserve">并联分拣机器人系统由型钢框体、机器人本体、末端工具、机器人控制柜等组成。机构形态：Delta并联机构；自由度数：3自由度；驱动方式：全伺服电机；负载能力：≥3kg；重复定位精度：≤0.2mm；臂展：≥0.8m；每轴最大运动速度：≥2次/s；本体重量：140kg≤本体重量 ≤150kg；操作方式：示教再现/编程；供电电源：220V  50Hz。 </w:t>
            </w:r>
          </w:p>
          <w:p w14:paraId="29CBBDFF">
            <w:pPr>
              <w:widowControl/>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宋体" w:cs="宋体"/>
                <w:color w:val="000000"/>
                <w:szCs w:val="21"/>
                <w:highlight w:val="none"/>
                <w14:ligatures w14:val="standardContextual"/>
              </w:rPr>
              <w:t>3.2 皮带输送机：1套；与</w:t>
            </w:r>
            <w:r>
              <w:rPr>
                <w:rFonts w:hint="eastAsia" w:ascii="宋体" w:hAnsi="宋体" w:eastAsia="宋体" w:cs="宋体"/>
                <w:szCs w:val="21"/>
                <w:highlight w:val="none"/>
                <w14:ligatures w14:val="standardContextual"/>
              </w:rPr>
              <w:t>DELTA并联机器人分拣单元配套，满足高速并联分拣。</w:t>
            </w:r>
          </w:p>
          <w:p w14:paraId="43486585">
            <w:pPr>
              <w:widowControl/>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宋体" w:cs="宋体"/>
                <w:color w:val="000000"/>
                <w:szCs w:val="21"/>
                <w:highlight w:val="none"/>
                <w14:ligatures w14:val="standardContextual"/>
              </w:rPr>
              <w:t>3.3 分拣输送机：1套；与</w:t>
            </w:r>
            <w:r>
              <w:rPr>
                <w:rFonts w:hint="eastAsia" w:ascii="宋体" w:hAnsi="宋体" w:eastAsia="宋体" w:cs="宋体"/>
                <w:szCs w:val="21"/>
                <w:highlight w:val="none"/>
                <w14:ligatures w14:val="standardContextual"/>
              </w:rPr>
              <w:t>DELTA并联机器人分拣单元配套，满足高速并联分拣。</w:t>
            </w:r>
          </w:p>
          <w:p w14:paraId="5640CE57">
            <w:pPr>
              <w:widowControl/>
              <w:numPr>
                <w:ilvl w:val="1"/>
                <w:numId w:val="0"/>
              </w:numPr>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color w:val="000000"/>
                <w:szCs w:val="21"/>
                <w:highlight w:val="none"/>
                <w14:ligatures w14:val="standardContextual"/>
              </w:rPr>
              <w:t xml:space="preserve">3.4 </w:t>
            </w:r>
            <w:r>
              <w:rPr>
                <w:rFonts w:hint="eastAsia" w:ascii="宋体" w:hAnsi="宋体" w:eastAsia="宋体" w:cs="宋体"/>
                <w:color w:val="000000"/>
                <w:szCs w:val="21"/>
                <w:highlight w:val="none"/>
                <w:lang w:val="en-AU"/>
                <w14:ligatures w14:val="standardContextual"/>
              </w:rPr>
              <w:t>工业视觉检测系统：</w:t>
            </w:r>
            <w:r>
              <w:rPr>
                <w:rFonts w:hint="eastAsia" w:ascii="宋体" w:hAnsi="宋体" w:eastAsia="宋体" w:cs="宋体"/>
                <w:color w:val="000000"/>
                <w:szCs w:val="21"/>
                <w:highlight w:val="none"/>
                <w14:ligatures w14:val="standardContextual"/>
              </w:rPr>
              <w:t>1套；</w:t>
            </w:r>
            <w:r>
              <w:rPr>
                <w:rFonts w:hint="eastAsia" w:ascii="宋体" w:hAnsi="宋体" w:eastAsia="宋体" w:cs="宋体"/>
                <w:szCs w:val="21"/>
                <w:highlight w:val="none"/>
                <w:lang w:val="en-AU"/>
                <w14:ligatures w14:val="standardContextual"/>
              </w:rPr>
              <w:t>包括相机、镜头、处理软件、光源等组成，主要出库工件类型及有无检测。检测结果通过总控通讯，为后续作业做好准备。</w:t>
            </w:r>
            <w:r>
              <w:rPr>
                <w:rFonts w:hint="eastAsia" w:ascii="宋体" w:hAnsi="宋体" w:eastAsia="宋体" w:cs="宋体"/>
                <w:color w:val="000000"/>
                <w:szCs w:val="21"/>
                <w:highlight w:val="none"/>
                <w:lang w:val="en-AU"/>
                <w14:ligatures w14:val="standardContextual"/>
              </w:rPr>
              <w:t>1/3"CMOS成像仪：彩色；S接口/M12镜头：8mm；成像模式：640×480；光源：白色漫射LED环形灯；通信和I/O：Profinet、Modbus TCP、TCP/IP；</w:t>
            </w:r>
          </w:p>
          <w:p w14:paraId="3143C968">
            <w:pPr>
              <w:widowControl/>
              <w:numPr>
                <w:ilvl w:val="1"/>
                <w:numId w:val="0"/>
              </w:numPr>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宋体" w:cs="宋体"/>
                <w:color w:val="000000"/>
                <w:szCs w:val="21"/>
                <w:highlight w:val="none"/>
                <w14:ligatures w14:val="standardContextual"/>
              </w:rPr>
              <w:t>3.5 并联</w:t>
            </w:r>
            <w:r>
              <w:rPr>
                <w:rFonts w:hint="eastAsia" w:ascii="宋体" w:hAnsi="宋体" w:eastAsia="宋体" w:cs="宋体"/>
                <w:color w:val="000000"/>
                <w:szCs w:val="21"/>
                <w:highlight w:val="none"/>
                <w:lang w:val="en-AU"/>
                <w14:ligatures w14:val="standardContextual"/>
              </w:rPr>
              <w:t>机器人末端工具：</w:t>
            </w:r>
            <w:r>
              <w:rPr>
                <w:rFonts w:hint="eastAsia" w:ascii="宋体" w:hAnsi="宋体" w:eastAsia="宋体" w:cs="宋体"/>
                <w:color w:val="000000"/>
                <w:szCs w:val="21"/>
                <w:highlight w:val="none"/>
                <w14:ligatures w14:val="standardContextual"/>
              </w:rPr>
              <w:t>1套；</w:t>
            </w:r>
            <w:r>
              <w:rPr>
                <w:rFonts w:hint="eastAsia" w:ascii="宋体" w:hAnsi="宋体" w:eastAsia="宋体" w:cs="宋体"/>
                <w:szCs w:val="21"/>
                <w:highlight w:val="none"/>
                <w:lang w:val="en-AU"/>
                <w14:ligatures w14:val="standardContextual"/>
              </w:rPr>
              <w:t>配置</w:t>
            </w:r>
            <w:r>
              <w:rPr>
                <w:rFonts w:hint="eastAsia" w:ascii="宋体" w:hAnsi="宋体" w:eastAsia="宋体" w:cs="宋体"/>
                <w:szCs w:val="21"/>
                <w:highlight w:val="none"/>
                <w14:ligatures w14:val="standardContextual"/>
              </w:rPr>
              <w:t>并联</w:t>
            </w:r>
            <w:r>
              <w:rPr>
                <w:rFonts w:hint="eastAsia" w:ascii="宋体" w:hAnsi="宋体" w:eastAsia="宋体" w:cs="宋体"/>
                <w:szCs w:val="21"/>
                <w:highlight w:val="none"/>
                <w:lang w:val="en-AU"/>
                <w14:ligatures w14:val="standardContextual"/>
              </w:rPr>
              <w:t>机器人末端工具，可实现系统工件的</w:t>
            </w:r>
            <w:r>
              <w:rPr>
                <w:rFonts w:hint="eastAsia" w:ascii="宋体" w:hAnsi="宋体" w:eastAsia="宋体" w:cs="宋体"/>
                <w:szCs w:val="21"/>
                <w:highlight w:val="none"/>
                <w14:ligatures w14:val="standardContextual"/>
              </w:rPr>
              <w:t>快速分拣。</w:t>
            </w:r>
          </w:p>
          <w:p w14:paraId="5B93FCB9">
            <w:pPr>
              <w:widowControl/>
              <w:numPr>
                <w:ilvl w:val="1"/>
                <w:numId w:val="0"/>
              </w:numPr>
              <w:adjustRightInd w:val="0"/>
              <w:snapToGrid w:val="0"/>
              <w:textAlignment w:val="auto"/>
              <w:rPr>
                <w:rFonts w:ascii="宋体" w:hAnsi="宋体" w:eastAsia="宋体" w:cs="宋体"/>
                <w:color w:val="000000"/>
                <w:szCs w:val="21"/>
                <w:highlight w:val="none"/>
                <w14:ligatures w14:val="standardContextual"/>
              </w:rPr>
            </w:pPr>
            <w:r>
              <w:rPr>
                <w:rFonts w:hint="eastAsia" w:ascii="宋体" w:hAnsi="宋体" w:eastAsia="宋体" w:cs="宋体"/>
                <w:color w:val="000000"/>
                <w:szCs w:val="21"/>
                <w:highlight w:val="none"/>
                <w14:ligatures w14:val="standardContextual"/>
              </w:rPr>
              <w:t>3.7 控制平台</w:t>
            </w:r>
            <w:r>
              <w:rPr>
                <w:rFonts w:hint="eastAsia" w:ascii="宋体" w:hAnsi="宋体" w:eastAsia="宋体" w:cs="宋体"/>
                <w:color w:val="000000"/>
                <w:szCs w:val="21"/>
                <w:highlight w:val="none"/>
                <w:lang w:val="en-AU"/>
                <w14:ligatures w14:val="standardContextual"/>
              </w:rPr>
              <w:t>：</w:t>
            </w:r>
            <w:r>
              <w:rPr>
                <w:rFonts w:hint="eastAsia" w:ascii="宋体" w:hAnsi="宋体" w:eastAsia="宋体" w:cs="宋体"/>
                <w:color w:val="000000"/>
                <w:szCs w:val="21"/>
                <w:highlight w:val="none"/>
                <w14:ligatures w14:val="standardContextual"/>
              </w:rPr>
              <w:t>1套；</w:t>
            </w:r>
            <w:r>
              <w:rPr>
                <w:rFonts w:hint="eastAsia" w:ascii="宋体" w:hAnsi="宋体" w:eastAsia="宋体" w:cs="宋体"/>
                <w:szCs w:val="21"/>
                <w:highlight w:val="none"/>
                <w:lang w:val="en-AU"/>
                <w14:ligatures w14:val="standardContextual"/>
              </w:rPr>
              <w:t>计算机及桌椅与</w:t>
            </w:r>
            <w:r>
              <w:rPr>
                <w:rFonts w:hint="eastAsia" w:ascii="宋体" w:hAnsi="宋体" w:eastAsia="宋体" w:cs="宋体"/>
                <w:szCs w:val="21"/>
                <w:highlight w:val="none"/>
                <w14:ligatures w14:val="standardContextual"/>
              </w:rPr>
              <w:t>工作站</w:t>
            </w:r>
            <w:r>
              <w:rPr>
                <w:rFonts w:hint="eastAsia" w:ascii="宋体" w:hAnsi="宋体" w:eastAsia="宋体" w:cs="宋体"/>
                <w:szCs w:val="21"/>
                <w:highlight w:val="none"/>
                <w:lang w:val="en-AU"/>
                <w14:ligatures w14:val="standardContextual"/>
              </w:rPr>
              <w:t>设备配套，</w:t>
            </w:r>
            <w:r>
              <w:rPr>
                <w:rFonts w:hint="eastAsia" w:ascii="宋体" w:hAnsi="宋体" w:eastAsia="宋体" w:cs="宋体"/>
                <w:color w:val="000000"/>
                <w:kern w:val="0"/>
                <w:szCs w:val="21"/>
                <w:highlight w:val="none"/>
                <w:lang w:val="en-AU"/>
                <w14:ligatures w14:val="standardContextual"/>
              </w:rPr>
              <w:t>桌椅使用材料环保，结构设计合理，简单大方</w:t>
            </w:r>
            <w:r>
              <w:rPr>
                <w:rFonts w:hint="eastAsia" w:ascii="宋体" w:hAnsi="宋体" w:eastAsia="宋体" w:cs="宋体"/>
                <w:szCs w:val="21"/>
                <w:highlight w:val="none"/>
                <w:lang w:val="en-AU"/>
                <w14:ligatures w14:val="standardContextual"/>
              </w:rPr>
              <w:t>。</w:t>
            </w:r>
            <w:r>
              <w:rPr>
                <w:rFonts w:hint="eastAsia" w:ascii="宋体" w:hAnsi="宋体" w:eastAsia="宋体" w:cs="宋体"/>
                <w:color w:val="000000"/>
                <w:kern w:val="0"/>
                <w:szCs w:val="21"/>
                <w:highlight w:val="none"/>
                <w:lang w:val="en-AU"/>
                <w14:ligatures w14:val="standardContextual"/>
              </w:rPr>
              <w:t>电脑桌和主机托板配有滚轮，便于移动。</w:t>
            </w:r>
            <w:r>
              <w:rPr>
                <w:rFonts w:hint="eastAsia" w:ascii="宋体" w:hAnsi="宋体" w:eastAsia="宋体" w:cs="宋体"/>
                <w:color w:val="000000"/>
                <w:szCs w:val="21"/>
                <w:highlight w:val="none"/>
                <w:lang w:val="en-AU"/>
                <w14:ligatures w14:val="standardContextual"/>
              </w:rPr>
              <w:t>CPU：</w:t>
            </w:r>
            <w:r>
              <w:rPr>
                <w:rFonts w:hint="eastAsia" w:ascii="宋体" w:hAnsi="宋体" w:eastAsia="宋体" w:cs="宋体"/>
                <w:color w:val="000000"/>
                <w:szCs w:val="21"/>
                <w:highlight w:val="none"/>
                <w14:ligatures w14:val="standardContextual"/>
              </w:rPr>
              <w:t>I7，</w:t>
            </w:r>
            <w:r>
              <w:rPr>
                <w:rFonts w:hint="eastAsia" w:ascii="宋体" w:hAnsi="宋体" w:eastAsia="宋体" w:cs="宋体"/>
                <w:color w:val="000000"/>
                <w:szCs w:val="21"/>
                <w:highlight w:val="none"/>
                <w:lang w:val="en-AU"/>
                <w14:ligatures w14:val="standardContextual"/>
              </w:rPr>
              <w:t>显示器尺寸：</w:t>
            </w:r>
            <w:r>
              <w:rPr>
                <w:rFonts w:hint="eastAsia" w:ascii="宋体" w:hAnsi="宋体" w:eastAsia="宋体" w:cs="宋体"/>
                <w:color w:val="000000"/>
                <w:szCs w:val="21"/>
                <w:highlight w:val="none"/>
                <w14:ligatures w14:val="standardContextual"/>
              </w:rPr>
              <w:t>27英寸，</w:t>
            </w:r>
            <w:r>
              <w:rPr>
                <w:rFonts w:hint="eastAsia" w:ascii="宋体" w:hAnsi="宋体" w:eastAsia="宋体" w:cs="宋体"/>
                <w:color w:val="000000"/>
                <w:szCs w:val="21"/>
                <w:highlight w:val="none"/>
                <w:lang w:val="en-AU"/>
                <w14:ligatures w14:val="standardContextual"/>
              </w:rPr>
              <w:t>内存：8GB，显卡：独显4G，</w:t>
            </w:r>
            <w:r>
              <w:rPr>
                <w:rFonts w:hint="eastAsia" w:ascii="宋体" w:hAnsi="宋体" w:eastAsia="宋体" w:cs="宋体"/>
                <w:color w:val="000000"/>
                <w:szCs w:val="21"/>
                <w:highlight w:val="none"/>
                <w14:ligatures w14:val="standardContextual"/>
              </w:rPr>
              <w:t>固态</w:t>
            </w:r>
            <w:r>
              <w:rPr>
                <w:rFonts w:hint="eastAsia" w:ascii="宋体" w:hAnsi="宋体" w:eastAsia="宋体" w:cs="宋体"/>
                <w:color w:val="000000"/>
                <w:szCs w:val="21"/>
                <w:highlight w:val="none"/>
                <w:lang w:val="en-AU"/>
                <w14:ligatures w14:val="standardContextual"/>
              </w:rPr>
              <w:t>硬盘：1TB。</w:t>
            </w:r>
          </w:p>
          <w:p w14:paraId="4B3B2FB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color w:val="000000"/>
                <w:szCs w:val="21"/>
                <w:highlight w:val="none"/>
                <w14:ligatures w14:val="standardContextual"/>
              </w:rPr>
              <w:t>3.8 废品槽：1套；</w:t>
            </w:r>
            <w:r>
              <w:rPr>
                <w:rFonts w:hint="eastAsia" w:ascii="宋体" w:hAnsi="宋体" w:eastAsia="宋体" w:cs="宋体"/>
                <w:szCs w:val="21"/>
                <w:highlight w:val="none"/>
                <w14:ligatures w14:val="standardContextual"/>
              </w:rPr>
              <w:t>经工业视觉装置进行加工信息等状况检测，不良品流入废品槽，合格品转运至倍速链输送机继续向下输送。</w:t>
            </w:r>
          </w:p>
        </w:tc>
        <w:tc>
          <w:tcPr>
            <w:tcW w:w="858" w:type="dxa"/>
            <w:vAlign w:val="center"/>
          </w:tcPr>
          <w:p w14:paraId="663AA2E1">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75BF7404">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081D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317B1EA0">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w:t>
            </w:r>
          </w:p>
        </w:tc>
        <w:tc>
          <w:tcPr>
            <w:tcW w:w="1033" w:type="dxa"/>
            <w:vAlign w:val="center"/>
          </w:tcPr>
          <w:p w14:paraId="438FAE19">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工业机器人激光打标与检测工作站</w:t>
            </w:r>
          </w:p>
        </w:tc>
        <w:tc>
          <w:tcPr>
            <w:tcW w:w="6282" w:type="dxa"/>
            <w:vAlign w:val="center"/>
          </w:tcPr>
          <w:p w14:paraId="5B8AC87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工作站功能：工业机器人激光打标与检测工作站由工业机器人及配套设备完成关键零部件或工艺品的打标、检测作业。单元独立电气控制，既可联机运行，亦可脱离系统通过人机界面进行操作和实验。</w:t>
            </w:r>
          </w:p>
          <w:p w14:paraId="06D9F5F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组成：工业机器人激光打标与检测工作站由上下料机器人、机器人底板、机器人末端工具、激光打标机及集成、定位装置、智能2D视觉检测系统、废品库、倍速链输送机、顶升换向装置、定位阻挡装置、单元可编程控制器电气控制系统、人机界面与支架等组成。</w:t>
            </w:r>
          </w:p>
          <w:p w14:paraId="1DA471C3">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4.1 上下料机器人：1套；功率强劲，具备后翻转功能，适用于弧焊、压铸、机械管理、物料搬运、注塑、装配、包装等应用领域。适合恶劣生产环境，IP67防护等级，可蒸汽清洗。工作循环时间短,同类机器人中操作速度最快。配备运动控制功能，操作速度快、加速性能好，显著缩短了工作循环时间。精度高——零件生产质量稳定,具有极高的重复定位精度（±0.05mm）和轨迹精度。</w:t>
            </w:r>
          </w:p>
          <w:p w14:paraId="7331A083">
            <w:pPr>
              <w:widowControl/>
              <w:adjustRightInd w:val="0"/>
              <w:snapToGrid w:val="0"/>
              <w:textAlignment w:val="auto"/>
              <w:rPr>
                <w:rFonts w:ascii="宋体" w:hAnsi="宋体" w:eastAsia="宋体" w:cs="宋体"/>
                <w:b/>
                <w:bCs/>
                <w:szCs w:val="21"/>
                <w:highlight w:val="none"/>
                <w14:ligatures w14:val="standardContextual"/>
              </w:rPr>
            </w:pPr>
            <w:r>
              <w:rPr>
                <w:rFonts w:hint="eastAsia" w:ascii="宋体" w:hAnsi="宋体" w:eastAsia="宋体" w:cs="宋体"/>
                <w:kern w:val="0"/>
                <w:szCs w:val="21"/>
                <w:highlight w:val="none"/>
                <w14:ligatures w14:val="standardContextual"/>
              </w:rPr>
              <w:t>（1）具有6个自由度，串联关节型工业机器人</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（2）安装方式为地面安装</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（3）工作范围：≥1450mm</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（4）手腕荷重能力：10kg</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（5）重复定位精度：±0.05mm</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（6）机器人单元防护等级IP67</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（7）可工作环境相对湿度最高95%</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（8）工作环境温度范围5℃~45°℃</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（9）第1轴工作范围为+180°/-180°，最大旋转速度180°/s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（10）第2轴工作范围为+150°/-90°，最大旋转速度180°/s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（11）第3轴工作范围为+65°/-245°，最大旋转速度185°/s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（12）第4轴工作范围为+200°/-200°，最大旋转速度385°/s</w:t>
            </w:r>
          </w:p>
          <w:p w14:paraId="548351E3">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14:ligatures w14:val="standardContextual"/>
              </w:rPr>
              <w:t>（13）第5轴工作范围为+115°/-115°，最大旋转速度400°/s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（14）第6轴工作范围为+400°/-400°，最大旋转速度460°/s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（15）机器人本体重量：250Kg</w:t>
            </w:r>
          </w:p>
          <w:p w14:paraId="40576954">
            <w:pPr>
              <w:widowControl/>
              <w:adjustRightInd w:val="0"/>
              <w:snapToGrid w:val="0"/>
              <w:textAlignment w:val="auto"/>
              <w:rPr>
                <w:rFonts w:ascii="宋体" w:hAnsi="宋体" w:eastAsia="宋体" w:cs="宋体"/>
                <w:color w:val="000000"/>
                <w:szCs w:val="21"/>
                <w:highlight w:val="none"/>
                <w:shd w:val="clear" w:color="auto" w:fill="FFFFFF"/>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（16）</w:t>
            </w:r>
            <w:r>
              <w:rPr>
                <w:rFonts w:hint="eastAsia" w:ascii="宋体" w:hAnsi="宋体" w:eastAsia="宋体" w:cs="宋体"/>
                <w:szCs w:val="21"/>
                <w:highlight w:val="none"/>
                <w14:ligatures w14:val="standardContextual"/>
              </w:rPr>
              <w:t>机器人控制器：1）</w:t>
            </w:r>
            <w:r>
              <w:rPr>
                <w:rFonts w:hint="eastAsia" w:ascii="宋体" w:hAnsi="宋体" w:eastAsia="宋体" w:cs="宋体"/>
                <w:color w:val="000000"/>
                <w:szCs w:val="21"/>
                <w:highlight w:val="none"/>
                <w:shd w:val="clear" w:color="auto" w:fill="FFFFFF"/>
                <w14:ligatures w14:val="standardContextual"/>
              </w:rPr>
              <w:t>控制硬件：</w:t>
            </w:r>
            <w:r>
              <w:rPr>
                <w:rFonts w:hint="eastAsia" w:ascii="宋体" w:hAnsi="宋体" w:eastAsia="宋体" w:cs="宋体"/>
                <w:szCs w:val="21"/>
                <w:highlight w:val="none"/>
                <w14:ligatures w14:val="standardContextual"/>
              </w:rPr>
              <w:t>多处理器系统、PCI 总线、奔腾CPU、大容量闪存(1GB)、20s UPS 备份电源</w:t>
            </w:r>
            <w:r>
              <w:rPr>
                <w:rFonts w:hint="eastAsia" w:ascii="宋体" w:hAnsi="宋体" w:eastAsia="宋体" w:cs="宋体"/>
                <w:color w:val="000000"/>
                <w:szCs w:val="21"/>
                <w:highlight w:val="none"/>
                <w:shd w:val="clear" w:color="auto" w:fill="FFFFFF"/>
                <w14:ligatures w14:val="standardContextual"/>
              </w:rPr>
              <w:t>；2）控制软件：</w:t>
            </w:r>
            <w:r>
              <w:rPr>
                <w:rFonts w:hint="eastAsia" w:ascii="宋体" w:hAnsi="宋体" w:eastAsia="宋体" w:cs="宋体"/>
                <w:szCs w:val="21"/>
                <w:highlight w:val="none"/>
                <w14:ligatures w14:val="standardContextual"/>
              </w:rPr>
              <w:t>BaseWare机器人操作系统、强大的RAPID编程语言、PC-DOS文本格式、</w:t>
            </w:r>
            <w:r>
              <w:rPr>
                <w:rFonts w:hint="eastAsia" w:ascii="宋体" w:hAnsi="宋体" w:eastAsia="宋体" w:cs="宋体"/>
                <w:color w:val="000000"/>
                <w:szCs w:val="21"/>
                <w:highlight w:val="none"/>
                <w:shd w:val="clear" w:color="auto" w:fill="FFFFFF"/>
                <w14:ligatures w14:val="standardContextual"/>
              </w:rPr>
              <w:t>预装软件；3）外形尺寸：970 x 725 x 710mm；</w:t>
            </w:r>
          </w:p>
          <w:p w14:paraId="3DB064E7">
            <w:pPr>
              <w:widowControl/>
              <w:adjustRightInd w:val="0"/>
              <w:snapToGrid w:val="0"/>
              <w:textAlignment w:val="auto"/>
              <w:rPr>
                <w:rFonts w:ascii="宋体" w:hAnsi="宋体" w:eastAsia="宋体" w:cs="宋体"/>
                <w:szCs w:val="21"/>
                <w:highlight w:val="none"/>
              </w:rPr>
            </w:pPr>
            <w:r>
              <w:rPr>
                <w:rFonts w:hint="eastAsia" w:ascii="宋体" w:hAnsi="宋体" w:eastAsia="宋体" w:cs="宋体"/>
                <w:kern w:val="0"/>
                <w:szCs w:val="21"/>
                <w:highlight w:val="none"/>
                <w:lang w:bidi="ar"/>
              </w:rPr>
              <w:t>★</w:t>
            </w:r>
            <w:r>
              <w:rPr>
                <w:rFonts w:hint="eastAsia" w:ascii="宋体" w:hAnsi="宋体" w:eastAsia="宋体" w:cs="宋体"/>
                <w:kern w:val="0"/>
                <w:szCs w:val="21"/>
                <w:highlight w:val="none"/>
              </w:rPr>
              <w:t>（17）</w:t>
            </w:r>
            <w:r>
              <w:rPr>
                <w:rFonts w:hint="eastAsia" w:ascii="宋体" w:hAnsi="宋体" w:eastAsia="宋体" w:cs="宋体"/>
                <w:color w:val="000000"/>
                <w:szCs w:val="21"/>
                <w:highlight w:val="none"/>
                <w:shd w:val="clear" w:color="auto" w:fill="FFFFFF"/>
              </w:rPr>
              <w:t>机器人示教器：</w:t>
            </w:r>
            <w:r>
              <w:rPr>
                <w:rFonts w:hint="eastAsia" w:ascii="宋体" w:hAnsi="宋体" w:eastAsia="宋体" w:cs="宋体"/>
                <w:szCs w:val="21"/>
                <w:highlight w:val="none"/>
              </w:rPr>
              <w:t>便携式，具备操纵杆和键盘，</w:t>
            </w:r>
            <w:r>
              <w:rPr>
                <w:rFonts w:hint="eastAsia" w:ascii="宋体" w:hAnsi="宋体" w:eastAsia="宋体" w:cs="宋体"/>
                <w:color w:val="000000"/>
                <w:szCs w:val="21"/>
                <w:highlight w:val="none"/>
                <w:shd w:val="clear" w:color="auto" w:fill="FFFFFF"/>
              </w:rPr>
              <w:t>6.5英寸图形化彩色，防护等级：IP54。</w:t>
            </w:r>
          </w:p>
          <w:p w14:paraId="5F44A06A">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4.2 机器人底板：1套；机器人底座与工业机器人配套使用。</w:t>
            </w:r>
          </w:p>
          <w:p w14:paraId="4CB728BB">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4.3 机器人末端工具：1套；配置机器人末端工具，可实现系统工件的拾取搬运，具体样式与工件配套。</w:t>
            </w:r>
          </w:p>
          <w:p w14:paraId="1FE812FB">
            <w:pPr>
              <w:widowControl w:val="0"/>
              <w:tabs>
                <w:tab w:val="left" w:pos="1260"/>
              </w:tabs>
              <w:adjustRightInd w:val="0"/>
              <w:snapToGrid w:val="0"/>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4.4 激光打标机及集成：1套；运用当今世界上先进的激光技术研制的光纤激光打标机，具有光电转换效率高，寿命长，整机体积小，输出光束质量好，可靠性高，免维护等优点。并可集成于工业生产过程，采用风冷方式冷却，通过控制接口（USB）直接操作激光器，无耗材，产品折旧成本大大降低。可雕刻金属材料和部分非金属材料，适合五金工具、刀具厨具、戒子、吊牌、挂坠、手机、钟表、模具、精密仪器、塑料制品、计算机键盘、集成电路、包装瓶罐、眼镜架、洁具龙头等产品的标记刻制。</w:t>
            </w:r>
            <w:r>
              <w:rPr>
                <w:rFonts w:hint="eastAsia" w:ascii="宋体" w:hAnsi="宋体" w:eastAsia="宋体" w:cs="宋体"/>
                <w:color w:val="000000"/>
                <w:szCs w:val="21"/>
                <w:highlight w:val="none"/>
                <w14:ligatures w14:val="standardContextual"/>
              </w:rPr>
              <w:t>激光器：RAYCUS光纤激光器；激光波长：1064nm；标称平均输出功率：20W；扫描速度：F=160mm,≤7000 mm/s；标记范围：110 mm ×110 mm；最小字符高度：0.2mm；冷却方式：风冷；</w:t>
            </w:r>
            <w:r>
              <w:rPr>
                <w:rFonts w:hint="eastAsia" w:ascii="宋体" w:hAnsi="宋体" w:eastAsia="宋体" w:cs="宋体"/>
                <w:color w:val="000000"/>
                <w:kern w:val="0"/>
                <w:szCs w:val="21"/>
                <w:highlight w:val="none"/>
                <w14:ligatures w14:val="standardContextual"/>
              </w:rPr>
              <w:t>其他要求：</w:t>
            </w:r>
            <w:r>
              <w:rPr>
                <w:rFonts w:hint="eastAsia" w:ascii="宋体" w:hAnsi="宋体" w:eastAsia="宋体" w:cs="宋体"/>
                <w:color w:val="000000"/>
                <w:szCs w:val="21"/>
                <w:highlight w:val="none"/>
                <w14:ligatures w14:val="standardContextual"/>
              </w:rPr>
              <w:t>洁净，无粉尘和油污，无振动和电磁干扰，并留有一定的操作和维护空间。</w:t>
            </w:r>
          </w:p>
          <w:p w14:paraId="4C6C789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4.5 定位装置：1套；激光打标机上安装定位装置，用于自动化装配进行定位。</w:t>
            </w:r>
          </w:p>
          <w:p w14:paraId="0F6166DC">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4.6 智能2D视觉检测系统：1套；解决更加复杂的视觉应用，在In-Sight系统中设计执行深度学习应用，工厂端卓越的稳定性能，具有深度学习功能的智能相机系统，支持建立自制图像数据集，自带图像标注工具，支持视觉深度模型实时训练及部署。</w:t>
            </w:r>
            <w:r>
              <w:rPr>
                <w:rFonts w:hint="eastAsia" w:ascii="宋体" w:hAnsi="宋体" w:eastAsia="宋体" w:cs="宋体"/>
                <w:kern w:val="0"/>
                <w:szCs w:val="21"/>
                <w:highlight w:val="none"/>
              </w:rPr>
              <w:t>图像类型：单色；成像芯片类型：</w:t>
            </w:r>
            <w:r>
              <w:rPr>
                <w:rFonts w:hint="eastAsia" w:ascii="宋体" w:hAnsi="宋体" w:eastAsia="宋体" w:cs="宋体"/>
                <w:w w:val="104"/>
                <w:kern w:val="0"/>
                <w:szCs w:val="21"/>
                <w:highlight w:val="none"/>
              </w:rPr>
              <w:t>1/2.3</w:t>
            </w:r>
            <w:r>
              <w:rPr>
                <w:rFonts w:hint="eastAsia" w:ascii="宋体" w:hAnsi="宋体" w:eastAsia="宋体" w:cs="宋体"/>
                <w:spacing w:val="-6"/>
                <w:kern w:val="0"/>
                <w:szCs w:val="21"/>
                <w:highlight w:val="none"/>
              </w:rPr>
              <w:t xml:space="preserve"> 英寸 </w:t>
            </w:r>
            <w:r>
              <w:rPr>
                <w:rFonts w:hint="eastAsia" w:ascii="宋体" w:hAnsi="宋体" w:eastAsia="宋体" w:cs="宋体"/>
                <w:w w:val="93"/>
                <w:kern w:val="0"/>
                <w:szCs w:val="21"/>
                <w:highlight w:val="none"/>
              </w:rPr>
              <w:t>C</w:t>
            </w:r>
            <w:r>
              <w:rPr>
                <w:rFonts w:hint="eastAsia" w:ascii="宋体" w:hAnsi="宋体" w:eastAsia="宋体" w:cs="宋体"/>
                <w:w w:val="104"/>
                <w:kern w:val="0"/>
                <w:szCs w:val="21"/>
                <w:highlight w:val="none"/>
              </w:rPr>
              <w:t>MOS（3.45μm×</w:t>
            </w:r>
            <w:r>
              <w:rPr>
                <w:rFonts w:hint="eastAsia" w:ascii="宋体" w:hAnsi="宋体" w:eastAsia="宋体" w:cs="宋体"/>
                <w:w w:val="99"/>
                <w:kern w:val="0"/>
                <w:szCs w:val="21"/>
                <w:highlight w:val="none"/>
              </w:rPr>
              <w:t>3.45</w:t>
            </w:r>
            <w:r>
              <w:rPr>
                <w:rFonts w:hint="eastAsia" w:ascii="宋体" w:hAnsi="宋体" w:eastAsia="宋体" w:cs="宋体"/>
                <w:w w:val="112"/>
                <w:kern w:val="0"/>
                <w:szCs w:val="21"/>
                <w:highlight w:val="none"/>
              </w:rPr>
              <w:t>μm</w:t>
            </w:r>
            <w:r>
              <w:rPr>
                <w:rFonts w:hint="eastAsia" w:ascii="宋体" w:hAnsi="宋体" w:eastAsia="宋体" w:cs="宋体"/>
                <w:spacing w:val="-6"/>
                <w:kern w:val="0"/>
                <w:szCs w:val="21"/>
                <w:highlight w:val="none"/>
              </w:rPr>
              <w:t>像素</w:t>
            </w:r>
            <w:r>
              <w:rPr>
                <w:rFonts w:hint="eastAsia" w:ascii="宋体" w:hAnsi="宋体" w:eastAsia="宋体" w:cs="宋体"/>
                <w:kern w:val="0"/>
                <w:szCs w:val="21"/>
                <w:highlight w:val="none"/>
              </w:rPr>
              <w:t>）；分辨率（像素）：</w:t>
            </w:r>
            <w:r>
              <w:rPr>
                <w:rFonts w:hint="eastAsia" w:ascii="宋体" w:hAnsi="宋体" w:eastAsia="宋体" w:cs="宋体"/>
                <w:w w:val="104"/>
                <w:kern w:val="0"/>
                <w:szCs w:val="21"/>
                <w:highlight w:val="none"/>
              </w:rPr>
              <w:t>2.3MP（1920×1200</w:t>
            </w:r>
            <w:r>
              <w:rPr>
                <w:rFonts w:hint="eastAsia" w:ascii="宋体" w:hAnsi="宋体" w:eastAsia="宋体" w:cs="宋体"/>
                <w:kern w:val="0"/>
                <w:szCs w:val="21"/>
                <w:highlight w:val="none"/>
              </w:rPr>
              <w:t>）；采集速度（最大值）：</w:t>
            </w:r>
            <w:r>
              <w:rPr>
                <w:rFonts w:hint="eastAsia" w:ascii="宋体" w:hAnsi="宋体" w:eastAsia="宋体" w:cs="宋体"/>
                <w:w w:val="104"/>
                <w:kern w:val="0"/>
                <w:szCs w:val="21"/>
                <w:highlight w:val="none"/>
              </w:rPr>
              <w:t>51fps；</w:t>
            </w:r>
            <w:r>
              <w:rPr>
                <w:rFonts w:hint="eastAsia" w:ascii="宋体" w:hAnsi="宋体" w:eastAsia="宋体" w:cs="宋体"/>
                <w:kern w:val="0"/>
                <w:szCs w:val="21"/>
                <w:highlight w:val="none"/>
              </w:rPr>
              <w:t>镜头：</w:t>
            </w:r>
            <w:r>
              <w:rPr>
                <w:rFonts w:hint="eastAsia" w:ascii="宋体" w:hAnsi="宋体" w:eastAsia="宋体" w:cs="宋体"/>
                <w:w w:val="88"/>
                <w:kern w:val="0"/>
                <w:szCs w:val="21"/>
                <w:highlight w:val="none"/>
              </w:rPr>
              <w:t>C</w:t>
            </w:r>
            <w:r>
              <w:rPr>
                <w:rFonts w:hint="eastAsia" w:ascii="宋体" w:hAnsi="宋体" w:eastAsia="宋体" w:cs="宋体"/>
                <w:spacing w:val="-26"/>
                <w:kern w:val="0"/>
                <w:szCs w:val="21"/>
                <w:highlight w:val="none"/>
              </w:rPr>
              <w:t xml:space="preserve"> 接口，</w:t>
            </w:r>
            <w:r>
              <w:rPr>
                <w:rFonts w:hint="eastAsia" w:ascii="宋体" w:hAnsi="宋体" w:eastAsia="宋体" w:cs="宋体"/>
                <w:w w:val="89"/>
                <w:kern w:val="0"/>
                <w:szCs w:val="21"/>
                <w:highlight w:val="none"/>
              </w:rPr>
              <w:t>S</w:t>
            </w:r>
            <w:r>
              <w:rPr>
                <w:rFonts w:hint="eastAsia" w:ascii="宋体" w:hAnsi="宋体" w:eastAsia="宋体" w:cs="宋体"/>
                <w:spacing w:val="-14"/>
                <w:kern w:val="0"/>
                <w:szCs w:val="21"/>
                <w:highlight w:val="none"/>
              </w:rPr>
              <w:t xml:space="preserve"> 接口；自动聚焦；</w:t>
            </w:r>
            <w:r>
              <w:rPr>
                <w:rFonts w:hint="eastAsia" w:ascii="宋体" w:hAnsi="宋体" w:eastAsia="宋体" w:cs="宋体"/>
                <w:kern w:val="0"/>
                <w:szCs w:val="21"/>
                <w:highlight w:val="none"/>
              </w:rPr>
              <w:t>尺寸（mm）53.4×60.5×121。工业级M12接口：</w:t>
            </w:r>
            <w:r>
              <w:rPr>
                <w:rFonts w:hint="eastAsia" w:ascii="宋体" w:hAnsi="宋体" w:eastAsia="宋体" w:cs="宋体"/>
                <w:w w:val="102"/>
                <w:kern w:val="0"/>
                <w:szCs w:val="21"/>
                <w:highlight w:val="none"/>
              </w:rPr>
              <w:t>电源/IO</w:t>
            </w:r>
            <w:r>
              <w:rPr>
                <w:rFonts w:hint="eastAsia" w:ascii="宋体" w:hAnsi="宋体" w:eastAsia="宋体" w:cs="宋体"/>
                <w:spacing w:val="-37"/>
                <w:kern w:val="0"/>
                <w:szCs w:val="21"/>
                <w:highlight w:val="none"/>
              </w:rPr>
              <w:t>；以太网；</w:t>
            </w:r>
            <w:r>
              <w:rPr>
                <w:rFonts w:hint="eastAsia" w:ascii="宋体" w:hAnsi="宋体" w:eastAsia="宋体" w:cs="宋体"/>
                <w:w w:val="101"/>
                <w:kern w:val="0"/>
                <w:szCs w:val="21"/>
                <w:highlight w:val="none"/>
              </w:rPr>
              <w:t>外部光源/控制。配套专业VIDI视觉软件。</w:t>
            </w:r>
          </w:p>
          <w:p w14:paraId="6020372E">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4.7 废品库：1套；检测不良品，机器人将电机外壳放入废品库。</w:t>
            </w:r>
          </w:p>
          <w:p w14:paraId="2713AD2E">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4.8 倍速链输送机：1套；采用单层倍速链输送机进行输送，倍速链输送机又称差速链、增速链流水线，由于大小滚子的独特结构，可实现2.5倍数的高速输送。采用特制的，经表面处理的挤压铝合金型材作为导轨，使输送系统在输送过程中具有非常好的稳定性和持久性，适合产品大批量连续生产。</w:t>
            </w:r>
            <w:r>
              <w:rPr>
                <w:rFonts w:hint="eastAsia" w:ascii="宋体" w:hAnsi="宋体" w:eastAsia="宋体" w:cs="宋体"/>
                <w:kern w:val="0"/>
                <w:szCs w:val="21"/>
                <w:highlight w:val="none"/>
              </w:rPr>
              <w:t>承载能力：25kg；驱动方式：三相异步+变频调速；运行速度：</w:t>
            </w:r>
            <w:r>
              <w:rPr>
                <w:rFonts w:hint="eastAsia" w:ascii="宋体" w:hAnsi="宋体" w:eastAsia="宋体" w:cs="宋体"/>
                <w:color w:val="000000"/>
                <w:kern w:val="0"/>
                <w:szCs w:val="21"/>
                <w:highlight w:val="none"/>
              </w:rPr>
              <w:t>3-6m/min</w:t>
            </w:r>
            <w:r>
              <w:rPr>
                <w:rFonts w:hint="eastAsia" w:ascii="宋体" w:hAnsi="宋体" w:eastAsia="宋体" w:cs="宋体"/>
                <w:szCs w:val="21"/>
                <w:highlight w:val="none"/>
              </w:rPr>
              <w:t>。</w:t>
            </w:r>
          </w:p>
          <w:p w14:paraId="480504BA">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4.9 顶升换向装置：1套；</w:t>
            </w:r>
            <w:r>
              <w:rPr>
                <w:rFonts w:hint="eastAsia" w:ascii="宋体" w:hAnsi="宋体" w:eastAsia="宋体" w:cs="宋体"/>
                <w:kern w:val="0"/>
                <w:szCs w:val="21"/>
                <w:highlight w:val="none"/>
              </w:rPr>
              <w:t>顶升换向装置装于上层倍速链内部，主要通过汽缸伸缩运动来实现输送机构的升降移动，从而实现90度换向输送。</w:t>
            </w:r>
            <w:r>
              <w:rPr>
                <w:rFonts w:hint="eastAsia" w:ascii="宋体" w:hAnsi="宋体" w:eastAsia="宋体" w:cs="宋体"/>
                <w:szCs w:val="21"/>
                <w:highlight w:val="none"/>
              </w:rPr>
              <w:t>顶升装置承载能力：≥25kg；顶升装置驱动：直流减速电机+气缸。</w:t>
            </w:r>
          </w:p>
          <w:p w14:paraId="4D8CE546">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4.10 定位阻挡装置：1套；气动式举升定位机构，配合阻挡器使用，对托盘精准定位，定位精度±0.1mm；往复式运动气缸，缸径不小于50mm，行程不小于10mm；气缸位置检测；工作气压0.1~0.6Mpa。</w:t>
            </w:r>
          </w:p>
          <w:p w14:paraId="467B63A4">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4.11 单元可编程控制器电气控制系统：1套；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highlight w:val="none"/>
              </w:rPr>
              <w:t>CPU：CPU 1215C DC/DC/DC；</w:t>
            </w:r>
            <w:r>
              <w:rPr>
                <w:rFonts w:hint="eastAsia" w:ascii="宋体" w:hAnsi="宋体" w:eastAsia="宋体" w:cs="宋体"/>
                <w:kern w:val="0"/>
                <w:szCs w:val="21"/>
                <w:highlight w:val="none"/>
                <w:lang w:val="zh-CN"/>
              </w:rPr>
              <w:t>工作存储器：</w:t>
            </w:r>
            <w:r>
              <w:rPr>
                <w:rFonts w:hint="eastAsia" w:ascii="宋体" w:hAnsi="宋体" w:eastAsia="宋体" w:cs="宋体"/>
                <w:color w:val="000000"/>
                <w:kern w:val="0"/>
                <w:szCs w:val="21"/>
                <w:highlight w:val="none"/>
                <w:lang w:val="zh-CN"/>
              </w:rPr>
              <w:t>125KB；</w:t>
            </w:r>
            <w:r>
              <w:rPr>
                <w:rFonts w:hint="eastAsia" w:ascii="宋体" w:hAnsi="宋体" w:eastAsia="宋体" w:cs="宋体"/>
                <w:kern w:val="0"/>
                <w:szCs w:val="21"/>
                <w:highlight w:val="none"/>
                <w:lang w:val="zh-CN"/>
              </w:rPr>
              <w:t>装载存储器：</w:t>
            </w:r>
            <w:r>
              <w:rPr>
                <w:rFonts w:hint="eastAsia" w:ascii="宋体" w:hAnsi="宋体" w:eastAsia="宋体" w:cs="宋体"/>
                <w:color w:val="000000"/>
                <w:kern w:val="0"/>
                <w:szCs w:val="21"/>
                <w:highlight w:val="none"/>
                <w:lang w:val="zh-CN"/>
              </w:rPr>
              <w:t>4MB；</w:t>
            </w:r>
            <w:r>
              <w:rPr>
                <w:rFonts w:hint="eastAsia" w:ascii="宋体" w:hAnsi="宋体" w:eastAsia="宋体" w:cs="宋体"/>
                <w:kern w:val="0"/>
                <w:szCs w:val="21"/>
                <w:highlight w:val="none"/>
                <w:lang w:val="zh-CN"/>
              </w:rPr>
              <w:t>模拟量：</w:t>
            </w:r>
            <w:r>
              <w:rPr>
                <w:rFonts w:hint="eastAsia" w:ascii="宋体" w:hAnsi="宋体" w:eastAsia="宋体" w:cs="宋体"/>
                <w:color w:val="000000"/>
                <w:kern w:val="0"/>
                <w:szCs w:val="21"/>
                <w:highlight w:val="none"/>
                <w:lang w:val="zh-CN"/>
              </w:rPr>
              <w:t>2AI/2AO；</w:t>
            </w:r>
            <w:r>
              <w:rPr>
                <w:rFonts w:hint="eastAsia" w:ascii="宋体" w:hAnsi="宋体" w:eastAsia="宋体" w:cs="宋体"/>
                <w:kern w:val="0"/>
                <w:szCs w:val="21"/>
                <w:highlight w:val="none"/>
                <w:lang w:val="zh-CN"/>
              </w:rPr>
              <w:t>通信协议：</w:t>
            </w:r>
            <w:r>
              <w:rPr>
                <w:rFonts w:hint="eastAsia" w:ascii="宋体" w:hAnsi="宋体" w:eastAsia="宋体" w:cs="宋体"/>
                <w:color w:val="000000"/>
                <w:kern w:val="0"/>
                <w:szCs w:val="21"/>
                <w:highlight w:val="none"/>
                <w:lang w:val="zh-CN"/>
              </w:rPr>
              <w:t>支持</w:t>
            </w:r>
            <w:r>
              <w:rPr>
                <w:rFonts w:hint="eastAsia" w:ascii="宋体" w:hAnsi="宋体" w:eastAsia="宋体" w:cs="宋体"/>
                <w:color w:val="000000"/>
                <w:kern w:val="0"/>
                <w:szCs w:val="21"/>
                <w:highlight w:val="none"/>
              </w:rPr>
              <w:t>PROFINET</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TCP/IP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SNMP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DCP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LLDP、ISO-on-TCP、UDP、MODBUS、S7等通信协议，PROFIBUS</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AS接口通信扩展可支持；</w:t>
            </w:r>
            <w:r>
              <w:rPr>
                <w:rFonts w:hint="eastAsia" w:ascii="宋体" w:hAnsi="宋体" w:eastAsia="宋体" w:cs="宋体"/>
                <w:kern w:val="0"/>
                <w:szCs w:val="21"/>
                <w:highlight w:val="none"/>
                <w:lang w:val="zh-CN"/>
              </w:rPr>
              <w:t>布尔运算执行速度：</w:t>
            </w:r>
            <w:r>
              <w:rPr>
                <w:rFonts w:hint="eastAsia" w:ascii="宋体" w:hAnsi="宋体" w:eastAsia="宋体" w:cs="宋体"/>
                <w:color w:val="000000"/>
                <w:kern w:val="0"/>
                <w:szCs w:val="21"/>
                <w:highlight w:val="none"/>
                <w:lang w:val="zh-CN"/>
              </w:rPr>
              <w:t>0.08μs/指令；</w:t>
            </w:r>
            <w:r>
              <w:rPr>
                <w:rFonts w:hint="eastAsia" w:ascii="宋体" w:hAnsi="宋体" w:eastAsia="宋体" w:cs="宋体"/>
                <w:kern w:val="0"/>
                <w:szCs w:val="21"/>
                <w:highlight w:val="none"/>
                <w:lang w:val="zh-CN"/>
              </w:rPr>
              <w:t>移动字执行速度：</w:t>
            </w:r>
            <w:r>
              <w:rPr>
                <w:rFonts w:hint="eastAsia" w:ascii="宋体" w:hAnsi="宋体" w:eastAsia="宋体" w:cs="宋体"/>
                <w:color w:val="000000"/>
                <w:kern w:val="0"/>
                <w:szCs w:val="21"/>
                <w:highlight w:val="none"/>
                <w:lang w:val="zh-CN"/>
              </w:rPr>
              <w:t>1.7μs/指令；</w:t>
            </w:r>
            <w:r>
              <w:rPr>
                <w:rFonts w:hint="eastAsia" w:ascii="宋体" w:hAnsi="宋体" w:eastAsia="宋体" w:cs="宋体"/>
                <w:kern w:val="0"/>
                <w:szCs w:val="21"/>
                <w:highlight w:val="none"/>
                <w:lang w:val="zh-CN"/>
              </w:rPr>
              <w:t>实数数学运算执行速度：</w:t>
            </w:r>
            <w:r>
              <w:rPr>
                <w:rFonts w:hint="eastAsia" w:ascii="宋体" w:hAnsi="宋体" w:eastAsia="宋体" w:cs="宋体"/>
                <w:color w:val="000000"/>
                <w:kern w:val="0"/>
                <w:szCs w:val="21"/>
                <w:highlight w:val="none"/>
                <w:lang w:val="zh-CN"/>
              </w:rPr>
              <w:t>2.3μs 指令。</w:t>
            </w:r>
          </w:p>
          <w:p w14:paraId="16A9E48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4.12 人机界面与支架：1套；工作站采用企业通用人机界面操作控制，安装于工作站电气控制柜上。企业通用人机界面友好，明亮的显示屏和无差错人机工程学操作，可以为每个应用提供合适的解决方案。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highlight w:val="none"/>
                <w14:ligatures w14:val="standardContextual"/>
              </w:rPr>
              <w:t>显示：9英寸的TFT真彩显示屏，65536色；分辨率：800×480像素；操作方式：触摸屏和覆膜按键；背光无故障时间：20000H；存储器：10MB；电压额定值：DC24V；接口：以太网接口×1，USB接口×1；防护等级：正面IP65，背面IP20；</w:t>
            </w:r>
          </w:p>
        </w:tc>
        <w:tc>
          <w:tcPr>
            <w:tcW w:w="858" w:type="dxa"/>
            <w:vAlign w:val="center"/>
          </w:tcPr>
          <w:p w14:paraId="39275DFF">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178C5E76">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480C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03A3EEB5">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w:t>
            </w:r>
          </w:p>
        </w:tc>
        <w:tc>
          <w:tcPr>
            <w:tcW w:w="1033" w:type="dxa"/>
            <w:vAlign w:val="center"/>
          </w:tcPr>
          <w:p w14:paraId="479F97AA">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工业机器人智能装配工作站</w:t>
            </w:r>
          </w:p>
        </w:tc>
        <w:tc>
          <w:tcPr>
            <w:tcW w:w="6282" w:type="dxa"/>
            <w:vAlign w:val="center"/>
          </w:tcPr>
          <w:p w14:paraId="1298C3A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功能：工业机器人拾取打标合格的关键零部件或工艺品放置在装配工作台的相应定位装置内，再从工件仓库中拾取特色关键零部件或工艺品，利用智能3D视觉进行装配。单元独立电气控制，既可联机运行，亦可脱离系统通过人机界面进行操作和实验。</w:t>
            </w:r>
          </w:p>
          <w:p w14:paraId="1CFC391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组成：工业机器人智能装配工作站由工业机器人、机器人底板、机器人快换装置与支架、机器人末端工具、装配工作台及定位装置、智能3D视觉检测系统、装配工件仓库、倍速链输送机、定位阻挡装置、单元可编程控制器电气控制系统、人机界面与支架等组成。</w:t>
            </w:r>
          </w:p>
          <w:p w14:paraId="417748A1">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5.1 工业机器人：1套；功率强劲，具备后翻转功能，适用于弧焊、压铸、机械管理、物料搬运、注塑、装配、包装等应用领域。适合恶劣生产环境，IP67防护等级，可蒸汽清洗。工作循环时间短,同类机器人中操作速度最快。配备运动控制功能，操作速度快、加速性能好，显著缩短了工作循环时间。精度高——零件生产质量稳定,具有极高的重复定位精度（±0.05mm）和轨迹精度。</w:t>
            </w:r>
          </w:p>
          <w:p w14:paraId="048BD4D1">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（1）具有6个自由度，串联关节型工业机器人</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（2）安装方式为地面安装</w:t>
            </w:r>
            <w:r>
              <w:rPr>
                <w:rFonts w:hint="eastAsia" w:ascii="宋体" w:hAnsi="宋体" w:eastAsia="宋体" w:cs="宋体"/>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（3）工作范围：≥1450mm</w:t>
            </w:r>
            <w:r>
              <w:rPr>
                <w:rFonts w:hint="eastAsia" w:ascii="宋体" w:hAnsi="宋体" w:eastAsia="宋体" w:cs="宋体"/>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（4）手腕荷重能力：10kg</w:t>
            </w:r>
            <w:r>
              <w:rPr>
                <w:rFonts w:hint="eastAsia" w:ascii="宋体" w:hAnsi="宋体" w:eastAsia="宋体" w:cs="宋体"/>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（5）重复定位精度：±0.05mm</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（6）机器人单元防护等级IP67</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（7）可工作环境相对湿度最高95%</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（8）工作环境温度范围5℃~45°℃</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（9）第1轴工作范围为+180°/-180°，最大旋转速度180°/s</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（10）第2轴工作范围为+150°/-90°，最大旋转速度180°/s</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（11）第3轴工作范围为+65°/-245°，最大旋转速度185°/s</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（12）第4轴工作范围为+200°/-200°，最大旋转速度385°/s</w:t>
            </w:r>
          </w:p>
          <w:p w14:paraId="66CABA71">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（13）第5轴工作范围为+115°/-115°，最大旋转速度400°/s</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（14）第6轴工作范围为+400°/-400°，最大旋转速度460°/s</w:t>
            </w:r>
            <w:r>
              <w:rPr>
                <w:rFonts w:hint="eastAsia" w:ascii="宋体" w:hAnsi="宋体" w:eastAsia="宋体" w:cs="宋体"/>
                <w:szCs w:val="21"/>
                <w:highlight w:val="none"/>
                <w14:ligatures w14:val="standardContextual"/>
              </w:rPr>
              <w:br w:type="textWrapping"/>
            </w:r>
            <w:r>
              <w:rPr>
                <w:rFonts w:hint="eastAsia" w:ascii="宋体" w:hAnsi="宋体" w:eastAsia="宋体" w:cs="宋体"/>
                <w:szCs w:val="21"/>
                <w:highlight w:val="none"/>
                <w14:ligatures w14:val="standardContextual"/>
              </w:rPr>
              <w:t>（15）机器人本体重量：250Kg</w:t>
            </w:r>
          </w:p>
          <w:p w14:paraId="61187DAD">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（16）机器人控制器：1）控制硬件：多处理器系统、PCI 总线、奔腾CPU、大容量闪存(1GB)、20s UPS 备份电源；2）控制软件：BaseWare 机器人操作系统、强大的RAPID编程语言、PC-DOS文本格式、预装软件；3）外形尺寸：970 x 725 x 710mm；</w:t>
            </w:r>
          </w:p>
          <w:p w14:paraId="223C9681">
            <w:pPr>
              <w:widowControl/>
              <w:adjustRightInd w:val="0"/>
              <w:snapToGrid w:val="0"/>
              <w:textAlignment w:val="auto"/>
              <w:rPr>
                <w:rFonts w:ascii="宋体" w:hAnsi="宋体" w:eastAsia="宋体" w:cs="宋体"/>
                <w:szCs w:val="21"/>
                <w:highlight w:val="none"/>
              </w:rPr>
            </w:pPr>
            <w:r>
              <w:rPr>
                <w:rFonts w:hint="eastAsia" w:ascii="宋体" w:hAnsi="宋体" w:eastAsia="宋体" w:cs="宋体"/>
                <w:kern w:val="0"/>
                <w:szCs w:val="21"/>
                <w:highlight w:val="none"/>
                <w:lang w:bidi="ar"/>
              </w:rPr>
              <w:t>★</w:t>
            </w:r>
            <w:r>
              <w:rPr>
                <w:rFonts w:hint="eastAsia" w:ascii="宋体" w:hAnsi="宋体" w:eastAsia="宋体" w:cs="宋体"/>
                <w:szCs w:val="21"/>
                <w:highlight w:val="none"/>
              </w:rPr>
              <w:t>（17）机器人示教器：便携式，具备操纵杆和键盘，6.5英寸图形化彩色，防护等级：IP54。</w:t>
            </w:r>
          </w:p>
          <w:p w14:paraId="78056220">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5.2 机器人底板：1套；机器人底座与工业机器人配套使用。</w:t>
            </w:r>
          </w:p>
          <w:p w14:paraId="09572A6F">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5.3 机器人快换装置与支架：1套；机器人末端快换工具标配为机器人本体1套快换法兰母端，连接2套夹持工具快换法兰公共端，快换工具采用工业自动化公司优质产品。快换法兰直径：50mm；额定负载：</w:t>
            </w:r>
            <w:r>
              <w:rPr>
                <w:rFonts w:hint="eastAsia" w:ascii="宋体" w:hAnsi="宋体" w:eastAsia="宋体" w:cs="宋体"/>
                <w:kern w:val="0"/>
                <w:szCs w:val="21"/>
                <w:highlight w:val="none"/>
                <w14:ligatures w14:val="standardContextual"/>
              </w:rPr>
              <w:t>16Kg；锁紧力</w:t>
            </w:r>
            <w:r>
              <w:rPr>
                <w:rFonts w:hint="eastAsia" w:ascii="宋体" w:hAnsi="宋体" w:eastAsia="宋体" w:cs="宋体"/>
                <w:szCs w:val="21"/>
                <w:highlight w:val="none"/>
                <w14:ligatures w14:val="standardContextual"/>
              </w:rPr>
              <w:t>@80psi(5.5bar)：</w:t>
            </w:r>
            <w:r>
              <w:rPr>
                <w:rFonts w:hint="eastAsia" w:ascii="宋体" w:hAnsi="宋体" w:eastAsia="宋体" w:cs="宋体"/>
                <w:kern w:val="0"/>
                <w:szCs w:val="21"/>
                <w:highlight w:val="none"/>
                <w14:ligatures w14:val="standardContextual"/>
              </w:rPr>
              <w:t>1100N；静力矩（X/Y）：24.9Nm；静力矩（Z）：33.9Nm；接口螺纹：M5。</w:t>
            </w:r>
          </w:p>
          <w:p w14:paraId="6C771093">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5.4 机器人末端工具：1套；配置机器人末端工具，可实现系统工件的拾取搬运，具体样式与工件配套。</w:t>
            </w:r>
          </w:p>
          <w:p w14:paraId="03B98584">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5.5 装配工作台及定位装置：1套；单元配置装配工作台，工作台上安装定位装置，用于自动化装配进行定位。</w:t>
            </w:r>
          </w:p>
          <w:p w14:paraId="49483126">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5.6 智能3D视觉检测系统：1套；智能3D视觉系统具有速度快、精度高、视野大、抗反光的特点，对于结构复杂、表面暗色的物体均有良好的成像效果，可处理多种复杂情况，输出高质量的3D数据，具有高精度的3D检测功能，可适用于对精度要求较高的工业检测、测量、学术研究等典型应用场景。智能3D视觉检测系统由智能3D相机系统、图形算法软件和智能虚拟规划软件组成。</w:t>
            </w:r>
          </w:p>
          <w:p w14:paraId="46B357CC">
            <w:pPr>
              <w:autoSpaceDE/>
              <w:autoSpaceDN/>
              <w:adjustRightInd w:val="0"/>
              <w:snapToGrid w:val="0"/>
              <w:spacing w:after="0" w:line="240" w:lineRule="auto"/>
              <w:ind w:firstLine="0" w:firstLineChars="0"/>
              <w:jc w:val="left"/>
              <w:textAlignment w:val="auto"/>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（1）智能3D相机系统：1套；配置完全开放式深度学习软件，支持研究者进行自研算法开发并独立部署多个典型应用，完全图形化的软件和机器学习算法，界面流程化，简单、易懂，极大降低了部署时间和成本。</w:t>
            </w:r>
            <w:r>
              <w:rPr>
                <w:rFonts w:hint="eastAsia" w:ascii="宋体" w:hAnsi="宋体" w:eastAsia="宋体" w:cs="宋体"/>
                <w:bCs/>
                <w:color w:val="000000"/>
                <w:kern w:val="2"/>
                <w:sz w:val="21"/>
                <w:szCs w:val="21"/>
                <w:highlight w:val="none"/>
                <w:lang w:val="en-US" w:eastAsia="zh-CN" w:bidi="ar-SA"/>
              </w:rPr>
              <w:t>推荐工作距离：</w:t>
            </w:r>
            <w:r>
              <w:rPr>
                <w:rFonts w:hint="eastAsia" w:ascii="宋体" w:hAnsi="宋体" w:eastAsia="宋体" w:cs="宋体"/>
                <w:color w:val="000000"/>
                <w:kern w:val="2"/>
                <w:sz w:val="21"/>
                <w:szCs w:val="21"/>
                <w:highlight w:val="none"/>
                <w:lang w:val="en-US" w:eastAsia="zh-CN" w:bidi="ar-SA"/>
              </w:rPr>
              <w:t>300~600mm；近端视场：200×130mm@0.3m；远端视场：420×250mm@0.3m；分辨率：1280×1024；3D采集时间：0.4~0.8s；标定精度：</w:t>
            </w:r>
            <w:r>
              <w:rPr>
                <w:rFonts w:ascii="Calibri" w:hAnsi="Calibri" w:eastAsia="仿宋" w:cs="Times New Roman"/>
                <w:color w:val="000000"/>
                <w:kern w:val="2"/>
                <w:sz w:val="28"/>
                <w:szCs w:val="32"/>
                <w:highlight w:val="none"/>
                <w:lang w:val="en-US" w:eastAsia="zh-CN" w:bidi="ar-SA"/>
              </w:rPr>
              <w:fldChar w:fldCharType="begin"/>
            </w:r>
            <w:r>
              <w:rPr>
                <w:rFonts w:ascii="Calibri" w:hAnsi="Calibri" w:eastAsia="仿宋" w:cs="Times New Roman"/>
                <w:color w:val="000000"/>
                <w:kern w:val="2"/>
                <w:sz w:val="28"/>
                <w:szCs w:val="32"/>
                <w:highlight w:val="none"/>
                <w:lang w:val="en-US" w:eastAsia="zh-CN" w:bidi="ar-SA"/>
              </w:rPr>
              <w:instrText xml:space="preserve"> HYPERLINK "mailto:0.05mm@0.3mm" </w:instrText>
            </w:r>
            <w:r>
              <w:rPr>
                <w:rFonts w:ascii="Calibri" w:hAnsi="Calibri" w:eastAsia="仿宋" w:cs="Times New Roman"/>
                <w:color w:val="000000"/>
                <w:kern w:val="2"/>
                <w:sz w:val="28"/>
                <w:szCs w:val="32"/>
                <w:highlight w:val="none"/>
                <w:lang w:val="en-US" w:eastAsia="zh-CN" w:bidi="ar-SA"/>
              </w:rPr>
              <w:fldChar w:fldCharType="separate"/>
            </w:r>
            <w:r>
              <w:rPr>
                <w:rFonts w:hint="eastAsia" w:ascii="宋体" w:hAnsi="宋体" w:eastAsia="宋体" w:cs="宋体"/>
                <w:color w:val="000000"/>
                <w:kern w:val="2"/>
                <w:sz w:val="21"/>
                <w:szCs w:val="21"/>
                <w:highlight w:val="none"/>
                <w:u w:val="none"/>
                <w:lang w:val="en-US" w:eastAsia="zh-CN" w:bidi="ar-SA"/>
              </w:rPr>
              <w:t>0.05mm@0.3mm</w:t>
            </w:r>
            <w:r>
              <w:rPr>
                <w:rFonts w:hint="eastAsia" w:ascii="宋体" w:hAnsi="宋体" w:eastAsia="宋体" w:cs="宋体"/>
                <w:color w:val="000000"/>
                <w:kern w:val="2"/>
                <w:sz w:val="21"/>
                <w:szCs w:val="21"/>
                <w:highlight w:val="none"/>
                <w:u w:val="none"/>
                <w:lang w:val="en-US" w:eastAsia="zh-CN" w:bidi="ar-SA"/>
              </w:rPr>
              <w:fldChar w:fldCharType="end"/>
            </w:r>
            <w:r>
              <w:rPr>
                <w:rFonts w:hint="eastAsia" w:ascii="宋体" w:hAnsi="宋体" w:eastAsia="宋体" w:cs="宋体"/>
                <w:color w:val="000000"/>
                <w:kern w:val="2"/>
                <w:sz w:val="21"/>
                <w:szCs w:val="21"/>
                <w:highlight w:val="none"/>
                <w:lang w:val="en-US" w:eastAsia="zh-CN" w:bidi="ar-SA"/>
              </w:rPr>
              <w:t>；外形尺寸（长×宽×高）：122×57×86mm。</w:t>
            </w:r>
          </w:p>
          <w:p w14:paraId="7A89A16D">
            <w:pPr>
              <w:autoSpaceDE/>
              <w:autoSpaceDN/>
              <w:adjustRightInd w:val="0"/>
              <w:snapToGrid w:val="0"/>
              <w:spacing w:after="0" w:line="240" w:lineRule="auto"/>
              <w:ind w:firstLine="0" w:firstLineChars="0"/>
              <w:jc w:val="left"/>
              <w:textAlignment w:val="auto"/>
              <w:rPr>
                <w:rFonts w:ascii="宋体" w:hAnsi="宋体" w:eastAsia="宋体" w:cs="宋体"/>
                <w:color w:val="000000"/>
                <w:kern w:val="2"/>
                <w:sz w:val="21"/>
                <w:szCs w:val="21"/>
                <w:highlight w:val="none"/>
                <w:lang w:val="en-US" w:eastAsia="zh-CN" w:bidi="ar-SA"/>
              </w:rPr>
            </w:pPr>
            <w:r>
              <w:rPr>
                <w:rFonts w:hint="eastAsia" w:ascii="宋体" w:hAnsi="宋体" w:eastAsia="仿宋" w:cs="宋体"/>
                <w:color w:val="auto"/>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（2）图形算法软件：1套；</w:t>
            </w:r>
            <w:r>
              <w:rPr>
                <w:rFonts w:hint="eastAsia" w:ascii="宋体" w:hAnsi="宋体" w:eastAsia="宋体" w:cs="宋体"/>
                <w:bCs/>
                <w:color w:val="000000"/>
                <w:kern w:val="2"/>
                <w:sz w:val="21"/>
                <w:szCs w:val="21"/>
                <w:highlight w:val="none"/>
                <w:lang w:val="en-US" w:eastAsia="zh-CN" w:bidi="ar-SA"/>
              </w:rPr>
              <w:t>采用先进的深度学习等算法，可处理多种复杂情况；</w:t>
            </w:r>
            <w:r>
              <w:rPr>
                <w:rFonts w:hint="eastAsia" w:ascii="宋体" w:hAnsi="宋体" w:eastAsia="宋体" w:cs="宋体"/>
                <w:color w:val="000000"/>
                <w:kern w:val="2"/>
                <w:sz w:val="21"/>
                <w:szCs w:val="21"/>
                <w:highlight w:val="none"/>
                <w:lang w:val="en-US" w:eastAsia="zh-CN" w:bidi="ar-SA"/>
              </w:rPr>
              <w:t>支持具有各种图案（包括没有图案）的物体，可应对条码、运单、胶带等各种情况；物体可散乱堆放也可紧密堆叠；通用性强，少量样本即可完成训练；支持一定程度反光、暗色（纯黑色）的货品；高精度全自动化标定；快速准确定位物体；完全开放式的后台，支持用户进行定制化算法开发并独立部署多个典型应用；完全无需写代码的智能编程环境，用户可独立部署多个典型应用；完全可视化的界面，一键仿真机器人运动；用户仅需简单培训即可操作机器人，极大降低机器人使用门槛；内置逻辑检查、碰撞避免、抓取规划等先进算法，程序简洁、智能，同时保证机器人的稳定性；可适配国内外多种主流品牌机器人。</w:t>
            </w:r>
          </w:p>
          <w:p w14:paraId="3A18B701">
            <w:pPr>
              <w:autoSpaceDE/>
              <w:autoSpaceDN/>
              <w:adjustRightInd w:val="0"/>
              <w:snapToGrid w:val="0"/>
              <w:spacing w:after="0" w:line="240" w:lineRule="auto"/>
              <w:ind w:firstLine="0" w:firstLineChars="0"/>
              <w:jc w:val="left"/>
              <w:textAlignment w:val="auto"/>
              <w:rPr>
                <w:rFonts w:ascii="宋体" w:hAnsi="宋体" w:eastAsia="宋体" w:cs="宋体"/>
                <w:color w:val="000000"/>
                <w:kern w:val="2"/>
                <w:sz w:val="21"/>
                <w:szCs w:val="21"/>
                <w:highlight w:val="none"/>
                <w:lang w:val="en-US" w:eastAsia="zh-CN" w:bidi="ar-SA"/>
              </w:rPr>
            </w:pPr>
            <w:r>
              <w:rPr>
                <w:rFonts w:hint="eastAsia" w:ascii="宋体" w:hAnsi="宋体" w:eastAsia="仿宋" w:cs="宋体"/>
                <w:color w:val="auto"/>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3）智能虚拟规划软件：1套；智能虚拟编程软件采用可视化、无代码的编程界面，一键仿真。用户无需编写任何代码，即可学会操作机器人。采用面向高维空间的机器人智能路径规划技术，内置轨迹规划、碰撞检测、抓取规划等深度学习算法，帮助机器人选择最优路线完成抓取，避免自碰撞或环境碰撞等问题。基于强化学习的运动规划算法，在机器人进行抓取时，可自动选取合适的抓取角度和位置，避免碰撞。保证稳定性，保证产线顺利生产，可快速完成机器人适配及部署等工作，节省调试时间及人员成本。</w:t>
            </w:r>
          </w:p>
          <w:p w14:paraId="3AB2FDAE">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5.7 装配工件仓库：1套；装备工件仓库由钣金板材加工而成，配有5层6列共30个仓位，用于放置系统工件。装备工件仓库仓位均安装RFID电子标签、传感器、状态指示灯和定位装置，传感器用于检测该位置是否有工件。</w:t>
            </w:r>
          </w:p>
          <w:p w14:paraId="4A4E7F38">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5.8 倍速链输送机：1套；采用单层倍速链输送机进行输送，倍速链输送机又称差速链、增速链流水线，由于大小滚子的独特结构，可实现2.5倍数的高速输送。采用特制的，经表面处理的挤压铝合金型材作为导轨，使输送系统在输送过程中具有非常好的稳定性和持久性，适合产品大批量连续生产。</w:t>
            </w:r>
            <w:r>
              <w:rPr>
                <w:rFonts w:hint="eastAsia" w:ascii="宋体" w:hAnsi="宋体" w:eastAsia="宋体" w:cs="宋体"/>
                <w:kern w:val="0"/>
                <w:szCs w:val="21"/>
                <w:highlight w:val="none"/>
              </w:rPr>
              <w:t>承载能力：25kg；驱动方式：三相异步+变频调速；运行速度：</w:t>
            </w:r>
            <w:r>
              <w:rPr>
                <w:rFonts w:hint="eastAsia" w:ascii="宋体" w:hAnsi="宋体" w:eastAsia="宋体" w:cs="宋体"/>
                <w:color w:val="000000"/>
                <w:kern w:val="0"/>
                <w:szCs w:val="21"/>
                <w:highlight w:val="none"/>
              </w:rPr>
              <w:t>3-6m/min</w:t>
            </w:r>
            <w:r>
              <w:rPr>
                <w:rFonts w:hint="eastAsia" w:ascii="宋体" w:hAnsi="宋体" w:eastAsia="宋体" w:cs="宋体"/>
                <w:szCs w:val="21"/>
                <w:highlight w:val="none"/>
              </w:rPr>
              <w:t>。</w:t>
            </w:r>
          </w:p>
          <w:p w14:paraId="761B54FF">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5.9 定位阻挡装置：1套；气动式举升定位机构，配合阻挡器使用，对托盘精准定位，定位精度±0.1mm；往复式运动气缸，缸径不小于50mm，行程不小于10mm；气缸位置检测；工作气压0.1~0.6Mpa。</w:t>
            </w:r>
          </w:p>
          <w:p w14:paraId="05CD529A">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5.10 单元可编程控制器电气控制系统：1套；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highlight w:val="none"/>
              </w:rPr>
              <w:t>CPU：CPU 1215C DC/DC/DC；</w:t>
            </w:r>
            <w:r>
              <w:rPr>
                <w:rFonts w:hint="eastAsia" w:ascii="宋体" w:hAnsi="宋体" w:eastAsia="宋体" w:cs="宋体"/>
                <w:kern w:val="0"/>
                <w:szCs w:val="21"/>
                <w:highlight w:val="none"/>
                <w:lang w:val="zh-CN"/>
              </w:rPr>
              <w:t>工作存储器：</w:t>
            </w:r>
            <w:r>
              <w:rPr>
                <w:rFonts w:hint="eastAsia" w:ascii="宋体" w:hAnsi="宋体" w:eastAsia="宋体" w:cs="宋体"/>
                <w:color w:val="000000"/>
                <w:kern w:val="0"/>
                <w:szCs w:val="21"/>
                <w:highlight w:val="none"/>
                <w:lang w:val="zh-CN"/>
              </w:rPr>
              <w:t>125KB；</w:t>
            </w:r>
            <w:r>
              <w:rPr>
                <w:rFonts w:hint="eastAsia" w:ascii="宋体" w:hAnsi="宋体" w:eastAsia="宋体" w:cs="宋体"/>
                <w:kern w:val="0"/>
                <w:szCs w:val="21"/>
                <w:highlight w:val="none"/>
                <w:lang w:val="zh-CN"/>
              </w:rPr>
              <w:t>装载存储器：</w:t>
            </w:r>
            <w:r>
              <w:rPr>
                <w:rFonts w:hint="eastAsia" w:ascii="宋体" w:hAnsi="宋体" w:eastAsia="宋体" w:cs="宋体"/>
                <w:color w:val="000000"/>
                <w:kern w:val="0"/>
                <w:szCs w:val="21"/>
                <w:highlight w:val="none"/>
                <w:lang w:val="zh-CN"/>
              </w:rPr>
              <w:t>4MB；</w:t>
            </w:r>
            <w:r>
              <w:rPr>
                <w:rFonts w:hint="eastAsia" w:ascii="宋体" w:hAnsi="宋体" w:eastAsia="宋体" w:cs="宋体"/>
                <w:kern w:val="0"/>
                <w:szCs w:val="21"/>
                <w:highlight w:val="none"/>
                <w:lang w:val="zh-CN"/>
              </w:rPr>
              <w:t>模拟量：</w:t>
            </w:r>
            <w:r>
              <w:rPr>
                <w:rFonts w:hint="eastAsia" w:ascii="宋体" w:hAnsi="宋体" w:eastAsia="宋体" w:cs="宋体"/>
                <w:color w:val="000000"/>
                <w:kern w:val="0"/>
                <w:szCs w:val="21"/>
                <w:highlight w:val="none"/>
                <w:lang w:val="zh-CN"/>
              </w:rPr>
              <w:t>2AI/2AO；</w:t>
            </w:r>
            <w:r>
              <w:rPr>
                <w:rFonts w:hint="eastAsia" w:ascii="宋体" w:hAnsi="宋体" w:eastAsia="宋体" w:cs="宋体"/>
                <w:kern w:val="0"/>
                <w:szCs w:val="21"/>
                <w:highlight w:val="none"/>
                <w:lang w:val="zh-CN"/>
              </w:rPr>
              <w:t>通信协议：</w:t>
            </w:r>
            <w:r>
              <w:rPr>
                <w:rFonts w:hint="eastAsia" w:ascii="宋体" w:hAnsi="宋体" w:eastAsia="宋体" w:cs="宋体"/>
                <w:color w:val="000000"/>
                <w:kern w:val="0"/>
                <w:szCs w:val="21"/>
                <w:highlight w:val="none"/>
                <w:lang w:val="zh-CN"/>
              </w:rPr>
              <w:t>支持</w:t>
            </w:r>
            <w:r>
              <w:rPr>
                <w:rFonts w:hint="eastAsia" w:ascii="宋体" w:hAnsi="宋体" w:eastAsia="宋体" w:cs="宋体"/>
                <w:color w:val="000000"/>
                <w:kern w:val="0"/>
                <w:szCs w:val="21"/>
                <w:highlight w:val="none"/>
              </w:rPr>
              <w:t>PROFINET</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TCP/IP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SNMP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DCP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LLDP、ISO-on-TCP、UDP、MODBUS、S7等通信协议，PROFIBUS</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AS接口通信扩展可支持；</w:t>
            </w:r>
            <w:r>
              <w:rPr>
                <w:rFonts w:hint="eastAsia" w:ascii="宋体" w:hAnsi="宋体" w:eastAsia="宋体" w:cs="宋体"/>
                <w:kern w:val="0"/>
                <w:szCs w:val="21"/>
                <w:highlight w:val="none"/>
                <w:lang w:val="zh-CN"/>
              </w:rPr>
              <w:t>布尔运算执行速度：</w:t>
            </w:r>
            <w:r>
              <w:rPr>
                <w:rFonts w:hint="eastAsia" w:ascii="宋体" w:hAnsi="宋体" w:eastAsia="宋体" w:cs="宋体"/>
                <w:color w:val="000000"/>
                <w:kern w:val="0"/>
                <w:szCs w:val="21"/>
                <w:highlight w:val="none"/>
                <w:lang w:val="zh-CN"/>
              </w:rPr>
              <w:t>0.08μs/指令；</w:t>
            </w:r>
            <w:r>
              <w:rPr>
                <w:rFonts w:hint="eastAsia" w:ascii="宋体" w:hAnsi="宋体" w:eastAsia="宋体" w:cs="宋体"/>
                <w:kern w:val="0"/>
                <w:szCs w:val="21"/>
                <w:highlight w:val="none"/>
                <w:lang w:val="zh-CN"/>
              </w:rPr>
              <w:t>移动字执行速度：</w:t>
            </w:r>
            <w:r>
              <w:rPr>
                <w:rFonts w:hint="eastAsia" w:ascii="宋体" w:hAnsi="宋体" w:eastAsia="宋体" w:cs="宋体"/>
                <w:color w:val="000000"/>
                <w:kern w:val="0"/>
                <w:szCs w:val="21"/>
                <w:highlight w:val="none"/>
                <w:lang w:val="zh-CN"/>
              </w:rPr>
              <w:t>1.7μs/指令；</w:t>
            </w:r>
            <w:r>
              <w:rPr>
                <w:rFonts w:hint="eastAsia" w:ascii="宋体" w:hAnsi="宋体" w:eastAsia="宋体" w:cs="宋体"/>
                <w:kern w:val="0"/>
                <w:szCs w:val="21"/>
                <w:highlight w:val="none"/>
                <w:lang w:val="zh-CN"/>
              </w:rPr>
              <w:t>实数数学运算执行速度：</w:t>
            </w:r>
            <w:r>
              <w:rPr>
                <w:rFonts w:hint="eastAsia" w:ascii="宋体" w:hAnsi="宋体" w:eastAsia="宋体" w:cs="宋体"/>
                <w:color w:val="000000"/>
                <w:kern w:val="0"/>
                <w:szCs w:val="21"/>
                <w:highlight w:val="none"/>
                <w:lang w:val="zh-CN"/>
              </w:rPr>
              <w:t>2.3μs 指令。</w:t>
            </w:r>
          </w:p>
          <w:p w14:paraId="21BBEE79">
            <w:pPr>
              <w:widowControl w:val="0"/>
              <w:textAlignment w:val="auto"/>
              <w:rPr>
                <w:rFonts w:ascii="宋体" w:hAnsi="宋体" w:eastAsia="宋体" w:cs="宋体"/>
                <w:color w:val="222222"/>
                <w:szCs w:val="21"/>
                <w:highlight w:val="none"/>
                <w:shd w:val="clear" w:color="auto" w:fill="FFFFFF"/>
                <w14:ligatures w14:val="standardContextual"/>
              </w:rPr>
            </w:pPr>
            <w:r>
              <w:rPr>
                <w:rFonts w:hint="eastAsia" w:ascii="宋体" w:hAnsi="宋体" w:eastAsia="宋体" w:cs="宋体"/>
                <w:szCs w:val="21"/>
                <w:highlight w:val="none"/>
                <w14:ligatures w14:val="standardContextual"/>
              </w:rPr>
              <w:t>5.11 人机界面与支架：1套；工作站采用企业通用人机界面操作控制，安装于工作站电气控制柜上。企业通用人机界面友好，明亮的显示屏和无差错人机工程学操作，可以为每个应用提供合适的解决方案。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highlight w:val="none"/>
                <w14:ligatures w14:val="standardContextual"/>
              </w:rPr>
              <w:t>显示：9英寸的TFT真彩显示屏，65536色；分辨率：800×480像素；操作方式：触摸屏和覆膜按键；背光无故障时间：20000H；存储器：10MB；电压额定值：DC24V；接口：以太网接口×1，USB接口×1；防护等级：正面IP65，背面IP20。</w:t>
            </w:r>
          </w:p>
        </w:tc>
        <w:tc>
          <w:tcPr>
            <w:tcW w:w="858" w:type="dxa"/>
            <w:vAlign w:val="center"/>
          </w:tcPr>
          <w:p w14:paraId="7995701E">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743E11B6">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093E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1B1BB414">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w:t>
            </w:r>
          </w:p>
        </w:tc>
        <w:tc>
          <w:tcPr>
            <w:tcW w:w="1033" w:type="dxa"/>
            <w:vAlign w:val="center"/>
          </w:tcPr>
          <w:p w14:paraId="2BC34137">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工业机器人智能包装工作站</w:t>
            </w:r>
          </w:p>
        </w:tc>
        <w:tc>
          <w:tcPr>
            <w:tcW w:w="6282" w:type="dxa"/>
            <w:vAlign w:val="center"/>
          </w:tcPr>
          <w:p w14:paraId="535903B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工作站功能：成品工件随托盘进入智能包装定位后，机器人先将包装盒放置于包装工作台上，再更换末端工具拾取工件成品放置于包装盒内，最后更换末端工具吸附包装盖完成包装作业。单元独立电气控制，既可联机运行，亦可脱离系统通过人机界面进行操作和实验。</w:t>
            </w:r>
          </w:p>
          <w:p w14:paraId="2402DB4B">
            <w:pPr>
              <w:widowControl w:val="0"/>
              <w:textAlignment w:val="auto"/>
              <w:rPr>
                <w:rFonts w:ascii="宋体" w:hAnsi="宋体" w:eastAsia="宋体" w:cs="宋体"/>
                <w:color w:val="FF0000"/>
                <w:szCs w:val="21"/>
                <w:highlight w:val="none"/>
                <w14:ligatures w14:val="standardContextual"/>
              </w:rPr>
            </w:pPr>
            <w:r>
              <w:rPr>
                <w:rFonts w:hint="eastAsia" w:ascii="宋体" w:hAnsi="宋体" w:eastAsia="宋体" w:cs="宋体"/>
                <w:szCs w:val="21"/>
                <w:highlight w:val="none"/>
                <w14:ligatures w14:val="standardContextual"/>
              </w:rPr>
              <w:t>工作站组成：工业机器人智能包装工作站由工业机器人、机器人底板、机器人快换装置与支架、机器人末端工具、包装工作台及定位装置、自动包装盒仓库、井式推盖装置、倍速链输送机、顶升换向装置、定位阻挡装置、单元可编程控制器电气控制系统、人机界面与支架等设备组成。</w:t>
            </w:r>
          </w:p>
          <w:p w14:paraId="2592CB62">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 xml:space="preserve">6.1 </w:t>
            </w:r>
            <w:r>
              <w:rPr>
                <w:rFonts w:hint="eastAsia" w:ascii="宋体" w:hAnsi="宋体" w:eastAsia="宋体" w:cs="宋体"/>
                <w:color w:val="000000"/>
                <w:szCs w:val="21"/>
                <w:highlight w:val="none"/>
              </w:rPr>
              <w:t>工业机器人：1套；</w:t>
            </w:r>
            <w:r>
              <w:rPr>
                <w:rFonts w:hint="eastAsia" w:ascii="宋体" w:hAnsi="宋体" w:eastAsia="宋体" w:cs="宋体"/>
                <w:szCs w:val="21"/>
                <w:highlight w:val="none"/>
              </w:rPr>
              <w:t>功率强劲，具备后翻转功能，适用于弧焊、压铸、机械管理、物料搬运、注塑、装配、包装等应用领域。适合恶劣生产环境，IP67防护等级，可蒸汽清洗。工作循环时间短,同类机器人中操作速度最快。配备运动控制功能，操作速度快、加速性能好，显著缩短了工作循环时间。精度高——零件生产质量稳定,具有极高的重复定位精度（±0.05mm）和轨迹精度。</w:t>
            </w:r>
          </w:p>
          <w:p w14:paraId="4F6F2B25">
            <w:pPr>
              <w:widowControl/>
              <w:adjustRightInd w:val="0"/>
              <w:snapToGrid w:val="0"/>
              <w:textAlignment w:val="auto"/>
              <w:rPr>
                <w:rFonts w:ascii="宋体" w:hAnsi="宋体" w:eastAsia="宋体" w:cs="宋体"/>
                <w:b/>
                <w:bCs/>
                <w:szCs w:val="21"/>
                <w:highlight w:val="none"/>
                <w14:ligatures w14:val="standardContextual"/>
              </w:rPr>
            </w:pPr>
            <w:r>
              <w:rPr>
                <w:rFonts w:hint="eastAsia" w:ascii="宋体" w:hAnsi="宋体" w:eastAsia="宋体" w:cs="宋体"/>
                <w:kern w:val="0"/>
                <w:szCs w:val="21"/>
                <w:highlight w:val="none"/>
                <w14:ligatures w14:val="standardContextual"/>
              </w:rPr>
              <w:t>（1）具有6个自由度，串联关节型工业机器人</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（2）安装方式为地面安装</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（3）工作范围：≥1450mm</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（4）手腕荷重能力：10kg</w:t>
            </w:r>
            <w:r>
              <w:rPr>
                <w:rFonts w:hint="eastAsia" w:ascii="宋体" w:hAnsi="宋体" w:eastAsia="宋体" w:cs="宋体"/>
                <w:kern w:val="0"/>
                <w:szCs w:val="21"/>
                <w:highlight w:val="none"/>
                <w14:ligatures w14:val="standardContextual"/>
              </w:rPr>
              <w:br w:type="textWrapping"/>
            </w: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（5）重复定位精度：±0.05mm</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（6）机器人单元防护等级IP67</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（7）可工作环境相对湿度最高95%</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（8）工作环境温度范围5℃~45°℃</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（9）第1轴工作范围为+180°/-180°，最大旋转速度180°/s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（10）第2轴工作范围为+150°/-90°，最大旋转速度180°/s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（11）第3轴工作范围为+65°/-245°，最大旋转速度185°/s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（12）第4轴工作范围为+200°/-200°，最大旋转速度385°/s</w:t>
            </w:r>
          </w:p>
          <w:p w14:paraId="67E9B28B">
            <w:pPr>
              <w:widowControl/>
              <w:adjustRightInd w:val="0"/>
              <w:snapToGrid w:val="0"/>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14:ligatures w14:val="standardContextual"/>
              </w:rPr>
              <w:t>（13）第5轴工作范围为+115°/-115°，最大旋转速度400°/s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（14）第6轴工作范围为+400°/-400°，最大旋转速度460°/s</w:t>
            </w:r>
            <w:r>
              <w:rPr>
                <w:rFonts w:hint="eastAsia" w:ascii="宋体" w:hAnsi="宋体" w:eastAsia="宋体" w:cs="宋体"/>
                <w:kern w:val="0"/>
                <w:szCs w:val="21"/>
                <w:highlight w:val="none"/>
                <w14:ligatures w14:val="standardContextual"/>
              </w:rPr>
              <w:br w:type="textWrapping"/>
            </w:r>
            <w:r>
              <w:rPr>
                <w:rFonts w:hint="eastAsia" w:ascii="宋体" w:hAnsi="宋体" w:eastAsia="宋体" w:cs="宋体"/>
                <w:kern w:val="0"/>
                <w:szCs w:val="21"/>
                <w:highlight w:val="none"/>
                <w14:ligatures w14:val="standardContextual"/>
              </w:rPr>
              <w:t>（15）机器人本体重量：250Kg</w:t>
            </w:r>
          </w:p>
          <w:p w14:paraId="7D5B9FA7">
            <w:pPr>
              <w:widowControl/>
              <w:adjustRightInd w:val="0"/>
              <w:snapToGrid w:val="0"/>
              <w:textAlignment w:val="auto"/>
              <w:rPr>
                <w:rFonts w:ascii="宋体" w:hAnsi="宋体" w:eastAsia="宋体" w:cs="宋体"/>
                <w:color w:val="000000"/>
                <w:szCs w:val="21"/>
                <w:highlight w:val="none"/>
                <w:shd w:val="clear" w:color="auto" w:fill="FFFFFF"/>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kern w:val="0"/>
                <w:szCs w:val="21"/>
                <w:highlight w:val="none"/>
                <w14:ligatures w14:val="standardContextual"/>
              </w:rPr>
              <w:t>（16）</w:t>
            </w:r>
            <w:r>
              <w:rPr>
                <w:rFonts w:hint="eastAsia" w:ascii="宋体" w:hAnsi="宋体" w:eastAsia="宋体" w:cs="宋体"/>
                <w:szCs w:val="21"/>
                <w:highlight w:val="none"/>
                <w14:ligatures w14:val="standardContextual"/>
              </w:rPr>
              <w:t>机器人控制器：1）</w:t>
            </w:r>
            <w:r>
              <w:rPr>
                <w:rFonts w:hint="eastAsia" w:ascii="宋体" w:hAnsi="宋体" w:eastAsia="宋体" w:cs="宋体"/>
                <w:color w:val="000000"/>
                <w:szCs w:val="21"/>
                <w:highlight w:val="none"/>
                <w:shd w:val="clear" w:color="auto" w:fill="FFFFFF"/>
                <w14:ligatures w14:val="standardContextual"/>
              </w:rPr>
              <w:t>控制硬件：</w:t>
            </w:r>
            <w:r>
              <w:rPr>
                <w:rFonts w:hint="eastAsia" w:ascii="宋体" w:hAnsi="宋体" w:eastAsia="宋体" w:cs="宋体"/>
                <w:szCs w:val="21"/>
                <w:highlight w:val="none"/>
                <w14:ligatures w14:val="standardContextual"/>
              </w:rPr>
              <w:t>多处理器系统、PCI 总线、奔腾CPU、大容量闪存(1GB)、20s UPS 备份电源</w:t>
            </w:r>
            <w:r>
              <w:rPr>
                <w:rFonts w:hint="eastAsia" w:ascii="宋体" w:hAnsi="宋体" w:eastAsia="宋体" w:cs="宋体"/>
                <w:color w:val="000000"/>
                <w:szCs w:val="21"/>
                <w:highlight w:val="none"/>
                <w:shd w:val="clear" w:color="auto" w:fill="FFFFFF"/>
                <w14:ligatures w14:val="standardContextual"/>
              </w:rPr>
              <w:t>；2）控制软件：</w:t>
            </w:r>
            <w:r>
              <w:rPr>
                <w:rFonts w:hint="eastAsia" w:ascii="宋体" w:hAnsi="宋体" w:eastAsia="宋体" w:cs="宋体"/>
                <w:szCs w:val="21"/>
                <w:highlight w:val="none"/>
                <w14:ligatures w14:val="standardContextual"/>
              </w:rPr>
              <w:t>BaseWare 机器人操作系统、强大的RAPID编程语言、PC-DOS文本格式、</w:t>
            </w:r>
            <w:r>
              <w:rPr>
                <w:rFonts w:hint="eastAsia" w:ascii="宋体" w:hAnsi="宋体" w:eastAsia="宋体" w:cs="宋体"/>
                <w:color w:val="000000"/>
                <w:szCs w:val="21"/>
                <w:highlight w:val="none"/>
                <w:shd w:val="clear" w:color="auto" w:fill="FFFFFF"/>
                <w14:ligatures w14:val="standardContextual"/>
              </w:rPr>
              <w:t>预装软件；3）外形尺寸：970 x 725 x 710mm；</w:t>
            </w:r>
          </w:p>
          <w:p w14:paraId="47462A84">
            <w:pPr>
              <w:widowControl/>
              <w:adjustRightInd w:val="0"/>
              <w:snapToGrid w:val="0"/>
              <w:textAlignment w:val="auto"/>
              <w:rPr>
                <w:rFonts w:ascii="宋体" w:hAnsi="宋体" w:eastAsia="宋体" w:cs="宋体"/>
                <w:color w:val="000000"/>
                <w:szCs w:val="21"/>
                <w:highlight w:val="none"/>
              </w:rPr>
            </w:pPr>
            <w:r>
              <w:rPr>
                <w:rFonts w:hint="eastAsia" w:ascii="宋体" w:hAnsi="宋体" w:eastAsia="宋体" w:cs="宋体"/>
                <w:kern w:val="0"/>
                <w:szCs w:val="21"/>
                <w:highlight w:val="none"/>
                <w:lang w:bidi="ar"/>
              </w:rPr>
              <w:t>★</w:t>
            </w:r>
            <w:r>
              <w:rPr>
                <w:rFonts w:hint="eastAsia" w:ascii="宋体" w:hAnsi="宋体" w:eastAsia="宋体" w:cs="宋体"/>
                <w:kern w:val="0"/>
                <w:szCs w:val="21"/>
                <w:highlight w:val="none"/>
              </w:rPr>
              <w:t>（17）</w:t>
            </w:r>
            <w:r>
              <w:rPr>
                <w:rFonts w:hint="eastAsia" w:ascii="宋体" w:hAnsi="宋体" w:eastAsia="宋体" w:cs="宋体"/>
                <w:color w:val="000000"/>
                <w:szCs w:val="21"/>
                <w:highlight w:val="none"/>
                <w:shd w:val="clear" w:color="auto" w:fill="FFFFFF"/>
              </w:rPr>
              <w:t>机器人示教器：</w:t>
            </w:r>
            <w:r>
              <w:rPr>
                <w:rFonts w:hint="eastAsia" w:ascii="宋体" w:hAnsi="宋体" w:eastAsia="宋体" w:cs="宋体"/>
                <w:szCs w:val="21"/>
                <w:highlight w:val="none"/>
              </w:rPr>
              <w:t>便携式，具备操纵杆和键盘，</w:t>
            </w:r>
            <w:r>
              <w:rPr>
                <w:rFonts w:hint="eastAsia" w:ascii="宋体" w:hAnsi="宋体" w:eastAsia="宋体" w:cs="宋体"/>
                <w:color w:val="000000"/>
                <w:szCs w:val="21"/>
                <w:highlight w:val="none"/>
                <w:shd w:val="clear" w:color="auto" w:fill="FFFFFF"/>
              </w:rPr>
              <w:t>6.5英寸图形化彩色，防护等级：IP54。</w:t>
            </w:r>
          </w:p>
          <w:p w14:paraId="6C7E5437">
            <w:pPr>
              <w:widowControl/>
              <w:adjustRightInd w:val="0"/>
              <w:snapToGrid w:val="0"/>
              <w:textAlignment w:val="auto"/>
              <w:rPr>
                <w:rFonts w:ascii="宋体" w:hAnsi="宋体" w:eastAsia="宋体" w:cs="宋体"/>
                <w:szCs w:val="21"/>
                <w:highlight w:val="none"/>
              </w:rPr>
            </w:pPr>
            <w:r>
              <w:rPr>
                <w:rFonts w:hint="eastAsia" w:ascii="宋体" w:hAnsi="宋体" w:eastAsia="宋体" w:cs="宋体"/>
                <w:color w:val="000000"/>
                <w:szCs w:val="21"/>
                <w:highlight w:val="none"/>
              </w:rPr>
              <w:t xml:space="preserve">6.2 </w:t>
            </w:r>
            <w:r>
              <w:rPr>
                <w:rFonts w:hint="eastAsia" w:ascii="宋体" w:hAnsi="宋体" w:eastAsia="宋体" w:cs="宋体"/>
                <w:szCs w:val="21"/>
                <w:highlight w:val="none"/>
              </w:rPr>
              <w:t>机器人底板</w:t>
            </w:r>
            <w:r>
              <w:rPr>
                <w:rFonts w:hint="eastAsia" w:ascii="宋体" w:hAnsi="宋体" w:eastAsia="宋体" w:cs="宋体"/>
                <w:color w:val="000000"/>
                <w:szCs w:val="21"/>
                <w:highlight w:val="none"/>
              </w:rPr>
              <w:t>：1套；</w:t>
            </w:r>
            <w:r>
              <w:rPr>
                <w:rFonts w:hint="eastAsia" w:ascii="宋体" w:hAnsi="宋体" w:eastAsia="宋体" w:cs="宋体"/>
                <w:szCs w:val="21"/>
                <w:highlight w:val="none"/>
              </w:rPr>
              <w:t>机器人底座与工业机器人配套使用。</w:t>
            </w:r>
          </w:p>
          <w:p w14:paraId="1EE8945A">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6.3 机器人快换装置与支架</w:t>
            </w:r>
            <w:r>
              <w:rPr>
                <w:rFonts w:hint="eastAsia" w:ascii="宋体" w:hAnsi="宋体" w:eastAsia="宋体" w:cs="宋体"/>
                <w:color w:val="000000"/>
                <w:szCs w:val="21"/>
                <w:highlight w:val="none"/>
              </w:rPr>
              <w:t>：1套；</w:t>
            </w:r>
            <w:r>
              <w:rPr>
                <w:rFonts w:hint="eastAsia" w:ascii="宋体" w:hAnsi="宋体" w:eastAsia="宋体" w:cs="宋体"/>
                <w:szCs w:val="21"/>
                <w:highlight w:val="none"/>
              </w:rPr>
              <w:t>机器人末端快换工具标配为机器人本体1套快换法兰母端，连接2套夹持工具快换法兰公共端，快换工具采用工业自动化公司优质产品。快换法兰直径：50mm；额定负载：</w:t>
            </w:r>
            <w:r>
              <w:rPr>
                <w:rFonts w:hint="eastAsia" w:ascii="宋体" w:hAnsi="宋体" w:eastAsia="宋体" w:cs="宋体"/>
                <w:kern w:val="0"/>
                <w:szCs w:val="21"/>
                <w:highlight w:val="none"/>
              </w:rPr>
              <w:t>16Kg；锁紧力</w:t>
            </w:r>
            <w:r>
              <w:rPr>
                <w:rFonts w:hint="eastAsia" w:ascii="宋体" w:hAnsi="宋体" w:eastAsia="宋体" w:cs="宋体"/>
                <w:szCs w:val="21"/>
                <w:highlight w:val="none"/>
              </w:rPr>
              <w:t>@80psi(5.5bar)：</w:t>
            </w:r>
            <w:r>
              <w:rPr>
                <w:rFonts w:hint="eastAsia" w:ascii="宋体" w:hAnsi="宋体" w:eastAsia="宋体" w:cs="宋体"/>
                <w:kern w:val="0"/>
                <w:szCs w:val="21"/>
                <w:highlight w:val="none"/>
              </w:rPr>
              <w:t>1100N；静力矩（X/Y）：24.9Nm；静力矩（Z）：33.9Nm；接口螺纹：M5。</w:t>
            </w:r>
          </w:p>
          <w:p w14:paraId="046FEBE0">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6.4 机器人末端工具</w:t>
            </w:r>
            <w:r>
              <w:rPr>
                <w:rFonts w:hint="eastAsia" w:ascii="宋体" w:hAnsi="宋体" w:eastAsia="宋体" w:cs="宋体"/>
                <w:color w:val="000000"/>
                <w:szCs w:val="21"/>
                <w:highlight w:val="none"/>
              </w:rPr>
              <w:t>：1套；</w:t>
            </w:r>
            <w:r>
              <w:rPr>
                <w:rFonts w:hint="eastAsia" w:ascii="宋体" w:hAnsi="宋体" w:eastAsia="宋体" w:cs="宋体"/>
                <w:szCs w:val="21"/>
                <w:highlight w:val="none"/>
              </w:rPr>
              <w:t>配置机器人末端工具，可实现实训电机工件、包装盒和包装盒盖的拾取搬运，具体样式与工件配套。</w:t>
            </w:r>
          </w:p>
          <w:p w14:paraId="536F0A9D">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6.5 包装工作台及定位装置</w:t>
            </w:r>
            <w:r>
              <w:rPr>
                <w:rFonts w:hint="eastAsia" w:ascii="宋体" w:hAnsi="宋体" w:eastAsia="宋体" w:cs="宋体"/>
                <w:color w:val="000000"/>
                <w:szCs w:val="21"/>
                <w:highlight w:val="none"/>
              </w:rPr>
              <w:t>：1套；</w:t>
            </w:r>
            <w:r>
              <w:rPr>
                <w:rFonts w:hint="eastAsia" w:ascii="宋体" w:hAnsi="宋体" w:eastAsia="宋体" w:cs="宋体"/>
                <w:szCs w:val="21"/>
                <w:highlight w:val="none"/>
              </w:rPr>
              <w:t>单元配置包装工作台及定位装置，外形与实训系统配套。工作台上安装定位装置，用于自动化包装时进行包装盒的定位。</w:t>
            </w:r>
          </w:p>
          <w:p w14:paraId="60173A5D">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6.6 自动包装盒仓库</w:t>
            </w:r>
            <w:r>
              <w:rPr>
                <w:rFonts w:hint="eastAsia" w:ascii="宋体" w:hAnsi="宋体" w:eastAsia="宋体" w:cs="宋体"/>
                <w:color w:val="000000"/>
                <w:szCs w:val="21"/>
                <w:highlight w:val="none"/>
              </w:rPr>
              <w:t>：1套；</w:t>
            </w:r>
            <w:r>
              <w:rPr>
                <w:rFonts w:hint="eastAsia" w:ascii="宋体" w:hAnsi="宋体" w:eastAsia="宋体" w:cs="宋体"/>
                <w:szCs w:val="21"/>
                <w:highlight w:val="none"/>
              </w:rPr>
              <w:t>自动包装盒仓库仓位均匀分布，由我司根据实训工件尺寸进行小型化非标设计，具体以实际为准。</w:t>
            </w:r>
          </w:p>
          <w:p w14:paraId="171D351F">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6.7 井式推盖装置</w:t>
            </w:r>
            <w:r>
              <w:rPr>
                <w:rFonts w:hint="eastAsia" w:ascii="宋体" w:hAnsi="宋体" w:eastAsia="宋体" w:cs="宋体"/>
                <w:color w:val="000000"/>
                <w:szCs w:val="21"/>
                <w:highlight w:val="none"/>
              </w:rPr>
              <w:t>：1套；</w:t>
            </w:r>
            <w:r>
              <w:rPr>
                <w:rFonts w:hint="eastAsia" w:ascii="宋体" w:hAnsi="宋体" w:eastAsia="宋体" w:cs="宋体"/>
                <w:szCs w:val="21"/>
                <w:highlight w:val="none"/>
              </w:rPr>
              <w:t>井式推盖装置经光电感应后，由气缸推出包装箱盖出库，工业机器人真空吸附包装箱盖进行加盖作业。</w:t>
            </w:r>
          </w:p>
          <w:p w14:paraId="0456A0ED">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6.8 倍速链输送机</w:t>
            </w:r>
            <w:r>
              <w:rPr>
                <w:rFonts w:hint="eastAsia" w:ascii="宋体" w:hAnsi="宋体" w:eastAsia="宋体" w:cs="宋体"/>
                <w:color w:val="000000"/>
                <w:szCs w:val="21"/>
                <w:highlight w:val="none"/>
              </w:rPr>
              <w:t>：1套；</w:t>
            </w:r>
            <w:r>
              <w:rPr>
                <w:rFonts w:hint="eastAsia" w:ascii="宋体" w:hAnsi="宋体" w:eastAsia="宋体" w:cs="宋体"/>
                <w:szCs w:val="21"/>
                <w:highlight w:val="none"/>
              </w:rPr>
              <w:t>采用单层倍速链输送机进行输送，倍速链输送机又称差速链、增速链流水线，由于大小滚子的独特结构，可实现2.5倍数的高速输送。采用特制的，经表面处理的挤压铝合金型材作为导轨，使输送系统在输送过程中具有非常好的稳定性和持久性，适合产品大批量连续生产。</w:t>
            </w:r>
            <w:r>
              <w:rPr>
                <w:rFonts w:hint="eastAsia" w:ascii="宋体" w:hAnsi="宋体" w:eastAsia="宋体" w:cs="宋体"/>
                <w:kern w:val="0"/>
                <w:szCs w:val="21"/>
                <w:highlight w:val="none"/>
              </w:rPr>
              <w:t>承载能力：25kg；驱动方式：三相异步+变频调速；运行速度：</w:t>
            </w:r>
            <w:r>
              <w:rPr>
                <w:rFonts w:hint="eastAsia" w:ascii="宋体" w:hAnsi="宋体" w:eastAsia="宋体" w:cs="宋体"/>
                <w:color w:val="000000"/>
                <w:kern w:val="0"/>
                <w:szCs w:val="21"/>
                <w:highlight w:val="none"/>
              </w:rPr>
              <w:t>3-6m/min</w:t>
            </w:r>
            <w:r>
              <w:rPr>
                <w:rFonts w:hint="eastAsia" w:ascii="宋体" w:hAnsi="宋体" w:eastAsia="宋体" w:cs="宋体"/>
                <w:szCs w:val="21"/>
                <w:highlight w:val="none"/>
              </w:rPr>
              <w:t>。</w:t>
            </w:r>
          </w:p>
          <w:p w14:paraId="15FE717D">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6.9 顶升换向装置</w:t>
            </w:r>
            <w:r>
              <w:rPr>
                <w:rFonts w:hint="eastAsia" w:ascii="宋体" w:hAnsi="宋体" w:eastAsia="宋体" w:cs="宋体"/>
                <w:color w:val="000000"/>
                <w:szCs w:val="21"/>
                <w:highlight w:val="none"/>
              </w:rPr>
              <w:t>：1套；</w:t>
            </w:r>
            <w:r>
              <w:rPr>
                <w:rFonts w:hint="eastAsia" w:ascii="宋体" w:hAnsi="宋体" w:eastAsia="宋体" w:cs="宋体"/>
                <w:kern w:val="0"/>
                <w:szCs w:val="21"/>
                <w:highlight w:val="none"/>
              </w:rPr>
              <w:t>顶升换向装置装于上层倍速链内部，主要通过汽缸伸缩运动来实现输送机构的升降移动，从而实现90度换向输送。</w:t>
            </w:r>
            <w:r>
              <w:rPr>
                <w:rFonts w:hint="eastAsia" w:ascii="宋体" w:hAnsi="宋体" w:eastAsia="宋体" w:cs="宋体"/>
                <w:szCs w:val="21"/>
                <w:highlight w:val="none"/>
              </w:rPr>
              <w:t>顶升装置承载能力：≥25kg；顶升装置驱动：直流减速电机+气缸。</w:t>
            </w:r>
          </w:p>
          <w:p w14:paraId="11800173">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6.10 定位阻挡装置</w:t>
            </w:r>
            <w:r>
              <w:rPr>
                <w:rFonts w:hint="eastAsia" w:ascii="宋体" w:hAnsi="宋体" w:eastAsia="宋体" w:cs="宋体"/>
                <w:color w:val="000000"/>
                <w:szCs w:val="21"/>
                <w:highlight w:val="none"/>
              </w:rPr>
              <w:t>：1套；</w:t>
            </w:r>
            <w:r>
              <w:rPr>
                <w:rFonts w:hint="eastAsia" w:ascii="宋体" w:hAnsi="宋体" w:eastAsia="宋体" w:cs="宋体"/>
                <w:szCs w:val="21"/>
                <w:highlight w:val="none"/>
              </w:rPr>
              <w:t>气动式举升定位机构，配合阻挡器使用，对托盘精准定位，定位精度±0.1mm；往复式运动气缸，缸径不小于50mm，行程不小于10mm；气缸位置检测；工作气压0.1~0.6Mpa。</w:t>
            </w:r>
          </w:p>
          <w:p w14:paraId="19AF1B9C">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6.11 单元可编程控制器电气控制系统</w:t>
            </w:r>
            <w:r>
              <w:rPr>
                <w:rFonts w:hint="eastAsia" w:ascii="宋体" w:hAnsi="宋体" w:eastAsia="宋体" w:cs="宋体"/>
                <w:color w:val="000000"/>
                <w:szCs w:val="21"/>
                <w:highlight w:val="none"/>
              </w:rPr>
              <w:t>：1套；</w:t>
            </w:r>
            <w:r>
              <w:rPr>
                <w:rFonts w:hint="eastAsia" w:ascii="宋体" w:hAnsi="宋体" w:eastAsia="宋体" w:cs="宋体"/>
                <w:szCs w:val="21"/>
                <w:highlight w:val="none"/>
              </w:rPr>
              <w:t>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highlight w:val="none"/>
              </w:rPr>
              <w:t>CPU：CPU 1215C DC/DC/DC；</w:t>
            </w:r>
            <w:r>
              <w:rPr>
                <w:rFonts w:hint="eastAsia" w:ascii="宋体" w:hAnsi="宋体" w:eastAsia="宋体" w:cs="宋体"/>
                <w:kern w:val="0"/>
                <w:szCs w:val="21"/>
                <w:highlight w:val="none"/>
                <w:lang w:val="zh-CN"/>
              </w:rPr>
              <w:t>工作存储器：</w:t>
            </w:r>
            <w:r>
              <w:rPr>
                <w:rFonts w:hint="eastAsia" w:ascii="宋体" w:hAnsi="宋体" w:eastAsia="宋体" w:cs="宋体"/>
                <w:color w:val="000000"/>
                <w:kern w:val="0"/>
                <w:szCs w:val="21"/>
                <w:highlight w:val="none"/>
                <w:lang w:val="zh-CN"/>
              </w:rPr>
              <w:t>125KB；</w:t>
            </w:r>
            <w:r>
              <w:rPr>
                <w:rFonts w:hint="eastAsia" w:ascii="宋体" w:hAnsi="宋体" w:eastAsia="宋体" w:cs="宋体"/>
                <w:kern w:val="0"/>
                <w:szCs w:val="21"/>
                <w:highlight w:val="none"/>
                <w:lang w:val="zh-CN"/>
              </w:rPr>
              <w:t>装载存储器：</w:t>
            </w:r>
            <w:r>
              <w:rPr>
                <w:rFonts w:hint="eastAsia" w:ascii="宋体" w:hAnsi="宋体" w:eastAsia="宋体" w:cs="宋体"/>
                <w:color w:val="000000"/>
                <w:kern w:val="0"/>
                <w:szCs w:val="21"/>
                <w:highlight w:val="none"/>
                <w:lang w:val="zh-CN"/>
              </w:rPr>
              <w:t>4MB；</w:t>
            </w:r>
            <w:r>
              <w:rPr>
                <w:rFonts w:hint="eastAsia" w:ascii="宋体" w:hAnsi="宋体" w:eastAsia="宋体" w:cs="宋体"/>
                <w:kern w:val="0"/>
                <w:szCs w:val="21"/>
                <w:highlight w:val="none"/>
                <w:lang w:val="zh-CN"/>
              </w:rPr>
              <w:t>模拟量：</w:t>
            </w:r>
            <w:r>
              <w:rPr>
                <w:rFonts w:hint="eastAsia" w:ascii="宋体" w:hAnsi="宋体" w:eastAsia="宋体" w:cs="宋体"/>
                <w:color w:val="000000"/>
                <w:kern w:val="0"/>
                <w:szCs w:val="21"/>
                <w:highlight w:val="none"/>
                <w:lang w:val="zh-CN"/>
              </w:rPr>
              <w:t>2AI/2AO；</w:t>
            </w:r>
            <w:r>
              <w:rPr>
                <w:rFonts w:hint="eastAsia" w:ascii="宋体" w:hAnsi="宋体" w:eastAsia="宋体" w:cs="宋体"/>
                <w:kern w:val="0"/>
                <w:szCs w:val="21"/>
                <w:highlight w:val="none"/>
                <w:lang w:val="zh-CN"/>
              </w:rPr>
              <w:t>通信协议：</w:t>
            </w:r>
            <w:r>
              <w:rPr>
                <w:rFonts w:hint="eastAsia" w:ascii="宋体" w:hAnsi="宋体" w:eastAsia="宋体" w:cs="宋体"/>
                <w:color w:val="000000"/>
                <w:kern w:val="0"/>
                <w:szCs w:val="21"/>
                <w:highlight w:val="none"/>
                <w:lang w:val="zh-CN"/>
              </w:rPr>
              <w:t>支持</w:t>
            </w:r>
            <w:r>
              <w:rPr>
                <w:rFonts w:hint="eastAsia" w:ascii="宋体" w:hAnsi="宋体" w:eastAsia="宋体" w:cs="宋体"/>
                <w:color w:val="000000"/>
                <w:kern w:val="0"/>
                <w:szCs w:val="21"/>
                <w:highlight w:val="none"/>
              </w:rPr>
              <w:t>PROFINET</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TCP/IP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SNMP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DCP</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LLDP、ISO-on-TCP、UDP、MODBUS、S7等通信协议，PROFIBUS</w:t>
            </w:r>
            <w:r>
              <w:rPr>
                <w:rFonts w:hint="eastAsia" w:ascii="宋体" w:hAnsi="宋体" w:eastAsia="宋体" w:cs="宋体"/>
                <w:color w:val="000000"/>
                <w:kern w:val="0"/>
                <w:szCs w:val="21"/>
                <w:highlight w:val="none"/>
                <w:lang w:val="zh-CN"/>
              </w:rPr>
              <w:t>、</w:t>
            </w:r>
            <w:r>
              <w:rPr>
                <w:rFonts w:hint="eastAsia" w:ascii="宋体" w:hAnsi="宋体" w:eastAsia="宋体" w:cs="宋体"/>
                <w:color w:val="000000"/>
                <w:kern w:val="0"/>
                <w:szCs w:val="21"/>
                <w:highlight w:val="none"/>
              </w:rPr>
              <w:t>AS接口通信扩展可支持；</w:t>
            </w:r>
            <w:r>
              <w:rPr>
                <w:rFonts w:hint="eastAsia" w:ascii="宋体" w:hAnsi="宋体" w:eastAsia="宋体" w:cs="宋体"/>
                <w:kern w:val="0"/>
                <w:szCs w:val="21"/>
                <w:highlight w:val="none"/>
                <w:lang w:val="zh-CN"/>
              </w:rPr>
              <w:t>布尔运算执行速度：</w:t>
            </w:r>
            <w:r>
              <w:rPr>
                <w:rFonts w:hint="eastAsia" w:ascii="宋体" w:hAnsi="宋体" w:eastAsia="宋体" w:cs="宋体"/>
                <w:color w:val="000000"/>
                <w:kern w:val="0"/>
                <w:szCs w:val="21"/>
                <w:highlight w:val="none"/>
                <w:lang w:val="zh-CN"/>
              </w:rPr>
              <w:t>0.08μs/指令；</w:t>
            </w:r>
            <w:r>
              <w:rPr>
                <w:rFonts w:hint="eastAsia" w:ascii="宋体" w:hAnsi="宋体" w:eastAsia="宋体" w:cs="宋体"/>
                <w:kern w:val="0"/>
                <w:szCs w:val="21"/>
                <w:highlight w:val="none"/>
                <w:lang w:val="zh-CN"/>
              </w:rPr>
              <w:t>移动字执行速度：</w:t>
            </w:r>
            <w:r>
              <w:rPr>
                <w:rFonts w:hint="eastAsia" w:ascii="宋体" w:hAnsi="宋体" w:eastAsia="宋体" w:cs="宋体"/>
                <w:color w:val="000000"/>
                <w:kern w:val="0"/>
                <w:szCs w:val="21"/>
                <w:highlight w:val="none"/>
                <w:lang w:val="zh-CN"/>
              </w:rPr>
              <w:t>1.7μs/指令；</w:t>
            </w:r>
            <w:r>
              <w:rPr>
                <w:rFonts w:hint="eastAsia" w:ascii="宋体" w:hAnsi="宋体" w:eastAsia="宋体" w:cs="宋体"/>
                <w:kern w:val="0"/>
                <w:szCs w:val="21"/>
                <w:highlight w:val="none"/>
                <w:lang w:val="zh-CN"/>
              </w:rPr>
              <w:t>实数数学运算执行速度：</w:t>
            </w:r>
            <w:r>
              <w:rPr>
                <w:rFonts w:hint="eastAsia" w:ascii="宋体" w:hAnsi="宋体" w:eastAsia="宋体" w:cs="宋体"/>
                <w:color w:val="000000"/>
                <w:kern w:val="0"/>
                <w:szCs w:val="21"/>
                <w:highlight w:val="none"/>
                <w:lang w:val="zh-CN"/>
              </w:rPr>
              <w:t>2.3μs 指令。</w:t>
            </w:r>
          </w:p>
          <w:p w14:paraId="541A8EA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6.12 人机界面与支架</w:t>
            </w:r>
            <w:r>
              <w:rPr>
                <w:rFonts w:hint="eastAsia" w:ascii="宋体" w:hAnsi="宋体" w:eastAsia="宋体" w:cs="宋体"/>
                <w:color w:val="000000"/>
                <w:szCs w:val="21"/>
                <w:highlight w:val="none"/>
                <w14:ligatures w14:val="standardContextual"/>
              </w:rPr>
              <w:t>：1套；</w:t>
            </w:r>
            <w:r>
              <w:rPr>
                <w:rFonts w:hint="eastAsia" w:ascii="宋体" w:hAnsi="宋体" w:eastAsia="宋体" w:cs="宋体"/>
                <w:szCs w:val="21"/>
                <w:highlight w:val="none"/>
                <w14:ligatures w14:val="standardContextual"/>
              </w:rPr>
              <w:t>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highlight w:val="none"/>
                <w14:ligatures w14:val="standardContextual"/>
              </w:rPr>
              <w:t>显示：9英寸的TFT真彩显示屏，65536色；分辨率：800×480像素；操作方式：触摸屏和覆膜按键；背光无故障时间：20000H；存储器：10MB；电压额定值：DC24V；接口：以太网接口×1，USB接口×1；防护等级：正面IP65，背面IP20。</w:t>
            </w:r>
          </w:p>
        </w:tc>
        <w:tc>
          <w:tcPr>
            <w:tcW w:w="858" w:type="dxa"/>
            <w:vAlign w:val="center"/>
          </w:tcPr>
          <w:p w14:paraId="498D3102">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1F87F035">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64B2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67B47331">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w:t>
            </w:r>
          </w:p>
        </w:tc>
        <w:tc>
          <w:tcPr>
            <w:tcW w:w="1033" w:type="dxa"/>
            <w:vAlign w:val="center"/>
          </w:tcPr>
          <w:p w14:paraId="7267897C">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柔性AGV运载机器人</w:t>
            </w:r>
          </w:p>
        </w:tc>
        <w:tc>
          <w:tcPr>
            <w:tcW w:w="6282" w:type="dxa"/>
          </w:tcPr>
          <w:p w14:paraId="4578A22B">
            <w:pPr>
              <w:widowControl/>
              <w:adjustRightInd w:val="0"/>
              <w:snapToGrid w:val="0"/>
              <w:textAlignment w:val="auto"/>
              <w:rPr>
                <w:rFonts w:ascii="宋体" w:hAnsi="宋体" w:eastAsia="宋体" w:cs="宋体"/>
                <w:szCs w:val="21"/>
                <w:highlight w:val="none"/>
              </w:rPr>
            </w:pPr>
            <w:r>
              <w:rPr>
                <w:rFonts w:hint="eastAsia" w:ascii="宋体" w:hAnsi="宋体" w:eastAsia="宋体" w:cs="宋体"/>
                <w:kern w:val="0"/>
                <w:szCs w:val="21"/>
                <w:highlight w:val="none"/>
                <w:lang w:bidi="ar"/>
              </w:rPr>
              <w:t>★7</w:t>
            </w:r>
            <w:r>
              <w:rPr>
                <w:rFonts w:hint="eastAsia" w:ascii="宋体" w:hAnsi="宋体" w:eastAsia="宋体" w:cs="宋体"/>
                <w:color w:val="000000"/>
                <w:szCs w:val="21"/>
                <w:highlight w:val="none"/>
              </w:rPr>
              <w:t xml:space="preserve">.1 </w:t>
            </w:r>
            <w:r>
              <w:rPr>
                <w:rFonts w:hint="eastAsia" w:ascii="宋体" w:hAnsi="宋体" w:eastAsia="宋体" w:cs="宋体"/>
                <w:szCs w:val="21"/>
                <w:highlight w:val="none"/>
              </w:rPr>
              <w:t>柔性AGV运载机器人：1套；柔性AGV运载机器人</w:t>
            </w:r>
            <w:r>
              <w:rPr>
                <w:rFonts w:hint="eastAsia" w:ascii="宋体" w:hAnsi="宋体" w:eastAsia="宋体" w:cs="宋体"/>
                <w:color w:val="000000"/>
                <w:szCs w:val="21"/>
                <w:highlight w:val="none"/>
              </w:rPr>
              <w:t>是一款应用于标准工业环境的通用移动AGV具有构建环境地图、自主规划路径、自主执行路径、安全避障等功能。AGV顶板平台上提供多元的外部载荷安装位置，高自由度的支持客户的应用拓展和二次开发。</w:t>
            </w:r>
            <w:r>
              <w:rPr>
                <w:rFonts w:hint="eastAsia" w:ascii="宋体" w:hAnsi="宋体" w:eastAsia="宋体" w:cs="宋体"/>
                <w:szCs w:val="21"/>
                <w:highlight w:val="none"/>
              </w:rPr>
              <w:t>机身尺寸（长×宽×高）：780×600×300mm；机身自重：80kg；额定载重：300kg；工作速度：前进1.5m/s；后退0.5m/s；转弯半径：0；回转半径：480mm；导航方式：激光SLAM+二维码信标；续航时间：10h；充电方式：自动+手动；充电时间：1h；电池寿命：1500次；避障方式：激光避障+防撞触边。</w:t>
            </w:r>
          </w:p>
          <w:p w14:paraId="34B74674">
            <w:pPr>
              <w:widowControl/>
              <w:adjustRightInd w:val="0"/>
              <w:snapToGrid w:val="0"/>
              <w:textAlignment w:val="auto"/>
              <w:rPr>
                <w:rFonts w:ascii="宋体" w:hAnsi="宋体" w:eastAsia="宋体" w:cs="宋体"/>
                <w:szCs w:val="21"/>
                <w:highlight w:val="none"/>
              </w:rPr>
            </w:pPr>
            <w:r>
              <w:rPr>
                <w:rFonts w:hint="eastAsia" w:ascii="宋体" w:hAnsi="宋体" w:eastAsia="宋体" w:cs="宋体"/>
                <w:szCs w:val="21"/>
                <w:highlight w:val="none"/>
              </w:rPr>
              <w:t>7.2 车载输送机：1套；激光导航AGV运载机器人运送物料需车载直流电机驱动输送装置共同进行。输送装置采用辊</w:t>
            </w:r>
            <w:r>
              <w:rPr>
                <w:rFonts w:hint="eastAsia" w:ascii="宋体" w:hAnsi="宋体" w:eastAsia="宋体" w:cs="宋体"/>
                <w:color w:val="000000"/>
                <w:szCs w:val="21"/>
                <w:highlight w:val="none"/>
              </w:rPr>
              <w:t>筒输送机形式，内部安装传感器及托盘导向定位装置。</w:t>
            </w:r>
            <w:r>
              <w:rPr>
                <w:rFonts w:hint="eastAsia" w:ascii="宋体" w:hAnsi="宋体" w:eastAsia="宋体" w:cs="宋体"/>
                <w:szCs w:val="21"/>
                <w:highlight w:val="none"/>
              </w:rPr>
              <w:t>输送运行速度：3m/min；电机：直流减速电机；承载能力：50kg。</w:t>
            </w:r>
          </w:p>
        </w:tc>
        <w:tc>
          <w:tcPr>
            <w:tcW w:w="858" w:type="dxa"/>
            <w:vAlign w:val="center"/>
          </w:tcPr>
          <w:p w14:paraId="21948752">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48C57809">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0A00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1AE55D82">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w:t>
            </w:r>
          </w:p>
        </w:tc>
        <w:tc>
          <w:tcPr>
            <w:tcW w:w="1033" w:type="dxa"/>
            <w:vAlign w:val="center"/>
          </w:tcPr>
          <w:p w14:paraId="632B55BC">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数字孪生总控信息管理单元</w:t>
            </w:r>
          </w:p>
        </w:tc>
        <w:tc>
          <w:tcPr>
            <w:tcW w:w="6282" w:type="dxa"/>
            <w:vAlign w:val="center"/>
          </w:tcPr>
          <w:p w14:paraId="2A9FD24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单元功能：数字孪生总控信息管理单元作为整个系统的数字化信息化管理中心，以MES生产管理系统为核心，通过以太网进行协同工作和高效数据交换，实现全系统的互联互通。整个生产过程通过计算机、信息显示液晶电视、、环境监控摄像头等实现可视化系统实时监控，对数控机床、工业机器人、RFID电子标签系统、各传感器进行物料识别、记录，2D和3D智能视觉检测系统等进行质量管控与信息采集，通过MES生产管理系统及工业以太网实现数据交互，由系统总控协调各分站单元按流程作业，完成生产线系统数字化、智能化、信息化等综合应用。</w:t>
            </w:r>
          </w:p>
          <w:p w14:paraId="6298A0D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单元组成：数字孪生总控信息管理单元由4台控制计算机、2套总控台、1套MES生产管理系统软件、1点机电一体化虚拟调试软件、1点数字化生产线设计与仿真软件、1点CAD/CAM数字化设计软件、4台信息显示液晶电视、4个环境监控摄像头等设备组成。</w:t>
            </w:r>
          </w:p>
          <w:p w14:paraId="30EC2F0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8.1 控制计算机：4套；配置4套控制计算机主要用于信息显示屏幕的控制及多媒体文件放映、MES生产管理系统软件、设计和仿真软件的安装，以及执行系统集成、整体控制等。CPU：I7，RAM：16G；硬盘容量：固态1TB；显卡：4G独显；显示器：27英寸液晶显示器。</w:t>
            </w:r>
          </w:p>
          <w:p w14:paraId="4B26850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8.2 总控台：2套；总控台上方安装控制计算机。附带氛围灯、插座、线槽、科技感十足。</w:t>
            </w:r>
          </w:p>
          <w:p w14:paraId="366647A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8.3 智能制造MES生产管理软件：1套；智能制造MES生产管理软件界面美观整洁、规范、可操作性强。在整个生产环节中对生产线各设备进行协调和调度，控制着整个智能制造系统生产流程安全有序进行。智能制造MES生产管理软件在智能制造系统中的作用是贯穿始终的。通过MES软件创建订单任务，然后MES软件发出初始化命令，对加工系统进行初始化复位。再对料库待加工工件情况进行盘点，盘点完成，最后启动加工系统运行。运行过程中，MES软件在进行运行状态监控的同时，会对运行数据进行记录与分析，并根据生产情况和设备运行状况适时下达命令，系统故障时并给出提示与警报。MES软件可按照“上传程序及创建订单—料库盘点—复位—启动—下发订单—检测及返修”流程操作运行。</w:t>
            </w:r>
          </w:p>
          <w:p w14:paraId="0EB55F1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排程管理：排程管理界面主要对指定批次指定数量的工件进行手动排程和自动排程并生成相应的工作任务。在加工系统启动前，可以在该界面对排程任务进行删除。如果需要创建新任务，则需要按照上述方法重新添加。系统启动后，在排程管理界面下发排程系统即开始运行。</w:t>
            </w:r>
          </w:p>
          <w:p w14:paraId="164D37A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料仓管理：料仓管理界面主要负责订单相关各仓库的盘点功能，绑定解绑相关订单的工件毛坯料，从而生成订单，用于后续的订单下发。在料仓管理界面进行料库盘点。设置好仓位中放置的工件信息，MES系统保存相应的仓位工件信息。此时需要按照MES系统料库盘点的设置，将相应工件放置到仓库对应的仓位。点击“写RFID”，将MES系统中的工件信息（场次、工件类型、材质、状态）写到RFID芯片中。盘点完成才可以启动加工系统。同时，料仓管理界面的每个仓位会根据工件加工的情况显示不同的状态（无料、待加工、加工中、加工异常、加工完成、不合格）。因此，在系统运行过程中还可以通过该界面进行料仓监控。</w:t>
            </w:r>
          </w:p>
          <w:p w14:paraId="2B32BC1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尺寸设置：尺寸设置界面用来设置标准的尺寸信息，方便在检测和返修界面查看工件和理论设定的值之间的关系，来决定是否需要将工件重新加工。用户可以预先对30个工件的尺寸信息进行设定，每个工件都有20个变量号，每个变量有理论值、上公差、下公差和备注。</w:t>
            </w:r>
          </w:p>
          <w:p w14:paraId="405DD287">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检测及返修：检测及返修界面主要显示工件的尺寸信息和刀具补偿信息，在数控机床的工件加工完成之后，可以查看工件的理论值和实际值之间的误差，再决定进行返修还是加工完成；若需要进行返修，先决定对应的刀补，写入系统中后，再进行返修操作。</w:t>
            </w:r>
          </w:p>
          <w:p w14:paraId="3D51495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刀具管理：刀具管理界面可以查看所有的刀具详细信息，有刀具长度磨损、刀具半径磨损、刀具长度补偿和刀具半径补偿，用户根据自己的需求设置对应的补偿值。注意：补偿值的绝对值不能大于1mm。刀具管理界面将当前加工中心和数控车床刀库中所有刀具的信息进行采集，并显示到MES系统相关界面。包括刀具长度磨损、刀具半径磨损、刀具长度补偿和刀具半径补偿。其中“刀具长度补偿”和“刀具半径补偿”可以在MES系统中进行在线修改。当工件加工完成，若系统检测尺寸不合格且判断需要返修，则可通过MES系统在线同步修改加工中心刀具补偿值，然后启动系统进行返修加工。</w:t>
            </w:r>
          </w:p>
          <w:p w14:paraId="4B577DD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设备监控：看板可以同时对多个设备的工作状态进行实时监测。智能制造系统配备了多个看板终端，可以根据需要查看相应设备数据。数控车床和加工中心的数据由MES系统直接读取。机器人的状态信息则是由PLC获取，然后转发给MES系统。设备监控界面主要用于显示各个设备的运行情况，相关设备有加工中心、车床和机器人。车床的数据：运行状态、工作模式、进给倍率、主轴转速、程序编号、绝对坐标X、绝对坐标Y和绝对坐标Z；机器人的数据：运行状态、关节1、关节2、关节3、关节4、关节5、关节6和关节7。</w:t>
            </w:r>
          </w:p>
          <w:p w14:paraId="539D0EA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刀具监控：刀具监控界面用于显示刀具的实时信息。该界面亦可以通过看板终端进行监测。</w:t>
            </w:r>
          </w:p>
          <w:p w14:paraId="224D5A0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设备操作：设备操作界面可实现远程对设备进行停止、复位、启动操作。</w:t>
            </w:r>
          </w:p>
          <w:p w14:paraId="161A8F2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上传文件：上传文件界面主要用于上传用户的加工文件。本界面支持上传加工文件到服务器，并根据文件生成对应的订单，也支持直接将文件上传至设备，并可以手动选择上传至数控车床还是加工中心。</w:t>
            </w:r>
          </w:p>
          <w:p w14:paraId="5B55E98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视频监控：视频监控界面可通过摄像头实时监控产线设备的运行状况。</w:t>
            </w:r>
          </w:p>
          <w:p w14:paraId="05FE72E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系统日志：系统日志界面记录了加工系统的运行信息。若系统出现故障，可根据系统运行日志来进行追溯。</w:t>
            </w:r>
          </w:p>
          <w:p w14:paraId="47245AD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8.4 机电一体化虚拟调试软件：1点；</w:t>
            </w:r>
          </w:p>
          <w:p w14:paraId="13C4A5C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（1）机电气液控制系统模型的设计功能；</w:t>
            </w:r>
          </w:p>
          <w:p w14:paraId="007F556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（2）提供与自动化控制系统集成接口；</w:t>
            </w:r>
          </w:p>
          <w:p w14:paraId="6BE15C6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（3）提供液压系统、气动系统、凸轮传动、常用机电控制模型、马达驱动等各类控制系统库；</w:t>
            </w:r>
          </w:p>
          <w:p w14:paraId="5D303D9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（4）能与PLC和伺服器硬件实时仿真联动；</w:t>
            </w:r>
          </w:p>
          <w:p w14:paraId="2DD369A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（5）能与三维设计软件、机电一体化设计软件、机构运动学和动力学分析软件、有限元结构分析软件等集成；可以与上述设计的对象模型进行实时仿真联动；</w:t>
            </w:r>
          </w:p>
          <w:p w14:paraId="1BBAB80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（6）具备并行计算能力。仿真过程中支持并行分割运算，可以自动分配单机多核并行计算或多个计算机并行计算；</w:t>
            </w:r>
          </w:p>
          <w:p w14:paraId="2BC46FB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（7）具备高级的元件二次开发功能；</w:t>
            </w:r>
          </w:p>
          <w:p w14:paraId="78F41C1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（8）可以直接访问软件中元件模型的源代码模板，还可以把用户自己开发的新图标和模型集成到软件包中并自动生成相应的标准帮助文档；</w:t>
            </w:r>
          </w:p>
          <w:p w14:paraId="6C7EB17D">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9)具备开放的建库能力，能够根据客户的实际需求，由工程师自己定制开发所需要的专业元件库。必须同时支持：C /Fortron/Modelica语言；</w:t>
            </w:r>
          </w:p>
          <w:p w14:paraId="1DCB439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10)具备封装和加密平台；</w:t>
            </w:r>
          </w:p>
          <w:p w14:paraId="51A4BCA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11)可以基于基本元件模型组合封装而形成超级元件，并可以定制超级元件的用户界面和参数设置；</w:t>
            </w:r>
          </w:p>
          <w:p w14:paraId="2200497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12)具有对超级元件进行加密功能以保护知识产权，如加密后只能看到模型部分参数，看不到内部结构模型；</w:t>
            </w:r>
          </w:p>
          <w:p w14:paraId="28AAEE4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13)具备时域和频域分析工具；</w:t>
            </w:r>
          </w:p>
          <w:p w14:paraId="5C7A943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14)能够进行时域分析，包括可以作出系统中所有物理量在仿真过程中的变化曲线；</w:t>
            </w:r>
          </w:p>
          <w:p w14:paraId="06E8F64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15)能够进行频域分析，包括模型线性化、模态分析、频响分析等，能够用Bode图、Nyquist图、Nicolse图等形式表达频响分析结果；</w:t>
            </w:r>
          </w:p>
          <w:p w14:paraId="087BBD6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具备专门的设计探索、优化分析工具。软件应具备设计探索功能，分析影响系统或元件性能的主要参数，分析加工误差对性能的影响，并根据期望的特性曲线确定设计中的未知参数。设计探索功能包括用于进行模型的试验规划分析（DOE）、优化分析和蒙特卡洛分析（Monte Carlo）；</w:t>
            </w:r>
          </w:p>
          <w:p w14:paraId="476876D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17)具备专门的仪表和控件功能，可实现任意仿真结果与仪表的关联；任意控制量与控件的关联；</w:t>
            </w:r>
          </w:p>
          <w:p w14:paraId="515236A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18)平台所包含的模块的图标均为矢量图形，放大缩小不会影响到图标的清晰度；</w:t>
            </w:r>
          </w:p>
          <w:p w14:paraId="181799A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19)平台具有模型以及描述文字等自动排列、对齐等功能；</w:t>
            </w:r>
          </w:p>
          <w:p w14:paraId="36A97BFD">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20)具备自定义前后处理界面功能。</w:t>
            </w:r>
          </w:p>
          <w:p w14:paraId="1E17D12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8.5 CAD/CAM数字化设计软件：1点；要求是一款可以提供产品开发解决方案的软件，可以提供集成的、高效的产品设计、文档、工装和制造计算机辅助工具，为用户的产品设计及加工过程提供数字化造型和验证的手段。利用此软件，用户可以缩短产品上市时间，改进产品质量，降低成本，促进产品和流程知识的应用，以加强创新。</w:t>
            </w:r>
          </w:p>
          <w:p w14:paraId="6947673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技术要求：</w:t>
            </w:r>
          </w:p>
          <w:p w14:paraId="4E136B6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1）软件在工业设计和外观造型中的应用</w:t>
            </w:r>
          </w:p>
          <w:p w14:paraId="1B2F251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针对工业设计和外观造型的应用，软件提供了高性能的外形创建、分析和可视化工具来帮助用户创建独特的外性，使其产品更具竞争力。</w:t>
            </w:r>
          </w:p>
          <w:p w14:paraId="6AB8B18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（1）功能强大的、灵活的外形创建工具</w:t>
            </w:r>
          </w:p>
          <w:p w14:paraId="10934E8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可提供功能强大的、灵活的外形创建工具来帮助实现用户的创意。用户可以利用2D和3D曲线建模、曲面建模、曲面过渡、裁剪、延伸、变换、扫掠，以及其他技术来创建和细化外形，并对外形的形态和连续性进行相应的控制。软件还支持逆向工程，可将扫描数据转换为产品曲面模型。</w:t>
            </w:r>
          </w:p>
          <w:p w14:paraId="537851F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（2）曲面分析和可视化</w:t>
            </w:r>
          </w:p>
          <w:p w14:paraId="4ED74B4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软件可提供实时的分析和可视化工具来帮助用户评估概念设计的曲面质量和外观形态。</w:t>
            </w:r>
          </w:p>
          <w:p w14:paraId="25C874C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（3）与产品工程集成</w:t>
            </w:r>
          </w:p>
          <w:p w14:paraId="333BB28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软件可确保工业设计和外观造型与产品工程的无缝集成，消除重复工作和数据的转换，确保外形设计意图正确传递到工程应用和加工制造等阶段，消除在各阶段之间的延迟。</w:t>
            </w:r>
          </w:p>
          <w:p w14:paraId="3CFE1FD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2）软件在详细设计中的应用</w:t>
            </w:r>
          </w:p>
          <w:p w14:paraId="5D429CB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（1）自由的设计手段</w:t>
            </w:r>
          </w:p>
          <w:p w14:paraId="0D61173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软件可提供各种设计手段，包括参数化实体特征建模，曲线和曲面线框建模，以及显示几何建模等。</w:t>
            </w:r>
          </w:p>
          <w:p w14:paraId="05C52B1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（2）高性能的大装配处理工具</w:t>
            </w:r>
          </w:p>
          <w:p w14:paraId="7B0B262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不管产品的复杂程度如何，软件提供的高性能建模工具允许设计人员能在装配的环境中完成其设计工作，即使是有的装配部件是来自其他的CAD系统时，也可照常进行。</w:t>
            </w:r>
          </w:p>
          <w:p w14:paraId="121AA87D">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（3）与过程相关的设计工具</w:t>
            </w:r>
          </w:p>
          <w:p w14:paraId="3AC2E18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软件可提供针对特定过程的设计工具，使其具有远高于一般的CAD系统的生产率。</w:t>
            </w:r>
          </w:p>
          <w:p w14:paraId="5BEF993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（4）设计验证</w:t>
            </w:r>
          </w:p>
          <w:p w14:paraId="078A3E2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软件不断对设计进行监测，以确保设计结果满足标准和需求。</w:t>
            </w:r>
          </w:p>
          <w:p w14:paraId="52A1FB1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3）软件在文档输出中的应用</w:t>
            </w:r>
          </w:p>
          <w:p w14:paraId="78318C3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软件可提供全面的能力（包括3D标注和二维制图工具），来加速文挡的输出。</w:t>
            </w:r>
          </w:p>
          <w:p w14:paraId="53C80BD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4）软件在工装设计中的应用</w:t>
            </w:r>
          </w:p>
          <w:p w14:paraId="026B69B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针对工装设计的应用，软件可提供自动化的应用工具来帮助用户完成型腔模具、冲压模具、夹具的设计，具有比传统CAD应用更高的效率。</w:t>
            </w:r>
          </w:p>
          <w:p w14:paraId="2290358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5）软件在加工中的应用</w:t>
            </w:r>
          </w:p>
          <w:p w14:paraId="6A22EDE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针对数据加工编程，软件可提供经过实践验证的解决方案，帮助用户快速、高质量地生成数控加工刀具轨迹。</w:t>
            </w:r>
          </w:p>
          <w:p w14:paraId="38925DF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（1）覆盖数控加工的整个过程</w:t>
            </w:r>
          </w:p>
          <w:p w14:paraId="1925445D">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软件的CAM可提供全面的数控加工程序编制的能力，以及灵活的编程方式。</w:t>
            </w:r>
          </w:p>
          <w:p w14:paraId="4AA91A1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（2）单一系统涵盖全部功能</w:t>
            </w:r>
          </w:p>
          <w:p w14:paraId="4592B91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集成了数控加工程序编制的所有元素，包括加工刀具轨迹的创建、验证、后置处理、加工机床的模拟、数据的变换、车间工艺文档，以及为创建零件，刀具，机床建模和装配所需要的CAD功能。加工数据管理管理获取、组织和控制加工数据，并将其与刀具、夹具、机床等资源连接起来。</w:t>
            </w:r>
          </w:p>
          <w:p w14:paraId="7DAD104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（3）通过自动化，提高生成率</w:t>
            </w:r>
          </w:p>
          <w:p w14:paraId="31E00E97">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软件中的自动化使得编程更快速，并能让不具备丰富经验的编程人员能够创建高质量的数控加工程序。</w:t>
            </w:r>
          </w:p>
          <w:p w14:paraId="5B8FBC37">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8.6 </w:t>
            </w:r>
            <w:r>
              <w:rPr>
                <w:rFonts w:hint="eastAsia" w:ascii="宋体" w:hAnsi="宋体" w:eastAsia="宋体" w:cs="宋体"/>
                <w:color w:val="000000"/>
                <w:kern w:val="0"/>
                <w:szCs w:val="21"/>
                <w:highlight w:val="none"/>
                <w:lang w:bidi="ar"/>
                <w14:ligatures w14:val="standardContextual"/>
              </w:rPr>
              <w:t>智能制造离线编程仿真软件</w:t>
            </w:r>
            <w:r>
              <w:rPr>
                <w:rFonts w:hint="eastAsia" w:ascii="宋体" w:hAnsi="宋体" w:eastAsia="宋体" w:cs="宋体"/>
                <w:szCs w:val="21"/>
                <w:highlight w:val="none"/>
                <w14:ligatures w14:val="standardContextual"/>
              </w:rPr>
              <w:t>：1点；基于多品牌离线编程的</w:t>
            </w:r>
            <w:r>
              <w:rPr>
                <w:rFonts w:hint="eastAsia" w:ascii="宋体" w:hAnsi="宋体" w:eastAsia="宋体" w:cs="宋体"/>
                <w:color w:val="000000"/>
                <w:kern w:val="0"/>
                <w:szCs w:val="21"/>
                <w:highlight w:val="none"/>
                <w:lang w:bidi="ar"/>
                <w14:ligatures w14:val="standardContextual"/>
              </w:rPr>
              <w:t>智能制造离线编程仿真软件</w:t>
            </w:r>
            <w:r>
              <w:rPr>
                <w:rFonts w:hint="eastAsia" w:ascii="宋体" w:hAnsi="宋体" w:eastAsia="宋体" w:cs="宋体"/>
                <w:szCs w:val="21"/>
                <w:highlight w:val="none"/>
                <w14:ligatures w14:val="standardContextual"/>
              </w:rPr>
              <w:t>件是一个多平台的机器人离线编程软件，支持不少于30种不同品牌的等多种机器人。包含加载文件、在线机器人库、添加参考坐标系、添加机器人目标点、移动帧/对象/工具、移动坐标系，对象工具、碰撞检查、碰撞映射设置、快速仿真、Python 功能、添加新机器人程序、添加机器人运动等功能项，让学生迅速掌握机器人的基本操作、机器人坐标系转换、机器人运动学、机器人的控制等基本操作知识。用户可以根据项目需求，快速构建机器人应用工作站虚拟场景，进行工作站布局规划、机器人及周边设备选型、机器人应用仿真、节拍测算、工艺分析、方案验证、方案优化改进和方案展示等工作，且可以生成机器人离线程序，指导现场工程师进行机器人程序的编程及调试。面向工业机器人虚拟仿真及离线编程教学方向，结合实际工业应用案例，将大量真实的工业机器人应用案例及智能制造应用案例转化为软件教学资源，包含机器人搬运、码垛、打磨、焊接、喷涂、雕刻等机器人应用案例，学生不仅可以掌握工业机器人的操作、编程与调试，而且可以熟悉工业机器人典型应用的组成、工艺、工作流程和关键技术，并掌握工业机器人典型应用的方案设计、布局优化、虚拟仿真及离线编程等知识。</w:t>
            </w:r>
          </w:p>
          <w:p w14:paraId="76B20BD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（1）仿真软件支持不少于 30 种以上机器人，提供 1000 种以上的各机器人模型。</w:t>
            </w:r>
          </w:p>
          <w:p w14:paraId="03ACF25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（2）具有离线编程功能，能够直接生成不少于30 种以上机器人的代码。</w:t>
            </w:r>
          </w:p>
          <w:p w14:paraId="519CB38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（3）支持关节型机器人、直角坐标等不同构型机器人。</w:t>
            </w:r>
          </w:p>
          <w:p w14:paraId="721D15E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（4）支持多种格式的三维 CAD 模型，可导入扩展名为 step、igs、stl 等格式。</w:t>
            </w:r>
          </w:p>
          <w:p w14:paraId="2AF0ACE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（5）支持工件校准功能，能够根据真实情况与理论模型的参数误差自动调整轨迹参数。</w:t>
            </w:r>
          </w:p>
          <w:p w14:paraId="1458F8B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（6）可实现工业机器人多种编程模式选择。如手持工具或手持工件。</w:t>
            </w:r>
          </w:p>
          <w:p w14:paraId="386248A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（7）对三维模型进行平移、旋转操作。</w:t>
            </w:r>
          </w:p>
          <w:p w14:paraId="5EE9811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（8）轨迹生成可基于 CAD 数据，简化轨迹生成过程，提高精度，可利用实体模型、曲面或曲线直接生成运动轨迹。</w:t>
            </w:r>
          </w:p>
          <w:p w14:paraId="4F27D96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（9）包含丰富的工艺应用工具包，包含打磨、喷涂、铣削、焊接等。可以自由设计定义工具及其坐标信息，实际工件与模型工件的坐标准确保持轨迹精度，码垛工艺包模拟真实物料抓取摆放过程，支持 APT Source 和 NC 格式 G 代码的导入并自动转化工业机器人运动轨迹等功能。</w:t>
            </w:r>
          </w:p>
          <w:p w14:paraId="0A0CC8C7">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（10）包含丰富轨迹调整优化工具包，如碰撞检查、工业机器人可达性、姿奇异点、轴超限、节拍估算、轨迹自动调整优化等功能。</w:t>
            </w:r>
          </w:p>
          <w:p w14:paraId="2D116A3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（11）提供工业机器人虚拟教学模块，如虚拟示教器、机器人部件装配、自动生成仿真运动视频。可以生成基于 html 播放的视频和生成基于 pdf 的三维操作的文件。</w:t>
            </w:r>
          </w:p>
          <w:p w14:paraId="3382A8F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（12）提供强大的python API 功能支持，集成所有离线编程软件的离线编程功能，并允许开展大量机器人机构的自动化应用。可进行仿真和应用于程序机器人取放物体和应用于复杂的多机器人同步运动等。</w:t>
            </w:r>
          </w:p>
          <w:p w14:paraId="49315DA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（13）支持多机器人同步运动仿真。</w:t>
            </w:r>
          </w:p>
          <w:p w14:paraId="2190FA7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（14）具有机器人外部轴运动，能够实现7、8 轴的离线编程功能。</w:t>
            </w:r>
          </w:p>
          <w:p w14:paraId="625C809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（15）具有整个工程自动化生产线仿真功能，包含至少 3 种类型机器人以上及流水线等。</w:t>
            </w:r>
          </w:p>
          <w:p w14:paraId="737375E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具有四种主流品牌的虚拟示教器示教功能，能够通过虚拟示教器实现对机器人的手动操作以及程序代码的自动运行。手动操作中包含机器人的关节坐标系、线性坐标系、以及工具坐标系下的手动控制运动。机器人数据虚拟示教器上的实时显示。虚拟示教器上能够完全按示教器操作方式进行程序的插入、编辑、修改以及程序文件的保存和打开。虚拟示教器程序的再现执行，驱动仿真软件机器人按照程序运动。</w:t>
            </w:r>
          </w:p>
          <w:p w14:paraId="1A0D86F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（17）正版软件，可提供持续的中文技术支持服务；提供由投标人出版的软件配套教材，软件由我公司自主研发，签订合同前可提供相关专利证明。</w:t>
            </w:r>
          </w:p>
          <w:p w14:paraId="1567513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（18）仿真软件《入门教程》PDF 电子版1份，内容包括：项目 1.软件概述（4项分项内容）； 项目 2.软件的基础操作（9项分项内容）；项目 3.软件的仿真编程（10 项分项内容）；项目 4.软件的程序后处理（3项分项内容）；项目 5.基于 Python API 的软件机器人仿真应用（20 项分项内容）。</w:t>
            </w:r>
          </w:p>
          <w:p w14:paraId="47144E4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等线"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（19）集成无动力关节臂示教功能。</w:t>
            </w:r>
          </w:p>
          <w:p w14:paraId="5160C18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具有485通讯和TCP/IP通讯两种接口形式，能够采集无动力关节臂示教轨迹；</w:t>
            </w:r>
          </w:p>
          <w:p w14:paraId="3BD22337">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能够生成至少30种多种品牌机器人的代码的功能。</w:t>
            </w:r>
          </w:p>
          <w:p w14:paraId="1F3CC93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（20）支持基于Python、C#等高级语言的API的扩展编程。</w:t>
            </w:r>
          </w:p>
          <w:p w14:paraId="21540DD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8.7 信息显示液晶电视：4台；包括定制的吊装支架4套，实训系统配套4台信息显示液晶电视，用于同屏显示课件PPT、物料状况等，方便实训教学，还可作为多媒体显示放映图片、视频等多媒体文件，有助于文化宣传、提升用户影响力、激发学生的学习积极性等。屏幕尺寸：65寸；屏幕比例：</w:t>
            </w:r>
            <w:r>
              <w:rPr>
                <w:rFonts w:ascii="Calibri" w:hAnsi="Calibri" w:eastAsia="宋体" w:cs="Times New Roman"/>
                <w:szCs w:val="22"/>
                <w:highlight w:val="none"/>
              </w:rPr>
              <w:fldChar w:fldCharType="begin"/>
            </w:r>
            <w:r>
              <w:rPr>
                <w:rFonts w:ascii="Calibri" w:hAnsi="Calibri" w:eastAsia="宋体" w:cs="Times New Roman"/>
                <w:szCs w:val="22"/>
                <w:highlight w:val="none"/>
              </w:rPr>
              <w:instrText xml:space="preserve"> HYPERLINK "http://product.pconline.com.cn/so/s24998/" \t "_blank" </w:instrText>
            </w:r>
            <w:r>
              <w:rPr>
                <w:rFonts w:ascii="Calibri" w:hAnsi="Calibri" w:eastAsia="宋体" w:cs="Times New Roman"/>
                <w:szCs w:val="22"/>
                <w:highlight w:val="none"/>
              </w:rPr>
              <w:fldChar w:fldCharType="separate"/>
            </w:r>
            <w:r>
              <w:rPr>
                <w:rFonts w:hint="eastAsia" w:ascii="宋体" w:hAnsi="宋体" w:eastAsia="宋体" w:cs="宋体"/>
                <w:szCs w:val="21"/>
                <w:highlight w:val="none"/>
                <w14:ligatures w14:val="standardContextual"/>
              </w:rPr>
              <w:t>16:9</w:t>
            </w:r>
            <w:r>
              <w:rPr>
                <w:rFonts w:hint="eastAsia" w:ascii="宋体" w:hAnsi="宋体" w:eastAsia="宋体" w:cs="宋体"/>
                <w:szCs w:val="21"/>
                <w:highlight w:val="none"/>
                <w14:ligatures w14:val="standardContextual"/>
              </w:rPr>
              <w:fldChar w:fldCharType="end"/>
            </w:r>
            <w:r>
              <w:rPr>
                <w:rFonts w:hint="eastAsia" w:ascii="宋体" w:hAnsi="宋体" w:eastAsia="宋体" w:cs="宋体"/>
                <w:szCs w:val="21"/>
                <w:highlight w:val="none"/>
                <w14:ligatures w14:val="standardContextual"/>
              </w:rPr>
              <w:t>；</w:t>
            </w:r>
            <w:r>
              <w:rPr>
                <w:rFonts w:ascii="Calibri" w:hAnsi="Calibri" w:eastAsia="宋体" w:cs="Times New Roman"/>
                <w:szCs w:val="22"/>
                <w:highlight w:val="none"/>
              </w:rPr>
              <w:fldChar w:fldCharType="begin"/>
            </w:r>
            <w:r>
              <w:rPr>
                <w:rFonts w:ascii="Calibri" w:hAnsi="Calibri" w:eastAsia="宋体" w:cs="Times New Roman"/>
                <w:szCs w:val="22"/>
                <w:highlight w:val="none"/>
              </w:rPr>
              <w:instrText xml:space="preserve"> HYPERLINK "http://k.pconline.com.cn/question/1512.html" \t "_blank" </w:instrText>
            </w:r>
            <w:r>
              <w:rPr>
                <w:rFonts w:ascii="Calibri" w:hAnsi="Calibri" w:eastAsia="宋体" w:cs="Times New Roman"/>
                <w:szCs w:val="22"/>
                <w:highlight w:val="none"/>
              </w:rPr>
              <w:fldChar w:fldCharType="separate"/>
            </w:r>
            <w:r>
              <w:rPr>
                <w:rFonts w:hint="eastAsia" w:ascii="宋体" w:hAnsi="宋体" w:eastAsia="宋体" w:cs="宋体"/>
                <w:szCs w:val="21"/>
                <w:highlight w:val="none"/>
                <w14:ligatures w14:val="standardContextual"/>
              </w:rPr>
              <w:t>屏幕分辨率</w:t>
            </w:r>
            <w:r>
              <w:rPr>
                <w:rFonts w:hint="eastAsia" w:ascii="宋体" w:hAnsi="宋体" w:eastAsia="宋体" w:cs="宋体"/>
                <w:szCs w:val="21"/>
                <w:highlight w:val="none"/>
                <w14:ligatures w14:val="standardContextual"/>
              </w:rPr>
              <w:fldChar w:fldCharType="end"/>
            </w:r>
            <w:r>
              <w:rPr>
                <w:rFonts w:hint="eastAsia" w:ascii="宋体" w:hAnsi="宋体" w:eastAsia="宋体" w:cs="宋体"/>
                <w:szCs w:val="21"/>
                <w:highlight w:val="none"/>
                <w14:ligatures w14:val="standardContextual"/>
              </w:rPr>
              <w:t>：</w:t>
            </w:r>
            <w:r>
              <w:rPr>
                <w:rFonts w:ascii="Calibri" w:hAnsi="Calibri" w:eastAsia="宋体" w:cs="Times New Roman"/>
                <w:szCs w:val="22"/>
                <w:highlight w:val="none"/>
              </w:rPr>
              <w:fldChar w:fldCharType="begin"/>
            </w:r>
            <w:r>
              <w:rPr>
                <w:rFonts w:ascii="Calibri" w:hAnsi="Calibri" w:eastAsia="宋体" w:cs="Times New Roman"/>
                <w:szCs w:val="22"/>
                <w:highlight w:val="none"/>
              </w:rPr>
              <w:instrText xml:space="preserve"> HYPERLINK "http://product.pconline.com.cn/lcd_tv/c13809/" \t "_blank" </w:instrText>
            </w:r>
            <w:r>
              <w:rPr>
                <w:rFonts w:ascii="Calibri" w:hAnsi="Calibri" w:eastAsia="宋体" w:cs="Times New Roman"/>
                <w:szCs w:val="22"/>
                <w:highlight w:val="none"/>
              </w:rPr>
              <w:fldChar w:fldCharType="separate"/>
            </w:r>
            <w:r>
              <w:rPr>
                <w:rFonts w:hint="eastAsia" w:ascii="宋体" w:hAnsi="宋体" w:eastAsia="宋体" w:cs="宋体"/>
                <w:szCs w:val="21"/>
                <w:highlight w:val="none"/>
                <w14:ligatures w14:val="standardContextual"/>
              </w:rPr>
              <w:t>3840×2160</w:t>
            </w:r>
            <w:r>
              <w:rPr>
                <w:rFonts w:hint="eastAsia" w:ascii="宋体" w:hAnsi="宋体" w:eastAsia="宋体" w:cs="宋体"/>
                <w:szCs w:val="21"/>
                <w:highlight w:val="none"/>
                <w14:ligatures w14:val="standardContextual"/>
              </w:rPr>
              <w:fldChar w:fldCharType="end"/>
            </w:r>
            <w:r>
              <w:rPr>
                <w:rFonts w:hint="eastAsia" w:ascii="宋体" w:hAnsi="宋体" w:eastAsia="宋体" w:cs="宋体"/>
                <w:szCs w:val="21"/>
                <w:highlight w:val="none"/>
                <w14:ligatures w14:val="standardContextual"/>
              </w:rPr>
              <w:t>；面板类型：A+级屏；</w:t>
            </w:r>
          </w:p>
          <w:p w14:paraId="344EE14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8.8 环境监控摄像头：4个；实验室共配套12个监控摄像头，均匀分布于生产线各个单元，用于对整体环境及各个单元的监控。</w:t>
            </w:r>
          </w:p>
          <w:p w14:paraId="6F39072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1）传感器类型：1/2.7" Progressive Scan CMOS</w:t>
            </w:r>
          </w:p>
          <w:p w14:paraId="60EDE3E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2）最大图像尺寸：2688×1520</w:t>
            </w:r>
          </w:p>
          <w:p w14:paraId="15F5D175">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3）主码流帧率及分辨率：50Hz：25fps（2688×1520，1920×1080，1280×720）</w:t>
            </w:r>
          </w:p>
          <w:p w14:paraId="378B5A57">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4）子码流帧率及分辨率：50Hz：25fps（704×576，640×480，352×288）</w:t>
            </w:r>
          </w:p>
          <w:p w14:paraId="0147B0B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5）镜头：4mm,水平视场角：82°</w:t>
            </w:r>
          </w:p>
          <w:p w14:paraId="4882FE7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6）调整角度：水平：0°~360°；垂直：0°~70°；旋转：0°~360°</w:t>
            </w:r>
          </w:p>
          <w:p w14:paraId="220173FC">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7）快门：1/3s~1/100000s</w:t>
            </w:r>
          </w:p>
          <w:p w14:paraId="7230146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8）视频压缩标准：主码流：H.265/H.264</w:t>
            </w:r>
          </w:p>
          <w:p w14:paraId="522F44C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子码流：H.265/H.264/MJPEG</w:t>
            </w:r>
          </w:p>
          <w:p w14:paraId="7006B04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9）视频压缩码率：32Kbps~16Mbps</w:t>
            </w:r>
          </w:p>
          <w:p w14:paraId="50BD8E7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10）通讯接口：1个RJ45 10M/100 M自适应以太网口</w:t>
            </w:r>
          </w:p>
          <w:p w14:paraId="1E42154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11）电源供应：DC12V±25%/PoE（802.3af）</w:t>
            </w:r>
          </w:p>
          <w:p w14:paraId="63AED1C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12）尺寸：Φ130×105mm</w:t>
            </w:r>
          </w:p>
          <w:p w14:paraId="76428889">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8.9 安全防护栏与安全门：1批；系统设备区域界线上安装配套的安全防护栏，加强安全防护，用来防止出现机器人在自动运动过程中由于人员的意外闯入而造成的安全事故。材质：铝合金型材+透明亚克力，外观具有科技感，尺寸根据用户现场实训场所定制。</w:t>
            </w:r>
          </w:p>
          <w:p w14:paraId="1DB3741F">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8.10 无油静音气泵：4台；系统采用4台无油静音气泵，排量大，噪音低。输出压力：最大7Bar；流量:135L/min；储气罐容量:24L；噪音量：68dB；压缩机：220V/50 Hz; 0.75Kw。</w:t>
            </w:r>
          </w:p>
          <w:p w14:paraId="55EC84E4">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8.11 实训工件：50套；系统生产对象为机械行业应用上常见的电机组合模型，分为电机外壳与电机轴，采用铝材质。</w:t>
            </w:r>
          </w:p>
          <w:p w14:paraId="472DC7A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8.12 包装盒和盒盖：50套；与电机组合模型配套的包装盒与盒盖。</w:t>
            </w:r>
          </w:p>
          <w:p w14:paraId="37A41A5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8.13 工具与工具箱：2套；最少包含25种工具。</w:t>
            </w:r>
          </w:p>
          <w:p w14:paraId="4231E04B">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8.14 智能制造教学资源开发：1批；</w:t>
            </w:r>
          </w:p>
          <w:p w14:paraId="16A5E9C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（1）提供说明书、实验指导书、PLC源程序、机器人配套说明书、相机使用手册等配套教学资源。</w:t>
            </w:r>
          </w:p>
          <w:p w14:paraId="60B187D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w:t>
            </w:r>
            <w:r>
              <w:rPr>
                <w:rFonts w:hint="eastAsia" w:ascii="宋体" w:hAnsi="宋体" w:eastAsia="宋体" w:cs="宋体"/>
                <w:color w:val="000000"/>
                <w:kern w:val="0"/>
                <w:szCs w:val="21"/>
                <w:highlight w:val="none"/>
                <w:lang w:bidi="ar"/>
                <w14:ligatures w14:val="standardContextual"/>
              </w:rPr>
              <w:t>智能制造离线编程仿真软件</w:t>
            </w:r>
            <w:r>
              <w:rPr>
                <w:rFonts w:hint="eastAsia" w:ascii="宋体" w:hAnsi="宋体" w:eastAsia="宋体" w:cs="宋体"/>
                <w:szCs w:val="21"/>
                <w:highlight w:val="none"/>
                <w14:ligatures w14:val="standardContextual"/>
              </w:rPr>
              <w:t>配套教材：主要介绍工业机器人仿真软件的基础操作、工业机器人虚拟工作站的构建、常用机构创建及仿真编程方法。全书采用以图为主的讲解方式，主要内容包括仿真软件基础操作、机器人虚拟仿真工作站构建、仿真软件常用机构创建、基于Program的机器人仿真编程、基于API的机器人仿真编程、工业机器人复杂搬运仿真案例、工业机器人传送带码垛仿真案例、工业机器人焊接仿真案例、工业机器人打磨仿真案例、工业机器人喷涂仿真案例和工业机器人写字仿真案例。</w:t>
            </w:r>
          </w:p>
          <w:p w14:paraId="33C75A2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（3）教学通用型参考资源包</w:t>
            </w:r>
          </w:p>
          <w:p w14:paraId="6A5DE3F3">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工业机器人拆装与调试》纸质版1本：内容至少包含工业机器人基础知识、工业机器人机械本体的拆装与检测、工业机器人电气原理、工业机器人控制系统、工业机器人电气系统的装配与调试、基本运动任务调试等；</w:t>
            </w:r>
          </w:p>
          <w:p w14:paraId="2DB25E3D">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2）《工业机器人操作与系统应用》纸质版1本：内容至少包含工业机器人多功能平台基础认知、工业机器人基础认知、循迹模块编程与操作、绘图模块编程与操作、装配模块编程与操作、码垛模块编程与操作、搬运模块编程与操作、实训平台的按照、通讯模块的使用、工艺模块的应用、智能相机应用、机器人视觉应用等；</w:t>
            </w:r>
          </w:p>
          <w:p w14:paraId="1C1C5706">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3）《工业机器人操作与系统应用》纸质版1本：内容至少包含工业机器人多功能平台基础认知、工业机器人基础认知、循迹模块编程与操作、绘图模块编程与操作、装配模块编程与操作、码垛模块编程与操作、搬运模块编程与操作、实训平台的按照、通讯模块的使用、工艺模块的应用、智能相机应用、机器人视觉应用等；</w:t>
            </w:r>
          </w:p>
          <w:p w14:paraId="1C27D5D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kern w:val="0"/>
                <w:szCs w:val="21"/>
                <w:highlight w:val="none"/>
                <w:lang w:bidi="ar"/>
                <w14:ligatures w14:val="standardContextual"/>
              </w:rPr>
              <w:t>★</w:t>
            </w:r>
            <w:r>
              <w:rPr>
                <w:rFonts w:hint="eastAsia" w:ascii="宋体" w:hAnsi="宋体" w:eastAsia="宋体" w:cs="宋体"/>
                <w:szCs w:val="21"/>
                <w:highlight w:val="none"/>
                <w14:ligatures w14:val="standardContextual"/>
              </w:rPr>
              <w:t>4）《工业机器人操作与应用》纸质版1本：内容至少包含安全规程、机器人电控系统的总体介绍、机器人示教盒界面简介、坐标系、开关机步骤、常用指令详解、常用功能、任务等；</w:t>
            </w:r>
          </w:p>
          <w:p w14:paraId="0455BA30">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模块化作业型教学机器人教学大纲》纸质版1本：内容至少包含课程性质和任务、培养目标及培养规格、课程开设的基本理念、课程内容与要求、课程内容分解、课程课时分配与权重、课程考核评价、课程教学组员、课程教学建议等；</w:t>
            </w:r>
          </w:p>
          <w:p w14:paraId="0905D0A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6）《机电一体化技术实训项目单》纸质版1本：内容至少包含5个实训项目单；</w:t>
            </w:r>
          </w:p>
          <w:p w14:paraId="479FFA9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虚拟原理半实物仿真系统》纸质版1本：内容至少包含机电一体化建模、仿真和控制实验系统介绍、基于20-sim的并联机器人Tripod平台的半实物仿真系统简介、基于20-sim的并联机器人Tripod模型设计、并联机器人运动学分析等；</w:t>
            </w:r>
          </w:p>
          <w:p w14:paraId="7C673802">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8）《机器人工程专业培养方案（本科）》纸质版1本：内容至少包含培养目标、培养规格要求、课程设置、修读要求、指导性教学计划进程安排、课程介绍及修读指导建议；</w:t>
            </w:r>
          </w:p>
          <w:p w14:paraId="6C5EA16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9）《工业机器人使用与维护》纸质版1本：内容至少包含机器人安装、手动操作、编程运行、程序设计、特殊功能、机器人维护等；</w:t>
            </w:r>
          </w:p>
          <w:p w14:paraId="173D920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工业机器人关键零部件》纸质版1本：内容至少包含创建设备组态，掌握硬件配置、MCGS与S7-1200通讯配置、气缸控制与触摸屏报警、S7-1200控制三色灯、通过工艺对象定位控制伺服电机、通过模拟量和IO信号控制变频电机转速、模拟马桶修配、ModbusTCP通讯测试及组网等；</w:t>
            </w:r>
          </w:p>
          <w:p w14:paraId="4DB313F8">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11）《工业机器人系统集成技术》纸质版1本：内容至少包含系统集成设计概述、末端执行器设计、机器人视觉、焊接机器人、喷涂机器人、打磨机器人等；</w:t>
            </w:r>
          </w:p>
          <w:p w14:paraId="31E990EE">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12）《工业机器人运动控制入门》纸质版1本：内容至少包含控制器、驱动器、传感器、减速器与传动机构、内外部通信、机电气接口等内容；机器人使用说明书、机器人实验指导书、机器人装配说明书；</w:t>
            </w:r>
          </w:p>
          <w:p w14:paraId="1F0C267D">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13）《C10系列机器人编程手册》纸质版1本：内容至少包含基本安全防护措施、示教器硬件、示教器界面、指令详解、常用功能；</w:t>
            </w:r>
          </w:p>
          <w:p w14:paraId="620E1A81">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14）《机器人电器维护手册》纸质版1本：内容至少包含安全注意事项、机器人电控系统、错误诊断、故障处理、检修等；</w:t>
            </w:r>
          </w:p>
          <w:p w14:paraId="0FCD175A">
            <w:pPr>
              <w:widowControl w:val="0"/>
              <w:numPr>
                <w:ilvl w:val="1"/>
                <w:numId w:val="0"/>
              </w:numPr>
              <w:tabs>
                <w:tab w:val="left" w:pos="1260"/>
              </w:tabs>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15）《生产实践培训教程》（上下两册）纸质版1本：不少于50页；</w:t>
            </w:r>
          </w:p>
          <w:p w14:paraId="349A5B49">
            <w:pPr>
              <w:widowControl w:val="0"/>
              <w:numPr>
                <w:ilvl w:val="1"/>
                <w:numId w:val="0"/>
              </w:numPr>
              <w:tabs>
                <w:tab w:val="left" w:pos="1260"/>
              </w:tabs>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16）《工业机器人技术基础》纸质版1本：内容至少包含机器人的定义组成分类、机器人基本概念、关键参数、机器人基础理论、机器人关键功能部件、机器人典型传动机构与本体结构、机器人电气控制基本概念、工业机器人控制系统结构、工业网络通信技术、人机界面及其组态、机器人控制系统设计等。</w:t>
            </w:r>
          </w:p>
          <w:p w14:paraId="5C7813FA">
            <w:pPr>
              <w:widowControl w:val="0"/>
              <w:numPr>
                <w:ilvl w:val="1"/>
                <w:numId w:val="0"/>
              </w:numPr>
              <w:tabs>
                <w:tab w:val="left" w:pos="1260"/>
              </w:tabs>
              <w:textAlignment w:val="auto"/>
              <w:rPr>
                <w:rFonts w:ascii="宋体" w:hAnsi="宋体" w:eastAsia="宋体" w:cs="宋体"/>
                <w:szCs w:val="22"/>
                <w:highlight w:val="none"/>
                <w14:ligatures w14:val="standardContextual"/>
              </w:rPr>
            </w:pPr>
            <w:r>
              <w:rPr>
                <w:rFonts w:hint="eastAsia" w:ascii="宋体" w:hAnsi="宋体" w:eastAsia="宋体" w:cs="宋体"/>
                <w:szCs w:val="22"/>
                <w:highlight w:val="none"/>
                <w14:ligatures w14:val="standardContextual"/>
              </w:rPr>
              <w:t>8.15 校企合作</w:t>
            </w:r>
          </w:p>
          <w:p w14:paraId="4BAF2534">
            <w:pPr>
              <w:widowControl w:val="0"/>
              <w:numPr>
                <w:ilvl w:val="1"/>
                <w:numId w:val="0"/>
              </w:numPr>
              <w:tabs>
                <w:tab w:val="left" w:pos="1260"/>
              </w:tabs>
              <w:textAlignment w:val="auto"/>
              <w:rPr>
                <w:rFonts w:ascii="宋体" w:hAnsi="宋体" w:eastAsia="宋体" w:cs="宋体"/>
                <w:color w:val="FF0000"/>
                <w:szCs w:val="22"/>
                <w:highlight w:val="none"/>
                <w14:ligatures w14:val="standardContextual"/>
              </w:rPr>
            </w:pPr>
            <w:r>
              <w:rPr>
                <w:rFonts w:hint="eastAsia" w:ascii="宋体" w:hAnsi="宋体" w:eastAsia="宋体" w:cs="宋体"/>
                <w:color w:val="FF0000"/>
                <w:szCs w:val="22"/>
                <w:highlight w:val="none"/>
                <w14:ligatures w14:val="standardContextual"/>
              </w:rPr>
              <w:t>1）需提供学校教师到生产企业跟岗研修和短期培训机会，长期为学校进行师资能力提升培养，提高学校师资水平。</w:t>
            </w:r>
          </w:p>
          <w:p w14:paraId="6EFEEB8B">
            <w:pPr>
              <w:widowControl w:val="0"/>
              <w:numPr>
                <w:ilvl w:val="1"/>
                <w:numId w:val="0"/>
              </w:numPr>
              <w:tabs>
                <w:tab w:val="left" w:pos="1260"/>
              </w:tabs>
              <w:textAlignment w:val="auto"/>
              <w:rPr>
                <w:rFonts w:ascii="宋体" w:hAnsi="宋体" w:eastAsia="宋体" w:cs="宋体"/>
                <w:color w:val="FF0000"/>
                <w:szCs w:val="22"/>
                <w:highlight w:val="none"/>
                <w14:ligatures w14:val="standardContextual"/>
              </w:rPr>
            </w:pPr>
            <w:r>
              <w:rPr>
                <w:rFonts w:hint="eastAsia" w:ascii="宋体" w:hAnsi="宋体" w:eastAsia="宋体" w:cs="宋体"/>
                <w:color w:val="FF0000"/>
                <w:szCs w:val="22"/>
                <w:highlight w:val="none"/>
                <w14:ligatures w14:val="standardContextual"/>
              </w:rPr>
              <w:t>2）需提供教育部或人社部技能竞赛培训名额，1-3年内协助学校取得优异成绩。</w:t>
            </w:r>
          </w:p>
          <w:p w14:paraId="5D840D6F">
            <w:pPr>
              <w:widowControl w:val="0"/>
              <w:numPr>
                <w:ilvl w:val="1"/>
                <w:numId w:val="0"/>
              </w:numPr>
              <w:tabs>
                <w:tab w:val="left" w:pos="1260"/>
              </w:tabs>
              <w:textAlignment w:val="auto"/>
              <w:rPr>
                <w:rFonts w:ascii="宋体" w:hAnsi="宋体" w:eastAsia="宋体" w:cs="宋体"/>
                <w:color w:val="FF0000"/>
                <w:szCs w:val="22"/>
                <w:highlight w:val="none"/>
                <w14:ligatures w14:val="standardContextual"/>
              </w:rPr>
            </w:pPr>
            <w:r>
              <w:rPr>
                <w:rFonts w:hint="eastAsia" w:ascii="宋体" w:hAnsi="宋体" w:eastAsia="宋体" w:cs="宋体"/>
                <w:color w:val="FF0000"/>
                <w:szCs w:val="22"/>
                <w:highlight w:val="none"/>
                <w14:ligatures w14:val="standardContextual"/>
              </w:rPr>
              <w:t>3）协助学校进行教材出版，获得国家级出版社教材出版编写成员资格。</w:t>
            </w:r>
          </w:p>
          <w:p w14:paraId="3E90D37B">
            <w:pPr>
              <w:widowControl w:val="0"/>
              <w:numPr>
                <w:ilvl w:val="1"/>
                <w:numId w:val="0"/>
              </w:numPr>
              <w:tabs>
                <w:tab w:val="left" w:pos="1260"/>
              </w:tabs>
              <w:textAlignment w:val="auto"/>
              <w:rPr>
                <w:rFonts w:ascii="宋体" w:hAnsi="宋体" w:eastAsia="宋体" w:cs="宋体"/>
                <w:szCs w:val="22"/>
                <w:highlight w:val="none"/>
                <w14:ligatures w14:val="standardContextual"/>
              </w:rPr>
            </w:pPr>
            <w:r>
              <w:rPr>
                <w:rFonts w:hint="eastAsia" w:ascii="宋体" w:hAnsi="宋体" w:eastAsia="宋体" w:cs="宋体"/>
                <w:color w:val="FF0000"/>
                <w:szCs w:val="22"/>
                <w:highlight w:val="none"/>
                <w14:ligatures w14:val="standardContextual"/>
              </w:rPr>
              <w:t>4）可协助学校每年邀请国家级专家到校进行高水平院校建设或高水平专业建设专题报告。</w:t>
            </w:r>
          </w:p>
        </w:tc>
        <w:tc>
          <w:tcPr>
            <w:tcW w:w="858" w:type="dxa"/>
            <w:vAlign w:val="center"/>
          </w:tcPr>
          <w:p w14:paraId="2568BAEA">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36E00972">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30AD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4" w:hRule="atLeast"/>
        </w:trPr>
        <w:tc>
          <w:tcPr>
            <w:tcW w:w="773" w:type="dxa"/>
            <w:vAlign w:val="center"/>
          </w:tcPr>
          <w:p w14:paraId="3B96A447">
            <w:pPr>
              <w:widowControl w:val="0"/>
              <w:wordWrap w:val="0"/>
              <w:jc w:val="center"/>
              <w:textAlignment w:val="auto"/>
              <w:rPr>
                <w:rFonts w:ascii="宋体" w:hAnsi="宋体" w:eastAsia="宋体" w:cs="宋体"/>
                <w:szCs w:val="21"/>
                <w:highlight w:val="none"/>
                <w14:ligatures w14:val="standardContextual"/>
              </w:rPr>
            </w:pPr>
            <w:r>
              <w:rPr>
                <w:rFonts w:hint="eastAsia" w:ascii="宋体" w:hAnsi="宋体" w:eastAsia="宋体" w:cs="宋体"/>
                <w:color w:val="000000"/>
                <w:szCs w:val="22"/>
                <w:highlight w:val="none"/>
                <w14:ligatures w14:val="standardContextual"/>
              </w:rPr>
              <w:t>9</w:t>
            </w:r>
          </w:p>
        </w:tc>
        <w:tc>
          <w:tcPr>
            <w:tcW w:w="1033" w:type="dxa"/>
            <w:vAlign w:val="center"/>
          </w:tcPr>
          <w:p w14:paraId="03AD1B65">
            <w:pPr>
              <w:widowControl w:val="0"/>
              <w:wordWrap w:val="0"/>
              <w:spacing w:line="273" w:lineRule="exact"/>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嵌入式ROS机器人实训开发平台</w:t>
            </w:r>
          </w:p>
        </w:tc>
        <w:tc>
          <w:tcPr>
            <w:tcW w:w="6282" w:type="dxa"/>
            <w:vAlign w:val="center"/>
          </w:tcPr>
          <w:p w14:paraId="34689542">
            <w:pPr>
              <w:widowControl w:val="0"/>
              <w:ind w:firstLine="420" w:firstLineChars="20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嵌入式ROS机器人实训开发平台以移动机器人技术为核心，融合了计算机技术、信息技术、通信技术等高端技术，是能在复杂环境下工作的，具有自行组织、自主运行、自主规划功能的智能机器人实训平台。</w:t>
            </w:r>
          </w:p>
          <w:p w14:paraId="17EB22A6">
            <w:pPr>
              <w:widowControl w:val="0"/>
              <w:ind w:firstLine="420" w:firstLineChars="20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平台是将嵌入式控制系统应用于移动机器人的实训装备，基于先进且应用广泛的嵌入式软硬件进行开发。在硬件上，扩展嵌入式控制器基础外设接口，高度集成多种智能传感器以及运动执行器；在软件上，适配了开放程度高的Ubuntu系统，部署了用于编写机器人软件程序的高度灵活性的软件架构--机器人操作系统（ROS）。在此基础上，开发了多传感器融合算法、自主建图和导航算法、自主任务管理算法、运动控制算法，并提供配套的二次开发包，可进行嵌入式系统认知、组成、应用实训等。</w:t>
            </w:r>
          </w:p>
          <w:p w14:paraId="65915AC3">
            <w:pPr>
              <w:widowControl w:val="0"/>
              <w:ind w:firstLine="420" w:firstLineChars="20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平台技术先进，集嵌入式系统基础认知、场景应用、创新创业、科研开发等功能于一体，可培养学生的设计能力、编程能力等，是开展移动机器人功能开发、教学实训、科研创新的理想平台。</w:t>
            </w:r>
          </w:p>
          <w:p w14:paraId="1B39FAD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移动机器人外形尺寸：≥400×390×270mm；</w:t>
            </w:r>
          </w:p>
          <w:p w14:paraId="49F4F8F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电源与功率：DC12V，60W</w:t>
            </w:r>
          </w:p>
          <w:p w14:paraId="2A4D033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1）移动机器人</w:t>
            </w:r>
          </w:p>
          <w:p w14:paraId="02568F6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移动机器人由嵌入式控制模块、智能感知模块、语音交互模块、驱动模块、移动机器人结构框架和智能机器人仿真系统组成。移动机器人采用模块化设计，具备通用型接口，可以根据不同需求组成不同的结构形式。移动机器人通过传感器结合算法完成对环境地图的建立和自主避障导航，是集环境感知、路径规划、动作控制等多功能于一体的综合应用平台。</w:t>
            </w:r>
          </w:p>
          <w:p w14:paraId="7AFE1F6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32A185E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1）整体结构</w:t>
            </w:r>
          </w:p>
          <w:p w14:paraId="0E48FC5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长度：≥390mm</w:t>
            </w:r>
          </w:p>
          <w:p w14:paraId="7956896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宽度：≥400mm</w:t>
            </w:r>
          </w:p>
          <w:p w14:paraId="41B8719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高度：≥270mm</w:t>
            </w:r>
          </w:p>
          <w:p w14:paraId="7E0FB57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转弯半径：≥0mm</w:t>
            </w:r>
          </w:p>
          <w:p w14:paraId="655F095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2）运动性能</w:t>
            </w:r>
          </w:p>
          <w:p w14:paraId="60EC92E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最大运行速度：≥600mm/s</w:t>
            </w:r>
          </w:p>
          <w:p w14:paraId="46F0A52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最大爬坡角度：≥10°</w:t>
            </w:r>
          </w:p>
          <w:p w14:paraId="2C916BB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超声波传感器：≥4个</w:t>
            </w:r>
          </w:p>
          <w:p w14:paraId="7BC86A7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姿态传感器</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：≥1个</w:t>
            </w:r>
          </w:p>
          <w:p w14:paraId="1CB93A1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3）电池及续航能力</w:t>
            </w:r>
          </w:p>
          <w:p w14:paraId="1A0690B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电池类型：锂电池组</w:t>
            </w:r>
          </w:p>
          <w:p w14:paraId="62EBCA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电池容量：≥20000mA</w:t>
            </w:r>
          </w:p>
          <w:p w14:paraId="754924C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电池电压：12V</w:t>
            </w:r>
          </w:p>
          <w:p w14:paraId="6B74A35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充电电压：7.2～12V</w:t>
            </w:r>
          </w:p>
          <w:p w14:paraId="1F38192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充电电流：≤2A</w:t>
            </w:r>
          </w:p>
          <w:p w14:paraId="3DF8169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保护功能：反接保护、过载保护</w:t>
            </w:r>
          </w:p>
          <w:p w14:paraId="7B870B9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不间断续航时间：≥5h</w:t>
            </w:r>
          </w:p>
          <w:p w14:paraId="72D30B0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4）接口</w:t>
            </w:r>
          </w:p>
          <w:p w14:paraId="14B7FE5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电源接口：12V</w:t>
            </w:r>
          </w:p>
          <w:p w14:paraId="1C1ED78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硬件接口：USB口×2（可拓展），以太网口×1</w:t>
            </w:r>
          </w:p>
          <w:p w14:paraId="3B53693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软件接口：ROS软件包</w:t>
            </w:r>
          </w:p>
          <w:p w14:paraId="701C668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1.1嵌入式控制模块</w:t>
            </w:r>
          </w:p>
          <w:p w14:paraId="32F6726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嵌入式控制模块主要包括嵌入式控制器、传感器扩展板、驱动控制器、模块化安装支架、线缆等。</w:t>
            </w:r>
          </w:p>
          <w:p w14:paraId="027DA36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1.1.1嵌入式控制器   </w:t>
            </w:r>
          </w:p>
          <w:p w14:paraId="4967F22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06B6AB3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1）CPU：ARM Cortex-A53</w:t>
            </w:r>
          </w:p>
          <w:p w14:paraId="6E633C5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2）BPU：（Bernoulli Arch）Core×2，up tp 1.0G~5Tops</w:t>
            </w:r>
          </w:p>
          <w:p w14:paraId="5226653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3）USB接口：USB3.0×1,USB2.0×2</w:t>
            </w:r>
          </w:p>
          <w:p w14:paraId="25B771B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4）串口：ttl电平×1</w:t>
            </w:r>
          </w:p>
          <w:p w14:paraId="690A8BB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5）Wifi：2.4G，支持802.11b/g/n</w:t>
            </w:r>
          </w:p>
          <w:p w14:paraId="0669DF9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6）蓝牙：4.1</w:t>
            </w:r>
          </w:p>
          <w:p w14:paraId="5F25EBA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7）显示接口：HDMI 1920×1080</w:t>
            </w:r>
          </w:p>
          <w:p w14:paraId="1563CF1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8）有线网络：千兆以太网×1</w:t>
            </w:r>
          </w:p>
          <w:p w14:paraId="7A34B03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9）IO接口：</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GPIO、I2C、UART、SPI、I2S、PWM</w:t>
            </w:r>
          </w:p>
          <w:p w14:paraId="59A2893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10）电源：USBC 5V/2A</w:t>
            </w:r>
          </w:p>
          <w:p w14:paraId="341A8B4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★11）操作系统：Ubuntu20.04</w:t>
            </w:r>
          </w:p>
          <w:p w14:paraId="3E5E27C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12）尺寸：85×56×20mm</w:t>
            </w:r>
          </w:p>
          <w:p w14:paraId="6A3E1DC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13）工作温度：-25℃~90℃</w:t>
            </w:r>
          </w:p>
          <w:p w14:paraId="13BEA74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★1.1.2传感器扩展板</w:t>
            </w:r>
          </w:p>
          <w:p w14:paraId="5E4F352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4D3929D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1）额定电压：DC 9V~28V</w:t>
            </w:r>
          </w:p>
          <w:p w14:paraId="65E5B69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2）最大额定电流</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：≤8A</w:t>
            </w:r>
          </w:p>
          <w:p w14:paraId="6B69F01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3）工作温度：-10℃~70℃</w:t>
            </w:r>
          </w:p>
          <w:p w14:paraId="2C621E9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4）PWM输出通道数：≥8路</w:t>
            </w:r>
          </w:p>
          <w:p w14:paraId="2DA63D6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5）模拟量输入通道数：≥8路</w:t>
            </w:r>
          </w:p>
          <w:p w14:paraId="789047D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6）模拟量AD采样精度：12位</w:t>
            </w:r>
          </w:p>
          <w:p w14:paraId="5AA571E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7）数字输入通道数量：≥4路</w:t>
            </w:r>
          </w:p>
          <w:p w14:paraId="25FCB9C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8）数字输出通道数量：≥4路</w:t>
            </w:r>
          </w:p>
          <w:p w14:paraId="676E9C4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9）IO隔离方式：数字隔离</w:t>
            </w:r>
          </w:p>
          <w:p w14:paraId="05FF547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10）超声波传感器通道数：4路</w:t>
            </w:r>
          </w:p>
          <w:p w14:paraId="5DC5070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11）外部陀螺仪接口数：1路</w:t>
            </w:r>
          </w:p>
          <w:p w14:paraId="649EA78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12）通讯接口：USB串口</w:t>
            </w:r>
          </w:p>
          <w:p w14:paraId="6077E87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13）通讯协议：串口、Modbus</w:t>
            </w:r>
          </w:p>
          <w:p w14:paraId="4EDE9AD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14）MCU类型：ARM Cortex M4</w:t>
            </w:r>
          </w:p>
          <w:p w14:paraId="639DE12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15）MCU尺寸：32位</w:t>
            </w:r>
          </w:p>
          <w:p w14:paraId="0842CFC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16）MCU主频</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：168MHz</w:t>
            </w:r>
          </w:p>
          <w:p w14:paraId="6E1E1BA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17）ROM大小：512KB</w:t>
            </w:r>
          </w:p>
          <w:p w14:paraId="392E7D6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18）RAM大小：192KB</w:t>
            </w:r>
          </w:p>
          <w:p w14:paraId="336E29B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★1.1.3驱动控制器</w:t>
            </w:r>
          </w:p>
          <w:p w14:paraId="2F5001D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3F7F93B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1）额定电压</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：DC 9V~28V</w:t>
            </w:r>
          </w:p>
          <w:p w14:paraId="2FC5335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2）最大额定电流：60A</w:t>
            </w:r>
          </w:p>
          <w:p w14:paraId="0728215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3）工作温度：-10℃~70℃</w:t>
            </w:r>
          </w:p>
          <w:p w14:paraId="11552FC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4）电机通道数：4</w:t>
            </w:r>
          </w:p>
          <w:p w14:paraId="4E6CF72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5）电机类型</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：直流有刷</w:t>
            </w:r>
          </w:p>
          <w:p w14:paraId="61BE20A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6）编码器接口数量：4</w:t>
            </w:r>
          </w:p>
          <w:p w14:paraId="06406D4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7）编码器类型：正交编码器</w:t>
            </w:r>
          </w:p>
          <w:p w14:paraId="6BF9C5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8）单桥最大过载电流：30A</w:t>
            </w:r>
          </w:p>
          <w:p w14:paraId="423892E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9）PWM额定频率：20kHz</w:t>
            </w:r>
          </w:p>
          <w:p w14:paraId="410EC7D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10）IO接口类型：数字隔离输入</w:t>
            </w:r>
          </w:p>
          <w:p w14:paraId="60CF135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11）通讯接口：USB、RS485</w:t>
            </w:r>
          </w:p>
          <w:p w14:paraId="2352BD6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12）通讯协议：串口、Modbus</w:t>
            </w:r>
          </w:p>
          <w:p w14:paraId="7A84ADD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13）MCU类型：ARM Cortex M4</w:t>
            </w:r>
          </w:p>
          <w:p w14:paraId="4D9CD05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14）MCU尺寸：32位</w:t>
            </w:r>
          </w:p>
          <w:p w14:paraId="31B41BB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15）MCU主频</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：168MHz</w:t>
            </w:r>
          </w:p>
          <w:p w14:paraId="0AA87FE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16）ROM大小</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：512KB</w:t>
            </w:r>
          </w:p>
          <w:p w14:paraId="7F6E308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17）RAM大小</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：192KB</w:t>
            </w:r>
          </w:p>
          <w:p w14:paraId="2957B3B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1.2智能感知模块</w:t>
            </w:r>
          </w:p>
          <w:p w14:paraId="627AEF0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智能感知模块主要包括超声波传感器、姿态传感器、激光雷达传感器、以及深度相机。</w:t>
            </w:r>
          </w:p>
          <w:p w14:paraId="1C404CE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1.2.1超声波传感器  </w:t>
            </w:r>
          </w:p>
          <w:p w14:paraId="4F5A4BE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7D30387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1）数量：4</w:t>
            </w:r>
          </w:p>
          <w:p w14:paraId="16A64B3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2）供电电压</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：DC 5V</w:t>
            </w:r>
          </w:p>
          <w:p w14:paraId="3C68456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3）工作电流</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：&lt;2mA</w:t>
            </w:r>
          </w:p>
          <w:p w14:paraId="6E10212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4）作用范围</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：30～4500mm</w:t>
            </w:r>
          </w:p>
          <w:p w14:paraId="7BAE64B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5）传感器尺寸：48×24×16mm</w:t>
            </w:r>
          </w:p>
          <w:p w14:paraId="570671B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6）接口数量：4针</w:t>
            </w:r>
          </w:p>
          <w:p w14:paraId="4092E41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固定方式：配备超声波传感器支架便于固定</w:t>
            </w:r>
          </w:p>
          <w:p w14:paraId="220EA0F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1.2.2姿态传感器  </w:t>
            </w:r>
          </w:p>
          <w:p w14:paraId="2C47566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41AF5B7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1）输入电源：5V</w:t>
            </w:r>
          </w:p>
          <w:p w14:paraId="34AF300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2）工作电流：&lt;5mA</w:t>
            </w:r>
          </w:p>
          <w:p w14:paraId="7C7B72C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3）通讯方式：串口TTL</w:t>
            </w:r>
          </w:p>
          <w:p w14:paraId="6550DD2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4）输出数据：三轴(加速度、陀螺仪、欧拉角)</w:t>
            </w:r>
          </w:p>
          <w:p w14:paraId="4E5A210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5）量程</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加速度：±16g、陀螺仪±2000°/s</w:t>
            </w:r>
          </w:p>
          <w:p w14:paraId="7E12386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6）分辨率加速度：0.5mg/LSB（2048LSB/g）</w:t>
            </w:r>
          </w:p>
          <w:p w14:paraId="6232B00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7）角速度：0.061（°/s）LSB</w:t>
            </w:r>
          </w:p>
          <w:p w14:paraId="74501B9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8）角度精度：XY轴：≥0.2°</w:t>
            </w:r>
          </w:p>
          <w:p w14:paraId="757D1F2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9）输出频率：20Hz/100Hz</w:t>
            </w:r>
          </w:p>
          <w:p w14:paraId="0817CC4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10）波特率：9600/115200bps</w:t>
            </w:r>
          </w:p>
          <w:p w14:paraId="0183CE9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11）产品尺寸：51.5×36.1×15mm</w:t>
            </w:r>
          </w:p>
          <w:p w14:paraId="45103A9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12）产品重量：14.5g</w:t>
            </w:r>
          </w:p>
          <w:p w14:paraId="0E4080E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1.2.3激光雷达传感器</w:t>
            </w:r>
          </w:p>
          <w:p w14:paraId="5EA0C17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技术参数： </w:t>
            </w:r>
          </w:p>
          <w:p w14:paraId="5ECEEDF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1）测距方式：TOF</w:t>
            </w:r>
          </w:p>
          <w:p w14:paraId="2748DAC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2）扫描角度：360°</w:t>
            </w:r>
          </w:p>
          <w:p w14:paraId="5F2C7EA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3）角度分辨率：≥0.8°</w:t>
            </w:r>
          </w:p>
          <w:p w14:paraId="6258D54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4）测量频率：4500次/秒</w:t>
            </w:r>
          </w:p>
          <w:p w14:paraId="2068DAA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5）扫描频率</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：≥10Hz</w:t>
            </w:r>
          </w:p>
          <w:p w14:paraId="0DEA113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6）输出分辨率：≥15mm</w:t>
            </w:r>
          </w:p>
          <w:p w14:paraId="3698621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7）测距精度：±3cm(0-6m)、±4.5cm(≥6m)（70%反射率目标物）</w:t>
            </w:r>
          </w:p>
          <w:p w14:paraId="0F5F716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8）光源：905nm激光</w:t>
            </w:r>
          </w:p>
          <w:p w14:paraId="01B1BD6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9）测量半径</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：白色:25m 黑色:11m</w:t>
            </w:r>
          </w:p>
          <w:p w14:paraId="1BA99B4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10）数据内容：距离、角度、光强</w:t>
            </w:r>
          </w:p>
          <w:p w14:paraId="0392829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11）工作电压：5V</w:t>
            </w:r>
          </w:p>
          <w:p w14:paraId="25CAC10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12）环境温度：-10℃~40℃</w:t>
            </w:r>
          </w:p>
          <w:p w14:paraId="3EE4337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13）驱动方式：内置无刷电机</w:t>
            </w:r>
          </w:p>
          <w:p w14:paraId="7A8C786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14）防护等级：IPX4</w:t>
            </w:r>
          </w:p>
          <w:p w14:paraId="5BCE898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15）通讯接口：串口(波特率：230400bps)</w:t>
            </w:r>
          </w:p>
          <w:p w14:paraId="6512BF4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1.2.4深度相机 </w:t>
            </w:r>
          </w:p>
          <w:p w14:paraId="36B709A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79D5C21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1）测量方式：ORBBEC单目结构光</w:t>
            </w:r>
          </w:p>
          <w:p w14:paraId="751C09D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2）工作范围：0.6~8m</w:t>
            </w:r>
          </w:p>
          <w:p w14:paraId="4A1D338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3）精度：1m：±3mm</w:t>
            </w:r>
          </w:p>
          <w:p w14:paraId="4A88950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4）视场角(FOV)：H58.4°×V45.7°</w:t>
            </w:r>
          </w:p>
          <w:p w14:paraId="003EEBB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5）分辨率：1280x1024@7fps</w:t>
            </w:r>
          </w:p>
          <w:p w14:paraId="068FEB8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6）数据接口：USB</w:t>
            </w:r>
          </w:p>
          <w:p w14:paraId="30FD51E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7）麦克风：双通道立体声</w:t>
            </w:r>
          </w:p>
          <w:p w14:paraId="5278134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8）功耗：&lt;2.5W</w:t>
            </w:r>
          </w:p>
          <w:p w14:paraId="7612B51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9）工作温度：10℃~40℃</w:t>
            </w:r>
          </w:p>
          <w:p w14:paraId="39A6CE2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10）工作电压：</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5V</w:t>
            </w:r>
          </w:p>
          <w:p w14:paraId="4F60352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1.3语音交互模块</w:t>
            </w:r>
          </w:p>
          <w:p w14:paraId="46710D3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语音交互模块由拾音器和扬声器组成。</w:t>
            </w:r>
          </w:p>
          <w:p w14:paraId="5CB4205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1.3.1拾音器</w:t>
            </w:r>
          </w:p>
          <w:p w14:paraId="3B6E9AD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3CD4134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1）麦克风类型：全向</w:t>
            </w:r>
          </w:p>
          <w:p w14:paraId="299B630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2）支持降噪：是</w:t>
            </w:r>
          </w:p>
          <w:p w14:paraId="455E5B3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3）支持人声优化：是</w:t>
            </w:r>
          </w:p>
          <w:p w14:paraId="6673861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4）拾音半径：2m</w:t>
            </w:r>
          </w:p>
          <w:p w14:paraId="34EEB5E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5）接口方式：USB</w:t>
            </w:r>
          </w:p>
          <w:p w14:paraId="2FFE4F4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6）尺寸：60×60×15mm</w:t>
            </w:r>
          </w:p>
          <w:p w14:paraId="5358BBC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1.3.2扬声器</w:t>
            </w:r>
          </w:p>
          <w:p w14:paraId="70EEC0F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071D47C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1）尺寸：83×30×42mm</w:t>
            </w:r>
          </w:p>
          <w:p w14:paraId="5B0B91E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2）功率：3W</w:t>
            </w:r>
          </w:p>
          <w:p w14:paraId="2C8CD3D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3）电源：USB供电</w:t>
            </w:r>
          </w:p>
          <w:p w14:paraId="23D53E4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4）接口类型</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：USB</w:t>
            </w:r>
          </w:p>
          <w:p w14:paraId="0CE995E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5）喇叭：双喇叭</w:t>
            </w:r>
          </w:p>
          <w:p w14:paraId="213C349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6）线长：1100mm</w:t>
            </w:r>
          </w:p>
          <w:p w14:paraId="1279B43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7）声道：2.0</w:t>
            </w:r>
          </w:p>
          <w:p w14:paraId="3BADAEF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8）重量：0.25kg</w:t>
            </w:r>
          </w:p>
          <w:p w14:paraId="5FE3F9A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9）扬声器频率：</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140Hz~20kHz</w:t>
            </w:r>
          </w:p>
          <w:p w14:paraId="5ED764D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1.4驱动模块</w:t>
            </w:r>
          </w:p>
          <w:p w14:paraId="45FCEE4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驱动模块由直流减速电机、麦克纳姆轮或橡胶轮等组成。</w:t>
            </w:r>
          </w:p>
          <w:p w14:paraId="212AE74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1.4.1直流减速电机</w:t>
            </w:r>
          </w:p>
          <w:p w14:paraId="4B6FA9F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655B8DF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1）工作电压：12V</w:t>
            </w:r>
          </w:p>
          <w:p w14:paraId="45EEC33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2）长度：102mm</w:t>
            </w:r>
          </w:p>
          <w:p w14:paraId="381AD60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3）齿轮比：64：1</w:t>
            </w:r>
          </w:p>
          <w:p w14:paraId="7F8FB10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4）轴直径：6mm D轴</w:t>
            </w:r>
          </w:p>
          <w:p w14:paraId="6634D68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5）直径</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：Φ36mm</w:t>
            </w:r>
          </w:p>
          <w:p w14:paraId="75FC940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6）空载电流：≤400mA</w:t>
            </w:r>
          </w:p>
          <w:p w14:paraId="77466B3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7）额定转速：≥100r/min</w:t>
            </w:r>
          </w:p>
          <w:p w14:paraId="4D9915C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8）额定转矩：20kg·m</w:t>
            </w:r>
          </w:p>
          <w:p w14:paraId="7B3E6C5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9）额定电流：≤2A</w:t>
            </w:r>
          </w:p>
          <w:p w14:paraId="162ECF2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10）堵转电流：≤9.5A</w:t>
            </w:r>
          </w:p>
          <w:p w14:paraId="1C8F379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11）编码器：高分辨率霍尔效果，22ppr，每轴旋转总计数1440脉冲</w:t>
            </w:r>
          </w:p>
          <w:p w14:paraId="17E7AF9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12）重量：0.48kg</w:t>
            </w:r>
          </w:p>
          <w:p w14:paraId="4A7FED4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1.4.2麦克纳姆轮（4只）</w:t>
            </w:r>
          </w:p>
          <w:p w14:paraId="22E61A6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2DED38C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1）直径：100mm</w:t>
            </w:r>
          </w:p>
          <w:p w14:paraId="29C6F6A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2）重量：1.52kg</w:t>
            </w:r>
          </w:p>
          <w:p w14:paraId="63783E1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3）负载能力（4只）40kg</w:t>
            </w:r>
          </w:p>
          <w:p w14:paraId="74F2185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4）厚度：50mm</w:t>
            </w:r>
          </w:p>
          <w:p w14:paraId="13B989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5）支撑轮轴直径：3mm</w:t>
            </w:r>
          </w:p>
          <w:p w14:paraId="748750C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6）支撑轮数量：9</w:t>
            </w:r>
          </w:p>
          <w:p w14:paraId="534B2D1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7）轮毂材质：铝合金（喷砂工艺）</w:t>
            </w:r>
          </w:p>
          <w:p w14:paraId="72E1A99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1.4.3橡胶轮（4只）</w:t>
            </w:r>
          </w:p>
          <w:p w14:paraId="4B832EC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756FE3B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1）直径：95mm</w:t>
            </w:r>
          </w:p>
          <w:p w14:paraId="465B2E3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2）内径：6mm</w:t>
            </w:r>
          </w:p>
          <w:p w14:paraId="35395BD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3）重量：210g</w:t>
            </w:r>
          </w:p>
          <w:p w14:paraId="1B6840F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4）负载能力：≥100kg</w:t>
            </w:r>
          </w:p>
          <w:p w14:paraId="5CBFDBF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5）厚度：25mm</w:t>
            </w:r>
          </w:p>
          <w:p w14:paraId="210D80F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6）胎皮材质：橡胶</w:t>
            </w:r>
          </w:p>
          <w:p w14:paraId="6672A23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7）轮毂材质：高强度塑胶</w:t>
            </w:r>
          </w:p>
          <w:p w14:paraId="1EC0010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1.5移动机器人结构框架</w:t>
            </w:r>
          </w:p>
          <w:p w14:paraId="78F6477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技术参数：</w:t>
            </w:r>
          </w:p>
          <w:p w14:paraId="5405FFA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1）材质：铝合金</w:t>
            </w:r>
          </w:p>
          <w:p w14:paraId="4089858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2）结构承重：≥20kg</w:t>
            </w:r>
          </w:p>
          <w:p w14:paraId="6EB3C16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1.6</w:t>
            </w:r>
            <w:r>
              <w:rPr>
                <w:rFonts w:hint="eastAsia" w:ascii="宋体" w:hAnsi="宋体" w:eastAsia="宋体" w:cs="宋体"/>
                <w:szCs w:val="21"/>
                <w:highlight w:val="none"/>
                <w14:ligatures w14:val="standardContextual"/>
              </w:rPr>
              <w:tab/>
            </w:r>
            <w:r>
              <w:rPr>
                <w:rFonts w:hint="eastAsia" w:ascii="宋体" w:hAnsi="宋体" w:eastAsia="宋体" w:cs="宋体"/>
                <w:szCs w:val="21"/>
                <w:highlight w:val="none"/>
                <w14:ligatures w14:val="standardContextual"/>
              </w:rPr>
              <w:t>智能机器人仿真系统</w:t>
            </w:r>
          </w:p>
          <w:p w14:paraId="0B3F783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智能机器人仿真系统，具有在线仿真、离线仿真、实物部署测试应用等功能。</w:t>
            </w:r>
          </w:p>
          <w:p w14:paraId="5AD3AD6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1）点对点设计：每个进程以独立节点的形式运行，可以分布于多个不同的主机，分散多机器人定位、导航等功能带来的实时计算压力。</w:t>
            </w:r>
          </w:p>
          <w:p w14:paraId="02E375B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2）支持多种编程语言：支持Python、C++、Java、Octave等多种不同的语言。</w:t>
            </w:r>
          </w:p>
          <w:p w14:paraId="450231A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3）架构精简、集成度高：软件接口采用模块化设计，便于移植和复用。</w:t>
            </w:r>
          </w:p>
          <w:p w14:paraId="7FBF875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4）丰富的组件化工具包：系统中集成了视觉算法库opencv和PCL、运动规划工具moveit、3D可视化工具rviz、消息查看工具rqt、物理仿真环境gazebo等组件。</w:t>
            </w:r>
          </w:p>
          <w:p w14:paraId="212E69A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5）完全开发的二次开发接口：允许使用者修改和重新发布应用程序源代码，根据需求集成于不同的应用场景。</w:t>
            </w:r>
          </w:p>
          <w:p w14:paraId="270E989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6）提供完整功能包算法，有丰富的ROS教学资源，零基础或有ROS、Linux入门基础的学生可以系统地学习ROS机器人操作系统。</w:t>
            </w:r>
          </w:p>
          <w:p w14:paraId="22A52EF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7）持移动机器人、多自由度关节型机器人、移动操作臂、轮式人形机器人、足式人形机器人、Delta、SCARA、直角坐标等不同构型的机器人，基于运动学模型，以定制化的方式生成通用性URDF、Xacro、SRDF模型。</w:t>
            </w:r>
          </w:p>
          <w:p w14:paraId="3100BC68">
            <w:pPr>
              <w:widowControl w:val="0"/>
              <w:textAlignment w:val="auto"/>
              <w:rPr>
                <w:rFonts w:ascii="宋体" w:hAnsi="宋体" w:eastAsia="宋体" w:cs="宋体"/>
                <w:color w:val="FF0000"/>
                <w:szCs w:val="21"/>
                <w:highlight w:val="none"/>
                <w14:ligatures w14:val="standardContextual"/>
              </w:rPr>
            </w:pPr>
            <w:r>
              <w:rPr>
                <w:rFonts w:hint="eastAsia" w:ascii="宋体" w:hAnsi="宋体" w:eastAsia="宋体" w:cs="宋体"/>
                <w:color w:val="FF0000"/>
                <w:szCs w:val="21"/>
                <w:highlight w:val="none"/>
                <w14:ligatures w14:val="standardContextual"/>
              </w:rPr>
              <w:t>8）仿真系统可以定制化支持多种机器人模型，根据教学要求将机器人模型部署在仿真系统中，支持无实物状态下的物理属性仿真。</w:t>
            </w:r>
          </w:p>
          <w:p w14:paraId="1E9FD9DC">
            <w:pPr>
              <w:widowControl w:val="0"/>
              <w:textAlignment w:val="auto"/>
              <w:rPr>
                <w:rFonts w:ascii="宋体" w:hAnsi="宋体" w:eastAsia="宋体" w:cs="宋体"/>
                <w:color w:val="FF0000"/>
                <w:szCs w:val="21"/>
                <w:highlight w:val="none"/>
                <w14:ligatures w14:val="standardContextual"/>
              </w:rPr>
            </w:pPr>
            <w:r>
              <w:rPr>
                <w:rFonts w:hint="eastAsia" w:ascii="宋体" w:hAnsi="宋体" w:eastAsia="宋体" w:cs="宋体"/>
                <w:color w:val="FF0000"/>
                <w:szCs w:val="21"/>
                <w:highlight w:val="none"/>
                <w14:ligatures w14:val="standardContextual"/>
              </w:rPr>
              <w:t>★9）支持在线连接并实时驱动实物机器人运动，可以支持30种品牌机器人的实物机器人。</w:t>
            </w:r>
          </w:p>
          <w:p w14:paraId="78408EF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10）集成了OMPL、CHOMP、STOMP等运动规划库，支持机器人运动规划、3D视觉感知、机器人抓取操作、运动学分析、碰撞检测、仿真/实物控制、机器人导航等功能。</w:t>
            </w:r>
          </w:p>
          <w:p w14:paraId="18399FF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★11）支持运动学/动力学仿真、三维可视化环境、传感器数据仿真、噪声数据仿真、云/远程仿真、可扩展插件定制化等功能。</w:t>
            </w:r>
          </w:p>
          <w:p w14:paraId="5F7FD74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12）提供机器人虚拟教学模块，如虚拟示教器、生成仿真运动视频。</w:t>
            </w:r>
          </w:p>
          <w:p w14:paraId="5394158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★13）支持基于Python、C++等高级语言的API的扩展编程，提供强大的Python、C++ API功能支持，允许开展大量机器人智能化应用仿真测试、验证。</w:t>
            </w:r>
          </w:p>
          <w:p w14:paraId="1565181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1.7配套工具箱</w:t>
            </w:r>
          </w:p>
          <w:p w14:paraId="5DE5C30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配套工具箱主要有十字螺丝刀、一字螺丝刀、六角扳手等常用的工具。</w:t>
            </w:r>
          </w:p>
          <w:p w14:paraId="50D2B7E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1.8实训项目</w:t>
            </w:r>
          </w:p>
          <w:p w14:paraId="2E11938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配套资料包括程序源码、教学文档、演示课件、实训手册等，包含以下实训项目。注：提供实训案例配套代码，文档、对应演示视频的截图预览</w:t>
            </w:r>
          </w:p>
          <w:p w14:paraId="10DF2BD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1.8.1实训项目</w:t>
            </w:r>
          </w:p>
          <w:p w14:paraId="5A503A5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(1)嵌入式硬件开发实训项目</w:t>
            </w:r>
          </w:p>
          <w:p w14:paraId="01C0E2D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1）嵌入式MCU GPIO控制功能编程与应用</w:t>
            </w:r>
          </w:p>
          <w:p w14:paraId="6A26EE4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2）嵌入式MCU 定时器PWM输出控制编程与应用</w:t>
            </w:r>
          </w:p>
          <w:p w14:paraId="3C491A2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3）嵌入式MCU正交编码器接口功能编程与应用</w:t>
            </w:r>
          </w:p>
          <w:p w14:paraId="1D9F35B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4）嵌入式MCU AD采集功能编程与应用</w:t>
            </w:r>
          </w:p>
          <w:p w14:paraId="0F5B02F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5）嵌入式MCU 串行通信接口功能编程与应用</w:t>
            </w:r>
          </w:p>
          <w:p w14:paraId="1BD089D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6）嵌入式MCU 电机闭环控制功能开发与应用</w:t>
            </w:r>
          </w:p>
          <w:p w14:paraId="6A529D2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7）嵌入式MCU 红外测距传感器开发编程与应用</w:t>
            </w:r>
          </w:p>
          <w:p w14:paraId="708057A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8）嵌入式MCU 超声波传感器开发编程与应用</w:t>
            </w:r>
          </w:p>
          <w:p w14:paraId="7450BA43">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9）嵌入式MCU陀螺仪传感器开发编程与应用</w:t>
            </w:r>
          </w:p>
          <w:p w14:paraId="6E52CE2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(2)ROS机器人与嵌入式开发基础实训项目</w:t>
            </w:r>
          </w:p>
          <w:p w14:paraId="6437BC5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1）ROS基础项目，传感器数据订阅，服务调用、电机控制</w:t>
            </w:r>
          </w:p>
          <w:p w14:paraId="40CE370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2）移动机器人超声波跟随实验编程与应用</w:t>
            </w:r>
          </w:p>
          <w:p w14:paraId="0636FAE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3）移动机器人基础运动实验编程与应用</w:t>
            </w:r>
          </w:p>
          <w:p w14:paraId="4BEB3F8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4）移动机器人键盘手动控制实验编程与应用</w:t>
            </w:r>
          </w:p>
          <w:p w14:paraId="5ACBF8E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 xml:space="preserve">5）移动机器人手柄控制实验编程与应用 </w:t>
            </w:r>
          </w:p>
          <w:p w14:paraId="6CDC02CF">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6）移动机器人激光雷达预警检测实验编程与应用</w:t>
            </w:r>
          </w:p>
          <w:p w14:paraId="410C8C1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（3)嵌入式语音交互技术实训项目</w:t>
            </w:r>
          </w:p>
          <w:p w14:paraId="24B8C4F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1）科大讯飞语音包注册及使用项目</w:t>
            </w:r>
          </w:p>
          <w:p w14:paraId="61395F9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2）TTS文本转语音功能开发编程与应用</w:t>
            </w:r>
          </w:p>
          <w:p w14:paraId="1302935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3）TTS语音转文本功能开发编程与应用</w:t>
            </w:r>
          </w:p>
          <w:p w14:paraId="2B72A0C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4）语音唤醒功能开发编程与应用</w:t>
            </w:r>
          </w:p>
          <w:p w14:paraId="2A2D332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5）机器人语音导航功能开发编程与应用</w:t>
            </w:r>
          </w:p>
          <w:p w14:paraId="30F6495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6）机器人语音开灯功能开发编程与应用</w:t>
            </w:r>
          </w:p>
          <w:p w14:paraId="681780C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(4)视觉与机器人技术实训项目</w:t>
            </w:r>
          </w:p>
          <w:p w14:paraId="4A99CF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1）OpenCV基础实训开发</w:t>
            </w:r>
          </w:p>
          <w:p w14:paraId="43C9C83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2）颜色识别实验编程与应用</w:t>
            </w:r>
          </w:p>
          <w:p w14:paraId="7823265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3）圆球定位与跟踪实验编程与应用</w:t>
            </w:r>
          </w:p>
          <w:p w14:paraId="268340A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4）条码识别实验编程与应用</w:t>
            </w:r>
          </w:p>
          <w:p w14:paraId="0428845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★5）视觉巡线定位编程与应用</w:t>
            </w:r>
          </w:p>
          <w:p w14:paraId="7166968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6）Yolo目标识别开发与应用</w:t>
            </w:r>
          </w:p>
          <w:p w14:paraId="5B14DA6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★7）手势识别开发与应用</w:t>
            </w:r>
          </w:p>
          <w:p w14:paraId="1FE7F68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8）数字识别开发与应用</w:t>
            </w:r>
          </w:p>
          <w:p w14:paraId="12421EB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9）人脸识别跟踪开发与应用</w:t>
            </w:r>
          </w:p>
          <w:p w14:paraId="1DF7E9C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10）视觉巡检开发与应用</w:t>
            </w:r>
          </w:p>
          <w:p w14:paraId="2760967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11）骨架识别与机器人引导开发与应用</w:t>
            </w:r>
          </w:p>
          <w:p w14:paraId="573AE8A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(5)支持自主移动机器人技术实训项目</w:t>
            </w:r>
          </w:p>
          <w:p w14:paraId="405583C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1）Gmapping SLAM建图实训项目</w:t>
            </w:r>
          </w:p>
          <w:p w14:paraId="7409DD1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2）Cartographer SLAM建图实训项目</w:t>
            </w:r>
          </w:p>
          <w:p w14:paraId="09E8499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3）Slam Toolbox建图实训项目</w:t>
            </w:r>
          </w:p>
          <w:p w14:paraId="65CB0C2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4）AMCL机器人定位实训项目</w:t>
            </w:r>
          </w:p>
          <w:p w14:paraId="22F20A4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5）Cartographer定位实训项目</w:t>
            </w:r>
          </w:p>
          <w:p w14:paraId="65CFAA9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6）ROS导航框架配置及应用实训项目</w:t>
            </w:r>
          </w:p>
          <w:p w14:paraId="7457872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7）机器人多点自动导航编程及应用</w:t>
            </w:r>
          </w:p>
          <w:p w14:paraId="03975B5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8）移动机器人路径跟随编程及应用</w:t>
            </w:r>
          </w:p>
          <w:p w14:paraId="23569438">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1.8.2平台软件开发资源</w:t>
            </w:r>
          </w:p>
          <w:p w14:paraId="5D3924A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1）开发平台介绍及电气原理图讲解</w:t>
            </w:r>
          </w:p>
          <w:p w14:paraId="3D10312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2）IO控制实验</w:t>
            </w:r>
          </w:p>
          <w:p w14:paraId="1AD4204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3）PWM输出实验</w:t>
            </w:r>
          </w:p>
          <w:p w14:paraId="1ED46B5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4）编码器实验</w:t>
            </w:r>
          </w:p>
          <w:p w14:paraId="0F098E92">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5）串口通讯实验</w:t>
            </w:r>
          </w:p>
          <w:p w14:paraId="7E77A85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6）AD采集实验</w:t>
            </w:r>
          </w:p>
          <w:p w14:paraId="5095A62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7）电机开环控制实验</w:t>
            </w:r>
          </w:p>
          <w:p w14:paraId="4B2D0AC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8）编码器测速实验</w:t>
            </w:r>
          </w:p>
          <w:p w14:paraId="7FEF74B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9）速度闭环控制实验</w:t>
            </w:r>
          </w:p>
          <w:p w14:paraId="211028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10）通讯实验</w:t>
            </w:r>
          </w:p>
          <w:p w14:paraId="7F27AFA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11）红外测距传感器实验</w:t>
            </w:r>
          </w:p>
          <w:p w14:paraId="30EE1737">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12）超声波传感器实验</w:t>
            </w:r>
          </w:p>
          <w:p w14:paraId="3BECB6A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13）陀螺仪传感器实验</w:t>
            </w:r>
          </w:p>
          <w:p w14:paraId="02DF1F0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1.9 实训资源</w:t>
            </w:r>
          </w:p>
          <w:p w14:paraId="3DB5147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实训室配套教学资源需包含如下课件资源，各项资源需在投标文件中展示清楚全面。</w:t>
            </w:r>
          </w:p>
          <w:p w14:paraId="62D430E9">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1.9.1 ROS2基础实训资源</w:t>
            </w:r>
          </w:p>
          <w:p w14:paraId="326144C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1）ROS基础</w:t>
            </w:r>
          </w:p>
          <w:p w14:paraId="53EC37C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2）基础实验</w:t>
            </w:r>
          </w:p>
          <w:p w14:paraId="392E500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3）底盘节点介绍</w:t>
            </w:r>
          </w:p>
          <w:p w14:paraId="2B494295">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4）超声波跟随实验</w:t>
            </w:r>
          </w:p>
          <w:p w14:paraId="1DBF6FCE">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5）底盘基础运动控制实验</w:t>
            </w:r>
          </w:p>
          <w:p w14:paraId="3C3D293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6）键盘控制实验</w:t>
            </w:r>
          </w:p>
          <w:p w14:paraId="58FE5184">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7）手柄控制实验</w:t>
            </w:r>
          </w:p>
          <w:p w14:paraId="7AC1618C">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8）激光雷达预警检测实验</w:t>
            </w:r>
          </w:p>
          <w:p w14:paraId="7C47BDAA">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1.9.2机器人视觉实训资源</w:t>
            </w:r>
          </w:p>
          <w:p w14:paraId="6B099AA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1）openCV基础入门例程</w:t>
            </w:r>
          </w:p>
          <w:p w14:paraId="5581FDA6">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2）OpenCV入门</w:t>
            </w:r>
          </w:p>
          <w:p w14:paraId="2048A201">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3）机器视觉</w:t>
            </w:r>
          </w:p>
          <w:p w14:paraId="614F580B">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4）图像处理</w:t>
            </w:r>
          </w:p>
          <w:p w14:paraId="3029EB90">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5）图像的基础操作</w:t>
            </w:r>
          </w:p>
          <w:p w14:paraId="462984ED">
            <w:pPr>
              <w:widowControl w:val="0"/>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6）图像入门</w:t>
            </w:r>
          </w:p>
        </w:tc>
        <w:tc>
          <w:tcPr>
            <w:tcW w:w="858" w:type="dxa"/>
            <w:vAlign w:val="center"/>
          </w:tcPr>
          <w:p w14:paraId="5263C5DA">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75D81023">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1</w:t>
            </w:r>
          </w:p>
        </w:tc>
      </w:tr>
      <w:tr w14:paraId="7138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33544AF5">
            <w:pPr>
              <w:widowControl w:val="0"/>
              <w:wordWrap w:val="0"/>
              <w:jc w:val="center"/>
              <w:textAlignment w:val="auto"/>
              <w:rPr>
                <w:rFonts w:ascii="宋体" w:hAnsi="宋体" w:eastAsia="宋体" w:cs="宋体"/>
                <w:color w:val="000000"/>
                <w:szCs w:val="22"/>
                <w:highlight w:val="none"/>
                <w14:ligatures w14:val="standardContextual"/>
              </w:rPr>
            </w:pPr>
            <w:r>
              <w:rPr>
                <w:rFonts w:hint="eastAsia" w:ascii="宋体" w:hAnsi="宋体" w:eastAsia="宋体" w:cs="宋体"/>
                <w:color w:val="000000"/>
                <w:szCs w:val="22"/>
                <w:highlight w:val="none"/>
                <w14:ligatures w14:val="standardContextual"/>
              </w:rPr>
              <w:t>10</w:t>
            </w:r>
          </w:p>
        </w:tc>
        <w:tc>
          <w:tcPr>
            <w:tcW w:w="1033" w:type="dxa"/>
            <w:vAlign w:val="center"/>
          </w:tcPr>
          <w:p w14:paraId="7A7FCA9B">
            <w:pPr>
              <w:widowControl w:val="0"/>
              <w:wordWrap w:val="0"/>
              <w:spacing w:line="273" w:lineRule="exact"/>
              <w:jc w:val="center"/>
              <w:textAlignment w:val="auto"/>
              <w:rPr>
                <w:rFonts w:ascii="宋体" w:hAnsi="宋体" w:eastAsia="宋体" w:cs="宋体"/>
                <w:szCs w:val="21"/>
                <w:highlight w:val="none"/>
                <w14:ligatures w14:val="standardContextual"/>
              </w:rPr>
            </w:pPr>
            <w:r>
              <w:rPr>
                <w:rFonts w:hint="eastAsia" w:ascii="宋体" w:hAnsi="宋体" w:eastAsia="宋体" w:cs="宋体"/>
                <w:color w:val="000000"/>
                <w:szCs w:val="22"/>
                <w:highlight w:val="none"/>
                <w14:ligatures w14:val="standardContextual"/>
              </w:rPr>
              <w:t>六边形折叠培训桌椅</w:t>
            </w:r>
          </w:p>
        </w:tc>
        <w:tc>
          <w:tcPr>
            <w:tcW w:w="6282" w:type="dxa"/>
            <w:vAlign w:val="center"/>
          </w:tcPr>
          <w:p w14:paraId="4AA04D22">
            <w:pPr>
              <w:widowControl w:val="0"/>
              <w:numPr>
                <w:ilvl w:val="0"/>
                <w:numId w:val="1"/>
              </w:numPr>
              <w:textAlignment w:val="auto"/>
              <w:rPr>
                <w:rFonts w:ascii="宋体" w:hAnsi="宋体" w:eastAsia="宋体" w:cs="宋体"/>
                <w:szCs w:val="22"/>
                <w:highlight w:val="none"/>
                <w14:ligatures w14:val="standardContextual"/>
              </w:rPr>
            </w:pPr>
            <w:r>
              <w:rPr>
                <w:rFonts w:hint="eastAsia" w:ascii="宋体" w:hAnsi="宋体" w:eastAsia="宋体" w:cs="宋体"/>
                <w:spacing w:val="-2"/>
                <w:szCs w:val="21"/>
                <w:highlight w:val="none"/>
                <w14:ligatures w14:val="standardContextual"/>
              </w:rPr>
              <w:t>每套共8张桌子，可组成6边桌，单张尺寸：长×宽×高=1200mm×600mm×600mm；</w:t>
            </w:r>
          </w:p>
          <w:p w14:paraId="3F4764B8">
            <w:pPr>
              <w:widowControl w:val="0"/>
              <w:numPr>
                <w:ilvl w:val="0"/>
                <w:numId w:val="1"/>
              </w:numPr>
              <w:tabs>
                <w:tab w:val="left" w:pos="1260"/>
              </w:tabs>
              <w:textAlignment w:val="auto"/>
              <w:rPr>
                <w:rFonts w:ascii="宋体" w:hAnsi="宋体" w:eastAsia="宋体" w:cs="宋体"/>
                <w:spacing w:val="-2"/>
                <w:szCs w:val="21"/>
                <w:highlight w:val="none"/>
                <w14:ligatures w14:val="standardContextual"/>
              </w:rPr>
            </w:pPr>
            <w:r>
              <w:rPr>
                <w:rFonts w:hint="eastAsia" w:ascii="宋体" w:hAnsi="宋体" w:eastAsia="宋体" w:cs="宋体"/>
                <w:spacing w:val="-2"/>
                <w:szCs w:val="21"/>
                <w:highlight w:val="none"/>
                <w14:ligatures w14:val="standardContextual"/>
              </w:rPr>
              <w:t>桌子可折叠；</w:t>
            </w:r>
          </w:p>
          <w:p w14:paraId="04340B7D">
            <w:pPr>
              <w:widowControl w:val="0"/>
              <w:numPr>
                <w:ilvl w:val="0"/>
                <w:numId w:val="1"/>
              </w:numPr>
              <w:tabs>
                <w:tab w:val="left" w:pos="1260"/>
              </w:tabs>
              <w:textAlignment w:val="auto"/>
              <w:rPr>
                <w:rFonts w:ascii="宋体" w:hAnsi="宋体" w:eastAsia="宋体" w:cs="宋体"/>
                <w:spacing w:val="-2"/>
                <w:szCs w:val="21"/>
                <w:highlight w:val="none"/>
                <w14:ligatures w14:val="standardContextual"/>
              </w:rPr>
            </w:pPr>
            <w:r>
              <w:rPr>
                <w:rFonts w:hint="eastAsia" w:ascii="宋体" w:hAnsi="宋体" w:eastAsia="宋体" w:cs="宋体"/>
                <w:spacing w:val="-2"/>
                <w:szCs w:val="21"/>
                <w:highlight w:val="none"/>
                <w14:ligatures w14:val="standardContextual"/>
              </w:rPr>
              <w:t>烤漆脚架：脚架设计，扎实稳重，稳定平衡性好；</w:t>
            </w:r>
          </w:p>
          <w:p w14:paraId="5FF62B51">
            <w:pPr>
              <w:widowControl w:val="0"/>
              <w:numPr>
                <w:ilvl w:val="0"/>
                <w:numId w:val="1"/>
              </w:numPr>
              <w:tabs>
                <w:tab w:val="left" w:pos="1260"/>
              </w:tabs>
              <w:textAlignment w:val="auto"/>
              <w:rPr>
                <w:rFonts w:ascii="宋体" w:hAnsi="宋体" w:eastAsia="宋体" w:cs="宋体"/>
                <w:spacing w:val="-2"/>
                <w:szCs w:val="21"/>
                <w:highlight w:val="none"/>
                <w14:ligatures w14:val="standardContextual"/>
              </w:rPr>
            </w:pPr>
            <w:r>
              <w:rPr>
                <w:rFonts w:hint="eastAsia" w:ascii="宋体" w:hAnsi="宋体" w:eastAsia="宋体" w:cs="宋体"/>
                <w:spacing w:val="-2"/>
                <w:szCs w:val="21"/>
                <w:highlight w:val="none"/>
                <w14:ligatures w14:val="standardContextual"/>
              </w:rPr>
              <w:t>转动翻转开关：桌子两侧设置旋转开关，方便折叠；</w:t>
            </w:r>
          </w:p>
          <w:p w14:paraId="71DC2D2E">
            <w:pPr>
              <w:widowControl w:val="0"/>
              <w:numPr>
                <w:ilvl w:val="0"/>
                <w:numId w:val="1"/>
              </w:numPr>
              <w:tabs>
                <w:tab w:val="left" w:pos="1260"/>
              </w:tabs>
              <w:textAlignment w:val="auto"/>
              <w:rPr>
                <w:rFonts w:ascii="宋体" w:hAnsi="宋体" w:eastAsia="宋体" w:cs="宋体"/>
                <w:spacing w:val="-2"/>
                <w:szCs w:val="21"/>
                <w:highlight w:val="none"/>
                <w14:ligatures w14:val="standardContextual"/>
              </w:rPr>
            </w:pPr>
            <w:r>
              <w:rPr>
                <w:rFonts w:hint="eastAsia" w:ascii="宋体" w:hAnsi="宋体" w:eastAsia="宋体" w:cs="宋体"/>
                <w:spacing w:val="-2"/>
                <w:szCs w:val="21"/>
                <w:highlight w:val="none"/>
                <w14:ligatures w14:val="standardContextual"/>
              </w:rPr>
              <w:t>脚轮设计：使用65MM尼龙活动脚轮，便捷移动，顺滑流畅；</w:t>
            </w:r>
          </w:p>
          <w:p w14:paraId="514C3B45">
            <w:pPr>
              <w:widowControl w:val="0"/>
              <w:numPr>
                <w:ilvl w:val="0"/>
                <w:numId w:val="1"/>
              </w:numPr>
              <w:tabs>
                <w:tab w:val="left" w:pos="1260"/>
              </w:tabs>
              <w:textAlignment w:val="auto"/>
              <w:rPr>
                <w:rFonts w:ascii="宋体" w:hAnsi="宋体" w:eastAsia="宋体" w:cs="宋体"/>
                <w:spacing w:val="-2"/>
                <w:szCs w:val="21"/>
                <w:highlight w:val="none"/>
                <w14:ligatures w14:val="standardContextual"/>
              </w:rPr>
            </w:pPr>
            <w:r>
              <w:rPr>
                <w:rFonts w:hint="eastAsia" w:ascii="宋体" w:hAnsi="宋体" w:eastAsia="宋体" w:cs="宋体"/>
                <w:spacing w:val="-2"/>
                <w:szCs w:val="21"/>
                <w:highlight w:val="none"/>
                <w14:ligatures w14:val="standardContextual"/>
              </w:rPr>
              <w:t>可组合类型：口形，扇形，六边形等其他个性组合；</w:t>
            </w:r>
          </w:p>
          <w:p w14:paraId="14F6D3CE">
            <w:pPr>
              <w:widowControl w:val="0"/>
              <w:numPr>
                <w:ilvl w:val="0"/>
                <w:numId w:val="1"/>
              </w:numPr>
              <w:tabs>
                <w:tab w:val="left" w:pos="1260"/>
              </w:tabs>
              <w:textAlignment w:val="auto"/>
              <w:rPr>
                <w:rFonts w:ascii="宋体" w:hAnsi="宋体" w:eastAsia="宋体" w:cs="宋体"/>
                <w:spacing w:val="-2"/>
                <w:szCs w:val="21"/>
                <w:highlight w:val="none"/>
                <w14:ligatures w14:val="standardContextual"/>
              </w:rPr>
            </w:pPr>
            <w:r>
              <w:rPr>
                <w:rFonts w:hint="eastAsia" w:ascii="宋体" w:hAnsi="宋体" w:eastAsia="宋体" w:cs="宋体"/>
                <w:spacing w:val="-2"/>
                <w:szCs w:val="21"/>
                <w:highlight w:val="none"/>
                <w14:ligatures w14:val="standardContextual"/>
              </w:rPr>
              <w:t>每套六边桌配套6把椅子：轻音PU轮，弹性座布定型海绵，</w:t>
            </w:r>
            <w:r>
              <w:rPr>
                <w:rFonts w:hint="eastAsia" w:ascii="宋体" w:hAnsi="宋体" w:eastAsia="宋体" w:cs="宋体"/>
                <w:spacing w:val="-2"/>
                <w:szCs w:val="21"/>
                <w:highlight w:val="none"/>
                <w:lang w:val="en-AU"/>
                <w14:ligatures w14:val="standardContextual"/>
              </w:rPr>
              <w:t>尺寸：长×宽×高=</w:t>
            </w:r>
            <w:r>
              <w:rPr>
                <w:rFonts w:hint="eastAsia" w:ascii="宋体" w:hAnsi="宋体" w:eastAsia="宋体" w:cs="宋体"/>
                <w:spacing w:val="-2"/>
                <w:szCs w:val="21"/>
                <w:highlight w:val="none"/>
                <w14:ligatures w14:val="standardContextual"/>
              </w:rPr>
              <w:t>630</w:t>
            </w:r>
            <w:r>
              <w:rPr>
                <w:rFonts w:hint="eastAsia" w:ascii="宋体" w:hAnsi="宋体" w:eastAsia="宋体" w:cs="宋体"/>
                <w:spacing w:val="-2"/>
                <w:szCs w:val="21"/>
                <w:highlight w:val="none"/>
                <w:lang w:val="en-AU"/>
                <w14:ligatures w14:val="standardContextual"/>
              </w:rPr>
              <w:t>mm×</w:t>
            </w:r>
            <w:r>
              <w:rPr>
                <w:rFonts w:hint="eastAsia" w:ascii="宋体" w:hAnsi="宋体" w:eastAsia="宋体" w:cs="宋体"/>
                <w:spacing w:val="-2"/>
                <w:szCs w:val="21"/>
                <w:highlight w:val="none"/>
                <w14:ligatures w14:val="standardContextual"/>
              </w:rPr>
              <w:t>290</w:t>
            </w:r>
            <w:r>
              <w:rPr>
                <w:rFonts w:hint="eastAsia" w:ascii="宋体" w:hAnsi="宋体" w:eastAsia="宋体" w:cs="宋体"/>
                <w:spacing w:val="-2"/>
                <w:szCs w:val="21"/>
                <w:highlight w:val="none"/>
                <w:lang w:val="en-AU"/>
                <w14:ligatures w14:val="standardContextual"/>
              </w:rPr>
              <w:t>mm×</w:t>
            </w:r>
            <w:r>
              <w:rPr>
                <w:rFonts w:hint="eastAsia" w:ascii="宋体" w:hAnsi="宋体" w:eastAsia="宋体" w:cs="宋体"/>
                <w:spacing w:val="-2"/>
                <w:szCs w:val="21"/>
                <w:highlight w:val="none"/>
                <w14:ligatures w14:val="standardContextual"/>
              </w:rPr>
              <w:t>970</w:t>
            </w:r>
            <w:r>
              <w:rPr>
                <w:rFonts w:hint="eastAsia" w:ascii="宋体" w:hAnsi="宋体" w:eastAsia="宋体" w:cs="宋体"/>
                <w:spacing w:val="-2"/>
                <w:szCs w:val="21"/>
                <w:highlight w:val="none"/>
                <w:lang w:val="en-AU"/>
                <w14:ligatures w14:val="standardContextual"/>
              </w:rPr>
              <w:t>mm；</w:t>
            </w:r>
          </w:p>
        </w:tc>
        <w:tc>
          <w:tcPr>
            <w:tcW w:w="858" w:type="dxa"/>
            <w:vAlign w:val="center"/>
          </w:tcPr>
          <w:p w14:paraId="66B4DD19">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套</w:t>
            </w:r>
          </w:p>
        </w:tc>
        <w:tc>
          <w:tcPr>
            <w:tcW w:w="871" w:type="dxa"/>
            <w:vAlign w:val="center"/>
          </w:tcPr>
          <w:p w14:paraId="6DA6F22B">
            <w:pPr>
              <w:widowControl w:val="0"/>
              <w:jc w:val="center"/>
              <w:textAlignment w:val="auto"/>
              <w:rPr>
                <w:rFonts w:ascii="宋体" w:hAnsi="宋体" w:eastAsia="宋体" w:cs="宋体"/>
                <w:szCs w:val="21"/>
                <w:highlight w:val="none"/>
                <w14:ligatures w14:val="standardContextual"/>
              </w:rPr>
            </w:pPr>
            <w:r>
              <w:rPr>
                <w:rFonts w:hint="eastAsia" w:ascii="宋体" w:hAnsi="宋体" w:eastAsia="宋体" w:cs="宋体"/>
                <w:szCs w:val="21"/>
                <w:highlight w:val="none"/>
                <w14:ligatures w14:val="standardContextual"/>
              </w:rPr>
              <w:t>5</w:t>
            </w:r>
          </w:p>
        </w:tc>
      </w:tr>
      <w:bookmarkEnd w:id="1"/>
    </w:tbl>
    <w:p w14:paraId="7FAA68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00AD47"/>
    <w:multiLevelType w:val="singleLevel"/>
    <w:tmpl w:val="B300AD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2MTFiOTBjMGEwMzFiMzYyNDdmMjgyZWRhNGU4YWYifQ=="/>
  </w:docVars>
  <w:rsids>
    <w:rsidRoot w:val="00000000"/>
    <w:rsid w:val="0F091A92"/>
    <w:rsid w:val="5C5F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24533</Words>
  <Characters>28198</Characters>
  <Lines>0</Lines>
  <Paragraphs>0</Paragraphs>
  <TotalTime>2</TotalTime>
  <ScaleCrop>false</ScaleCrop>
  <LinksUpToDate>false</LinksUpToDate>
  <CharactersWithSpaces>28500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2024-09-23T06:00:00Z</dcterms:created>
  <dc:creator>LENOVO</dc:creator>
  <cp:lastModifiedBy>____Esc</cp:lastModifiedBy>
  <dcterms:modified xsi:type="dcterms:W3CDTF">2024-09-23T06:03:35Z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F130D514BA0B49AB83ACBA7E4BABFF8A_12</vt:lpwstr>
  </property>
</Properties>
</file>