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克州工程建设项目审批管理系统二期升级改造</w:t>
      </w:r>
      <w:r>
        <w:rPr>
          <w:rFonts w:hint="eastAsia" w:ascii="方正小标宋简体" w:hAnsi="方正小标宋简体" w:eastAsia="方正小标宋简体" w:cs="方正小标宋简体"/>
          <w:sz w:val="44"/>
          <w:szCs w:val="44"/>
        </w:rPr>
        <w:t>采购项目单一来源技术参数</w:t>
      </w:r>
    </w:p>
    <w:p>
      <w:pPr>
        <w:pStyle w:val="10"/>
      </w:pPr>
    </w:p>
    <w:p>
      <w:pPr>
        <w:pStyle w:val="11"/>
        <w:ind w:firstLine="562"/>
        <w:rPr>
          <w:rFonts w:ascii="仿宋_GB2312" w:hAnsi="ˎ̥" w:cs="宋体"/>
          <w:b/>
          <w:bCs/>
          <w:kern w:val="0"/>
          <w:szCs w:val="28"/>
        </w:rPr>
      </w:pPr>
      <w:r>
        <w:rPr>
          <w:rFonts w:hint="eastAsia" w:ascii="仿宋_GB2312" w:hAnsi="ˎ̥" w:cs="宋体"/>
          <w:b/>
          <w:bCs/>
          <w:kern w:val="0"/>
          <w:szCs w:val="28"/>
        </w:rPr>
        <w:t>一、采购人</w:t>
      </w:r>
    </w:p>
    <w:p>
      <w:pPr>
        <w:pStyle w:val="11"/>
        <w:rPr>
          <w:rFonts w:ascii="仿宋_GB2312" w:hAnsi="ˎ̥" w:cs="宋体"/>
          <w:kern w:val="0"/>
          <w:szCs w:val="28"/>
        </w:rPr>
      </w:pPr>
      <w:r>
        <w:rPr>
          <w:rFonts w:hint="eastAsia" w:ascii="仿宋_GB2312" w:hAnsi="ˎ̥" w:cs="宋体"/>
          <w:kern w:val="0"/>
          <w:szCs w:val="28"/>
        </w:rPr>
        <w:t>采购单位名称：</w:t>
      </w:r>
      <w:r>
        <w:rPr>
          <w:rFonts w:hint="eastAsia" w:ascii="仿宋_GB2312" w:hAnsi="ˎ̥" w:cs="宋体"/>
          <w:kern w:val="0"/>
          <w:szCs w:val="28"/>
          <w:lang w:eastAsia="zh-CN"/>
        </w:rPr>
        <w:t>克州</w:t>
      </w:r>
      <w:r>
        <w:rPr>
          <w:rFonts w:hint="eastAsia" w:ascii="仿宋_GB2312" w:hAnsi="ˎ̥" w:cs="宋体"/>
          <w:kern w:val="0"/>
          <w:szCs w:val="28"/>
          <w:lang w:val="en-US" w:eastAsia="zh-Hans"/>
        </w:rPr>
        <w:t>住房和城乡建设局</w:t>
      </w:r>
    </w:p>
    <w:p>
      <w:pPr>
        <w:pStyle w:val="11"/>
        <w:ind w:firstLine="562"/>
        <w:rPr>
          <w:rFonts w:ascii="仿宋_GB2312" w:hAnsi="ˎ̥" w:cs="宋体"/>
          <w:b/>
          <w:bCs/>
          <w:kern w:val="0"/>
          <w:szCs w:val="28"/>
        </w:rPr>
      </w:pPr>
      <w:r>
        <w:rPr>
          <w:rFonts w:hint="eastAsia" w:ascii="仿宋_GB2312" w:hAnsi="ˎ̥" w:cs="宋体"/>
          <w:b/>
          <w:bCs/>
          <w:kern w:val="0"/>
          <w:szCs w:val="28"/>
        </w:rPr>
        <w:t>二、采购项目名称和内容</w:t>
      </w:r>
    </w:p>
    <w:p>
      <w:pPr>
        <w:pStyle w:val="11"/>
        <w:rPr>
          <w:rFonts w:ascii="仿宋_GB2312" w:hAnsi="ˎ̥" w:cs="宋体"/>
          <w:kern w:val="0"/>
          <w:szCs w:val="28"/>
        </w:rPr>
      </w:pPr>
      <w:r>
        <w:rPr>
          <w:rFonts w:hint="eastAsia" w:ascii="仿宋_GB2312" w:hAnsi="ˎ̥" w:cs="宋体"/>
          <w:kern w:val="0"/>
          <w:szCs w:val="28"/>
        </w:rPr>
        <w:t>采购项目名称：</w:t>
      </w:r>
      <w:r>
        <w:rPr>
          <w:rFonts w:hint="eastAsia" w:ascii="仿宋_GB2312" w:hAnsi="ˎ̥" w:cs="宋体"/>
          <w:kern w:val="0"/>
          <w:szCs w:val="28"/>
          <w:lang w:eastAsia="zh-CN"/>
        </w:rPr>
        <w:t>克州工程建设项目审批管理系统二期升级改造</w:t>
      </w:r>
    </w:p>
    <w:p>
      <w:pPr>
        <w:pStyle w:val="11"/>
        <w:rPr>
          <w:rFonts w:ascii="仿宋_GB2312" w:hAnsi="ˎ̥" w:cs="宋体"/>
          <w:kern w:val="0"/>
          <w:szCs w:val="28"/>
        </w:rPr>
      </w:pPr>
      <w:r>
        <w:rPr>
          <w:rFonts w:hint="eastAsia" w:ascii="仿宋_GB2312" w:hAnsi="ˎ̥" w:cs="宋体"/>
          <w:kern w:val="0"/>
          <w:szCs w:val="28"/>
        </w:rPr>
        <w:t>采购内容：地州审批系统国家数据共享标准3.0升级、移动审批端APP部署、市政公用一站式平台部署、第三方系统对接、工程建设项目网上办事大厅、工程建设项目联合审批系统等系统采购。</w:t>
      </w:r>
    </w:p>
    <w:p>
      <w:pPr>
        <w:pStyle w:val="3"/>
        <w:spacing w:before="312" w:beforeLines="100" w:beforeAutospacing="0" w:after="156" w:afterLines="50" w:afterAutospacing="0"/>
        <w:ind w:firstLine="562" w:firstLineChars="200"/>
        <w:rPr>
          <w:rFonts w:ascii="仿宋_GB2312" w:hAnsi="仿宋_GB2312" w:eastAsia="仿宋_GB2312"/>
          <w:sz w:val="28"/>
          <w:szCs w:val="28"/>
        </w:rPr>
      </w:pPr>
      <w:r>
        <w:rPr>
          <w:rFonts w:hint="eastAsia" w:ascii="仿宋_GB2312" w:hAnsi="仿宋_GB2312" w:eastAsia="仿宋_GB2312"/>
          <w:sz w:val="28"/>
          <w:szCs w:val="28"/>
        </w:rPr>
        <w:t>1.</w:t>
      </w:r>
      <w:r>
        <w:rPr>
          <w:rFonts w:hint="eastAsia" w:ascii="仿宋_GB2312" w:eastAsia="仿宋_GB2312"/>
          <w:sz w:val="28"/>
          <w:szCs w:val="28"/>
        </w:rPr>
        <w:t xml:space="preserve"> </w:t>
      </w:r>
      <w:r>
        <w:rPr>
          <w:rFonts w:hint="eastAsia" w:ascii="仿宋_GB2312" w:hAnsi="仿宋_GB2312" w:eastAsia="仿宋_GB2312"/>
          <w:sz w:val="28"/>
          <w:szCs w:val="28"/>
        </w:rPr>
        <w:t>扩展建设内容清单</w:t>
      </w:r>
    </w:p>
    <w:tbl>
      <w:tblPr>
        <w:tblStyle w:val="7"/>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694"/>
        <w:gridCol w:w="3984"/>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Header/>
          <w:jc w:val="center"/>
        </w:trPr>
        <w:tc>
          <w:tcPr>
            <w:tcW w:w="775"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分类</w:t>
            </w:r>
          </w:p>
        </w:tc>
        <w:tc>
          <w:tcPr>
            <w:tcW w:w="418"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序号</w:t>
            </w:r>
          </w:p>
        </w:tc>
        <w:tc>
          <w:tcPr>
            <w:tcW w:w="2401"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功能</w:t>
            </w:r>
          </w:p>
        </w:tc>
        <w:tc>
          <w:tcPr>
            <w:tcW w:w="1404" w:type="pct"/>
            <w:shd w:val="clear" w:color="000000" w:fill="F2F2F2"/>
            <w:noWrap/>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地州审批系统国家数据共享标准3.0升级</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地州审批系统国家数据共享标准3.0升级</w:t>
            </w:r>
          </w:p>
        </w:tc>
        <w:tc>
          <w:tcPr>
            <w:tcW w:w="140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按照国家标准3.0做对应调整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移动审批端APP</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本地化部署和调试</w:t>
            </w:r>
          </w:p>
        </w:tc>
        <w:tc>
          <w:tcPr>
            <w:tcW w:w="140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面向政府审批人员，使部门工作人员摆脱办公地点、办公设备的束缚，通过手机就可随时随地进行事项办理、信息查询等操作，极大程度上减少办件逾期、办件延误，全面实现投资工程建设项目“掌上查、掌上看、掌上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市政公用一站式平台部署</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本地化部署和调试</w:t>
            </w:r>
          </w:p>
        </w:tc>
        <w:tc>
          <w:tcPr>
            <w:tcW w:w="1404" w:type="pct"/>
            <w:vAlign w:val="center"/>
          </w:tcPr>
          <w:p>
            <w:pPr>
              <w:widowControl/>
              <w:adjustRightInd w:val="0"/>
              <w:snapToGrid w:val="0"/>
              <w:jc w:val="left"/>
              <w:rPr>
                <w:rFonts w:ascii="宋体" w:hAnsi="宋体" w:cs="宋体"/>
                <w:kern w:val="0"/>
                <w:sz w:val="24"/>
              </w:rPr>
            </w:pPr>
            <w:r>
              <w:rPr>
                <w:rFonts w:ascii="宋体" w:hAnsi="宋体" w:cs="宋体"/>
                <w:kern w:val="0"/>
                <w:sz w:val="24"/>
              </w:rPr>
              <w:t>面向企业群众提供市政报装网上办事大厅，供企业一站式报装供水、供电、燃气、通信等市政服务，支持多种报装类型联合申报。报装前准备，提供报装指南和样表材料下载，指引企业自主完成网上报装申请，减少线下服务窗口的工作量。企业线上管理所有报装项目，掌握所有项目的事项申报情况、报装进度、报装材料以及待办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Merge w:val="restar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系统对接</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4</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工改系统与好差评系统对接</w:t>
            </w:r>
          </w:p>
        </w:tc>
        <w:tc>
          <w:tcPr>
            <w:tcW w:w="1404"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地州工改系统按照好差评系统标准，开发新增好差评页面，供建设单位进行评价服务，与好差评系统进行对接，实现数据的共享交换。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Merge w:val="continue"/>
            <w:vAlign w:val="center"/>
          </w:tcPr>
          <w:p>
            <w:pPr>
              <w:widowControl/>
              <w:adjustRightInd w:val="0"/>
              <w:snapToGrid w:val="0"/>
              <w:jc w:val="center"/>
              <w:rPr>
                <w:rFonts w:ascii="宋体" w:hAnsi="宋体" w:cs="宋体"/>
                <w:kern w:val="0"/>
                <w:sz w:val="24"/>
              </w:rPr>
            </w:pP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5</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工改系统与自治区建筑统一赋码平台对接</w:t>
            </w:r>
          </w:p>
        </w:tc>
        <w:tc>
          <w:tcPr>
            <w:tcW w:w="1404"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地州工改系统与自治区建筑统一赋码平台对接，调用建筑统一编码赋码功能，并实现数据的共享交换。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Merge w:val="continue"/>
            <w:vAlign w:val="center"/>
          </w:tcPr>
          <w:p>
            <w:pPr>
              <w:widowControl/>
              <w:adjustRightInd w:val="0"/>
              <w:snapToGrid w:val="0"/>
              <w:jc w:val="center"/>
              <w:rPr>
                <w:rFonts w:ascii="宋体" w:hAnsi="宋体" w:cs="宋体"/>
                <w:kern w:val="0"/>
                <w:sz w:val="24"/>
              </w:rPr>
            </w:pP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6</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工改系统与市政公用一站式服务平台对接</w:t>
            </w:r>
          </w:p>
        </w:tc>
        <w:tc>
          <w:tcPr>
            <w:tcW w:w="1404"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地州部署市政一站式服务平台后，工改网厅与审批均需要进行无缝对接、数据共享，如市政相关事项并联申报页面（含外线工程）嵌入网厅；电力联合审批功能嵌入审批系统等。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Merge w:val="continue"/>
            <w:vAlign w:val="center"/>
          </w:tcPr>
          <w:p>
            <w:pPr>
              <w:widowControl/>
              <w:adjustRightInd w:val="0"/>
              <w:snapToGrid w:val="0"/>
              <w:jc w:val="center"/>
              <w:rPr>
                <w:rFonts w:ascii="宋体" w:hAnsi="宋体" w:cs="宋体"/>
                <w:kern w:val="0"/>
                <w:sz w:val="24"/>
              </w:rPr>
            </w:pP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7</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工改系统与APP（审批端）对接</w:t>
            </w:r>
          </w:p>
        </w:tc>
        <w:tc>
          <w:tcPr>
            <w:tcW w:w="1404"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APP需与工改网厅、审批系统进行对接，企业在网厅完成事项申报后，窗口、审批人员可在APP中完成受理、审批、材料补正等操作，数据双向交互。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工程建设项目网上办事大厅</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8</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工程建设项目网上办事大厅升级优化</w:t>
            </w:r>
          </w:p>
        </w:tc>
        <w:tc>
          <w:tcPr>
            <w:tcW w:w="140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新增报建辅导、智能咨询、帮办代办等功能，优化现有功能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工程建设项目联合审批系统</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9</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工程建设项目联合审批系统升级优化</w:t>
            </w:r>
          </w:p>
        </w:tc>
        <w:tc>
          <w:tcPr>
            <w:tcW w:w="1404"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新增信用监管、数据质量监管、赋码管理等功能，优化现有功能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5"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实施推广</w:t>
            </w:r>
          </w:p>
        </w:tc>
        <w:tc>
          <w:tcPr>
            <w:tcW w:w="418" w:type="pct"/>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10</w:t>
            </w:r>
          </w:p>
        </w:tc>
        <w:tc>
          <w:tcPr>
            <w:tcW w:w="2401"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本地化实施</w:t>
            </w:r>
          </w:p>
        </w:tc>
        <w:tc>
          <w:tcPr>
            <w:tcW w:w="140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横向到边、纵向到底的推广和实施</w:t>
            </w:r>
          </w:p>
        </w:tc>
      </w:tr>
    </w:tbl>
    <w:p>
      <w:pPr>
        <w:pStyle w:val="3"/>
        <w:spacing w:before="312" w:beforeLines="100" w:beforeAutospacing="0" w:after="156" w:afterLines="50" w:afterAutospacing="0"/>
        <w:ind w:firstLine="562" w:firstLineChars="200"/>
        <w:rPr>
          <w:rFonts w:ascii="仿宋_GB2312" w:hAnsi="Dotum" w:eastAsia="仿宋_GB2312"/>
          <w:spacing w:val="-3"/>
          <w:sz w:val="28"/>
        </w:rPr>
      </w:pPr>
      <w:r>
        <w:rPr>
          <w:rFonts w:hint="eastAsia" w:ascii="仿宋_GB2312" w:hAnsi="仿宋_GB2312" w:eastAsia="仿宋_GB2312"/>
          <w:sz w:val="28"/>
          <w:szCs w:val="28"/>
        </w:rPr>
        <w:t>2. 建设内容明细表</w:t>
      </w:r>
    </w:p>
    <w:tbl>
      <w:tblPr>
        <w:tblStyle w:val="7"/>
        <w:tblW w:w="4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936"/>
        <w:gridCol w:w="936"/>
        <w:gridCol w:w="4112"/>
        <w:gridCol w:w="571"/>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64"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序号</w:t>
            </w:r>
          </w:p>
        </w:tc>
        <w:tc>
          <w:tcPr>
            <w:tcW w:w="594"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功能</w:t>
            </w:r>
          </w:p>
        </w:tc>
        <w:tc>
          <w:tcPr>
            <w:tcW w:w="594"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模块</w:t>
            </w:r>
          </w:p>
        </w:tc>
        <w:tc>
          <w:tcPr>
            <w:tcW w:w="2609"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内容说明</w:t>
            </w:r>
          </w:p>
        </w:tc>
        <w:tc>
          <w:tcPr>
            <w:tcW w:w="362" w:type="pct"/>
            <w:shd w:val="clear" w:color="000000" w:fill="F2F2F2"/>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数量</w:t>
            </w:r>
          </w:p>
        </w:tc>
        <w:tc>
          <w:tcPr>
            <w:tcW w:w="575" w:type="pct"/>
            <w:shd w:val="clear" w:color="000000" w:fill="F2F2F2"/>
            <w:noWrap/>
            <w:vAlign w:val="center"/>
          </w:tcPr>
          <w:p>
            <w:pPr>
              <w:widowControl/>
              <w:adjustRightInd w:val="0"/>
              <w:snapToGrid w:val="0"/>
              <w:jc w:val="center"/>
              <w:rPr>
                <w:rFonts w:ascii="方正仿宋_GBK" w:hAnsi="宋体" w:eastAsia="方正仿宋_GBK" w:cs="宋体"/>
                <w:b/>
                <w:bCs/>
                <w:color w:val="000000"/>
                <w:kern w:val="0"/>
                <w:sz w:val="20"/>
              </w:rPr>
            </w:pPr>
            <w:r>
              <w:rPr>
                <w:rFonts w:hint="eastAsia" w:ascii="方正仿宋_GBK" w:hAnsi="宋体" w:eastAsia="方正仿宋_GBK" w:cs="宋体"/>
                <w:b/>
                <w:bCs/>
                <w:color w:val="000000"/>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地州审批系统国家数据共享标准3.0升级</w:t>
            </w: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审批服务信息表结构</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按照国家标准3.0做对应调整</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审批流程模板信息表结构</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按照国家标准3.0做对应调整</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地方申报项目信息表结构</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按照国家标准3.0做对应调整</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地方审批过程信息表结构</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按照国家标准3.0做对应调整</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项目监管信息表结构</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按照国家标准3.0做对应调整</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地方规划控制线信息表结构</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按照国家标准3.0做对应调整</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移动审批端APP</w:t>
            </w:r>
            <w:bookmarkStart w:id="0" w:name="_GoBack"/>
            <w:bookmarkEnd w:id="0"/>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登录/退出</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进入工程建设项目审批服务移动端，输入用户名密码验证码，即可登录系统。提供“自动登录”功能，根据用户选择，可实现当前用户的自动登录。</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主界面</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用户主界面展示</w:t>
            </w:r>
            <w:r>
              <w:rPr>
                <w:rFonts w:hint="eastAsia" w:ascii="宋体" w:hAnsi="宋体" w:cs="宋体"/>
                <w:kern w:val="0"/>
                <w:sz w:val="24"/>
                <w:lang w:val="en-US" w:eastAsia="zh-CN"/>
              </w:rPr>
              <w:t>待办事项</w:t>
            </w:r>
            <w:r>
              <w:rPr>
                <w:rFonts w:hint="eastAsia" w:ascii="宋体" w:hAnsi="宋体" w:cs="宋体"/>
                <w:kern w:val="0"/>
                <w:sz w:val="24"/>
              </w:rPr>
              <w:t>、</w:t>
            </w:r>
            <w:r>
              <w:rPr>
                <w:rFonts w:hint="eastAsia" w:ascii="宋体" w:hAnsi="宋体" w:cs="宋体"/>
                <w:kern w:val="0"/>
                <w:sz w:val="24"/>
                <w:lang w:val="en-US" w:eastAsia="zh-CN"/>
              </w:rPr>
              <w:t>已办事项、</w:t>
            </w:r>
            <w:r>
              <w:rPr>
                <w:rFonts w:hint="eastAsia" w:ascii="宋体" w:hAnsi="宋体" w:cs="宋体"/>
                <w:kern w:val="0"/>
                <w:sz w:val="24"/>
              </w:rPr>
              <w:t>项目查询、个人消息等信息。</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待办事项</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待办任务（逾期任务、预警任务）列表展示当前登录人员的待办业务件清单以及每个业务件的基本信息，包括：项目名称、流水号、当前节点、申报阶段、申报时间、承诺办结时间、剩余时间。支持按流水号、项目名称、项目代码、审批时限、环节等关键字查询筛选任务。提供查看业务件的审批详情功能。</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基本信息</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展示业务的基本信息，包括办件信息、项目/工程信息、申报主体信息方便审批人员进行审批。</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结果物</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提供结果物具体附件的上传和展示功能，对PDF、PNG等结果附件，提供在线预览功能，为所有结果物提供下载功能。</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特别程序</w:t>
            </w:r>
          </w:p>
        </w:tc>
        <w:tc>
          <w:tcPr>
            <w:tcW w:w="2609" w:type="pct"/>
            <w:vAlign w:val="center"/>
          </w:tcPr>
          <w:p>
            <w:pPr>
              <w:widowControl/>
              <w:adjustRightInd w:val="0"/>
              <w:snapToGrid w:val="0"/>
              <w:jc w:val="left"/>
              <w:rPr>
                <w:rFonts w:hint="eastAsia" w:ascii="宋体" w:hAnsi="宋体" w:cs="宋体" w:eastAsiaTheme="minorEastAsia"/>
                <w:kern w:val="0"/>
                <w:sz w:val="24"/>
                <w:lang w:eastAsia="zh-CN"/>
              </w:rPr>
            </w:pPr>
            <w:r>
              <w:rPr>
                <w:rFonts w:hint="eastAsia" w:ascii="宋体" w:hAnsi="宋体" w:cs="宋体"/>
                <w:kern w:val="0"/>
                <w:sz w:val="24"/>
              </w:rPr>
              <w:t>展示该业务件的</w:t>
            </w:r>
            <w:r>
              <w:rPr>
                <w:rFonts w:hint="eastAsia" w:ascii="宋体" w:hAnsi="宋体" w:cs="宋体"/>
                <w:kern w:val="0"/>
                <w:sz w:val="24"/>
                <w:lang w:val="en-US" w:eastAsia="zh-CN"/>
              </w:rPr>
              <w:t>特别程序</w:t>
            </w:r>
            <w:r>
              <w:rPr>
                <w:rFonts w:hint="eastAsia" w:ascii="宋体" w:hAnsi="宋体" w:cs="宋体"/>
                <w:kern w:val="0"/>
                <w:sz w:val="24"/>
              </w:rPr>
              <w:t>详细信息，如审批人员在审批过程中发现</w:t>
            </w:r>
            <w:r>
              <w:rPr>
                <w:rFonts w:hint="eastAsia" w:ascii="宋体" w:hAnsi="宋体" w:cs="宋体"/>
                <w:kern w:val="0"/>
                <w:sz w:val="24"/>
                <w:lang w:val="en-US" w:eastAsia="zh-CN"/>
              </w:rPr>
              <w:t>该项目</w:t>
            </w:r>
            <w:r>
              <w:rPr>
                <w:rFonts w:hint="eastAsia" w:ascii="宋体" w:hAnsi="宋体" w:cs="宋体"/>
                <w:kern w:val="0"/>
                <w:sz w:val="24"/>
              </w:rPr>
              <w:t>需</w:t>
            </w:r>
            <w:r>
              <w:rPr>
                <w:rFonts w:hint="eastAsia" w:ascii="宋体" w:hAnsi="宋体" w:cs="宋体"/>
                <w:kern w:val="0"/>
                <w:sz w:val="24"/>
                <w:lang w:val="en-US" w:eastAsia="zh-CN"/>
              </w:rPr>
              <w:t>现场勘查、专家评审等流程</w:t>
            </w:r>
            <w:r>
              <w:rPr>
                <w:rFonts w:hint="eastAsia" w:ascii="宋体" w:hAnsi="宋体" w:cs="宋体"/>
                <w:kern w:val="0"/>
                <w:sz w:val="24"/>
              </w:rPr>
              <w:t>，则可发起</w:t>
            </w:r>
            <w:r>
              <w:rPr>
                <w:rFonts w:hint="eastAsia" w:ascii="宋体" w:hAnsi="宋体" w:cs="宋体"/>
                <w:kern w:val="0"/>
                <w:sz w:val="24"/>
                <w:lang w:val="en-US" w:eastAsia="zh-CN"/>
              </w:rPr>
              <w:t>特别程序</w:t>
            </w:r>
            <w:r>
              <w:rPr>
                <w:rFonts w:hint="eastAsia" w:ascii="宋体" w:hAnsi="宋体" w:cs="宋体"/>
                <w:kern w:val="0"/>
                <w:sz w:val="24"/>
                <w:lang w:eastAsia="zh-CN"/>
              </w:rPr>
              <w:t>。</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部门办理</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务办理人通过系统，可对待办事项进行办理，选择办理结果，并输入办理意见，生成相应的回执（不受理无需生成回执），提交办理结果并完成业务办理。</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已办事项</w:t>
            </w:r>
          </w:p>
        </w:tc>
        <w:tc>
          <w:tcPr>
            <w:tcW w:w="2609" w:type="pct"/>
            <w:vAlign w:val="center"/>
          </w:tcPr>
          <w:p>
            <w:pPr>
              <w:widowControl/>
              <w:adjustRightInd w:val="0"/>
              <w:snapToGrid w:val="0"/>
              <w:jc w:val="left"/>
              <w:rPr>
                <w:rFonts w:hint="eastAsia" w:ascii="宋体" w:hAnsi="宋体" w:cs="宋体" w:eastAsiaTheme="minorEastAsia"/>
                <w:kern w:val="0"/>
                <w:sz w:val="24"/>
                <w:lang w:eastAsia="zh-CN"/>
              </w:rPr>
            </w:pPr>
            <w:r>
              <w:rPr>
                <w:rFonts w:hint="eastAsia" w:ascii="宋体" w:hAnsi="宋体" w:cs="宋体"/>
                <w:kern w:val="0"/>
                <w:sz w:val="24"/>
              </w:rPr>
              <w:t>项目查询展示系统中已经</w:t>
            </w:r>
            <w:r>
              <w:rPr>
                <w:rFonts w:hint="eastAsia" w:ascii="宋体" w:hAnsi="宋体" w:cs="宋体"/>
                <w:kern w:val="0"/>
                <w:sz w:val="24"/>
                <w:lang w:val="en-US" w:eastAsia="zh-CN"/>
              </w:rPr>
              <w:t>办结</w:t>
            </w:r>
            <w:r>
              <w:rPr>
                <w:rFonts w:hint="eastAsia" w:ascii="宋体" w:hAnsi="宋体" w:cs="宋体"/>
                <w:kern w:val="0"/>
                <w:sz w:val="24"/>
              </w:rPr>
              <w:t>的项目办件列表</w:t>
            </w:r>
            <w:r>
              <w:rPr>
                <w:rFonts w:hint="eastAsia" w:ascii="宋体" w:hAnsi="宋体" w:cs="宋体"/>
                <w:kern w:val="0"/>
                <w:sz w:val="24"/>
                <w:lang w:eastAsia="zh-CN"/>
              </w:rPr>
              <w:t>。</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所有事项</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项目查询展示系统中已经申报的项目办件列表，监管人员可通过项目代码或业务流水号查询项目，查看项目基本信息，并对信息进行监管。</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个人消息</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提供“</w:t>
            </w:r>
            <w:r>
              <w:rPr>
                <w:rFonts w:hint="eastAsia" w:ascii="宋体" w:hAnsi="宋体" w:cs="宋体"/>
                <w:kern w:val="0"/>
                <w:sz w:val="24"/>
                <w:lang w:val="en-US" w:eastAsia="zh-CN"/>
              </w:rPr>
              <w:t>个人</w:t>
            </w:r>
            <w:r>
              <w:rPr>
                <w:rFonts w:hint="eastAsia" w:ascii="宋体" w:hAnsi="宋体" w:cs="宋体"/>
                <w:kern w:val="0"/>
                <w:sz w:val="24"/>
              </w:rPr>
              <w:t>消息”功能，可查看相应的待办消息列表。</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通知公告</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提供通知公告展示和管理模块，用户可对通知公告进行新增、修改、发布等管理工作，已发布的通知工作，在工程建设项目审批服务移动端进行展示。</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市政公用一站式平台</w:t>
            </w: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网上办事大厅市政报装</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面向企业群众提供市政报装网上办事大厅，供企业一站式报装供水、供电、燃气、通信等市政服务，支持多种报装类型联合申报。报装前准备，提供报装指南和样表材料下载，指引企业自主完成网上报装申请，减少线下服务窗口的工作量。企业线上管理所有报装项目，掌握所有项目的事项申报情况、报装进度、报装材料以及待办事宜。</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市政公用服务办理</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面向市政单位提供日常办公审批环节，从报装受理到完工登记整个流程，以及途中的材料补正情况。</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市政单位外线工程申报</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面向市政单位提供外线工程子系统，供申报外线工程并管理其进度。若报装项目存在外线工程，且会涉及到占用挖掘道路、绿地林地迁移等改造迁移的情况下，市政单位需立项外线工程项目。在投资项目在线审批监管平台立项后，在本系统关联接通的报装项目，提交接通设计方案等相关材料进行外线工程申报。</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主动服务</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在申报工程建设许可阶段的项目信息同步推送给市政公用一站式平台。市政公用服务单位主动对接企业报装意向，对于确需报装的，提供设计方案辅导服务，并主动推动外线接驳施工，尽量保证在施工许可阶段可同步施工接入工程。</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协同会商</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市政单位根据总平面图协同商议最合适的接入方案，建立群聊机制，发表征询意见和建议。</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外线工程确认勘查</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勘察是多个部门一同进行的，例如供电的外线工程，自然资源牵头公安、交通等部门现场勘察，出具勘察意见，电力公司（外线工程申报主体）根据意见申报相关事项。</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外线范围事项并联审批</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支持由市政外线接驳业务窗口直接发起市政外线范围事项的申报。面向窗口人员和各市政外线范围事项审批部门人员，实现市政外线接驳业务审批申报的统一申报和受理。一是实现市政外线接驳业务统一收件，能够对收件信息进行综合管理，实现接件登记、补正登记、撤件登记、容缺登记等操作，二是收件后对收件项目信息做进一步形式审查，实现受理、容缺受理、不予受理、补正、补齐确认等操作，同时出具收件回执，并能对相关文书做统一的管理；三是实现统一发件，对部门审批结果确认后，通过网上送达、线下送达等方式将办理结果送达至建设单位。四是实现证照库的共享，审批结果按项目归集入库，项目申报按项目从证照库调用，作为后置事项审批依据。</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市政服务行业监管</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主管部门事前辅导服务、事中进度跟踪、事后评价反馈，全程监管报装进度。保证如期接通水、电、气，提速报装接入用时。</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hint="eastAsia" w:ascii="宋体" w:hAnsi="宋体" w:cs="宋体"/>
                <w:kern w:val="0"/>
                <w:sz w:val="24"/>
              </w:rPr>
            </w:pPr>
          </w:p>
        </w:tc>
        <w:tc>
          <w:tcPr>
            <w:tcW w:w="59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市政专题统计</w:t>
            </w:r>
          </w:p>
        </w:tc>
        <w:tc>
          <w:tcPr>
            <w:tcW w:w="2609" w:type="pct"/>
            <w:vAlign w:val="center"/>
          </w:tcPr>
          <w:p>
            <w:pPr>
              <w:widowControl/>
              <w:adjustRightInd w:val="0"/>
              <w:snapToGrid w:val="0"/>
              <w:jc w:val="left"/>
              <w:rPr>
                <w:rFonts w:hint="eastAsia" w:ascii="宋体" w:hAnsi="宋体" w:cs="宋体"/>
                <w:kern w:val="0"/>
                <w:sz w:val="24"/>
              </w:rPr>
            </w:pPr>
            <w:r>
              <w:rPr>
                <w:rFonts w:hint="eastAsia" w:ascii="宋体" w:hAnsi="宋体" w:cs="宋体"/>
                <w:kern w:val="0"/>
                <w:sz w:val="24"/>
              </w:rPr>
              <w:t>按本月、本季度、本年、自定义时间维度，统计市政报装、外线工程、主动服务情况。</w:t>
            </w:r>
          </w:p>
        </w:tc>
        <w:tc>
          <w:tcPr>
            <w:tcW w:w="362" w:type="pct"/>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系统对接</w:t>
            </w: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工改系统与好差评系统对接</w:t>
            </w:r>
          </w:p>
        </w:tc>
        <w:tc>
          <w:tcPr>
            <w:tcW w:w="2609"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地州工改系统按照好差评系统标准，开发新增好差评页面，供建设单位进行评价服务，与好差评系统进行对接，实现数据的共享交换。</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工改系统与自治区建筑统一赋码平台对接</w:t>
            </w:r>
          </w:p>
        </w:tc>
        <w:tc>
          <w:tcPr>
            <w:tcW w:w="2609"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地州工改系统与自治区建筑统一赋码平台对接，调用建筑统一编码赋码功能，并实现数据的共享交换。</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工改系统与市政公用一站式服务平台对接</w:t>
            </w:r>
          </w:p>
        </w:tc>
        <w:tc>
          <w:tcPr>
            <w:tcW w:w="2609"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地州部署市政一站式服务平台后，工改网厅与审批均需要进行无缝对接、数据共享，如市政相关事项并联申报页面（含外线工程）嵌入网厅；电力联合审批功能嵌入审批系统等。</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工改系统与APP（审批端）对接</w:t>
            </w:r>
          </w:p>
        </w:tc>
        <w:tc>
          <w:tcPr>
            <w:tcW w:w="2609" w:type="pct"/>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APP需与工改网厅、审批系统进行对接，企业在网厅完成事项申报后，窗口、审批人员可在APP中完成受理、审批、材料补正等操作，数据双向交互。</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工程建设项目网上办事大厅</w:t>
            </w: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首页</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首页主要展示投资项目的流程、办理事项、审批公告、便民服务、快捷入口等信息，以图形及列表等多种形式清晰地展示工程项目整体情况以及相关业务数据，更直观地了解和查看工程建设项目审批的业务数据情况及改革成效。同时，页面可根据申办人选择的具体投资项目类别，展示对应的办理流程及办理时限。</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办事指南</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展示工程建设项目各个阶段的整体申办指南信息，按照立项用地、工程建设许可、施工许可、竣工验收四个阶段进行梳理。包括每一阶段所包含的节点事项，具体的办理对象、办理条件、所需材料、窗口办理流程、网上办理流程、办理时限、办事窗口地址、常见问题等信息，以及并联申办流程、一表制申办等并联申办和审批管理的指南信息等。通过阶段式的办事指南，帮助申办人了解整个项目的整体审批过程，帮助企业快速开展申办工作。</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公示信息</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消防设计审查事项办理结果公示、消防验收事项办理结果公示、消防验收备案事项办理结果以及是否抽中公示。</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我要申报</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按主题、阶段申报，按部门单事项申报功能优化。</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我要辅导</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新增报建辅导功能，降低反复补正、重新审批的概率，提高工程建设项目审批服务效率，提升企业群众办事体验感。为企业提供委托代办服务，加快项目报建和审批速度，进一步提高政务服务水平。</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我的项目</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虚拟项目，若企业想申请报建辅导，但还未取得发改赋码，可先用该虚拟项目去申请，待项目在发改赋码后，再把虚拟项目跟该项目关联。新增代办项目，企业可使用该代办项目由主管部门协助完成系统全流程业务办理。</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我的空间</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接市政公用一站式服务系统，企业可在网上办事大厅进行水电气暖通信报装事项的申报。为企业申报提供技术辅导相关功能，解决企业在条件不满足情况下可提前进行申报，待条件完全满足时转为正式报建，提高办事效率，辅助缩短审批时限。</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工程建设项目联合审批系统</w:t>
            </w: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统一接件</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新增代办业务模块、优化补全补正模块，进一步提升办事体验与报建审批效率。</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业务审批</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新增主题变更审核、撤件任务管理、补正办件、容缺审核办件等功能模块，进一步提升业务审批人员审批便利性，按照不同审批办件类型分类管理，优化审批服务。</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统一发件</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新增优化窗口发证功能，新增待取件、已取件管理清单，提升完善发证业务管理。</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市政业务审批</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市政业务报建审批服务功能，提供针对各类市政业务申报事项进行审批、统计分析等功能。</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效能督查</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新增信用监管模块，可建立企业红黑名单管理，对企业信用进行管理。对效能督察、预警监管模块进行优化统计与显示。</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技术辅导</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针对虚拟项目、申请人申请技术辅导办件时对相关事项进行审批、补正服务。通过技术辅导模块提升办事体验、提高办件效率与降低审批时限等。</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智能咨询事项库</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对智能咨询模块提供后台配置功能，随着业务办理发展，针对常见问题咨询事项，可进行后台定期更新。提高企业咨询服务能力。</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办件管理</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对审批事项办件进行分类管理，可提高监管管理人员审批事项管理能力，方便对不同条件的办件进行统计查询。</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区域评估</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对申请人申请的简化区域评估事项申请进行审批，并对区域评估事项信息、单元信息进行维护更新。提供使用区域评估项目统计分享功能。</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赋码管理</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对建筑单体赋码进行审批管理。</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事项库</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对接新的国家3.0标准，对接政务一体化平台，获取最新事项、办事指南。</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数据质量监管</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对数据上报进行监控分析与数据自检，提前发现数据存在的问题与风险，提升数据质量，降低地州被数据通报的概率。</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审批详情页功能新增优化</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优化转办功能，新增办件补正审批相关功能，提升审批人员审批效率与审批事项的管理能力。</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数据重传管理</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针对地市作废的办件提供数据重传管理，优化提升作废办件后台操作的便利度。</w:t>
            </w:r>
          </w:p>
        </w:tc>
        <w:tc>
          <w:tcPr>
            <w:tcW w:w="362" w:type="pct"/>
            <w:vAlign w:val="center"/>
          </w:tcPr>
          <w:p>
            <w:pPr>
              <w:adjustRightInd w:val="0"/>
              <w:snapToGrid w:val="0"/>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按标准3.0新增优化项目审批详情页面</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针对国家3.0数据标准，优化提升审批详情页面。按照新标准有针对性进行优化，提升页面信息查询便利度与浏览的友好程度。</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restar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本地化实施</w:t>
            </w: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系统新增功能配置</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对系统新增功能进行配置，包括市政业务审批、技术辅导、赋码管理、数据质量监管等。由地（州、市）自行维护和配置。</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系统培训</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系统管理培训、系统对接培训、领导培训、业务人员培训、申报企业群众培训等</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 w:type="pct"/>
            <w:vAlign w:val="center"/>
          </w:tcPr>
          <w:p>
            <w:pPr>
              <w:pStyle w:val="12"/>
              <w:widowControl/>
              <w:numPr>
                <w:ilvl w:val="0"/>
                <w:numId w:val="2"/>
              </w:numPr>
              <w:adjustRightInd w:val="0"/>
              <w:snapToGrid w:val="0"/>
              <w:ind w:firstLineChars="0"/>
              <w:jc w:val="center"/>
              <w:rPr>
                <w:rFonts w:ascii="宋体" w:hAnsi="宋体" w:cs="宋体"/>
                <w:sz w:val="24"/>
              </w:rPr>
            </w:pPr>
          </w:p>
        </w:tc>
        <w:tc>
          <w:tcPr>
            <w:tcW w:w="594" w:type="pct"/>
            <w:vMerge w:val="continue"/>
            <w:vAlign w:val="center"/>
          </w:tcPr>
          <w:p>
            <w:pPr>
              <w:widowControl/>
              <w:adjustRightInd w:val="0"/>
              <w:snapToGrid w:val="0"/>
              <w:jc w:val="left"/>
              <w:rPr>
                <w:rFonts w:ascii="宋体" w:hAnsi="宋体" w:cs="宋体"/>
                <w:kern w:val="0"/>
                <w:sz w:val="24"/>
              </w:rPr>
            </w:pPr>
          </w:p>
        </w:tc>
        <w:tc>
          <w:tcPr>
            <w:tcW w:w="594"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运维服务</w:t>
            </w:r>
          </w:p>
        </w:tc>
        <w:tc>
          <w:tcPr>
            <w:tcW w:w="2609" w:type="pct"/>
            <w:vAlign w:val="center"/>
          </w:tcPr>
          <w:p>
            <w:pPr>
              <w:widowControl/>
              <w:adjustRightInd w:val="0"/>
              <w:snapToGrid w:val="0"/>
              <w:jc w:val="left"/>
              <w:rPr>
                <w:rFonts w:ascii="宋体" w:hAnsi="宋体" w:cs="宋体"/>
                <w:kern w:val="0"/>
                <w:sz w:val="24"/>
              </w:rPr>
            </w:pPr>
            <w:r>
              <w:rPr>
                <w:rFonts w:hint="eastAsia" w:ascii="宋体" w:hAnsi="宋体" w:cs="宋体"/>
                <w:kern w:val="0"/>
                <w:sz w:val="24"/>
              </w:rPr>
              <w:t>数据库维护、系统维护、接口维护等。</w:t>
            </w:r>
          </w:p>
        </w:tc>
        <w:tc>
          <w:tcPr>
            <w:tcW w:w="362" w:type="pct"/>
            <w:vAlign w:val="center"/>
          </w:tcPr>
          <w:p>
            <w:pPr>
              <w:adjustRightInd w:val="0"/>
              <w:snapToGrid w:val="0"/>
              <w:jc w:val="center"/>
              <w:rPr>
                <w:rFonts w:ascii="宋体" w:hAnsi="宋体" w:cs="宋体"/>
                <w:kern w:val="0"/>
                <w:sz w:val="24"/>
              </w:rPr>
            </w:pPr>
            <w:r>
              <w:rPr>
                <w:rFonts w:hint="eastAsia" w:ascii="宋体" w:hAnsi="宋体" w:cs="宋体"/>
                <w:kern w:val="0"/>
                <w:sz w:val="24"/>
              </w:rPr>
              <w:t>1套</w:t>
            </w:r>
          </w:p>
        </w:tc>
        <w:tc>
          <w:tcPr>
            <w:tcW w:w="575" w:type="pct"/>
            <w:vAlign w:val="center"/>
          </w:tcPr>
          <w:p>
            <w:pPr>
              <w:widowControl/>
              <w:adjustRightInd w:val="0"/>
              <w:snapToGrid w:val="0"/>
              <w:jc w:val="left"/>
              <w:rPr>
                <w:rFonts w:ascii="宋体" w:hAnsi="宋体" w:cs="宋体"/>
                <w:kern w:val="0"/>
                <w:sz w:val="24"/>
              </w:rPr>
            </w:pPr>
          </w:p>
        </w:tc>
      </w:tr>
    </w:tbl>
    <w:p>
      <w:pPr>
        <w:pStyle w:val="11"/>
        <w:rPr>
          <w:rFonts w:ascii="仿宋_GB2312" w:hAnsi="ˎ̥" w:cs="宋体"/>
          <w:kern w:val="0"/>
          <w:szCs w:val="28"/>
        </w:rPr>
      </w:pPr>
    </w:p>
    <w:p>
      <w:pPr>
        <w:pStyle w:val="11"/>
        <w:jc w:val="right"/>
        <w:rPr>
          <w:rFonts w:ascii="仿宋_GB2312" w:hAnsi="ˎ̥" w:cs="宋体"/>
          <w:kern w:val="0"/>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2029F"/>
    <w:multiLevelType w:val="multilevel"/>
    <w:tmpl w:val="2292029F"/>
    <w:lvl w:ilvl="0" w:tentative="0">
      <w:start w:val="1"/>
      <w:numFmt w:val="decimal"/>
      <w:lvlText w:v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WFhZjMyNTM3N2ZmN2I0NjJiYmJiYWE0ZDE4YjUifQ=="/>
  </w:docVars>
  <w:rsids>
    <w:rsidRoot w:val="00414C8D"/>
    <w:rsid w:val="000A3456"/>
    <w:rsid w:val="00393FCF"/>
    <w:rsid w:val="00414C8D"/>
    <w:rsid w:val="004824DB"/>
    <w:rsid w:val="005E1BD5"/>
    <w:rsid w:val="006D4D3C"/>
    <w:rsid w:val="009E0D18"/>
    <w:rsid w:val="00C115D6"/>
    <w:rsid w:val="00CF22C0"/>
    <w:rsid w:val="00D102DA"/>
    <w:rsid w:val="00D9067E"/>
    <w:rsid w:val="00E77098"/>
    <w:rsid w:val="00EA6B78"/>
    <w:rsid w:val="01255120"/>
    <w:rsid w:val="0172557B"/>
    <w:rsid w:val="044929EF"/>
    <w:rsid w:val="064E058F"/>
    <w:rsid w:val="067A7CBC"/>
    <w:rsid w:val="077A550E"/>
    <w:rsid w:val="0EAF4BC3"/>
    <w:rsid w:val="16922E00"/>
    <w:rsid w:val="18F25DD8"/>
    <w:rsid w:val="197762DD"/>
    <w:rsid w:val="1A19691B"/>
    <w:rsid w:val="1B644B05"/>
    <w:rsid w:val="1BBB0703"/>
    <w:rsid w:val="1E1D56A5"/>
    <w:rsid w:val="1F2C3C4B"/>
    <w:rsid w:val="211A5ECC"/>
    <w:rsid w:val="21A67760"/>
    <w:rsid w:val="21D544E9"/>
    <w:rsid w:val="25826736"/>
    <w:rsid w:val="25B007D5"/>
    <w:rsid w:val="25BC1060"/>
    <w:rsid w:val="271635D9"/>
    <w:rsid w:val="28A10C81"/>
    <w:rsid w:val="29FF0355"/>
    <w:rsid w:val="2A225DF1"/>
    <w:rsid w:val="2D4F7647"/>
    <w:rsid w:val="2D984D48"/>
    <w:rsid w:val="2E655ADE"/>
    <w:rsid w:val="32A41A99"/>
    <w:rsid w:val="34362BC5"/>
    <w:rsid w:val="38341A0A"/>
    <w:rsid w:val="38D97FC3"/>
    <w:rsid w:val="3C82468D"/>
    <w:rsid w:val="3E601D82"/>
    <w:rsid w:val="41635215"/>
    <w:rsid w:val="43AD4526"/>
    <w:rsid w:val="45101210"/>
    <w:rsid w:val="47B265AF"/>
    <w:rsid w:val="480F755D"/>
    <w:rsid w:val="48C55692"/>
    <w:rsid w:val="4ACF7478"/>
    <w:rsid w:val="4CDF1BF4"/>
    <w:rsid w:val="4E627412"/>
    <w:rsid w:val="4ED4505D"/>
    <w:rsid w:val="521C11F4"/>
    <w:rsid w:val="52650D16"/>
    <w:rsid w:val="52E654BA"/>
    <w:rsid w:val="548D1BED"/>
    <w:rsid w:val="551E7032"/>
    <w:rsid w:val="568850AA"/>
    <w:rsid w:val="568E6439"/>
    <w:rsid w:val="577949F3"/>
    <w:rsid w:val="5AC661A1"/>
    <w:rsid w:val="5CFDC61A"/>
    <w:rsid w:val="5E310F5A"/>
    <w:rsid w:val="5F223BC2"/>
    <w:rsid w:val="60FA4DF7"/>
    <w:rsid w:val="61CE1DDF"/>
    <w:rsid w:val="635D341B"/>
    <w:rsid w:val="64137F7D"/>
    <w:rsid w:val="67DB41F5"/>
    <w:rsid w:val="6A681023"/>
    <w:rsid w:val="6E5D2F46"/>
    <w:rsid w:val="6FDE58E3"/>
    <w:rsid w:val="75E76DDB"/>
    <w:rsid w:val="76366479"/>
    <w:rsid w:val="77672662"/>
    <w:rsid w:val="7A2C3627"/>
    <w:rsid w:val="7BA051AE"/>
    <w:rsid w:val="7C921F30"/>
    <w:rsid w:val="7CF84488"/>
    <w:rsid w:val="7D935F5F"/>
    <w:rsid w:val="7EC34622"/>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标题 5（有编号）（绿盟科技）"/>
    <w:basedOn w:val="1"/>
    <w:next w:val="1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5）标书正文 首行缩进2字符"/>
    <w:basedOn w:val="1"/>
    <w:qFormat/>
    <w:uiPriority w:val="0"/>
    <w:pPr>
      <w:spacing w:line="520" w:lineRule="exact"/>
      <w:ind w:firstLine="560" w:firstLineChars="200"/>
    </w:pPr>
    <w:rPr>
      <w:rFonts w:eastAsia="仿宋_GB2312"/>
      <w:sz w:val="28"/>
    </w:rPr>
  </w:style>
  <w:style w:type="paragraph" w:styleId="12">
    <w:name w:val="List Paragraph"/>
    <w:basedOn w:val="1"/>
    <w:qFormat/>
    <w:uiPriority w:val="0"/>
    <w:pPr>
      <w:ind w:firstLine="420" w:firstLineChars="200"/>
    </w:pPr>
    <w:rPr>
      <w:rFonts w:ascii="Calibri" w:hAnsi="Calibri"/>
      <w:kern w:val="0"/>
      <w:sz w:val="20"/>
    </w:rPr>
  </w:style>
  <w:style w:type="character" w:customStyle="1" w:styleId="13">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 w:type="paragraph" w:customStyle="1" w:styleId="15">
    <w:name w:val="正文-蚌埠"/>
    <w:basedOn w:val="1"/>
    <w:qFormat/>
    <w:uiPriority w:val="0"/>
    <w:pPr>
      <w:ind w:firstLine="480"/>
    </w:pPr>
    <w:rPr>
      <w:rFonts w:hint="eastAsia"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4918</Words>
  <Characters>4974</Characters>
  <Lines>25</Lines>
  <Paragraphs>7</Paragraphs>
  <TotalTime>9</TotalTime>
  <ScaleCrop>false</ScaleCrop>
  <LinksUpToDate>false</LinksUpToDate>
  <CharactersWithSpaces>4977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2020-06-20T20:32:00Z</dcterms:created>
  <dc:creator>ZZZZJ</dc:creator>
  <cp:lastModifiedBy>小阔爱</cp:lastModifiedBy>
  <dcterms:modified xsi:type="dcterms:W3CDTF">2024-06-03T09:37:37Z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5AA3FDE330A94AFBB52CB7B2A3041EE8</vt:lpwstr>
  </property>
</Properties>
</file>