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4"/>
        <w:tblW w:w="6012" w:type="pct"/>
        <w:tblInd w:w="-1039" w:type="dxa"/>
        <w:tblLayout w:type="fixed"/>
        <w:tblCellMar>
          <w:top w:w="0" w:type="dxa"/>
          <w:left w:w="108" w:type="dxa"/>
          <w:bottom w:w="0" w:type="dxa"/>
          <w:right w:w="108" w:type="dxa"/>
        </w:tblCellMar>
      </w:tblPr>
      <w:tblGrid>
        <w:gridCol w:w="667"/>
        <w:gridCol w:w="866"/>
        <w:gridCol w:w="7347"/>
        <w:gridCol w:w="694"/>
        <w:gridCol w:w="673"/>
      </w:tblGrid>
      <w:tr w14:paraId="35A33562">
        <w:tblPrEx>
          <w:tblCellMar>
            <w:top w:w="0" w:type="dxa"/>
            <w:left w:w="108" w:type="dxa"/>
            <w:bottom w:w="0" w:type="dxa"/>
            <w:right w:w="108" w:type="dxa"/>
          </w:tblCellMar>
        </w:tblPrEx>
        <w:trPr>
          <w:trHeight w:val="902" w:hRule="atLeast"/>
        </w:trPr>
        <w:tc>
          <w:tcPr>
            <w:tcW w:w="325" w:type="pct"/>
            <w:tcBorders>
              <w:top w:val="single" w:color="000000" w:sz="4" w:space="0"/>
              <w:left w:val="single" w:color="000000" w:sz="4" w:space="0"/>
              <w:bottom w:val="single" w:color="000000" w:sz="4" w:space="0"/>
              <w:right w:val="single" w:color="000000" w:sz="4" w:space="0"/>
            </w:tcBorders>
            <w:noWrap w:val="0"/>
            <w:vAlign w:val="center"/>
          </w:tcPr>
          <w:p w14:paraId="4A6AB7FD">
            <w:pPr>
              <w:pageBreakBefore w:val="0"/>
              <w:widowControl/>
              <w:kinsoku/>
              <w:wordWrap/>
              <w:overflowPunct/>
              <w:topLinePunct w:val="0"/>
              <w:bidi w:val="0"/>
              <w:spacing w:line="400" w:lineRule="exact"/>
              <w:ind w:left="0" w:firstLine="0"/>
              <w:jc w:val="center"/>
              <w:textAlignment w:val="center"/>
              <w:rPr>
                <w:rFonts w:hint="eastAsia" w:ascii="仿宋" w:hAnsi="仿宋" w:eastAsia="仿宋" w:cs="仿宋"/>
                <w:color w:val="auto"/>
                <w:kern w:val="0"/>
                <w:sz w:val="24"/>
                <w:szCs w:val="24"/>
                <w:highlight w:val="none"/>
                <w:lang w:eastAsia="en-US" w:bidi="en-US"/>
              </w:rPr>
            </w:pPr>
            <w:bookmarkStart w:id="4" w:name="_GoBack"/>
            <w:bookmarkStart w:id="0" w:name="_Toc340225294"/>
            <w:bookmarkStart w:id="1" w:name="_Toc267320052"/>
            <w:r>
              <w:rPr>
                <w:rFonts w:hint="eastAsia" w:ascii="仿宋" w:hAnsi="仿宋" w:eastAsia="仿宋" w:cs="仿宋"/>
                <w:color w:val="auto"/>
                <w:kern w:val="0"/>
                <w:sz w:val="24"/>
                <w:szCs w:val="24"/>
                <w:highlight w:val="none"/>
                <w:lang w:eastAsia="zh-CN" w:bidi="ar"/>
              </w:rPr>
              <w:t>序号</w:t>
            </w:r>
          </w:p>
        </w:tc>
        <w:tc>
          <w:tcPr>
            <w:tcW w:w="422" w:type="pct"/>
            <w:tcBorders>
              <w:top w:val="single" w:color="000000" w:sz="4" w:space="0"/>
              <w:left w:val="single" w:color="000000" w:sz="4" w:space="0"/>
              <w:bottom w:val="single" w:color="000000" w:sz="4" w:space="0"/>
              <w:right w:val="single" w:color="000000" w:sz="4" w:space="0"/>
            </w:tcBorders>
            <w:noWrap w:val="0"/>
            <w:vAlign w:val="center"/>
          </w:tcPr>
          <w:p w14:paraId="53D2867F">
            <w:pPr>
              <w:pageBreakBefore w:val="0"/>
              <w:widowControl/>
              <w:kinsoku/>
              <w:wordWrap/>
              <w:overflowPunct/>
              <w:topLinePunct w:val="0"/>
              <w:bidi w:val="0"/>
              <w:spacing w:line="400" w:lineRule="exact"/>
              <w:ind w:left="0" w:firstLine="0"/>
              <w:jc w:val="center"/>
              <w:textAlignment w:val="center"/>
              <w:rPr>
                <w:rFonts w:hint="eastAsia" w:ascii="仿宋" w:hAnsi="仿宋" w:eastAsia="仿宋" w:cs="仿宋"/>
                <w:color w:val="auto"/>
                <w:kern w:val="0"/>
                <w:sz w:val="24"/>
                <w:szCs w:val="24"/>
                <w:highlight w:val="none"/>
                <w:lang w:eastAsia="zh-CN" w:bidi="ar"/>
              </w:rPr>
            </w:pPr>
            <w:r>
              <w:rPr>
                <w:rFonts w:hint="eastAsia" w:ascii="仿宋" w:hAnsi="仿宋" w:eastAsia="仿宋" w:cs="仿宋"/>
                <w:color w:val="auto"/>
                <w:kern w:val="0"/>
                <w:sz w:val="24"/>
                <w:szCs w:val="24"/>
                <w:highlight w:val="none"/>
                <w:lang w:eastAsia="zh-CN" w:bidi="ar"/>
              </w:rPr>
              <w:t>设备</w:t>
            </w:r>
          </w:p>
          <w:p w14:paraId="4760970E">
            <w:pPr>
              <w:pageBreakBefore w:val="0"/>
              <w:widowControl/>
              <w:kinsoku/>
              <w:wordWrap/>
              <w:overflowPunct/>
              <w:topLinePunct w:val="0"/>
              <w:bidi w:val="0"/>
              <w:spacing w:line="400" w:lineRule="exact"/>
              <w:ind w:left="0" w:firstLine="0"/>
              <w:jc w:val="center"/>
              <w:textAlignment w:val="center"/>
              <w:rPr>
                <w:rFonts w:hint="eastAsia" w:ascii="仿宋" w:hAnsi="仿宋" w:eastAsia="仿宋" w:cs="仿宋"/>
                <w:color w:val="auto"/>
                <w:kern w:val="0"/>
                <w:sz w:val="24"/>
                <w:szCs w:val="24"/>
                <w:highlight w:val="none"/>
                <w:lang w:eastAsia="en-US" w:bidi="en-US"/>
              </w:rPr>
            </w:pPr>
            <w:r>
              <w:rPr>
                <w:rFonts w:hint="eastAsia" w:ascii="仿宋" w:hAnsi="仿宋" w:eastAsia="仿宋" w:cs="仿宋"/>
                <w:color w:val="auto"/>
                <w:kern w:val="0"/>
                <w:sz w:val="24"/>
                <w:szCs w:val="24"/>
                <w:highlight w:val="none"/>
                <w:lang w:eastAsia="zh-CN" w:bidi="ar"/>
              </w:rPr>
              <w:t>名称</w:t>
            </w:r>
          </w:p>
        </w:tc>
        <w:tc>
          <w:tcPr>
            <w:tcW w:w="3585" w:type="pct"/>
            <w:tcBorders>
              <w:top w:val="single" w:color="000000" w:sz="4" w:space="0"/>
              <w:left w:val="single" w:color="000000" w:sz="4" w:space="0"/>
              <w:bottom w:val="single" w:color="000000" w:sz="4" w:space="0"/>
              <w:right w:val="single" w:color="000000" w:sz="4" w:space="0"/>
            </w:tcBorders>
            <w:noWrap w:val="0"/>
            <w:vAlign w:val="center"/>
          </w:tcPr>
          <w:p w14:paraId="3F4AAE3F">
            <w:pPr>
              <w:pageBreakBefore w:val="0"/>
              <w:widowControl/>
              <w:kinsoku/>
              <w:wordWrap/>
              <w:overflowPunct/>
              <w:topLinePunct w:val="0"/>
              <w:bidi w:val="0"/>
              <w:spacing w:line="400" w:lineRule="exact"/>
              <w:ind w:left="0" w:firstLine="0"/>
              <w:jc w:val="center"/>
              <w:textAlignment w:val="center"/>
              <w:rPr>
                <w:rFonts w:hint="eastAsia" w:ascii="仿宋" w:hAnsi="仿宋" w:eastAsia="仿宋" w:cs="仿宋"/>
                <w:color w:val="auto"/>
                <w:kern w:val="0"/>
                <w:sz w:val="24"/>
                <w:szCs w:val="24"/>
                <w:highlight w:val="none"/>
                <w:lang w:eastAsia="en-US" w:bidi="en-US"/>
              </w:rPr>
            </w:pPr>
            <w:r>
              <w:rPr>
                <w:rFonts w:hint="eastAsia" w:ascii="仿宋" w:hAnsi="仿宋" w:eastAsia="仿宋" w:cs="仿宋"/>
                <w:color w:val="auto"/>
                <w:kern w:val="0"/>
                <w:sz w:val="24"/>
                <w:szCs w:val="24"/>
                <w:highlight w:val="none"/>
                <w:lang w:eastAsia="zh-CN" w:bidi="ar"/>
              </w:rPr>
              <w:t>技术参数与要求</w:t>
            </w: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16E781EA">
            <w:pPr>
              <w:pageBreakBefore w:val="0"/>
              <w:widowControl/>
              <w:kinsoku/>
              <w:wordWrap/>
              <w:overflowPunct/>
              <w:topLinePunct w:val="0"/>
              <w:bidi w:val="0"/>
              <w:spacing w:line="400" w:lineRule="exact"/>
              <w:ind w:left="0" w:firstLine="0"/>
              <w:jc w:val="center"/>
              <w:textAlignment w:val="center"/>
              <w:rPr>
                <w:rFonts w:hint="eastAsia" w:ascii="仿宋" w:hAnsi="仿宋" w:eastAsia="仿宋" w:cs="仿宋"/>
                <w:color w:val="auto"/>
                <w:kern w:val="0"/>
                <w:sz w:val="24"/>
                <w:szCs w:val="24"/>
                <w:highlight w:val="none"/>
                <w:lang w:eastAsia="en-US" w:bidi="en-US"/>
              </w:rPr>
            </w:pPr>
            <w:r>
              <w:rPr>
                <w:rFonts w:hint="eastAsia" w:ascii="仿宋" w:hAnsi="仿宋" w:eastAsia="仿宋" w:cs="仿宋"/>
                <w:color w:val="auto"/>
                <w:kern w:val="0"/>
                <w:sz w:val="24"/>
                <w:szCs w:val="24"/>
                <w:highlight w:val="none"/>
                <w:lang w:eastAsia="zh-CN" w:bidi="ar"/>
              </w:rPr>
              <w:t>数量</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14:paraId="26D66C54">
            <w:pPr>
              <w:pageBreakBefore w:val="0"/>
              <w:widowControl/>
              <w:kinsoku/>
              <w:wordWrap/>
              <w:overflowPunct/>
              <w:topLinePunct w:val="0"/>
              <w:bidi w:val="0"/>
              <w:spacing w:line="400" w:lineRule="exact"/>
              <w:ind w:left="0" w:firstLine="0"/>
              <w:jc w:val="center"/>
              <w:textAlignment w:val="center"/>
              <w:rPr>
                <w:rFonts w:hint="eastAsia" w:ascii="仿宋" w:hAnsi="仿宋" w:eastAsia="仿宋" w:cs="仿宋"/>
                <w:color w:val="auto"/>
                <w:kern w:val="0"/>
                <w:sz w:val="24"/>
                <w:szCs w:val="24"/>
                <w:highlight w:val="none"/>
                <w:lang w:eastAsia="zh-CN" w:bidi="ar"/>
              </w:rPr>
            </w:pPr>
            <w:r>
              <w:rPr>
                <w:rFonts w:hint="eastAsia" w:ascii="仿宋" w:hAnsi="仿宋" w:eastAsia="仿宋" w:cs="仿宋"/>
                <w:color w:val="auto"/>
                <w:kern w:val="0"/>
                <w:sz w:val="24"/>
                <w:szCs w:val="24"/>
                <w:highlight w:val="none"/>
                <w:lang w:eastAsia="zh-CN" w:bidi="ar"/>
              </w:rPr>
              <w:t>单位</w:t>
            </w:r>
          </w:p>
        </w:tc>
      </w:tr>
      <w:bookmarkEnd w:id="4"/>
      <w:tr w14:paraId="0F12C645">
        <w:tblPrEx>
          <w:tblCellMar>
            <w:top w:w="0" w:type="dxa"/>
            <w:left w:w="108" w:type="dxa"/>
            <w:bottom w:w="0" w:type="dxa"/>
            <w:right w:w="108" w:type="dxa"/>
          </w:tblCellMar>
        </w:tblPrEx>
        <w:trPr>
          <w:trHeight w:val="8960" w:hRule="atLeast"/>
        </w:trPr>
        <w:tc>
          <w:tcPr>
            <w:tcW w:w="325" w:type="pct"/>
            <w:tcBorders>
              <w:top w:val="single" w:color="000000" w:sz="4" w:space="0"/>
              <w:left w:val="single" w:color="000000" w:sz="4" w:space="0"/>
              <w:bottom w:val="single" w:color="000000" w:sz="4" w:space="0"/>
              <w:right w:val="single" w:color="000000" w:sz="4" w:space="0"/>
            </w:tcBorders>
            <w:noWrap w:val="0"/>
            <w:vAlign w:val="center"/>
          </w:tcPr>
          <w:p w14:paraId="36E212A1">
            <w:pPr>
              <w:pageBreakBefore w:val="0"/>
              <w:widowControl/>
              <w:kinsoku/>
              <w:wordWrap/>
              <w:overflowPunct/>
              <w:topLinePunct w:val="0"/>
              <w:bidi w:val="0"/>
              <w:spacing w:line="400" w:lineRule="exact"/>
              <w:ind w:left="0" w:firstLine="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c>
          <w:tcPr>
            <w:tcW w:w="422" w:type="pct"/>
            <w:tcBorders>
              <w:top w:val="single" w:color="000000" w:sz="4" w:space="0"/>
              <w:left w:val="single" w:color="000000" w:sz="4" w:space="0"/>
              <w:bottom w:val="single" w:color="000000" w:sz="4" w:space="0"/>
              <w:right w:val="single" w:color="000000" w:sz="4" w:space="0"/>
            </w:tcBorders>
            <w:noWrap w:val="0"/>
            <w:vAlign w:val="center"/>
          </w:tcPr>
          <w:p w14:paraId="7E0414B7">
            <w:pPr>
              <w:pageBreakBefore w:val="0"/>
              <w:widowControl/>
              <w:kinsoku/>
              <w:wordWrap/>
              <w:overflowPunct/>
              <w:topLinePunct w:val="0"/>
              <w:bidi w:val="0"/>
              <w:spacing w:line="400" w:lineRule="exact"/>
              <w:ind w:left="0" w:firstLine="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电休克治疗仪</w:t>
            </w:r>
          </w:p>
        </w:tc>
        <w:tc>
          <w:tcPr>
            <w:tcW w:w="3585" w:type="pct"/>
            <w:tcBorders>
              <w:top w:val="single" w:color="000000" w:sz="4" w:space="0"/>
              <w:left w:val="single" w:color="000000" w:sz="4" w:space="0"/>
              <w:bottom w:val="single" w:color="000000" w:sz="4" w:space="0"/>
              <w:right w:val="single" w:color="000000" w:sz="4" w:space="0"/>
            </w:tcBorders>
            <w:noWrap w:val="0"/>
            <w:vAlign w:val="center"/>
          </w:tcPr>
          <w:p w14:paraId="46A32019">
            <w:pPr>
              <w:pStyle w:val="24"/>
              <w:numPr>
                <w:ilvl w:val="0"/>
                <w:numId w:val="0"/>
              </w:numPr>
              <w:spacing w:line="360" w:lineRule="auto"/>
              <w:ind w:leftChars="0"/>
              <w:jc w:val="lef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lang w:val="en-US" w:eastAsia="zh-CN"/>
              </w:rPr>
              <w:t>（1）</w:t>
            </w:r>
            <w:r>
              <w:rPr>
                <w:rFonts w:hint="eastAsia" w:ascii="仿宋" w:hAnsi="仿宋" w:eastAsia="仿宋" w:cs="仿宋"/>
                <w:color w:val="auto"/>
                <w:sz w:val="24"/>
                <w:szCs w:val="24"/>
                <w:lang w:eastAsia="zh-CN"/>
              </w:rPr>
              <w:t>适用于医疗单位对重度抑郁症精神病患者的电刺激治疗</w:t>
            </w:r>
            <w:r>
              <w:rPr>
                <w:rFonts w:hint="eastAsia" w:ascii="仿宋" w:hAnsi="仿宋" w:eastAsia="仿宋" w:cs="仿宋"/>
                <w:color w:val="auto"/>
                <w:sz w:val="24"/>
                <w:szCs w:val="24"/>
              </w:rPr>
              <w:t>。</w:t>
            </w:r>
          </w:p>
          <w:p w14:paraId="45D98ACE">
            <w:pPr>
              <w:pStyle w:val="24"/>
              <w:numPr>
                <w:ilvl w:val="0"/>
                <w:numId w:val="0"/>
              </w:numPr>
              <w:spacing w:line="360" w:lineRule="auto"/>
              <w:ind w:leftChars="0"/>
              <w:jc w:val="left"/>
              <w:textAlignment w:val="baseline"/>
              <w:rPr>
                <w:rFonts w:hint="eastAsia" w:ascii="仿宋" w:hAnsi="仿宋" w:eastAsia="仿宋" w:cs="仿宋"/>
                <w:color w:val="auto"/>
                <w:sz w:val="24"/>
                <w:szCs w:val="24"/>
              </w:rPr>
            </w:pP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lang w:val="en-US" w:eastAsia="zh-CN"/>
              </w:rPr>
              <w:t>2）</w:t>
            </w:r>
            <w:r>
              <w:rPr>
                <w:rFonts w:hint="eastAsia" w:ascii="仿宋" w:hAnsi="仿宋" w:eastAsia="仿宋" w:cs="仿宋"/>
                <w:color w:val="auto"/>
                <w:sz w:val="24"/>
                <w:szCs w:val="24"/>
              </w:rPr>
              <w:t>电流通过大脑，引起意识丧失和痉挛或抽搐发作，具备两种以上治疗模式，同时具有监测、存储、打印的功能。</w:t>
            </w:r>
          </w:p>
          <w:p w14:paraId="72127A11">
            <w:pPr>
              <w:pStyle w:val="24"/>
              <w:numPr>
                <w:ilvl w:val="0"/>
                <w:numId w:val="0"/>
              </w:numPr>
              <w:spacing w:line="360" w:lineRule="auto"/>
              <w:ind w:leftChars="0"/>
              <w:jc w:val="left"/>
              <w:textAlignment w:val="baseline"/>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3）</w:t>
            </w:r>
            <w:r>
              <w:rPr>
                <w:rFonts w:hint="eastAsia" w:ascii="仿宋" w:hAnsi="仿宋" w:eastAsia="仿宋" w:cs="仿宋"/>
                <w:sz w:val="24"/>
                <w:szCs w:val="24"/>
              </w:rPr>
              <w:t>恒定电流、双向、矩形脉冲；</w:t>
            </w:r>
          </w:p>
          <w:p w14:paraId="6A7C48E1">
            <w:pPr>
              <w:pStyle w:val="24"/>
              <w:numPr>
                <w:ilvl w:val="0"/>
                <w:numId w:val="0"/>
              </w:numPr>
              <w:spacing w:line="360" w:lineRule="auto"/>
              <w:ind w:leftChars="0"/>
              <w:jc w:val="left"/>
              <w:textAlignment w:val="baseline"/>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4）</w:t>
            </w:r>
            <w:r>
              <w:rPr>
                <w:rFonts w:hint="eastAsia" w:ascii="仿宋" w:hAnsi="仿宋" w:eastAsia="仿宋" w:cs="仿宋"/>
                <w:sz w:val="24"/>
                <w:szCs w:val="24"/>
              </w:rPr>
              <w:t>电流：允许调节或恒定电流强度参数范围：≤900mA；</w:t>
            </w:r>
          </w:p>
          <w:p w14:paraId="7550301F">
            <w:pPr>
              <w:pStyle w:val="24"/>
              <w:numPr>
                <w:ilvl w:val="0"/>
                <w:numId w:val="0"/>
              </w:numPr>
              <w:spacing w:line="360" w:lineRule="auto"/>
              <w:ind w:leftChars="0"/>
              <w:jc w:val="left"/>
              <w:textAlignment w:val="baseline"/>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5）</w:t>
            </w:r>
            <w:r>
              <w:rPr>
                <w:rFonts w:hint="eastAsia" w:ascii="仿宋" w:hAnsi="仿宋" w:eastAsia="仿宋" w:cs="仿宋"/>
                <w:color w:val="auto"/>
                <w:sz w:val="24"/>
                <w:szCs w:val="24"/>
              </w:rPr>
              <w:t>▲</w:t>
            </w:r>
            <w:r>
              <w:rPr>
                <w:rFonts w:hint="eastAsia" w:ascii="仿宋" w:hAnsi="仿宋" w:eastAsia="仿宋" w:cs="仿宋"/>
                <w:sz w:val="24"/>
                <w:szCs w:val="24"/>
              </w:rPr>
              <w:t>频率：10Hz-120 Hz，以5Hz为一增量；（需要提供证明材料）</w:t>
            </w:r>
          </w:p>
          <w:p w14:paraId="08F3DF30">
            <w:pPr>
              <w:pStyle w:val="24"/>
              <w:numPr>
                <w:ilvl w:val="0"/>
                <w:numId w:val="0"/>
              </w:numPr>
              <w:spacing w:line="360" w:lineRule="auto"/>
              <w:ind w:leftChars="0"/>
              <w:jc w:val="left"/>
              <w:textAlignment w:val="baseline"/>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6）</w:t>
            </w:r>
            <w:r>
              <w:rPr>
                <w:rFonts w:hint="eastAsia" w:ascii="仿宋" w:hAnsi="仿宋" w:eastAsia="仿宋" w:cs="仿宋"/>
                <w:color w:val="auto"/>
                <w:sz w:val="24"/>
                <w:szCs w:val="24"/>
              </w:rPr>
              <w:t>▲</w:t>
            </w:r>
            <w:r>
              <w:rPr>
                <w:rFonts w:hint="eastAsia" w:ascii="仿宋" w:hAnsi="仿宋" w:eastAsia="仿宋" w:cs="仿宋"/>
                <w:sz w:val="24"/>
                <w:szCs w:val="24"/>
              </w:rPr>
              <w:t>脉冲宽度：0.16 ms-1.0 ms；内置菜单具有超短脉冲，近超短脉冲或短脉冲可供用户选择，</w:t>
            </w:r>
            <w:r>
              <w:rPr>
                <w:rFonts w:hint="eastAsia" w:ascii="仿宋" w:hAnsi="仿宋" w:eastAsia="仿宋" w:cs="仿宋"/>
                <w:kern w:val="0"/>
                <w:sz w:val="24"/>
                <w:szCs w:val="24"/>
              </w:rPr>
              <w:t>临床可进行精准治疗，给药以0.01ms调节治疗方案</w:t>
            </w:r>
            <w:r>
              <w:rPr>
                <w:rFonts w:hint="eastAsia" w:ascii="仿宋" w:hAnsi="仿宋" w:eastAsia="仿宋" w:cs="仿宋"/>
                <w:sz w:val="24"/>
                <w:szCs w:val="24"/>
              </w:rPr>
              <w:t>；</w:t>
            </w:r>
          </w:p>
          <w:p w14:paraId="4AD3D67F">
            <w:pPr>
              <w:pStyle w:val="24"/>
              <w:numPr>
                <w:ilvl w:val="0"/>
                <w:numId w:val="0"/>
              </w:numPr>
              <w:spacing w:line="360" w:lineRule="auto"/>
              <w:ind w:leftChars="0"/>
              <w:jc w:val="left"/>
              <w:textAlignment w:val="baseline"/>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7）</w:t>
            </w:r>
            <w:r>
              <w:rPr>
                <w:rFonts w:hint="eastAsia" w:ascii="仿宋" w:hAnsi="仿宋" w:eastAsia="仿宋" w:cs="仿宋"/>
                <w:color w:val="auto"/>
                <w:sz w:val="24"/>
                <w:szCs w:val="24"/>
              </w:rPr>
              <w:t>▲</w:t>
            </w:r>
            <w:r>
              <w:rPr>
                <w:rFonts w:hint="eastAsia" w:ascii="仿宋" w:hAnsi="仿宋" w:eastAsia="仿宋" w:cs="仿宋"/>
                <w:sz w:val="24"/>
                <w:szCs w:val="24"/>
              </w:rPr>
              <w:t>输出能量：</w:t>
            </w:r>
            <w:bookmarkStart w:id="2" w:name="_Hlk23106728"/>
            <w:r>
              <w:rPr>
                <w:rFonts w:hint="eastAsia" w:ascii="仿宋" w:hAnsi="仿宋" w:eastAsia="仿宋" w:cs="仿宋"/>
                <w:sz w:val="24"/>
                <w:szCs w:val="24"/>
              </w:rPr>
              <w:t>0.2-189J</w:t>
            </w:r>
            <w:bookmarkEnd w:id="2"/>
            <w:r>
              <w:rPr>
                <w:rFonts w:hint="eastAsia" w:ascii="仿宋" w:hAnsi="仿宋" w:eastAsia="仿宋" w:cs="仿宋"/>
                <w:sz w:val="24"/>
                <w:szCs w:val="24"/>
              </w:rPr>
              <w:t>；</w:t>
            </w:r>
          </w:p>
          <w:p w14:paraId="6B889223">
            <w:pPr>
              <w:pStyle w:val="24"/>
              <w:numPr>
                <w:ilvl w:val="0"/>
                <w:numId w:val="0"/>
              </w:numPr>
              <w:spacing w:line="360" w:lineRule="auto"/>
              <w:ind w:leftChars="0"/>
              <w:jc w:val="left"/>
              <w:textAlignment w:val="baseline"/>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8）</w:t>
            </w:r>
            <w:r>
              <w:rPr>
                <w:rFonts w:hint="eastAsia" w:ascii="仿宋" w:hAnsi="仿宋" w:eastAsia="仿宋" w:cs="仿宋"/>
                <w:color w:val="auto"/>
                <w:sz w:val="24"/>
                <w:szCs w:val="24"/>
              </w:rPr>
              <w:t>▲</w:t>
            </w:r>
            <w:r>
              <w:rPr>
                <w:rFonts w:hint="eastAsia" w:ascii="仿宋" w:hAnsi="仿宋" w:eastAsia="仿宋" w:cs="仿宋"/>
                <w:sz w:val="24"/>
                <w:szCs w:val="24"/>
              </w:rPr>
              <w:t>电荷输出范围：1.1-1009 MC；</w:t>
            </w:r>
          </w:p>
          <w:p w14:paraId="41AFF570">
            <w:pPr>
              <w:pStyle w:val="24"/>
              <w:numPr>
                <w:ilvl w:val="0"/>
                <w:numId w:val="0"/>
              </w:numPr>
              <w:spacing w:line="360" w:lineRule="auto"/>
              <w:ind w:leftChars="0"/>
              <w:jc w:val="left"/>
              <w:textAlignment w:val="baseline"/>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9）</w:t>
            </w:r>
            <w:r>
              <w:rPr>
                <w:rFonts w:hint="eastAsia" w:ascii="仿宋" w:hAnsi="仿宋" w:eastAsia="仿宋" w:cs="仿宋"/>
                <w:sz w:val="24"/>
                <w:szCs w:val="24"/>
              </w:rPr>
              <w:t>电压范围：≤400V自动调节；</w:t>
            </w:r>
          </w:p>
          <w:p w14:paraId="1DD0E2BE">
            <w:pPr>
              <w:pStyle w:val="24"/>
              <w:numPr>
                <w:ilvl w:val="0"/>
                <w:numId w:val="0"/>
              </w:numPr>
              <w:spacing w:line="360" w:lineRule="auto"/>
              <w:ind w:leftChars="0"/>
              <w:jc w:val="left"/>
              <w:textAlignment w:val="baseline"/>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10）</w:t>
            </w:r>
            <w:r>
              <w:rPr>
                <w:rFonts w:hint="eastAsia" w:ascii="仿宋" w:hAnsi="仿宋" w:eastAsia="仿宋" w:cs="仿宋"/>
                <w:sz w:val="24"/>
                <w:szCs w:val="24"/>
              </w:rPr>
              <w:t>▲仪器自带单侧治疗设置模块，提供滴定法及超短刺激及整体刺激方案；</w:t>
            </w:r>
          </w:p>
          <w:p w14:paraId="2E925E35">
            <w:pPr>
              <w:pStyle w:val="24"/>
              <w:numPr>
                <w:ilvl w:val="0"/>
                <w:numId w:val="0"/>
              </w:numPr>
              <w:spacing w:line="360" w:lineRule="auto"/>
              <w:ind w:leftChars="0"/>
              <w:jc w:val="left"/>
              <w:textAlignment w:val="baseline"/>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11）</w:t>
            </w:r>
            <w:r>
              <w:rPr>
                <w:rFonts w:hint="eastAsia" w:ascii="仿宋" w:hAnsi="仿宋" w:eastAsia="仿宋" w:cs="仿宋"/>
                <w:sz w:val="24"/>
                <w:szCs w:val="24"/>
              </w:rPr>
              <w:t>刺激时间范围：0.05秒-8.0秒；</w:t>
            </w:r>
          </w:p>
          <w:p w14:paraId="4C8B5ADC">
            <w:pPr>
              <w:pStyle w:val="24"/>
              <w:numPr>
                <w:ilvl w:val="0"/>
                <w:numId w:val="0"/>
              </w:numPr>
              <w:spacing w:line="360" w:lineRule="auto"/>
              <w:ind w:leftChars="0"/>
              <w:jc w:val="left"/>
              <w:textAlignment w:val="baseline"/>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12）</w:t>
            </w:r>
            <w:r>
              <w:rPr>
                <w:rFonts w:hint="eastAsia" w:ascii="仿宋" w:hAnsi="仿宋" w:eastAsia="仿宋" w:cs="仿宋"/>
                <w:sz w:val="24"/>
                <w:szCs w:val="24"/>
              </w:rPr>
              <w:t>四通道记录和打印：打印通道可选1通道打印、2通道打印、3通道打印、4通道打印且任意选择及改变监控参数的通道打印；</w:t>
            </w:r>
          </w:p>
          <w:p w14:paraId="1BF27158">
            <w:pPr>
              <w:pStyle w:val="24"/>
              <w:numPr>
                <w:ilvl w:val="0"/>
                <w:numId w:val="0"/>
              </w:numPr>
              <w:spacing w:line="360" w:lineRule="auto"/>
              <w:ind w:leftChars="0"/>
              <w:jc w:val="left"/>
              <w:textAlignment w:val="baseline"/>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13）</w:t>
            </w:r>
            <w:r>
              <w:rPr>
                <w:rFonts w:hint="eastAsia" w:ascii="仿宋" w:hAnsi="仿宋" w:eastAsia="仿宋" w:cs="仿宋"/>
                <w:sz w:val="24"/>
                <w:szCs w:val="24"/>
              </w:rPr>
              <w:t>视运感受器可以实时监测去极化血药浓度水平。</w:t>
            </w:r>
          </w:p>
          <w:p w14:paraId="760635CB">
            <w:pPr>
              <w:pStyle w:val="24"/>
              <w:numPr>
                <w:ilvl w:val="0"/>
                <w:numId w:val="0"/>
              </w:numPr>
              <w:spacing w:line="360" w:lineRule="auto"/>
              <w:ind w:leftChars="0"/>
              <w:jc w:val="left"/>
              <w:textAlignment w:val="baseline"/>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14）</w:t>
            </w:r>
            <w:r>
              <w:rPr>
                <w:rFonts w:hint="eastAsia" w:ascii="仿宋" w:hAnsi="仿宋" w:eastAsia="仿宋" w:cs="仿宋"/>
                <w:sz w:val="24"/>
                <w:szCs w:val="24"/>
              </w:rPr>
              <w:t>刺激模式要求：单个旋钮控制或四旋钮控制；可一键式操作或四旋钮个性化操作，内置≥8个固定刺激方案。</w:t>
            </w:r>
          </w:p>
          <w:p w14:paraId="409223A3">
            <w:pPr>
              <w:pStyle w:val="24"/>
              <w:numPr>
                <w:ilvl w:val="0"/>
                <w:numId w:val="0"/>
              </w:numPr>
              <w:spacing w:line="360" w:lineRule="auto"/>
              <w:ind w:leftChars="0"/>
              <w:jc w:val="left"/>
              <w:textAlignment w:val="baseline"/>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15）</w:t>
            </w:r>
            <w:r>
              <w:rPr>
                <w:rFonts w:hint="eastAsia" w:ascii="仿宋" w:hAnsi="仿宋" w:eastAsia="仿宋" w:cs="仿宋"/>
                <w:sz w:val="24"/>
                <w:szCs w:val="24"/>
              </w:rPr>
              <w:t>视觉提示：三色LED灯光提示；听觉提示：治疗警告音提示；</w:t>
            </w:r>
          </w:p>
          <w:p w14:paraId="26C1CA82">
            <w:pPr>
              <w:pStyle w:val="24"/>
              <w:numPr>
                <w:ilvl w:val="0"/>
                <w:numId w:val="0"/>
              </w:numPr>
              <w:spacing w:line="360" w:lineRule="auto"/>
              <w:ind w:leftChars="0"/>
              <w:jc w:val="left"/>
              <w:textAlignment w:val="baseline"/>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16)</w:t>
            </w:r>
            <w:r>
              <w:rPr>
                <w:rFonts w:hint="eastAsia" w:ascii="仿宋" w:hAnsi="仿宋" w:eastAsia="仿宋" w:cs="仿宋"/>
                <w:sz w:val="24"/>
                <w:szCs w:val="24"/>
              </w:rPr>
              <w:t>储存功能：本身自带储存可重复打印治疗报告；</w:t>
            </w:r>
          </w:p>
          <w:p w14:paraId="1FF8A845">
            <w:pPr>
              <w:pStyle w:val="24"/>
              <w:numPr>
                <w:ilvl w:val="0"/>
                <w:numId w:val="0"/>
              </w:numPr>
              <w:spacing w:line="360" w:lineRule="auto"/>
              <w:ind w:leftChars="0"/>
              <w:jc w:val="left"/>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(17)</w:t>
            </w:r>
            <w:r>
              <w:rPr>
                <w:rFonts w:hint="eastAsia" w:ascii="仿宋" w:hAnsi="仿宋" w:eastAsia="仿宋" w:cs="仿宋"/>
                <w:color w:val="auto"/>
                <w:sz w:val="24"/>
                <w:szCs w:val="24"/>
              </w:rPr>
              <w:t>▲</w:t>
            </w:r>
            <w:r>
              <w:rPr>
                <w:rFonts w:hint="eastAsia" w:ascii="仿宋" w:hAnsi="仿宋" w:eastAsia="仿宋" w:cs="仿宋"/>
                <w:sz w:val="24"/>
                <w:szCs w:val="24"/>
              </w:rPr>
              <w:t>仪器自带≥5.6英寸触摸型显示屏；实时监测、显示脑电图、心电图、视动感受波形、肌电图功能；并实时监测显示患者阻抗值，范围100-5000欧姆；（需要提供证明材料）</w:t>
            </w:r>
          </w:p>
          <w:p w14:paraId="2AE1BFED">
            <w:pPr>
              <w:pStyle w:val="24"/>
              <w:numPr>
                <w:ilvl w:val="0"/>
                <w:numId w:val="0"/>
              </w:numPr>
              <w:spacing w:line="360" w:lineRule="auto"/>
              <w:ind w:leftChars="0"/>
              <w:jc w:val="left"/>
              <w:textAlignment w:val="baseline"/>
              <w:rPr>
                <w:rFonts w:hint="eastAsia" w:ascii="仿宋" w:hAnsi="仿宋" w:eastAsia="仿宋" w:cs="仿宋"/>
                <w:sz w:val="24"/>
                <w:szCs w:val="24"/>
              </w:rPr>
            </w:pPr>
            <w:r>
              <w:rPr>
                <w:rFonts w:hint="eastAsia" w:ascii="仿宋" w:hAnsi="仿宋" w:eastAsia="仿宋" w:cs="仿宋"/>
                <w:sz w:val="24"/>
                <w:szCs w:val="24"/>
                <w:lang w:val="en-US" w:eastAsia="zh-CN"/>
              </w:rPr>
              <w:t>(18)</w:t>
            </w:r>
            <w:r>
              <w:rPr>
                <w:rFonts w:hint="eastAsia" w:ascii="仿宋" w:hAnsi="仿宋" w:eastAsia="仿宋" w:cs="仿宋"/>
                <w:sz w:val="24"/>
                <w:szCs w:val="24"/>
              </w:rPr>
              <w:t>抽搐强度的监测：范围从0~100%；</w:t>
            </w:r>
          </w:p>
          <w:p w14:paraId="2C41D608">
            <w:pPr>
              <w:pStyle w:val="24"/>
              <w:numPr>
                <w:ilvl w:val="0"/>
                <w:numId w:val="0"/>
              </w:numPr>
              <w:spacing w:line="360" w:lineRule="auto"/>
              <w:ind w:leftChars="0"/>
              <w:jc w:val="left"/>
              <w:textAlignment w:val="baseline"/>
              <w:rPr>
                <w:rFonts w:hint="eastAsia" w:ascii="仿宋" w:hAnsi="仿宋" w:eastAsia="仿宋" w:cs="仿宋"/>
                <w:color w:val="auto"/>
                <w:sz w:val="24"/>
                <w:szCs w:val="24"/>
                <w:lang w:val="en-US" w:eastAsia="zh-CN"/>
              </w:rPr>
            </w:pPr>
            <w:r>
              <w:rPr>
                <w:rFonts w:hint="eastAsia" w:ascii="仿宋" w:hAnsi="仿宋" w:eastAsia="仿宋" w:cs="仿宋"/>
                <w:sz w:val="24"/>
                <w:szCs w:val="24"/>
                <w:lang w:val="en-US" w:eastAsia="zh-CN"/>
              </w:rPr>
              <w:t>(19)</w:t>
            </w:r>
            <w:r>
              <w:rPr>
                <w:rFonts w:hint="eastAsia" w:ascii="仿宋" w:hAnsi="仿宋" w:eastAsia="仿宋" w:cs="仿宋"/>
                <w:color w:val="auto"/>
                <w:sz w:val="24"/>
                <w:szCs w:val="24"/>
                <w:lang w:val="en-US" w:eastAsia="zh-CN"/>
              </w:rPr>
              <w:t>具有电流调节装置的专利证书</w:t>
            </w:r>
          </w:p>
          <w:p w14:paraId="78AF1269">
            <w:pPr>
              <w:pStyle w:val="24"/>
              <w:numPr>
                <w:ilvl w:val="0"/>
                <w:numId w:val="0"/>
              </w:numPr>
              <w:spacing w:line="360" w:lineRule="auto"/>
              <w:ind w:leftChars="0"/>
              <w:jc w:val="left"/>
              <w:textAlignment w:val="baseline"/>
              <w:rPr>
                <w:rFonts w:hint="eastAsia" w:ascii="仿宋" w:hAnsi="仿宋" w:eastAsia="仿宋" w:cs="仿宋"/>
                <w:color w:val="auto"/>
                <w:sz w:val="24"/>
                <w:szCs w:val="24"/>
                <w:lang w:val="en-US" w:eastAsia="zh-CN"/>
              </w:rPr>
            </w:pPr>
          </w:p>
          <w:tbl>
            <w:tblPr>
              <w:tblStyle w:val="15"/>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86"/>
              <w:gridCol w:w="3736"/>
            </w:tblGrid>
            <w:tr w14:paraId="29D8A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noWrap w:val="0"/>
                  <w:vAlign w:val="top"/>
                </w:tcPr>
                <w:p w14:paraId="41803FA2">
                  <w:pPr>
                    <w:widowControl/>
                    <w:spacing w:line="240" w:lineRule="auto"/>
                    <w:jc w:val="both"/>
                    <w:rPr>
                      <w:rFonts w:hint="eastAsia" w:ascii="仿宋" w:hAnsi="仿宋" w:eastAsia="仿宋" w:cs="仿宋"/>
                      <w:b/>
                      <w:color w:val="auto"/>
                      <w:kern w:val="0"/>
                      <w:sz w:val="24"/>
                      <w:szCs w:val="24"/>
                    </w:rPr>
                  </w:pPr>
                  <w:r>
                    <w:rPr>
                      <w:rFonts w:hint="eastAsia" w:ascii="仿宋" w:hAnsi="仿宋" w:eastAsia="仿宋" w:cs="仿宋"/>
                      <w:b/>
                      <w:color w:val="auto"/>
                      <w:kern w:val="0"/>
                      <w:sz w:val="24"/>
                      <w:szCs w:val="24"/>
                    </w:rPr>
                    <w:t>产品名称</w:t>
                  </w:r>
                </w:p>
              </w:tc>
              <w:tc>
                <w:tcPr>
                  <w:tcW w:w="3736" w:type="dxa"/>
                  <w:noWrap w:val="0"/>
                  <w:vAlign w:val="top"/>
                </w:tcPr>
                <w:p w14:paraId="72BEFCE5">
                  <w:pPr>
                    <w:widowControl/>
                    <w:spacing w:line="240" w:lineRule="auto"/>
                    <w:jc w:val="center"/>
                    <w:rPr>
                      <w:rFonts w:hint="eastAsia" w:ascii="仿宋" w:hAnsi="仿宋" w:eastAsia="仿宋" w:cs="仿宋"/>
                      <w:b/>
                      <w:color w:val="auto"/>
                      <w:kern w:val="0"/>
                      <w:sz w:val="24"/>
                      <w:szCs w:val="24"/>
                    </w:rPr>
                  </w:pPr>
                </w:p>
              </w:tc>
            </w:tr>
            <w:tr w14:paraId="6ABF7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noWrap w:val="0"/>
                  <w:vAlign w:val="top"/>
                </w:tcPr>
                <w:p w14:paraId="62A07E24">
                  <w:pPr>
                    <w:widowControl/>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eastAsia="zh-CN"/>
                    </w:rPr>
                    <w:t>电休克主机设备</w:t>
                  </w:r>
                  <w:r>
                    <w:rPr>
                      <w:rFonts w:hint="eastAsia" w:ascii="仿宋" w:hAnsi="仿宋" w:eastAsia="仿宋" w:cs="仿宋"/>
                      <w:color w:val="auto"/>
                      <w:kern w:val="0"/>
                      <w:sz w:val="24"/>
                      <w:szCs w:val="24"/>
                      <w:lang w:val="en-US" w:eastAsia="zh-CN"/>
                    </w:rPr>
                    <w:t>1套</w:t>
                  </w:r>
                  <w:r>
                    <w:rPr>
                      <w:rFonts w:hint="eastAsia" w:ascii="仿宋" w:hAnsi="仿宋" w:eastAsia="仿宋" w:cs="仿宋"/>
                      <w:color w:val="auto"/>
                      <w:kern w:val="0"/>
                      <w:sz w:val="24"/>
                      <w:szCs w:val="24"/>
                    </w:rPr>
                    <w:t xml:space="preserve"> </w:t>
                  </w:r>
                </w:p>
                <w:p w14:paraId="055022B5">
                  <w:pPr>
                    <w:widowControl/>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EEG 监控通道 2个</w:t>
                  </w:r>
                </w:p>
                <w:p w14:paraId="7D5434B8">
                  <w:pPr>
                    <w:widowControl/>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ECG监控通道1个</w:t>
                  </w:r>
                </w:p>
                <w:p w14:paraId="5B4CFBCF">
                  <w:pPr>
                    <w:widowControl/>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EMG监控通道1个</w:t>
                  </w:r>
                </w:p>
                <w:p w14:paraId="7D5A9CA8">
                  <w:pPr>
                    <w:widowControl/>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OMS监控通道1个</w:t>
                  </w:r>
                </w:p>
              </w:tc>
              <w:tc>
                <w:tcPr>
                  <w:tcW w:w="3736" w:type="dxa"/>
                  <w:noWrap w:val="0"/>
                  <w:vAlign w:val="top"/>
                </w:tcPr>
                <w:p w14:paraId="38A627AA">
                  <w:pPr>
                    <w:widowControl/>
                    <w:spacing w:line="240" w:lineRule="auto"/>
                    <w:jc w:val="left"/>
                    <w:rPr>
                      <w:rFonts w:hint="eastAsia" w:ascii="仿宋" w:hAnsi="仿宋" w:eastAsia="仿宋" w:cs="仿宋"/>
                      <w:color w:val="auto"/>
                      <w:kern w:val="0"/>
                      <w:sz w:val="24"/>
                      <w:szCs w:val="24"/>
                    </w:rPr>
                  </w:pPr>
                </w:p>
              </w:tc>
            </w:tr>
            <w:tr w14:paraId="6FF63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2"/>
                  <w:noWrap w:val="0"/>
                  <w:vAlign w:val="top"/>
                </w:tcPr>
                <w:p w14:paraId="681EAA00">
                  <w:pPr>
                    <w:widowControl/>
                    <w:spacing w:line="240" w:lineRule="auto"/>
                    <w:jc w:val="both"/>
                    <w:rPr>
                      <w:rFonts w:hint="eastAsia" w:ascii="仿宋" w:hAnsi="仿宋" w:eastAsia="仿宋" w:cs="仿宋"/>
                      <w:b/>
                      <w:color w:val="auto"/>
                      <w:kern w:val="0"/>
                      <w:sz w:val="24"/>
                      <w:szCs w:val="24"/>
                    </w:rPr>
                  </w:pPr>
                  <w:r>
                    <w:rPr>
                      <w:rFonts w:hint="eastAsia" w:ascii="仿宋" w:hAnsi="仿宋" w:eastAsia="仿宋" w:cs="仿宋"/>
                      <w:b/>
                      <w:color w:val="auto"/>
                      <w:kern w:val="0"/>
                      <w:sz w:val="24"/>
                      <w:szCs w:val="24"/>
                    </w:rPr>
                    <w:t>免费附件</w:t>
                  </w:r>
                </w:p>
              </w:tc>
            </w:tr>
            <w:tr w14:paraId="17A11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noWrap w:val="0"/>
                  <w:vAlign w:val="top"/>
                </w:tcPr>
                <w:p w14:paraId="10DBD2B0">
                  <w:pPr>
                    <w:widowControl/>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说明书（英文/中文）</w:t>
                  </w:r>
                </w:p>
              </w:tc>
              <w:tc>
                <w:tcPr>
                  <w:tcW w:w="3736" w:type="dxa"/>
                  <w:noWrap w:val="0"/>
                  <w:vAlign w:val="top"/>
                </w:tcPr>
                <w:p w14:paraId="3F48BB5C">
                  <w:pPr>
                    <w:widowControl/>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各1本</w:t>
                  </w:r>
                </w:p>
              </w:tc>
            </w:tr>
            <w:tr w14:paraId="5F5A3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noWrap w:val="0"/>
                  <w:vAlign w:val="top"/>
                </w:tcPr>
                <w:p w14:paraId="234BE7E0">
                  <w:pPr>
                    <w:widowControl/>
                    <w:spacing w:line="240" w:lineRule="auto"/>
                    <w:jc w:val="lef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eastAsia="zh-CN"/>
                    </w:rPr>
                    <w:t>教学</w:t>
                  </w:r>
                  <w:r>
                    <w:rPr>
                      <w:rFonts w:hint="eastAsia" w:ascii="仿宋" w:hAnsi="仿宋" w:eastAsia="仿宋" w:cs="仿宋"/>
                      <w:color w:val="auto"/>
                      <w:kern w:val="0"/>
                      <w:sz w:val="24"/>
                      <w:szCs w:val="24"/>
                      <w:lang w:val="en-US" w:eastAsia="zh-CN"/>
                    </w:rPr>
                    <w:t>U盘</w:t>
                  </w:r>
                </w:p>
              </w:tc>
              <w:tc>
                <w:tcPr>
                  <w:tcW w:w="3736" w:type="dxa"/>
                  <w:noWrap w:val="0"/>
                  <w:vAlign w:val="top"/>
                </w:tcPr>
                <w:p w14:paraId="6111EBA9">
                  <w:pPr>
                    <w:widowControl/>
                    <w:spacing w:line="240" w:lineRule="auto"/>
                    <w:jc w:val="left"/>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1</w:t>
                  </w:r>
                  <w:r>
                    <w:rPr>
                      <w:rFonts w:hint="eastAsia" w:ascii="仿宋" w:hAnsi="仿宋" w:eastAsia="仿宋" w:cs="仿宋"/>
                      <w:color w:val="auto"/>
                      <w:kern w:val="0"/>
                      <w:sz w:val="24"/>
                      <w:szCs w:val="24"/>
                      <w:lang w:eastAsia="zh-CN"/>
                    </w:rPr>
                    <w:t>个</w:t>
                  </w:r>
                </w:p>
              </w:tc>
            </w:tr>
            <w:tr w14:paraId="72B38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noWrap w:val="0"/>
                  <w:vAlign w:val="top"/>
                </w:tcPr>
                <w:p w14:paraId="2A4024F0">
                  <w:pPr>
                    <w:widowControl/>
                    <w:spacing w:line="240" w:lineRule="auto"/>
                    <w:jc w:val="left"/>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eastAsia="zh-CN"/>
                    </w:rPr>
                    <w:t>动力负载箱</w:t>
                  </w:r>
                </w:p>
              </w:tc>
              <w:tc>
                <w:tcPr>
                  <w:tcW w:w="3736" w:type="dxa"/>
                  <w:noWrap w:val="0"/>
                  <w:vAlign w:val="top"/>
                </w:tcPr>
                <w:p w14:paraId="00596325">
                  <w:pPr>
                    <w:widowControl/>
                    <w:spacing w:line="240" w:lineRule="auto"/>
                    <w:jc w:val="lef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1个</w:t>
                  </w:r>
                </w:p>
              </w:tc>
            </w:tr>
            <w:tr w14:paraId="78DEE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noWrap w:val="0"/>
                  <w:vAlign w:val="top"/>
                </w:tcPr>
                <w:p w14:paraId="7AA9D341">
                  <w:pPr>
                    <w:widowControl/>
                    <w:spacing w:line="240" w:lineRule="auto"/>
                    <w:jc w:val="left"/>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eastAsia="zh-CN"/>
                    </w:rPr>
                    <w:t>牙垫</w:t>
                  </w:r>
                </w:p>
              </w:tc>
              <w:tc>
                <w:tcPr>
                  <w:tcW w:w="3736" w:type="dxa"/>
                  <w:noWrap w:val="0"/>
                  <w:vAlign w:val="top"/>
                </w:tcPr>
                <w:p w14:paraId="2BD8E2B2">
                  <w:pPr>
                    <w:widowControl/>
                    <w:spacing w:line="240" w:lineRule="auto"/>
                    <w:jc w:val="left"/>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1</w:t>
                  </w:r>
                  <w:r>
                    <w:rPr>
                      <w:rFonts w:hint="eastAsia" w:ascii="仿宋" w:hAnsi="仿宋" w:eastAsia="仿宋" w:cs="仿宋"/>
                      <w:color w:val="auto"/>
                      <w:kern w:val="0"/>
                      <w:sz w:val="24"/>
                      <w:szCs w:val="24"/>
                      <w:lang w:eastAsia="zh-CN"/>
                    </w:rPr>
                    <w:t>个</w:t>
                  </w:r>
                </w:p>
              </w:tc>
            </w:tr>
            <w:tr w14:paraId="1D9B3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noWrap w:val="0"/>
                  <w:vAlign w:val="top"/>
                </w:tcPr>
                <w:p w14:paraId="5F0A5E9F">
                  <w:pPr>
                    <w:widowControl/>
                    <w:spacing w:line="240" w:lineRule="auto"/>
                    <w:jc w:val="lef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导电膏</w:t>
                  </w:r>
                </w:p>
              </w:tc>
              <w:tc>
                <w:tcPr>
                  <w:tcW w:w="3736" w:type="dxa"/>
                  <w:noWrap w:val="0"/>
                  <w:vAlign w:val="top"/>
                </w:tcPr>
                <w:p w14:paraId="456EEC2E">
                  <w:pPr>
                    <w:widowControl/>
                    <w:spacing w:line="240" w:lineRule="auto"/>
                    <w:jc w:val="left"/>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1</w:t>
                  </w:r>
                  <w:r>
                    <w:rPr>
                      <w:rFonts w:hint="eastAsia" w:ascii="仿宋" w:hAnsi="仿宋" w:eastAsia="仿宋" w:cs="仿宋"/>
                      <w:color w:val="auto"/>
                      <w:kern w:val="0"/>
                      <w:sz w:val="24"/>
                      <w:szCs w:val="24"/>
                      <w:lang w:eastAsia="zh-CN"/>
                    </w:rPr>
                    <w:t>瓶</w:t>
                  </w:r>
                </w:p>
              </w:tc>
            </w:tr>
            <w:tr w14:paraId="0B9AF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noWrap w:val="0"/>
                  <w:vAlign w:val="top"/>
                </w:tcPr>
                <w:p w14:paraId="3F88FAE3">
                  <w:pPr>
                    <w:widowControl/>
                    <w:spacing w:line="240" w:lineRule="auto"/>
                    <w:jc w:val="left"/>
                    <w:rPr>
                      <w:rFonts w:hint="eastAsia" w:ascii="仿宋" w:hAnsi="仿宋" w:eastAsia="仿宋" w:cs="仿宋"/>
                      <w:color w:val="auto"/>
                      <w:w w:val="105"/>
                      <w:sz w:val="24"/>
                      <w:szCs w:val="24"/>
                      <w:lang w:eastAsia="zh-CN"/>
                    </w:rPr>
                  </w:pPr>
                  <w:r>
                    <w:rPr>
                      <w:rFonts w:hint="eastAsia" w:ascii="仿宋" w:hAnsi="仿宋" w:eastAsia="仿宋" w:cs="仿宋"/>
                      <w:color w:val="auto"/>
                      <w:w w:val="105"/>
                      <w:sz w:val="24"/>
                      <w:szCs w:val="24"/>
                    </w:rPr>
                    <w:t>凹形刺激电极</w:t>
                  </w:r>
                </w:p>
              </w:tc>
              <w:tc>
                <w:tcPr>
                  <w:tcW w:w="3736" w:type="dxa"/>
                  <w:noWrap w:val="0"/>
                  <w:vAlign w:val="top"/>
                </w:tcPr>
                <w:p w14:paraId="084A5DFC">
                  <w:pPr>
                    <w:widowControl/>
                    <w:spacing w:line="240" w:lineRule="auto"/>
                    <w:jc w:val="left"/>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1</w:t>
                  </w:r>
                  <w:r>
                    <w:rPr>
                      <w:rFonts w:hint="eastAsia" w:ascii="仿宋" w:hAnsi="仿宋" w:eastAsia="仿宋" w:cs="仿宋"/>
                      <w:color w:val="auto"/>
                      <w:kern w:val="0"/>
                      <w:sz w:val="24"/>
                      <w:szCs w:val="24"/>
                      <w:lang w:eastAsia="zh-CN"/>
                    </w:rPr>
                    <w:t>对</w:t>
                  </w:r>
                </w:p>
              </w:tc>
            </w:tr>
            <w:tr w14:paraId="3B013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noWrap w:val="0"/>
                  <w:vAlign w:val="top"/>
                </w:tcPr>
                <w:p w14:paraId="60A7D33D">
                  <w:pPr>
                    <w:widowControl/>
                    <w:spacing w:line="240" w:lineRule="auto"/>
                    <w:jc w:val="left"/>
                    <w:rPr>
                      <w:rFonts w:hint="eastAsia" w:ascii="仿宋" w:hAnsi="仿宋" w:eastAsia="仿宋" w:cs="仿宋"/>
                      <w:color w:val="auto"/>
                      <w:w w:val="105"/>
                      <w:kern w:val="2"/>
                      <w:sz w:val="24"/>
                      <w:szCs w:val="24"/>
                      <w:lang w:val="en-US" w:eastAsia="zh-CN" w:bidi="ar-SA"/>
                    </w:rPr>
                  </w:pPr>
                  <w:r>
                    <w:rPr>
                      <w:rFonts w:hint="eastAsia" w:ascii="仿宋" w:hAnsi="仿宋" w:eastAsia="仿宋" w:cs="仿宋"/>
                      <w:color w:val="auto"/>
                      <w:w w:val="105"/>
                      <w:sz w:val="24"/>
                      <w:szCs w:val="24"/>
                    </w:rPr>
                    <w:t>EEG安全</w:t>
                  </w:r>
                  <w:r>
                    <w:rPr>
                      <w:rFonts w:hint="eastAsia" w:ascii="仿宋" w:hAnsi="仿宋" w:eastAsia="仿宋" w:cs="仿宋"/>
                      <w:color w:val="auto"/>
                      <w:w w:val="105"/>
                      <w:sz w:val="24"/>
                      <w:szCs w:val="24"/>
                      <w:lang w:eastAsia="zh-CN"/>
                    </w:rPr>
                    <w:t>电缆</w:t>
                  </w:r>
                  <w:r>
                    <w:rPr>
                      <w:rFonts w:hint="eastAsia" w:ascii="仿宋" w:hAnsi="仿宋" w:eastAsia="仿宋" w:cs="仿宋"/>
                      <w:color w:val="auto"/>
                      <w:w w:val="105"/>
                      <w:sz w:val="24"/>
                      <w:szCs w:val="24"/>
                      <w:lang w:val="en-US" w:eastAsia="zh-CN"/>
                    </w:rPr>
                    <w:t>+导线（5根EEG）</w:t>
                  </w:r>
                </w:p>
              </w:tc>
              <w:tc>
                <w:tcPr>
                  <w:tcW w:w="3736" w:type="dxa"/>
                  <w:noWrap w:val="0"/>
                  <w:vAlign w:val="top"/>
                </w:tcPr>
                <w:p w14:paraId="43CDE807">
                  <w:pPr>
                    <w:widowControl/>
                    <w:spacing w:line="240" w:lineRule="auto"/>
                    <w:jc w:val="lef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rPr>
                    <w:t>1</w:t>
                  </w:r>
                  <w:r>
                    <w:rPr>
                      <w:rFonts w:hint="eastAsia" w:ascii="仿宋" w:hAnsi="仿宋" w:eastAsia="仿宋" w:cs="仿宋"/>
                      <w:color w:val="auto"/>
                      <w:kern w:val="0"/>
                      <w:sz w:val="24"/>
                      <w:szCs w:val="24"/>
                      <w:lang w:eastAsia="zh-CN"/>
                    </w:rPr>
                    <w:t>套</w:t>
                  </w:r>
                </w:p>
              </w:tc>
            </w:tr>
            <w:tr w14:paraId="519C4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noWrap w:val="0"/>
                  <w:vAlign w:val="top"/>
                </w:tcPr>
                <w:p w14:paraId="26AA80FC">
                  <w:pPr>
                    <w:widowControl/>
                    <w:spacing w:line="240" w:lineRule="auto"/>
                    <w:jc w:val="left"/>
                    <w:rPr>
                      <w:rFonts w:hint="eastAsia" w:ascii="仿宋" w:hAnsi="仿宋" w:eastAsia="仿宋" w:cs="仿宋"/>
                      <w:color w:val="auto"/>
                      <w:w w:val="105"/>
                      <w:sz w:val="24"/>
                      <w:szCs w:val="24"/>
                      <w:lang w:eastAsia="zh-CN"/>
                    </w:rPr>
                  </w:pPr>
                  <w:r>
                    <w:rPr>
                      <w:rFonts w:hint="eastAsia" w:ascii="仿宋" w:hAnsi="仿宋" w:eastAsia="仿宋" w:cs="仿宋"/>
                      <w:color w:val="auto"/>
                      <w:w w:val="105"/>
                      <w:sz w:val="24"/>
                      <w:szCs w:val="24"/>
                      <w:lang w:eastAsia="zh-CN"/>
                    </w:rPr>
                    <w:t>病人刺激电缆</w:t>
                  </w:r>
                </w:p>
              </w:tc>
              <w:tc>
                <w:tcPr>
                  <w:tcW w:w="3736" w:type="dxa"/>
                  <w:noWrap w:val="0"/>
                  <w:vAlign w:val="top"/>
                </w:tcPr>
                <w:p w14:paraId="33E693B2">
                  <w:pPr>
                    <w:widowControl/>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1条</w:t>
                  </w:r>
                </w:p>
              </w:tc>
            </w:tr>
            <w:tr w14:paraId="19EDB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noWrap w:val="0"/>
                  <w:vAlign w:val="top"/>
                </w:tcPr>
                <w:p w14:paraId="71A483DF">
                  <w:pPr>
                    <w:widowControl/>
                    <w:spacing w:line="240" w:lineRule="auto"/>
                    <w:jc w:val="left"/>
                    <w:rPr>
                      <w:rFonts w:hint="eastAsia" w:ascii="仿宋" w:hAnsi="仿宋" w:eastAsia="仿宋" w:cs="仿宋"/>
                      <w:color w:val="auto"/>
                      <w:w w:val="105"/>
                      <w:kern w:val="2"/>
                      <w:sz w:val="24"/>
                      <w:szCs w:val="24"/>
                      <w:lang w:val="en-US" w:eastAsia="zh-CN" w:bidi="ar-SA"/>
                    </w:rPr>
                  </w:pPr>
                  <w:r>
                    <w:rPr>
                      <w:rFonts w:hint="eastAsia" w:ascii="仿宋" w:hAnsi="仿宋" w:eastAsia="仿宋" w:cs="仿宋"/>
                      <w:color w:val="auto"/>
                      <w:w w:val="105"/>
                      <w:sz w:val="24"/>
                      <w:szCs w:val="24"/>
                    </w:rPr>
                    <w:t>EEG 一次性电极垫</w:t>
                  </w:r>
                  <w:r>
                    <w:rPr>
                      <w:rFonts w:hint="eastAsia" w:ascii="仿宋" w:hAnsi="仿宋" w:eastAsia="仿宋" w:cs="仿宋"/>
                      <w:color w:val="auto"/>
                      <w:w w:val="105"/>
                      <w:sz w:val="24"/>
                      <w:szCs w:val="24"/>
                      <w:lang w:eastAsia="zh-CN"/>
                    </w:rPr>
                    <w:t>片</w:t>
                  </w:r>
                </w:p>
              </w:tc>
              <w:tc>
                <w:tcPr>
                  <w:tcW w:w="3736" w:type="dxa"/>
                  <w:noWrap w:val="0"/>
                  <w:vAlign w:val="top"/>
                </w:tcPr>
                <w:p w14:paraId="519210A9">
                  <w:pPr>
                    <w:widowControl/>
                    <w:spacing w:line="240" w:lineRule="auto"/>
                    <w:jc w:val="left"/>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5</w:t>
                  </w:r>
                  <w:r>
                    <w:rPr>
                      <w:rFonts w:hint="eastAsia" w:ascii="仿宋" w:hAnsi="仿宋" w:eastAsia="仿宋" w:cs="仿宋"/>
                      <w:color w:val="auto"/>
                      <w:kern w:val="0"/>
                      <w:sz w:val="24"/>
                      <w:szCs w:val="24"/>
                      <w:lang w:eastAsia="zh-CN"/>
                    </w:rPr>
                    <w:t>包</w:t>
                  </w:r>
                </w:p>
              </w:tc>
            </w:tr>
            <w:tr w14:paraId="23BA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noWrap w:val="0"/>
                  <w:vAlign w:val="top"/>
                </w:tcPr>
                <w:p w14:paraId="5710086D">
                  <w:pPr>
                    <w:widowControl/>
                    <w:spacing w:line="240" w:lineRule="auto"/>
                    <w:jc w:val="left"/>
                    <w:rPr>
                      <w:rFonts w:hint="eastAsia" w:ascii="仿宋" w:hAnsi="仿宋" w:eastAsia="仿宋" w:cs="仿宋"/>
                      <w:color w:val="auto"/>
                      <w:w w:val="105"/>
                      <w:sz w:val="24"/>
                      <w:szCs w:val="24"/>
                      <w:lang w:eastAsia="zh-CN"/>
                    </w:rPr>
                  </w:pPr>
                  <w:r>
                    <w:rPr>
                      <w:rFonts w:hint="eastAsia" w:ascii="仿宋" w:hAnsi="仿宋" w:eastAsia="仿宋" w:cs="仿宋"/>
                      <w:color w:val="auto"/>
                      <w:w w:val="105"/>
                      <w:sz w:val="24"/>
                      <w:szCs w:val="24"/>
                      <w:lang w:eastAsia="zh-CN"/>
                    </w:rPr>
                    <w:t>图形记录纸（每盒</w:t>
                  </w:r>
                  <w:r>
                    <w:rPr>
                      <w:rFonts w:hint="eastAsia" w:ascii="仿宋" w:hAnsi="仿宋" w:eastAsia="仿宋" w:cs="仿宋"/>
                      <w:color w:val="auto"/>
                      <w:w w:val="105"/>
                      <w:sz w:val="24"/>
                      <w:szCs w:val="24"/>
                      <w:lang w:val="en-US" w:eastAsia="zh-CN"/>
                    </w:rPr>
                    <w:t>10卷</w:t>
                  </w:r>
                  <w:r>
                    <w:rPr>
                      <w:rFonts w:hint="eastAsia" w:ascii="仿宋" w:hAnsi="仿宋" w:eastAsia="仿宋" w:cs="仿宋"/>
                      <w:color w:val="auto"/>
                      <w:w w:val="105"/>
                      <w:sz w:val="24"/>
                      <w:szCs w:val="24"/>
                      <w:lang w:eastAsia="zh-CN"/>
                    </w:rPr>
                    <w:t>）</w:t>
                  </w:r>
                </w:p>
              </w:tc>
              <w:tc>
                <w:tcPr>
                  <w:tcW w:w="3736" w:type="dxa"/>
                  <w:noWrap w:val="0"/>
                  <w:vAlign w:val="top"/>
                </w:tcPr>
                <w:p w14:paraId="37DE8209">
                  <w:pPr>
                    <w:widowControl/>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w:t>
                  </w:r>
                </w:p>
              </w:tc>
            </w:tr>
            <w:tr w14:paraId="043DC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noWrap w:val="0"/>
                  <w:vAlign w:val="top"/>
                </w:tcPr>
                <w:p w14:paraId="71475435">
                  <w:pPr>
                    <w:widowControl/>
                    <w:spacing w:line="240" w:lineRule="auto"/>
                    <w:jc w:val="left"/>
                    <w:rPr>
                      <w:rFonts w:hint="eastAsia" w:ascii="仿宋" w:hAnsi="仿宋" w:eastAsia="仿宋" w:cs="仿宋"/>
                      <w:color w:val="auto"/>
                      <w:w w:val="105"/>
                      <w:sz w:val="24"/>
                      <w:szCs w:val="24"/>
                      <w:lang w:eastAsia="zh-CN"/>
                    </w:rPr>
                  </w:pPr>
                  <w:r>
                    <w:rPr>
                      <w:rFonts w:hint="eastAsia" w:ascii="仿宋" w:hAnsi="仿宋" w:eastAsia="仿宋" w:cs="仿宋"/>
                      <w:color w:val="auto"/>
                      <w:w w:val="105"/>
                      <w:sz w:val="24"/>
                      <w:szCs w:val="24"/>
                      <w:lang w:eastAsia="zh-CN"/>
                    </w:rPr>
                    <w:t>电休克疗法中的临床问题</w:t>
                  </w:r>
                </w:p>
              </w:tc>
              <w:tc>
                <w:tcPr>
                  <w:tcW w:w="3736" w:type="dxa"/>
                  <w:noWrap w:val="0"/>
                  <w:vAlign w:val="top"/>
                </w:tcPr>
                <w:p w14:paraId="572EC44B">
                  <w:pPr>
                    <w:widowControl/>
                    <w:spacing w:line="240" w:lineRule="auto"/>
                    <w:jc w:val="left"/>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1</w:t>
                  </w:r>
                  <w:r>
                    <w:rPr>
                      <w:rFonts w:hint="eastAsia" w:ascii="仿宋" w:hAnsi="仿宋" w:eastAsia="仿宋" w:cs="仿宋"/>
                      <w:color w:val="auto"/>
                      <w:kern w:val="0"/>
                      <w:sz w:val="24"/>
                      <w:szCs w:val="24"/>
                      <w:lang w:eastAsia="zh-CN"/>
                    </w:rPr>
                    <w:t>本</w:t>
                  </w:r>
                </w:p>
              </w:tc>
            </w:tr>
            <w:tr w14:paraId="5EB5A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noWrap w:val="0"/>
                  <w:vAlign w:val="top"/>
                </w:tcPr>
                <w:p w14:paraId="0209F5E9">
                  <w:pPr>
                    <w:widowControl/>
                    <w:spacing w:line="240" w:lineRule="auto"/>
                    <w:jc w:val="left"/>
                    <w:rPr>
                      <w:rFonts w:hint="eastAsia" w:ascii="仿宋" w:hAnsi="仿宋" w:eastAsia="仿宋" w:cs="仿宋"/>
                      <w:color w:val="auto"/>
                      <w:w w:val="105"/>
                      <w:sz w:val="24"/>
                      <w:szCs w:val="24"/>
                      <w:lang w:eastAsia="zh-CN"/>
                    </w:rPr>
                  </w:pPr>
                  <w:r>
                    <w:rPr>
                      <w:rFonts w:hint="eastAsia" w:ascii="仿宋" w:hAnsi="仿宋" w:eastAsia="仿宋" w:cs="仿宋"/>
                      <w:color w:val="auto"/>
                      <w:w w:val="105"/>
                      <w:sz w:val="24"/>
                      <w:szCs w:val="24"/>
                      <w:lang w:eastAsia="zh-CN"/>
                    </w:rPr>
                    <w:t>患者和家属信息手册</w:t>
                  </w:r>
                </w:p>
              </w:tc>
              <w:tc>
                <w:tcPr>
                  <w:tcW w:w="3736" w:type="dxa"/>
                  <w:noWrap w:val="0"/>
                  <w:vAlign w:val="top"/>
                </w:tcPr>
                <w:p w14:paraId="4F29ACA6">
                  <w:pPr>
                    <w:widowControl/>
                    <w:spacing w:line="240" w:lineRule="auto"/>
                    <w:jc w:val="left"/>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1</w:t>
                  </w:r>
                  <w:r>
                    <w:rPr>
                      <w:rFonts w:hint="eastAsia" w:ascii="仿宋" w:hAnsi="仿宋" w:eastAsia="仿宋" w:cs="仿宋"/>
                      <w:color w:val="auto"/>
                      <w:kern w:val="0"/>
                      <w:sz w:val="24"/>
                      <w:szCs w:val="24"/>
                      <w:lang w:eastAsia="zh-CN"/>
                    </w:rPr>
                    <w:t>本</w:t>
                  </w:r>
                </w:p>
              </w:tc>
            </w:tr>
            <w:tr w14:paraId="6ED75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noWrap w:val="0"/>
                  <w:vAlign w:val="top"/>
                </w:tcPr>
                <w:p w14:paraId="3D7751BD">
                  <w:pPr>
                    <w:widowControl/>
                    <w:spacing w:line="240" w:lineRule="auto"/>
                    <w:jc w:val="left"/>
                    <w:rPr>
                      <w:rFonts w:hint="eastAsia" w:ascii="仿宋" w:hAnsi="仿宋" w:eastAsia="仿宋" w:cs="仿宋"/>
                      <w:color w:val="auto"/>
                      <w:w w:val="105"/>
                      <w:sz w:val="24"/>
                      <w:szCs w:val="24"/>
                      <w:lang w:eastAsia="zh-CN"/>
                    </w:rPr>
                  </w:pPr>
                  <w:r>
                    <w:rPr>
                      <w:rFonts w:hint="eastAsia" w:ascii="仿宋" w:hAnsi="仿宋" w:eastAsia="仿宋" w:cs="仿宋"/>
                      <w:color w:val="auto"/>
                      <w:w w:val="105"/>
                      <w:sz w:val="24"/>
                      <w:szCs w:val="24"/>
                      <w:lang w:eastAsia="zh-CN"/>
                    </w:rPr>
                    <w:t>传感器盒</w:t>
                  </w:r>
                </w:p>
              </w:tc>
              <w:tc>
                <w:tcPr>
                  <w:tcW w:w="3736" w:type="dxa"/>
                  <w:noWrap w:val="0"/>
                  <w:vAlign w:val="top"/>
                </w:tcPr>
                <w:p w14:paraId="1C8515E7">
                  <w:pPr>
                    <w:widowControl/>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1个</w:t>
                  </w:r>
                </w:p>
              </w:tc>
            </w:tr>
            <w:tr w14:paraId="53B9D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noWrap w:val="0"/>
                  <w:vAlign w:val="top"/>
                </w:tcPr>
                <w:p w14:paraId="16128B1D">
                  <w:pPr>
                    <w:widowControl/>
                    <w:spacing w:line="240" w:lineRule="auto"/>
                    <w:jc w:val="left"/>
                    <w:rPr>
                      <w:rFonts w:hint="eastAsia" w:ascii="仿宋" w:hAnsi="仿宋" w:eastAsia="仿宋" w:cs="仿宋"/>
                      <w:color w:val="auto"/>
                      <w:w w:val="105"/>
                      <w:sz w:val="24"/>
                      <w:szCs w:val="24"/>
                    </w:rPr>
                  </w:pPr>
                  <w:r>
                    <w:rPr>
                      <w:rFonts w:hint="eastAsia" w:ascii="仿宋" w:hAnsi="仿宋" w:eastAsia="仿宋" w:cs="仿宋"/>
                      <w:color w:val="auto"/>
                      <w:w w:val="105"/>
                      <w:sz w:val="24"/>
                      <w:szCs w:val="24"/>
                    </w:rPr>
                    <w:t>可调节头带</w:t>
                  </w:r>
                </w:p>
              </w:tc>
              <w:tc>
                <w:tcPr>
                  <w:tcW w:w="3736" w:type="dxa"/>
                  <w:noWrap w:val="0"/>
                  <w:vAlign w:val="top"/>
                </w:tcPr>
                <w:p w14:paraId="05D0FAD9">
                  <w:pPr>
                    <w:widowControl/>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1条</w:t>
                  </w:r>
                </w:p>
              </w:tc>
            </w:tr>
            <w:tr w14:paraId="017E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noWrap w:val="0"/>
                  <w:vAlign w:val="top"/>
                </w:tcPr>
                <w:p w14:paraId="66F8CA8C">
                  <w:pPr>
                    <w:widowControl/>
                    <w:spacing w:line="240" w:lineRule="auto"/>
                    <w:jc w:val="left"/>
                    <w:rPr>
                      <w:rFonts w:hint="eastAsia" w:ascii="仿宋" w:hAnsi="仿宋" w:eastAsia="仿宋" w:cs="仿宋"/>
                      <w:color w:val="auto"/>
                      <w:w w:val="105"/>
                      <w:sz w:val="24"/>
                      <w:szCs w:val="24"/>
                    </w:rPr>
                  </w:pPr>
                  <w:r>
                    <w:rPr>
                      <w:rFonts w:hint="eastAsia" w:ascii="仿宋" w:hAnsi="仿宋" w:eastAsia="仿宋" w:cs="仿宋"/>
                      <w:color w:val="auto"/>
                      <w:w w:val="105"/>
                      <w:sz w:val="24"/>
                      <w:szCs w:val="24"/>
                    </w:rPr>
                    <w:t>磨砂膏</w:t>
                  </w:r>
                </w:p>
              </w:tc>
              <w:tc>
                <w:tcPr>
                  <w:tcW w:w="3736" w:type="dxa"/>
                  <w:noWrap w:val="0"/>
                  <w:vAlign w:val="top"/>
                </w:tcPr>
                <w:p w14:paraId="20A7FAC9">
                  <w:pPr>
                    <w:widowControl/>
                    <w:spacing w:line="240" w:lineRule="auto"/>
                    <w:jc w:val="left"/>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1</w:t>
                  </w:r>
                  <w:r>
                    <w:rPr>
                      <w:rFonts w:hint="eastAsia" w:ascii="仿宋" w:hAnsi="仿宋" w:eastAsia="仿宋" w:cs="仿宋"/>
                      <w:color w:val="auto"/>
                      <w:kern w:val="0"/>
                      <w:sz w:val="24"/>
                      <w:szCs w:val="24"/>
                      <w:lang w:eastAsia="zh-CN"/>
                    </w:rPr>
                    <w:t>瓶</w:t>
                  </w:r>
                </w:p>
              </w:tc>
            </w:tr>
            <w:tr w14:paraId="5E7BA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trPr>
              <w:tc>
                <w:tcPr>
                  <w:tcW w:w="4786" w:type="dxa"/>
                  <w:noWrap w:val="0"/>
                  <w:vAlign w:val="top"/>
                </w:tcPr>
                <w:p w14:paraId="2B2612FF">
                  <w:pPr>
                    <w:widowControl/>
                    <w:spacing w:line="240" w:lineRule="auto"/>
                    <w:jc w:val="left"/>
                    <w:rPr>
                      <w:rFonts w:hint="eastAsia" w:ascii="仿宋" w:hAnsi="仿宋" w:eastAsia="仿宋" w:cs="仿宋"/>
                      <w:color w:val="auto"/>
                      <w:w w:val="105"/>
                      <w:sz w:val="24"/>
                      <w:szCs w:val="24"/>
                      <w:lang w:val="en-US" w:eastAsia="zh-CN"/>
                    </w:rPr>
                  </w:pPr>
                  <w:r>
                    <w:rPr>
                      <w:rFonts w:hint="eastAsia" w:ascii="仿宋" w:hAnsi="仿宋" w:eastAsia="仿宋" w:cs="仿宋"/>
                      <w:color w:val="auto"/>
                      <w:w w:val="105"/>
                      <w:sz w:val="24"/>
                      <w:szCs w:val="24"/>
                      <w:lang w:eastAsia="zh-CN"/>
                    </w:rPr>
                    <w:t>扁平刺激电极</w:t>
                  </w:r>
                </w:p>
              </w:tc>
              <w:tc>
                <w:tcPr>
                  <w:tcW w:w="3736" w:type="dxa"/>
                  <w:noWrap w:val="0"/>
                  <w:vAlign w:val="top"/>
                </w:tcPr>
                <w:p w14:paraId="32380D67">
                  <w:pPr>
                    <w:widowControl/>
                    <w:spacing w:line="240" w:lineRule="auto"/>
                    <w:jc w:val="left"/>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rPr>
                    <w:t>1</w:t>
                  </w:r>
                  <w:r>
                    <w:rPr>
                      <w:rFonts w:hint="eastAsia" w:ascii="仿宋" w:hAnsi="仿宋" w:eastAsia="仿宋" w:cs="仿宋"/>
                      <w:color w:val="auto"/>
                      <w:kern w:val="0"/>
                      <w:sz w:val="24"/>
                      <w:szCs w:val="24"/>
                      <w:lang w:val="en-US" w:eastAsia="zh-CN"/>
                    </w:rPr>
                    <w:t>对</w:t>
                  </w:r>
                </w:p>
              </w:tc>
            </w:tr>
            <w:tr w14:paraId="5CCFA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4786" w:type="dxa"/>
                  <w:noWrap w:val="0"/>
                  <w:vAlign w:val="top"/>
                </w:tcPr>
                <w:p w14:paraId="2821D6AC">
                  <w:pPr>
                    <w:widowControl/>
                    <w:spacing w:line="240" w:lineRule="auto"/>
                    <w:jc w:val="left"/>
                    <w:rPr>
                      <w:rFonts w:hint="eastAsia" w:ascii="仿宋" w:hAnsi="仿宋" w:eastAsia="仿宋" w:cs="仿宋"/>
                      <w:color w:val="auto"/>
                      <w:w w:val="105"/>
                      <w:sz w:val="24"/>
                      <w:szCs w:val="24"/>
                      <w:lang w:val="en-US" w:eastAsia="zh-CN"/>
                    </w:rPr>
                  </w:pPr>
                  <w:r>
                    <w:rPr>
                      <w:rFonts w:hint="eastAsia" w:ascii="仿宋" w:hAnsi="仿宋" w:eastAsia="仿宋" w:cs="仿宋"/>
                      <w:color w:val="auto"/>
                      <w:w w:val="105"/>
                      <w:sz w:val="24"/>
                      <w:szCs w:val="24"/>
                      <w:lang w:val="en-US" w:eastAsia="zh-CN"/>
                    </w:rPr>
                    <w:t>ECG/EMG安全电缆+导线（3根ECG+2根EMG）</w:t>
                  </w:r>
                </w:p>
              </w:tc>
              <w:tc>
                <w:tcPr>
                  <w:tcW w:w="3736" w:type="dxa"/>
                  <w:noWrap w:val="0"/>
                  <w:vAlign w:val="top"/>
                </w:tcPr>
                <w:p w14:paraId="40A5F166">
                  <w:pPr>
                    <w:widowControl/>
                    <w:spacing w:line="240" w:lineRule="auto"/>
                    <w:jc w:val="lef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1套</w:t>
                  </w:r>
                </w:p>
              </w:tc>
            </w:tr>
            <w:tr w14:paraId="7909D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noWrap w:val="0"/>
                  <w:vAlign w:val="top"/>
                </w:tcPr>
                <w:p w14:paraId="64340FF1">
                  <w:pPr>
                    <w:widowControl/>
                    <w:spacing w:line="240" w:lineRule="auto"/>
                    <w:jc w:val="left"/>
                    <w:rPr>
                      <w:rFonts w:hint="eastAsia" w:ascii="仿宋" w:hAnsi="仿宋" w:eastAsia="仿宋" w:cs="仿宋"/>
                      <w:color w:val="auto"/>
                      <w:w w:val="105"/>
                      <w:sz w:val="24"/>
                      <w:szCs w:val="24"/>
                      <w:lang w:eastAsia="zh-CN"/>
                    </w:rPr>
                  </w:pPr>
                  <w:r>
                    <w:rPr>
                      <w:rFonts w:hint="eastAsia" w:ascii="仿宋" w:hAnsi="仿宋" w:eastAsia="仿宋" w:cs="仿宋"/>
                      <w:color w:val="auto"/>
                      <w:w w:val="105"/>
                      <w:sz w:val="24"/>
                      <w:szCs w:val="24"/>
                      <w:lang w:eastAsia="zh-CN"/>
                    </w:rPr>
                    <w:t>电源线</w:t>
                  </w:r>
                </w:p>
              </w:tc>
              <w:tc>
                <w:tcPr>
                  <w:tcW w:w="3736" w:type="dxa"/>
                  <w:noWrap w:val="0"/>
                  <w:vAlign w:val="top"/>
                </w:tcPr>
                <w:p w14:paraId="792E93CE">
                  <w:pPr>
                    <w:widowControl/>
                    <w:spacing w:line="240" w:lineRule="auto"/>
                    <w:jc w:val="left"/>
                    <w:rPr>
                      <w:rFonts w:hint="eastAsia" w:ascii="仿宋" w:hAnsi="仿宋" w:eastAsia="仿宋" w:cs="仿宋"/>
                      <w:color w:val="auto"/>
                      <w:kern w:val="0"/>
                      <w:sz w:val="24"/>
                      <w:szCs w:val="24"/>
                      <w:lang w:eastAsia="zh-CN"/>
                    </w:rPr>
                  </w:pPr>
                  <w:r>
                    <w:rPr>
                      <w:rFonts w:hint="eastAsia" w:ascii="仿宋" w:hAnsi="仿宋" w:eastAsia="仿宋" w:cs="仿宋"/>
                      <w:color w:val="auto"/>
                      <w:kern w:val="0"/>
                      <w:sz w:val="24"/>
                      <w:szCs w:val="24"/>
                      <w:lang w:val="en-US" w:eastAsia="zh-CN"/>
                    </w:rPr>
                    <w:t>1条</w:t>
                  </w:r>
                </w:p>
              </w:tc>
            </w:tr>
            <w:tr w14:paraId="1AED4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noWrap w:val="0"/>
                  <w:vAlign w:val="top"/>
                </w:tcPr>
                <w:p w14:paraId="4828D053">
                  <w:pPr>
                    <w:widowControl/>
                    <w:spacing w:line="240" w:lineRule="auto"/>
                    <w:jc w:val="left"/>
                    <w:rPr>
                      <w:rFonts w:hint="eastAsia" w:ascii="仿宋" w:hAnsi="仿宋" w:eastAsia="仿宋" w:cs="仿宋"/>
                      <w:color w:val="auto"/>
                      <w:w w:val="105"/>
                      <w:sz w:val="24"/>
                      <w:szCs w:val="24"/>
                    </w:rPr>
                  </w:pPr>
                  <w:r>
                    <w:rPr>
                      <w:rFonts w:hint="eastAsia" w:ascii="仿宋" w:hAnsi="仿宋" w:eastAsia="仿宋" w:cs="仿宋"/>
                      <w:color w:val="auto"/>
                      <w:w w:val="105"/>
                      <w:sz w:val="24"/>
                      <w:szCs w:val="24"/>
                    </w:rPr>
                    <w:t>ECG 一次性电极垫</w:t>
                  </w:r>
                  <w:r>
                    <w:rPr>
                      <w:rFonts w:hint="eastAsia" w:ascii="仿宋" w:hAnsi="仿宋" w:eastAsia="仿宋" w:cs="仿宋"/>
                      <w:color w:val="auto"/>
                      <w:w w:val="105"/>
                      <w:sz w:val="24"/>
                      <w:szCs w:val="24"/>
                      <w:lang w:eastAsia="zh-CN"/>
                    </w:rPr>
                    <w:t>片</w:t>
                  </w:r>
                </w:p>
              </w:tc>
              <w:tc>
                <w:tcPr>
                  <w:tcW w:w="3736" w:type="dxa"/>
                  <w:noWrap w:val="0"/>
                  <w:vAlign w:val="top"/>
                </w:tcPr>
                <w:p w14:paraId="7DEEAA0D">
                  <w:pPr>
                    <w:widowControl/>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lang w:val="en-US" w:eastAsia="zh-CN"/>
                    </w:rPr>
                    <w:t>1</w:t>
                  </w:r>
                  <w:r>
                    <w:rPr>
                      <w:rFonts w:hint="eastAsia" w:ascii="仿宋" w:hAnsi="仿宋" w:eastAsia="仿宋" w:cs="仿宋"/>
                      <w:color w:val="auto"/>
                      <w:kern w:val="0"/>
                      <w:sz w:val="24"/>
                      <w:szCs w:val="24"/>
                    </w:rPr>
                    <w:t>5包</w:t>
                  </w:r>
                </w:p>
              </w:tc>
            </w:tr>
            <w:tr w14:paraId="3ACC7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noWrap w:val="0"/>
                  <w:vAlign w:val="top"/>
                </w:tcPr>
                <w:p w14:paraId="47D519EC">
                  <w:pPr>
                    <w:widowControl/>
                    <w:spacing w:line="240" w:lineRule="auto"/>
                    <w:jc w:val="left"/>
                    <w:rPr>
                      <w:rFonts w:hint="eastAsia" w:ascii="仿宋" w:hAnsi="仿宋" w:eastAsia="仿宋" w:cs="仿宋"/>
                      <w:color w:val="auto"/>
                      <w:w w:val="105"/>
                      <w:sz w:val="24"/>
                      <w:szCs w:val="24"/>
                    </w:rPr>
                  </w:pPr>
                  <w:r>
                    <w:rPr>
                      <w:rFonts w:hint="eastAsia" w:ascii="仿宋" w:hAnsi="仿宋" w:eastAsia="仿宋" w:cs="仿宋"/>
                      <w:color w:val="auto"/>
                      <w:w w:val="105"/>
                      <w:sz w:val="24"/>
                      <w:szCs w:val="24"/>
                    </w:rPr>
                    <w:t>保险丝</w:t>
                  </w:r>
                </w:p>
              </w:tc>
              <w:tc>
                <w:tcPr>
                  <w:tcW w:w="3736" w:type="dxa"/>
                  <w:noWrap w:val="0"/>
                  <w:vAlign w:val="top"/>
                </w:tcPr>
                <w:p w14:paraId="43AD4F1C">
                  <w:pPr>
                    <w:widowControl/>
                    <w:spacing w:line="240" w:lineRule="auto"/>
                    <w:jc w:val="left"/>
                    <w:rPr>
                      <w:rFonts w:hint="eastAsia" w:ascii="仿宋" w:hAnsi="仿宋" w:eastAsia="仿宋" w:cs="仿宋"/>
                      <w:color w:val="auto"/>
                      <w:kern w:val="0"/>
                      <w:sz w:val="24"/>
                      <w:szCs w:val="24"/>
                    </w:rPr>
                  </w:pPr>
                  <w:r>
                    <w:rPr>
                      <w:rFonts w:hint="eastAsia" w:ascii="仿宋" w:hAnsi="仿宋" w:eastAsia="仿宋" w:cs="仿宋"/>
                      <w:color w:val="auto"/>
                      <w:kern w:val="0"/>
                      <w:sz w:val="24"/>
                      <w:szCs w:val="24"/>
                    </w:rPr>
                    <w:t>2个</w:t>
                  </w:r>
                </w:p>
              </w:tc>
            </w:tr>
            <w:tr w14:paraId="4660E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86" w:type="dxa"/>
                  <w:noWrap w:val="0"/>
                  <w:vAlign w:val="top"/>
                </w:tcPr>
                <w:p w14:paraId="5F1DE691">
                  <w:pPr>
                    <w:widowControl/>
                    <w:spacing w:line="240" w:lineRule="auto"/>
                    <w:jc w:val="left"/>
                    <w:rPr>
                      <w:rFonts w:hint="eastAsia" w:ascii="仿宋" w:hAnsi="仿宋" w:eastAsia="仿宋" w:cs="仿宋"/>
                      <w:color w:val="auto"/>
                      <w:w w:val="105"/>
                      <w:sz w:val="24"/>
                      <w:szCs w:val="24"/>
                      <w:lang w:val="en-US" w:eastAsia="zh-CN"/>
                    </w:rPr>
                  </w:pPr>
                  <w:r>
                    <w:rPr>
                      <w:rFonts w:hint="eastAsia" w:ascii="仿宋" w:hAnsi="仿宋" w:eastAsia="仿宋" w:cs="仿宋"/>
                      <w:color w:val="auto"/>
                      <w:w w:val="105"/>
                      <w:sz w:val="24"/>
                      <w:szCs w:val="24"/>
                      <w:lang w:val="en-US" w:eastAsia="zh-CN"/>
                    </w:rPr>
                    <w:t>OMS电缆</w:t>
                  </w:r>
                </w:p>
              </w:tc>
              <w:tc>
                <w:tcPr>
                  <w:tcW w:w="3736" w:type="dxa"/>
                  <w:noWrap w:val="0"/>
                  <w:vAlign w:val="top"/>
                </w:tcPr>
                <w:p w14:paraId="07EE5142">
                  <w:pPr>
                    <w:widowControl/>
                    <w:spacing w:line="240" w:lineRule="auto"/>
                    <w:jc w:val="left"/>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szCs w:val="24"/>
                      <w:lang w:val="en-US" w:eastAsia="zh-CN"/>
                    </w:rPr>
                    <w:t>1条</w:t>
                  </w:r>
                </w:p>
              </w:tc>
            </w:tr>
          </w:tbl>
          <w:p w14:paraId="6ED0E357">
            <w:pPr>
              <w:spacing w:line="360" w:lineRule="auto"/>
              <w:rPr>
                <w:rFonts w:hint="eastAsia" w:ascii="仿宋" w:hAnsi="仿宋" w:eastAsia="仿宋" w:cs="仿宋"/>
                <w:color w:val="auto"/>
                <w:kern w:val="0"/>
                <w:sz w:val="24"/>
                <w:szCs w:val="24"/>
                <w:highlight w:val="none"/>
                <w:lang w:eastAsia="zh-CN" w:bidi="ar"/>
              </w:rPr>
            </w:pPr>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11E711FF">
            <w:pPr>
              <w:pageBreakBefore w:val="0"/>
              <w:widowControl/>
              <w:kinsoku/>
              <w:wordWrap/>
              <w:overflowPunct/>
              <w:topLinePunct w:val="0"/>
              <w:bidi w:val="0"/>
              <w:spacing w:line="400" w:lineRule="exact"/>
              <w:ind w:left="0" w:firstLine="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color w:val="auto"/>
                <w:kern w:val="0"/>
                <w:sz w:val="24"/>
                <w:szCs w:val="24"/>
                <w:highlight w:val="none"/>
                <w:lang w:val="en-US" w:eastAsia="zh-CN" w:bidi="ar"/>
              </w:rPr>
              <w:t>1</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14:paraId="29AF4314">
            <w:pPr>
              <w:pageBreakBefore w:val="0"/>
              <w:widowControl/>
              <w:kinsoku/>
              <w:wordWrap/>
              <w:overflowPunct/>
              <w:topLinePunct w:val="0"/>
              <w:bidi w:val="0"/>
              <w:spacing w:line="400" w:lineRule="exact"/>
              <w:ind w:left="0" w:firstLine="0"/>
              <w:jc w:val="center"/>
              <w:textAlignment w:val="center"/>
              <w:rPr>
                <w:rFonts w:hint="eastAsia" w:ascii="仿宋" w:hAnsi="仿宋" w:eastAsia="仿宋" w:cs="仿宋"/>
                <w:color w:val="auto"/>
                <w:kern w:val="0"/>
                <w:sz w:val="24"/>
                <w:szCs w:val="24"/>
                <w:highlight w:val="none"/>
                <w:lang w:val="en-US" w:eastAsia="zh-CN" w:bidi="ar"/>
              </w:rPr>
            </w:pPr>
            <w:r>
              <w:rPr>
                <w:rFonts w:hint="eastAsia" w:ascii="仿宋" w:hAnsi="仿宋" w:eastAsia="仿宋" w:cs="仿宋"/>
                <w:b/>
                <w:bCs/>
                <w:color w:val="auto"/>
                <w:kern w:val="0"/>
                <w:sz w:val="24"/>
                <w:szCs w:val="24"/>
                <w:highlight w:val="none"/>
                <w:lang w:val="en-US" w:eastAsia="zh-CN" w:bidi="ar"/>
              </w:rPr>
              <w:t>台</w:t>
            </w:r>
          </w:p>
        </w:tc>
      </w:tr>
      <w:tr w14:paraId="0727B9A7">
        <w:tblPrEx>
          <w:tblCellMar>
            <w:top w:w="0" w:type="dxa"/>
            <w:left w:w="108" w:type="dxa"/>
            <w:bottom w:w="0" w:type="dxa"/>
            <w:right w:w="108" w:type="dxa"/>
          </w:tblCellMar>
        </w:tblPrEx>
        <w:trPr>
          <w:trHeight w:val="578" w:hRule="atLeast"/>
        </w:trPr>
        <w:tc>
          <w:tcPr>
            <w:tcW w:w="325" w:type="pct"/>
            <w:tcBorders>
              <w:top w:val="single" w:color="000000" w:sz="4" w:space="0"/>
              <w:left w:val="single" w:color="000000" w:sz="4" w:space="0"/>
              <w:bottom w:val="single" w:color="000000" w:sz="4" w:space="0"/>
              <w:right w:val="single" w:color="000000" w:sz="4" w:space="0"/>
            </w:tcBorders>
            <w:noWrap w:val="0"/>
            <w:vAlign w:val="center"/>
          </w:tcPr>
          <w:p w14:paraId="4A9A8E95">
            <w:pPr>
              <w:pageBreakBefore w:val="0"/>
              <w:widowControl/>
              <w:kinsoku/>
              <w:wordWrap/>
              <w:overflowPunct/>
              <w:topLinePunct w:val="0"/>
              <w:bidi w:val="0"/>
              <w:spacing w:line="400" w:lineRule="exact"/>
              <w:ind w:left="0" w:firstLine="0"/>
              <w:jc w:val="center"/>
              <w:textAlignment w:val="center"/>
              <w:rPr>
                <w:rFonts w:hint="eastAsia" w:ascii="仿宋" w:hAnsi="仿宋" w:eastAsia="仿宋" w:cs="仿宋"/>
                <w:color w:val="auto"/>
                <w:kern w:val="0"/>
                <w:sz w:val="24"/>
                <w:szCs w:val="24"/>
                <w:highlight w:val="none"/>
                <w:lang w:eastAsia="en-US" w:bidi="en-US"/>
              </w:rPr>
            </w:pPr>
            <w:r>
              <w:rPr>
                <w:rFonts w:hint="eastAsia" w:ascii="仿宋" w:hAnsi="仿宋" w:eastAsia="仿宋" w:cs="仿宋"/>
                <w:color w:val="auto"/>
                <w:kern w:val="0"/>
                <w:sz w:val="24"/>
                <w:szCs w:val="24"/>
                <w:highlight w:val="none"/>
                <w:lang w:val="en-US" w:eastAsia="zh-CN" w:bidi="ar"/>
              </w:rPr>
              <w:t>2</w:t>
            </w:r>
          </w:p>
        </w:tc>
        <w:tc>
          <w:tcPr>
            <w:tcW w:w="422" w:type="pct"/>
            <w:tcBorders>
              <w:top w:val="single" w:color="000000" w:sz="4" w:space="0"/>
              <w:left w:val="single" w:color="000000" w:sz="4" w:space="0"/>
              <w:bottom w:val="single" w:color="000000" w:sz="4" w:space="0"/>
              <w:right w:val="single" w:color="000000" w:sz="4" w:space="0"/>
            </w:tcBorders>
            <w:noWrap w:val="0"/>
            <w:vAlign w:val="center"/>
          </w:tcPr>
          <w:p w14:paraId="50A56480">
            <w:pPr>
              <w:pageBreakBefore w:val="0"/>
              <w:widowControl/>
              <w:kinsoku/>
              <w:wordWrap/>
              <w:overflowPunct/>
              <w:topLinePunct w:val="0"/>
              <w:bidi w:val="0"/>
              <w:spacing w:line="400" w:lineRule="exact"/>
              <w:ind w:left="0" w:firstLine="0"/>
              <w:jc w:val="center"/>
              <w:textAlignment w:val="center"/>
              <w:rPr>
                <w:rFonts w:hint="eastAsia" w:ascii="仿宋" w:hAnsi="仿宋" w:eastAsia="仿宋" w:cs="仿宋"/>
                <w:color w:val="auto"/>
                <w:kern w:val="0"/>
                <w:sz w:val="24"/>
                <w:szCs w:val="24"/>
                <w:highlight w:val="none"/>
                <w:lang w:val="en-US" w:eastAsia="zh-CN" w:bidi="en-US"/>
              </w:rPr>
            </w:pPr>
            <w:r>
              <w:rPr>
                <w:rFonts w:hint="eastAsia" w:ascii="仿宋" w:hAnsi="仿宋" w:eastAsia="仿宋" w:cs="仿宋"/>
                <w:color w:val="auto"/>
                <w:kern w:val="0"/>
                <w:sz w:val="24"/>
                <w:szCs w:val="24"/>
                <w:highlight w:val="none"/>
                <w:lang w:val="en-US" w:eastAsia="zh-CN" w:bidi="en-US"/>
              </w:rPr>
              <w:t>麻醉机</w:t>
            </w:r>
          </w:p>
        </w:tc>
        <w:tc>
          <w:tcPr>
            <w:tcW w:w="3585" w:type="pct"/>
            <w:tcBorders>
              <w:top w:val="single" w:color="000000" w:sz="4" w:space="0"/>
              <w:left w:val="single" w:color="000000" w:sz="4" w:space="0"/>
              <w:bottom w:val="single" w:color="000000" w:sz="4" w:space="0"/>
              <w:right w:val="single" w:color="000000" w:sz="4" w:space="0"/>
            </w:tcBorders>
            <w:noWrap w:val="0"/>
            <w:vAlign w:val="center"/>
          </w:tcPr>
          <w:p w14:paraId="530195CE">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bookmarkStart w:id="3" w:name="OLE_LINK1"/>
            <w:r>
              <w:rPr>
                <w:rFonts w:hint="eastAsia" w:ascii="仿宋" w:hAnsi="仿宋" w:eastAsia="仿宋" w:cs="仿宋"/>
                <w:snapToGrid/>
                <w:kern w:val="2"/>
                <w:sz w:val="24"/>
                <w:szCs w:val="24"/>
                <w:lang w:val="en-US" w:eastAsia="zh-CN"/>
              </w:rPr>
              <w:t>1、工作条件及基本配件</w:t>
            </w:r>
          </w:p>
          <w:p w14:paraId="3F8C3CBA">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1.1、操作环境，温度：10至40℃，湿度：15至95%；</w:t>
            </w:r>
          </w:p>
          <w:p w14:paraId="2550B15B">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1.2、电源：220-240V，50Hz/60Hz；</w:t>
            </w:r>
          </w:p>
          <w:p w14:paraId="37E61591">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▲1.3、后备电池使用时间：90分钟（可选配双节电池150分钟）；</w:t>
            </w:r>
          </w:p>
          <w:p w14:paraId="5C021FA1">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1.4、机架：带大工作台测栏杆推车，两个抽屉；</w:t>
            </w:r>
          </w:p>
          <w:p w14:paraId="660407A8">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1.5、适合内窥镜手术模式：具备顶光灯，能够在黑暗环境中提供麻醉机工作台面照明。</w:t>
            </w:r>
          </w:p>
          <w:p w14:paraId="2349C889">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2、气源</w:t>
            </w:r>
          </w:p>
          <w:p w14:paraId="2EE2F0F2">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2.1、标配氧气单气源，可选氧气、空气双气源，氧气、笑气双气源，可选氧气、笑气、空气三气源</w:t>
            </w:r>
          </w:p>
          <w:p w14:paraId="0CB038E5">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2.2、具备机械的氧笑联动装置，不受停电影响，保证氧气浓度不低于25%；</w:t>
            </w:r>
          </w:p>
          <w:p w14:paraId="253E9142">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2.3、快速充氧范围25-75 I/min。</w:t>
            </w:r>
          </w:p>
          <w:p w14:paraId="193784F5">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3、流量计</w:t>
            </w:r>
          </w:p>
          <w:p w14:paraId="6A8F6E45">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3.1、机械流量计</w:t>
            </w:r>
          </w:p>
          <w:p w14:paraId="1D237F08">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4、挥发罐</w:t>
            </w:r>
          </w:p>
          <w:p w14:paraId="5A8F9AF4">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4.1、标配单麻醉罐位，可选配双麻醉罐位；</w:t>
            </w:r>
          </w:p>
          <w:p w14:paraId="1560FE3D">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▲4.2、标配一个同品牌高品质挥发罐，通过CE和FDA认证</w:t>
            </w:r>
            <w:r>
              <w:rPr>
                <w:rFonts w:hint="eastAsia" w:ascii="仿宋" w:hAnsi="仿宋" w:eastAsia="仿宋" w:cs="仿宋"/>
                <w:b w:val="0"/>
                <w:bCs w:val="0"/>
                <w:snapToGrid/>
                <w:color w:val="auto"/>
                <w:kern w:val="2"/>
                <w:sz w:val="24"/>
                <w:szCs w:val="24"/>
                <w:lang w:val="en-US" w:eastAsia="zh-CN"/>
              </w:rPr>
              <w:t>或NMPA(国家食品药品监督管理局）</w:t>
            </w:r>
            <w:r>
              <w:rPr>
                <w:rFonts w:hint="eastAsia" w:ascii="仿宋" w:hAnsi="仿宋" w:eastAsia="仿宋" w:cs="仿宋"/>
                <w:snapToGrid/>
                <w:color w:val="auto"/>
                <w:kern w:val="2"/>
                <w:sz w:val="24"/>
                <w:szCs w:val="24"/>
                <w:lang w:val="en-US" w:eastAsia="zh-CN"/>
              </w:rPr>
              <w:t>，</w:t>
            </w:r>
            <w:r>
              <w:rPr>
                <w:rFonts w:hint="eastAsia" w:ascii="仿宋" w:hAnsi="仿宋" w:eastAsia="仿宋" w:cs="仿宋"/>
                <w:snapToGrid/>
                <w:kern w:val="2"/>
                <w:sz w:val="24"/>
                <w:szCs w:val="24"/>
                <w:lang w:val="en-US" w:eastAsia="zh-CN"/>
              </w:rPr>
              <w:t>具备压力、流速和温度补偿；</w:t>
            </w:r>
          </w:p>
          <w:p w14:paraId="335CE796">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5、呼吸回路</w:t>
            </w:r>
          </w:p>
          <w:p w14:paraId="61A2EEDF">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5.1、回路整体可徒手拆卸，一体化回路；</w:t>
            </w:r>
          </w:p>
          <w:p w14:paraId="4E4406B0">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5.2、回路部件可以耐受134℃高温高压消毒以避免院内交叉感染；</w:t>
            </w:r>
          </w:p>
          <w:p w14:paraId="7A56EC52">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5.3、二氧化碳吸收罐，容积1500ml；</w:t>
            </w:r>
          </w:p>
          <w:p w14:paraId="673D51AE">
            <w:pPr>
              <w:widowControl w:val="0"/>
              <w:kinsoku/>
              <w:autoSpaceDE/>
              <w:autoSpaceDN/>
              <w:adjustRightInd/>
              <w:snapToGrid/>
              <w:spacing w:line="360" w:lineRule="auto"/>
              <w:jc w:val="left"/>
              <w:textAlignment w:val="auto"/>
              <w:rPr>
                <w:rFonts w:hint="eastAsia" w:ascii="仿宋" w:hAnsi="仿宋" w:eastAsia="仿宋" w:cs="仿宋"/>
                <w:snapToGrid/>
                <w:color w:val="auto"/>
                <w:kern w:val="2"/>
                <w:sz w:val="24"/>
                <w:szCs w:val="24"/>
                <w:lang w:val="en-US" w:eastAsia="zh-CN"/>
              </w:rPr>
            </w:pPr>
            <w:r>
              <w:rPr>
                <w:rFonts w:hint="eastAsia" w:ascii="仿宋" w:hAnsi="仿宋" w:eastAsia="仿宋" w:cs="仿宋"/>
                <w:snapToGrid/>
                <w:kern w:val="2"/>
                <w:sz w:val="24"/>
                <w:szCs w:val="24"/>
                <w:lang w:val="en-US" w:eastAsia="zh-CN"/>
              </w:rPr>
              <w:t>5.</w:t>
            </w:r>
            <w:r>
              <w:rPr>
                <w:rFonts w:hint="eastAsia" w:ascii="仿宋" w:hAnsi="仿宋" w:eastAsia="仿宋" w:cs="仿宋"/>
                <w:snapToGrid/>
                <w:color w:val="auto"/>
                <w:kern w:val="2"/>
                <w:sz w:val="24"/>
                <w:szCs w:val="24"/>
                <w:lang w:val="en-US" w:eastAsia="zh-CN"/>
              </w:rPr>
              <w:t>4、内置双流量传感器，分别在吸入端、呼出端；</w:t>
            </w:r>
          </w:p>
          <w:p w14:paraId="7832BD6A">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5.5、低回路系统容积，为快速调节新鲜气体流量以输出麻药浓度提供保障；</w:t>
            </w:r>
          </w:p>
          <w:p w14:paraId="237ABAE2">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5.6、可选配共同新鲜气体输出口，输出口无需改装可直接连接特殊的开放回路，如Bain回路、T管等；</w:t>
            </w:r>
          </w:p>
          <w:p w14:paraId="62716163">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5.7、可选配回路加温功能，保证回路不受积水影响，保证流量传感器精准及向病人提供温暖气体，避免对呼吸道刺激；</w:t>
            </w:r>
          </w:p>
          <w:p w14:paraId="60223BDC">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5.8、回路标配容积水杯，解决回路积水问题；</w:t>
            </w:r>
          </w:p>
          <w:p w14:paraId="53C6CA14">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5.9、可选配自动CO2旁路功能，在机械通气过程中，更换钠石灰罐无需关停机械通气，可方便直接更换。</w:t>
            </w:r>
          </w:p>
          <w:p w14:paraId="64F02B1F">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6、呼吸机</w:t>
            </w:r>
          </w:p>
          <w:p w14:paraId="01F30148">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6.1、气动电控呼吸机，全中文操作和显示；</w:t>
            </w:r>
          </w:p>
          <w:p w14:paraId="4266FF9D">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6.2、提供辅助/控制通气，标配通气模式：容量控制，可选配压力控制模式、</w:t>
            </w:r>
            <w:r>
              <w:rPr>
                <w:rFonts w:hint="eastAsia" w:ascii="仿宋" w:hAnsi="仿宋" w:eastAsia="仿宋" w:cs="仿宋"/>
                <w:snapToGrid/>
                <w:color w:val="auto"/>
                <w:kern w:val="2"/>
                <w:sz w:val="24"/>
                <w:szCs w:val="24"/>
                <w:lang w:val="en-US" w:eastAsia="zh-CN"/>
              </w:rPr>
              <w:t>SI</w:t>
            </w:r>
            <w:r>
              <w:rPr>
                <w:rFonts w:hint="eastAsia" w:ascii="仿宋" w:hAnsi="仿宋" w:eastAsia="仿宋" w:cs="仿宋"/>
                <w:snapToGrid/>
                <w:kern w:val="2"/>
                <w:sz w:val="24"/>
                <w:szCs w:val="24"/>
                <w:lang w:val="en-US" w:eastAsia="zh-CN"/>
              </w:rPr>
              <w:t>MV-VC、SIMV-PC</w:t>
            </w:r>
            <w:r>
              <w:rPr>
                <w:rFonts w:hint="eastAsia" w:ascii="仿宋" w:hAnsi="仿宋" w:eastAsia="仿宋" w:cs="仿宋"/>
                <w:snapToGrid/>
                <w:kern w:val="2"/>
                <w:sz w:val="24"/>
                <w:szCs w:val="24"/>
                <w:lang w:val="en-US" w:eastAsia="zh-CN"/>
              </w:rPr>
              <w:t>、</w:t>
            </w:r>
            <w:r>
              <w:rPr>
                <w:rFonts w:hint="eastAsia" w:ascii="仿宋" w:hAnsi="仿宋" w:eastAsia="仿宋" w:cs="仿宋"/>
                <w:b w:val="0"/>
                <w:bCs w:val="0"/>
                <w:snapToGrid/>
                <w:color w:val="auto"/>
                <w:kern w:val="2"/>
                <w:sz w:val="24"/>
                <w:szCs w:val="24"/>
                <w:lang w:val="en-US" w:eastAsia="zh-CN"/>
              </w:rPr>
              <w:t>WIMV-VC</w:t>
            </w:r>
            <w:r>
              <w:rPr>
                <w:rFonts w:hint="eastAsia" w:ascii="仿宋" w:hAnsi="仿宋" w:eastAsia="仿宋" w:cs="仿宋"/>
                <w:b w:val="0"/>
                <w:bCs w:val="0"/>
                <w:snapToGrid/>
                <w:color w:val="auto"/>
                <w:kern w:val="2"/>
                <w:sz w:val="24"/>
                <w:szCs w:val="24"/>
                <w:lang w:val="en-US" w:eastAsia="zh-CN"/>
              </w:rPr>
              <w:t>；</w:t>
            </w:r>
          </w:p>
          <w:p w14:paraId="0041E385">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6.3、潮气量设置范围：40-1500ml；</w:t>
            </w:r>
          </w:p>
          <w:p w14:paraId="70DB8D72">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6.4、吸气压力设置范围：5-60 cmH2O；</w:t>
            </w:r>
          </w:p>
          <w:p w14:paraId="6789D69C">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6.5、呼吸频率：4-100次/分钟；</w:t>
            </w:r>
          </w:p>
          <w:p w14:paraId="3DD7C5DF">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6.6、呼吸比:4:1到1:8；</w:t>
            </w:r>
          </w:p>
          <w:p w14:paraId="77110834">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6.7、压力限制范围：10到100cmH2O；</w:t>
            </w:r>
          </w:p>
          <w:p w14:paraId="0F616330">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6.8、电子PEEP，显示屏设置，范围：OFF，4到30cmH2O；</w:t>
            </w:r>
          </w:p>
          <w:p w14:paraId="6FB21EB4">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6.9、吸气暂停：0FF，5%-</w:t>
            </w:r>
            <w:r>
              <w:rPr>
                <w:rFonts w:hint="eastAsia" w:ascii="仿宋" w:hAnsi="仿宋" w:eastAsia="仿宋" w:cs="仿宋"/>
                <w:snapToGrid/>
                <w:color w:val="auto"/>
                <w:kern w:val="2"/>
                <w:sz w:val="24"/>
                <w:szCs w:val="24"/>
                <w:lang w:val="en-US" w:eastAsia="zh-CN"/>
              </w:rPr>
              <w:t>60</w:t>
            </w:r>
            <w:r>
              <w:rPr>
                <w:rFonts w:hint="eastAsia" w:ascii="仿宋" w:hAnsi="仿宋" w:eastAsia="仿宋" w:cs="仿宋"/>
                <w:snapToGrid/>
                <w:kern w:val="2"/>
                <w:sz w:val="24"/>
                <w:szCs w:val="24"/>
                <w:lang w:val="en-US" w:eastAsia="zh-CN"/>
              </w:rPr>
              <w:t>%吸气时间。</w:t>
            </w:r>
          </w:p>
          <w:p w14:paraId="233047FF">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6.10、上升式风箱，可以直接观察病人实际呼吸状态，保证安全。</w:t>
            </w:r>
          </w:p>
          <w:p w14:paraId="1C46DE3E">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6.11、具备吸入端，呼出端双流量传感器，实现动态潮气量实时自动补偿功能，补偿新鲜气体变化、气体压缩、回路顺应性变化以及小的回路泄露造成的吸入潮气量和设置潮气量的误差。具备内置第三基准流量传感器，用户可自行校准吸入和呼出端流量传感器。</w:t>
            </w:r>
          </w:p>
          <w:p w14:paraId="5F367AE0">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7、数字和波形检测</w:t>
            </w:r>
          </w:p>
          <w:p w14:paraId="6837164F">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7.1、具备三级声光报警功能，有独立红黄报警灯显示；</w:t>
            </w:r>
          </w:p>
          <w:p w14:paraId="05A47340">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7.2、</w:t>
            </w:r>
            <w:r>
              <w:rPr>
                <w:rFonts w:hint="eastAsia" w:ascii="仿宋" w:hAnsi="仿宋" w:eastAsia="仿宋" w:cs="仿宋"/>
                <w:b w:val="0"/>
                <w:bCs w:val="0"/>
                <w:snapToGrid/>
                <w:color w:val="auto"/>
                <w:kern w:val="2"/>
                <w:sz w:val="24"/>
                <w:szCs w:val="24"/>
                <w:lang w:val="en-US" w:eastAsia="zh-CN"/>
              </w:rPr>
              <w:t>≧</w:t>
            </w:r>
            <w:r>
              <w:rPr>
                <w:rFonts w:hint="eastAsia" w:ascii="仿宋" w:hAnsi="仿宋" w:eastAsia="仿宋" w:cs="仿宋"/>
                <w:b w:val="0"/>
                <w:bCs w:val="0"/>
                <w:snapToGrid/>
                <w:color w:val="auto"/>
                <w:kern w:val="2"/>
                <w:sz w:val="24"/>
                <w:szCs w:val="24"/>
                <w:lang w:val="en-US" w:eastAsia="zh-CN"/>
              </w:rPr>
              <w:t>7</w:t>
            </w:r>
            <w:r>
              <w:rPr>
                <w:rFonts w:hint="eastAsia" w:ascii="仿宋" w:hAnsi="仿宋" w:eastAsia="仿宋" w:cs="仿宋"/>
                <w:snapToGrid/>
                <w:color w:val="auto"/>
                <w:kern w:val="2"/>
                <w:sz w:val="24"/>
                <w:szCs w:val="24"/>
                <w:lang w:val="en-US" w:eastAsia="zh-CN"/>
              </w:rPr>
              <w:t>英</w:t>
            </w:r>
            <w:r>
              <w:rPr>
                <w:rFonts w:hint="eastAsia" w:ascii="仿宋" w:hAnsi="仿宋" w:eastAsia="仿宋" w:cs="仿宋"/>
                <w:snapToGrid/>
                <w:kern w:val="2"/>
                <w:sz w:val="24"/>
                <w:szCs w:val="24"/>
                <w:lang w:val="en-US" w:eastAsia="zh-CN"/>
              </w:rPr>
              <w:t>寸彩色显示屏，可同时显示2通道波形；</w:t>
            </w:r>
          </w:p>
          <w:p w14:paraId="38310117">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7.3、可选配升级C02模块</w:t>
            </w:r>
          </w:p>
          <w:p w14:paraId="608F2D52">
            <w:pPr>
              <w:widowControl w:val="0"/>
              <w:kinsoku/>
              <w:autoSpaceDE/>
              <w:autoSpaceDN/>
              <w:adjustRightInd/>
              <w:snapToGrid/>
              <w:spacing w:line="360" w:lineRule="auto"/>
              <w:jc w:val="left"/>
              <w:textAlignment w:val="auto"/>
              <w:rPr>
                <w:rFonts w:hint="eastAsia" w:ascii="仿宋" w:hAnsi="仿宋" w:eastAsia="仿宋" w:cs="仿宋"/>
                <w:snapToGrid/>
                <w:kern w:val="2"/>
                <w:sz w:val="24"/>
                <w:szCs w:val="24"/>
                <w:lang w:val="en-US" w:eastAsia="zh-CN"/>
              </w:rPr>
            </w:pPr>
            <w:r>
              <w:rPr>
                <w:rFonts w:hint="eastAsia" w:ascii="仿宋" w:hAnsi="仿宋" w:eastAsia="仿宋" w:cs="仿宋"/>
                <w:snapToGrid/>
                <w:kern w:val="2"/>
                <w:sz w:val="24"/>
                <w:szCs w:val="24"/>
                <w:lang w:val="en-US" w:eastAsia="zh-CN"/>
              </w:rPr>
              <w:t>7.4、潮气量检测范围：0到1500ml；</w:t>
            </w:r>
          </w:p>
          <w:p w14:paraId="54792993">
            <w:pPr>
              <w:widowControl w:val="0"/>
              <w:kinsoku/>
              <w:autoSpaceDE/>
              <w:autoSpaceDN/>
              <w:adjustRightInd/>
              <w:snapToGrid/>
              <w:spacing w:line="360" w:lineRule="auto"/>
              <w:jc w:val="left"/>
              <w:textAlignment w:val="auto"/>
              <w:rPr>
                <w:rFonts w:hint="eastAsia" w:ascii="仿宋" w:hAnsi="仿宋" w:eastAsia="仿宋" w:cs="仿宋"/>
                <w:sz w:val="24"/>
                <w:szCs w:val="24"/>
                <w:lang w:val="en-US" w:eastAsia="zh-CN"/>
              </w:rPr>
            </w:pPr>
            <w:r>
              <w:rPr>
                <w:rFonts w:hint="eastAsia" w:ascii="仿宋" w:hAnsi="仿宋" w:eastAsia="仿宋" w:cs="仿宋"/>
                <w:snapToGrid/>
                <w:kern w:val="2"/>
                <w:sz w:val="24"/>
                <w:szCs w:val="24"/>
                <w:lang w:val="en-US" w:eastAsia="zh-CN"/>
              </w:rPr>
              <w:t>7.5、分钟通气量检测范围：0L/min到100L/min。</w:t>
            </w:r>
            <w:bookmarkEnd w:id="3"/>
          </w:p>
        </w:tc>
        <w:tc>
          <w:tcPr>
            <w:tcW w:w="338" w:type="pct"/>
            <w:tcBorders>
              <w:top w:val="single" w:color="000000" w:sz="4" w:space="0"/>
              <w:left w:val="single" w:color="000000" w:sz="4" w:space="0"/>
              <w:bottom w:val="single" w:color="000000" w:sz="4" w:space="0"/>
              <w:right w:val="single" w:color="000000" w:sz="4" w:space="0"/>
            </w:tcBorders>
            <w:noWrap w:val="0"/>
            <w:vAlign w:val="center"/>
          </w:tcPr>
          <w:p w14:paraId="56A24AEB">
            <w:pPr>
              <w:pageBreakBefore w:val="0"/>
              <w:widowControl/>
              <w:kinsoku/>
              <w:wordWrap/>
              <w:overflowPunct/>
              <w:topLinePunct w:val="0"/>
              <w:bidi w:val="0"/>
              <w:spacing w:line="400" w:lineRule="exact"/>
              <w:ind w:left="0" w:firstLine="0"/>
              <w:jc w:val="center"/>
              <w:textAlignment w:val="center"/>
              <w:rPr>
                <w:rFonts w:hint="eastAsia" w:ascii="仿宋" w:hAnsi="仿宋" w:eastAsia="仿宋" w:cs="仿宋"/>
                <w:color w:val="auto"/>
                <w:kern w:val="0"/>
                <w:sz w:val="24"/>
                <w:szCs w:val="24"/>
                <w:highlight w:val="none"/>
                <w:lang w:eastAsia="en-US" w:bidi="en-US"/>
              </w:rPr>
            </w:pPr>
            <w:r>
              <w:rPr>
                <w:rFonts w:hint="eastAsia" w:ascii="仿宋" w:hAnsi="仿宋" w:eastAsia="仿宋" w:cs="仿宋"/>
                <w:color w:val="auto"/>
                <w:kern w:val="0"/>
                <w:sz w:val="24"/>
                <w:szCs w:val="24"/>
                <w:highlight w:val="none"/>
                <w:lang w:val="en-US" w:eastAsia="zh-CN" w:bidi="ar"/>
              </w:rPr>
              <w:t>1</w:t>
            </w:r>
          </w:p>
        </w:tc>
        <w:tc>
          <w:tcPr>
            <w:tcW w:w="328" w:type="pct"/>
            <w:tcBorders>
              <w:top w:val="single" w:color="000000" w:sz="4" w:space="0"/>
              <w:left w:val="single" w:color="000000" w:sz="4" w:space="0"/>
              <w:bottom w:val="single" w:color="000000" w:sz="4" w:space="0"/>
              <w:right w:val="single" w:color="000000" w:sz="4" w:space="0"/>
            </w:tcBorders>
            <w:noWrap w:val="0"/>
            <w:vAlign w:val="center"/>
          </w:tcPr>
          <w:p w14:paraId="6DDBC636">
            <w:pPr>
              <w:pageBreakBefore w:val="0"/>
              <w:widowControl/>
              <w:kinsoku/>
              <w:wordWrap/>
              <w:overflowPunct/>
              <w:topLinePunct w:val="0"/>
              <w:bidi w:val="0"/>
              <w:spacing w:line="400" w:lineRule="exact"/>
              <w:ind w:left="0" w:firstLine="0"/>
              <w:jc w:val="center"/>
              <w:textAlignment w:val="center"/>
              <w:rPr>
                <w:rFonts w:hint="eastAsia" w:ascii="仿宋" w:hAnsi="仿宋" w:eastAsia="仿宋" w:cs="仿宋"/>
                <w:color w:val="auto"/>
                <w:kern w:val="0"/>
                <w:sz w:val="24"/>
                <w:szCs w:val="24"/>
                <w:highlight w:val="none"/>
                <w:lang w:eastAsia="zh-CN" w:bidi="ar"/>
              </w:rPr>
            </w:pPr>
            <w:r>
              <w:rPr>
                <w:rFonts w:hint="eastAsia" w:ascii="仿宋" w:hAnsi="仿宋" w:eastAsia="仿宋" w:cs="仿宋"/>
                <w:b/>
                <w:bCs/>
                <w:color w:val="auto"/>
                <w:kern w:val="0"/>
                <w:sz w:val="24"/>
                <w:szCs w:val="24"/>
                <w:highlight w:val="none"/>
                <w:lang w:eastAsia="zh-CN" w:bidi="ar"/>
              </w:rPr>
              <w:t>台</w:t>
            </w:r>
          </w:p>
        </w:tc>
      </w:tr>
      <w:bookmarkEnd w:id="0"/>
      <w:bookmarkEnd w:id="1"/>
    </w:tbl>
    <w:p w14:paraId="4EC5D847">
      <w:pPr>
        <w:rPr>
          <w:rFonts w:hint="eastAsia" w:ascii="宋体" w:hAnsi="宋体" w:eastAsia="宋体" w:cs="宋体"/>
          <w:sz w:val="28"/>
          <w:szCs w:val="28"/>
          <w:lang w:val="en-US" w:eastAsia="zh-CN"/>
        </w:rPr>
      </w:pPr>
    </w:p>
    <w:p w14:paraId="2EC8E78D">
      <w:pPr>
        <w:rPr>
          <w:rFonts w:hint="eastAsia" w:ascii="宋体" w:hAnsi="宋体" w:eastAsia="宋体" w:cs="宋体"/>
          <w:sz w:val="28"/>
          <w:szCs w:val="28"/>
        </w:rPr>
      </w:pPr>
    </w:p>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31E3D">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BC1997">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CBC1997">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AEC8AD"/>
    <w:multiLevelType w:val="multilevel"/>
    <w:tmpl w:val="E3AEC8AD"/>
    <w:lvl w:ilvl="0" w:tentative="0">
      <w:start w:val="1"/>
      <w:numFmt w:val="decimal"/>
      <w:isLgl/>
      <w:suff w:val="space"/>
      <w:lvlText w:val="第%1章"/>
      <w:lvlJc w:val="left"/>
      <w:pPr>
        <w:ind w:left="3677" w:firstLine="0"/>
      </w:pPr>
      <w:rPr>
        <w:rFonts w:hint="eastAsia"/>
      </w:rPr>
    </w:lvl>
    <w:lvl w:ilvl="1" w:tentative="0">
      <w:start w:val="1"/>
      <w:numFmt w:val="decimal"/>
      <w:pStyle w:val="4"/>
      <w:isLgl/>
      <w:suff w:val="space"/>
      <w:lvlText w:val="%1.%2"/>
      <w:lvlJc w:val="left"/>
      <w:pPr>
        <w:ind w:left="3677" w:firstLine="0"/>
      </w:pPr>
      <w:rPr>
        <w:rFonts w:hint="eastAsia"/>
      </w:rPr>
    </w:lvl>
    <w:lvl w:ilvl="2" w:tentative="0">
      <w:start w:val="1"/>
      <w:numFmt w:val="decimal"/>
      <w:isLgl/>
      <w:suff w:val="space"/>
      <w:lvlText w:val="%1.%2.%3"/>
      <w:lvlJc w:val="left"/>
      <w:pPr>
        <w:tabs>
          <w:tab w:val="left" w:pos="0"/>
        </w:tabs>
        <w:ind w:left="3881" w:hanging="204"/>
      </w:pPr>
      <w:rPr>
        <w:rFonts w:hint="eastAsia"/>
      </w:rPr>
    </w:lvl>
    <w:lvl w:ilvl="3" w:tentative="0">
      <w:start w:val="1"/>
      <w:numFmt w:val="decimal"/>
      <w:isLgl/>
      <w:suff w:val="space"/>
      <w:lvlText w:val="%1.%2.%3.%4"/>
      <w:lvlJc w:val="left"/>
      <w:pPr>
        <w:ind w:left="3677" w:firstLine="0"/>
      </w:pPr>
      <w:rPr>
        <w:rFonts w:hint="eastAsia"/>
      </w:rPr>
    </w:lvl>
    <w:lvl w:ilvl="4" w:tentative="0">
      <w:start w:val="1"/>
      <w:numFmt w:val="decimal"/>
      <w:isLgl/>
      <w:suff w:val="space"/>
      <w:lvlText w:val="（%5）"/>
      <w:lvlJc w:val="left"/>
      <w:pPr>
        <w:tabs>
          <w:tab w:val="left" w:pos="0"/>
        </w:tabs>
        <w:ind w:left="3677" w:firstLine="0"/>
      </w:pPr>
      <w:rPr>
        <w:rFonts w:hint="eastAsia"/>
      </w:rPr>
    </w:lvl>
    <w:lvl w:ilvl="5" w:tentative="0">
      <w:start w:val="1"/>
      <w:numFmt w:val="decimal"/>
      <w:lvlText w:val="%1.%2.%3.%4.%5.%6"/>
      <w:lvlJc w:val="left"/>
      <w:pPr>
        <w:ind w:left="3677" w:firstLine="0"/>
      </w:pPr>
      <w:rPr>
        <w:rFonts w:hint="eastAsia"/>
      </w:rPr>
    </w:lvl>
    <w:lvl w:ilvl="6" w:tentative="0">
      <w:start w:val="1"/>
      <w:numFmt w:val="decimal"/>
      <w:lvlText w:val="%1.%2.%3.%4.%5.%6.%7"/>
      <w:lvlJc w:val="left"/>
      <w:pPr>
        <w:ind w:left="3677" w:firstLine="0"/>
      </w:pPr>
      <w:rPr>
        <w:rFonts w:hint="eastAsia"/>
      </w:rPr>
    </w:lvl>
    <w:lvl w:ilvl="7" w:tentative="0">
      <w:start w:val="1"/>
      <w:numFmt w:val="decimal"/>
      <w:lvlText w:val="%1.%2.%3.%4.%5.%6.%7.%8"/>
      <w:lvlJc w:val="left"/>
      <w:pPr>
        <w:ind w:left="3677" w:firstLine="0"/>
      </w:pPr>
      <w:rPr>
        <w:rFonts w:hint="eastAsia"/>
      </w:rPr>
    </w:lvl>
    <w:lvl w:ilvl="8" w:tentative="0">
      <w:start w:val="1"/>
      <w:numFmt w:val="decimal"/>
      <w:lvlText w:val="%1.%2.%3.%4.%5.%6.%7.%8.%9"/>
      <w:lvlJc w:val="left"/>
      <w:pPr>
        <w:ind w:left="3677" w:firstLine="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3ZjY2OTczOWM5YTk0Mzk0ZTMxZGMxOWNkODA4MmYifQ=="/>
  </w:docVars>
  <w:rsids>
    <w:rsidRoot w:val="11A9404F"/>
    <w:rsid w:val="02102100"/>
    <w:rsid w:val="05871591"/>
    <w:rsid w:val="07AE4A0C"/>
    <w:rsid w:val="0A420061"/>
    <w:rsid w:val="0D437187"/>
    <w:rsid w:val="0F5B3F2A"/>
    <w:rsid w:val="11A9404F"/>
    <w:rsid w:val="13573A01"/>
    <w:rsid w:val="14475BA8"/>
    <w:rsid w:val="146668E0"/>
    <w:rsid w:val="15202CE9"/>
    <w:rsid w:val="15C642A1"/>
    <w:rsid w:val="17205C96"/>
    <w:rsid w:val="1BCD7563"/>
    <w:rsid w:val="1D61550E"/>
    <w:rsid w:val="1E6E267D"/>
    <w:rsid w:val="21722EEB"/>
    <w:rsid w:val="2181224D"/>
    <w:rsid w:val="224F61F7"/>
    <w:rsid w:val="23FC2207"/>
    <w:rsid w:val="29293278"/>
    <w:rsid w:val="297A66E1"/>
    <w:rsid w:val="2B280A33"/>
    <w:rsid w:val="2CA740FA"/>
    <w:rsid w:val="2D7E786B"/>
    <w:rsid w:val="2E7062ED"/>
    <w:rsid w:val="2E887B52"/>
    <w:rsid w:val="331E7540"/>
    <w:rsid w:val="359E2460"/>
    <w:rsid w:val="35B57D54"/>
    <w:rsid w:val="35DA1C31"/>
    <w:rsid w:val="36F577BA"/>
    <w:rsid w:val="37DA49A8"/>
    <w:rsid w:val="38F4395E"/>
    <w:rsid w:val="3A510162"/>
    <w:rsid w:val="3AC6527A"/>
    <w:rsid w:val="426B148F"/>
    <w:rsid w:val="427D2464"/>
    <w:rsid w:val="42EB2683"/>
    <w:rsid w:val="44043594"/>
    <w:rsid w:val="4CEC6D05"/>
    <w:rsid w:val="4E0D418F"/>
    <w:rsid w:val="50893ADC"/>
    <w:rsid w:val="528245E6"/>
    <w:rsid w:val="536D74F1"/>
    <w:rsid w:val="56636916"/>
    <w:rsid w:val="59D22870"/>
    <w:rsid w:val="5A2E10B9"/>
    <w:rsid w:val="5C0A0FD5"/>
    <w:rsid w:val="5EC026D6"/>
    <w:rsid w:val="5ECC62FB"/>
    <w:rsid w:val="61292097"/>
    <w:rsid w:val="614B45A8"/>
    <w:rsid w:val="640F4E5C"/>
    <w:rsid w:val="64F85277"/>
    <w:rsid w:val="657560B2"/>
    <w:rsid w:val="6622560F"/>
    <w:rsid w:val="66863B69"/>
    <w:rsid w:val="673130D5"/>
    <w:rsid w:val="697E76BF"/>
    <w:rsid w:val="69E80FFE"/>
    <w:rsid w:val="6A430C33"/>
    <w:rsid w:val="6AC266DE"/>
    <w:rsid w:val="6D605F65"/>
    <w:rsid w:val="6ED9048D"/>
    <w:rsid w:val="73A92BFF"/>
    <w:rsid w:val="74A960D4"/>
    <w:rsid w:val="76227B3D"/>
    <w:rsid w:val="77035789"/>
    <w:rsid w:val="7B7B221E"/>
    <w:rsid w:val="7C8B2D58"/>
    <w:rsid w:val="7DE62DD1"/>
    <w:rsid w:val="7E5D6E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4">
    <w:name w:val="heading 2"/>
    <w:basedOn w:val="1"/>
    <w:next w:val="1"/>
    <w:unhideWhenUsed/>
    <w:qFormat/>
    <w:uiPriority w:val="0"/>
    <w:pPr>
      <w:keepNext/>
      <w:keepLines/>
      <w:numPr>
        <w:ilvl w:val="1"/>
        <w:numId w:val="1"/>
      </w:numPr>
      <w:adjustRightInd w:val="0"/>
      <w:spacing w:before="260" w:beforeLines="0" w:beforeAutospacing="0" w:after="260" w:afterLines="0" w:afterAutospacing="0" w:line="413" w:lineRule="auto"/>
      <w:ind w:left="0" w:firstLineChars="0"/>
      <w:outlineLvl w:val="1"/>
    </w:pPr>
    <w:rPr>
      <w:rFonts w:ascii="Arial" w:hAnsi="Arial" w:eastAsia="黑体"/>
      <w:b/>
      <w:sz w:val="32"/>
    </w:rPr>
  </w:style>
  <w:style w:type="paragraph" w:styleId="5">
    <w:name w:val="heading 3"/>
    <w:basedOn w:val="1"/>
    <w:next w:val="1"/>
    <w:autoRedefine/>
    <w:qFormat/>
    <w:uiPriority w:val="0"/>
    <w:pPr>
      <w:keepNext/>
      <w:keepLines/>
      <w:adjustRightInd w:val="0"/>
      <w:spacing w:before="260" w:beforeLines="0" w:after="260" w:afterLines="0" w:line="416" w:lineRule="atLeast"/>
      <w:textAlignment w:val="baseline"/>
      <w:outlineLvl w:val="2"/>
    </w:pPr>
    <w:rPr>
      <w:b/>
      <w:kern w:val="0"/>
      <w:sz w:val="32"/>
      <w:szCs w:val="20"/>
    </w:rPr>
  </w:style>
  <w:style w:type="paragraph" w:styleId="6">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6">
    <w:name w:val="Default Paragraph Font"/>
    <w:autoRedefine/>
    <w:semiHidden/>
    <w:qFormat/>
    <w:uiPriority w:val="0"/>
  </w:style>
  <w:style w:type="table" w:default="1" w:styleId="14">
    <w:name w:val="Normal Table"/>
    <w:autoRedefine/>
    <w:semiHidden/>
    <w:qFormat/>
    <w:uiPriority w:val="0"/>
    <w:tblPr>
      <w:tblCellMar>
        <w:top w:w="0" w:type="dxa"/>
        <w:left w:w="108" w:type="dxa"/>
        <w:bottom w:w="0" w:type="dxa"/>
        <w:right w:w="108" w:type="dxa"/>
      </w:tblCellMar>
    </w:tblPr>
  </w:style>
  <w:style w:type="paragraph" w:styleId="2">
    <w:name w:val="footnote text"/>
    <w:basedOn w:val="1"/>
    <w:qFormat/>
    <w:uiPriority w:val="0"/>
    <w:pPr>
      <w:snapToGrid w:val="0"/>
      <w:jc w:val="left"/>
    </w:pPr>
    <w:rPr>
      <w:rFonts w:ascii="Times New Roman" w:hAnsi="Times New Roman" w:eastAsia="宋体" w:cs="Times New Roman"/>
      <w:sz w:val="18"/>
    </w:rPr>
  </w:style>
  <w:style w:type="paragraph" w:styleId="7">
    <w:name w:val="annotation text"/>
    <w:basedOn w:val="1"/>
    <w:autoRedefine/>
    <w:semiHidden/>
    <w:unhideWhenUsed/>
    <w:qFormat/>
    <w:uiPriority w:val="99"/>
    <w:pPr>
      <w:jc w:val="left"/>
    </w:pPr>
  </w:style>
  <w:style w:type="paragraph" w:styleId="8">
    <w:name w:val="Body Text"/>
    <w:basedOn w:val="1"/>
    <w:next w:val="1"/>
    <w:autoRedefine/>
    <w:qFormat/>
    <w:uiPriority w:val="1"/>
    <w:pPr>
      <w:autoSpaceDE w:val="0"/>
      <w:autoSpaceDN w:val="0"/>
      <w:adjustRightInd w:val="0"/>
      <w:spacing w:before="74"/>
      <w:ind w:left="438"/>
    </w:pPr>
    <w:rPr>
      <w:rFonts w:ascii="宋体" w:hAnsi="Times New Roman" w:eastAsia="宋体" w:cs="宋体"/>
      <w:kern w:val="0"/>
      <w:sz w:val="24"/>
      <w:szCs w:val="24"/>
    </w:rPr>
  </w:style>
  <w:style w:type="paragraph" w:styleId="9">
    <w:name w:val="Plain Text"/>
    <w:basedOn w:val="1"/>
    <w:next w:val="10"/>
    <w:autoRedefine/>
    <w:qFormat/>
    <w:uiPriority w:val="0"/>
    <w:rPr>
      <w:rFonts w:ascii="宋体" w:hAnsi="Courier New"/>
      <w:szCs w:val="20"/>
    </w:rPr>
  </w:style>
  <w:style w:type="paragraph" w:styleId="10">
    <w:name w:val="index 7"/>
    <w:basedOn w:val="1"/>
    <w:next w:val="1"/>
    <w:autoRedefine/>
    <w:qFormat/>
    <w:uiPriority w:val="0"/>
    <w:pPr>
      <w:autoSpaceDE/>
      <w:autoSpaceDN/>
      <w:adjustRightInd/>
      <w:ind w:left="1200" w:leftChars="1200"/>
    </w:pPr>
    <w:rPr>
      <w:color w:val="auto"/>
      <w:kern w:val="2"/>
      <w:szCs w:val="24"/>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Normal (Web)"/>
    <w:basedOn w:val="1"/>
    <w:autoRedefine/>
    <w:semiHidden/>
    <w:unhideWhenUsed/>
    <w:qFormat/>
    <w:uiPriority w:val="99"/>
    <w:pPr>
      <w:widowControl/>
      <w:jc w:val="left"/>
    </w:pPr>
    <w:rPr>
      <w:rFonts w:ascii="宋体" w:hAnsi="宋体" w:eastAsia="宋体" w:cs="宋体"/>
      <w:kern w:val="0"/>
      <w:sz w:val="24"/>
      <w:szCs w:val="24"/>
    </w:rPr>
  </w:style>
  <w:style w:type="table" w:styleId="15">
    <w:name w:val="Table Grid"/>
    <w:basedOn w:val="14"/>
    <w:autoRedefine/>
    <w:qFormat/>
    <w:uiPriority w:val="59"/>
    <w:pPr>
      <w:spacing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7">
    <w:name w:val="Strong"/>
    <w:basedOn w:val="16"/>
    <w:autoRedefine/>
    <w:qFormat/>
    <w:uiPriority w:val="22"/>
    <w:rPr>
      <w:b/>
      <w:bCs/>
    </w:rPr>
  </w:style>
  <w:style w:type="paragraph" w:customStyle="1" w:styleId="18">
    <w:name w:val="wdcj_5_p"/>
    <w:basedOn w:val="1"/>
    <w:autoRedefine/>
    <w:qFormat/>
    <w:uiPriority w:val="0"/>
    <w:pPr>
      <w:widowControl/>
      <w:spacing w:line="360" w:lineRule="auto"/>
      <w:jc w:val="left"/>
    </w:pPr>
    <w:rPr>
      <w:rFonts w:ascii="宋体" w:hAnsi="宋体" w:eastAsia="宋体" w:cs="宋体"/>
      <w:b/>
      <w:bCs/>
      <w:kern w:val="0"/>
      <w:sz w:val="24"/>
      <w:szCs w:val="24"/>
    </w:rPr>
  </w:style>
  <w:style w:type="paragraph" w:customStyle="1" w:styleId="19">
    <w:name w:val="wdcj_7_p"/>
    <w:basedOn w:val="1"/>
    <w:autoRedefine/>
    <w:qFormat/>
    <w:uiPriority w:val="0"/>
    <w:pPr>
      <w:widowControl/>
      <w:spacing w:line="360" w:lineRule="auto"/>
      <w:ind w:firstLine="480"/>
      <w:jc w:val="left"/>
    </w:pPr>
    <w:rPr>
      <w:rFonts w:ascii="宋体" w:hAnsi="宋体" w:eastAsia="宋体" w:cs="宋体"/>
      <w:kern w:val="0"/>
      <w:sz w:val="24"/>
      <w:szCs w:val="24"/>
    </w:rPr>
  </w:style>
  <w:style w:type="paragraph" w:customStyle="1" w:styleId="20">
    <w:name w:val="wdcj_6_p"/>
    <w:basedOn w:val="1"/>
    <w:autoRedefine/>
    <w:qFormat/>
    <w:uiPriority w:val="0"/>
    <w:pPr>
      <w:widowControl/>
      <w:spacing w:line="360" w:lineRule="auto"/>
      <w:jc w:val="left"/>
    </w:pPr>
    <w:rPr>
      <w:rFonts w:ascii="宋体" w:hAnsi="宋体" w:eastAsia="宋体" w:cs="宋体"/>
      <w:kern w:val="0"/>
      <w:sz w:val="24"/>
      <w:szCs w:val="24"/>
    </w:rPr>
  </w:style>
  <w:style w:type="character" w:customStyle="1" w:styleId="21">
    <w:name w:val="font31"/>
    <w:basedOn w:val="16"/>
    <w:autoRedefine/>
    <w:qFormat/>
    <w:uiPriority w:val="0"/>
    <w:rPr>
      <w:rFonts w:hint="eastAsia" w:ascii="宋体" w:hAnsi="宋体" w:eastAsia="宋体" w:cs="宋体"/>
      <w:color w:val="000000"/>
      <w:sz w:val="21"/>
      <w:szCs w:val="21"/>
      <w:u w:val="none"/>
    </w:rPr>
  </w:style>
  <w:style w:type="character" w:customStyle="1" w:styleId="22">
    <w:name w:val="font21"/>
    <w:basedOn w:val="16"/>
    <w:autoRedefine/>
    <w:qFormat/>
    <w:uiPriority w:val="0"/>
    <w:rPr>
      <w:rFonts w:hint="eastAsia" w:ascii="宋体" w:hAnsi="宋体" w:eastAsia="宋体" w:cs="宋体"/>
      <w:b/>
      <w:bCs/>
      <w:color w:val="000000"/>
      <w:sz w:val="21"/>
      <w:szCs w:val="21"/>
      <w:u w:val="none"/>
    </w:rPr>
  </w:style>
  <w:style w:type="paragraph" w:styleId="23">
    <w:name w:val="No Spacing"/>
    <w:autoRedefine/>
    <w:qFormat/>
    <w:uiPriority w:val="1"/>
    <w:pPr>
      <w:adjustRightInd w:val="0"/>
      <w:snapToGrid w:val="0"/>
    </w:pPr>
    <w:rPr>
      <w:rFonts w:ascii="Tahoma" w:hAnsi="Tahoma" w:eastAsia="宋体" w:cs="Times New Roman"/>
      <w:sz w:val="22"/>
      <w:szCs w:val="22"/>
      <w:lang w:val="en-US" w:eastAsia="zh-CN" w:bidi="ar-SA"/>
    </w:rPr>
  </w:style>
  <w:style w:type="paragraph" w:styleId="24">
    <w:name w:val="List Paragraph"/>
    <w:basedOn w:val="1"/>
    <w:autoRedefine/>
    <w:qFormat/>
    <w:uiPriority w:val="34"/>
    <w:pPr>
      <w:ind w:firstLine="420" w:firstLineChars="200"/>
    </w:pPr>
  </w:style>
  <w:style w:type="character" w:customStyle="1" w:styleId="25">
    <w:name w:val="NormalCharacter"/>
    <w:semiHidden/>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1832</Words>
  <Characters>2162</Characters>
  <Lines>0</Lines>
  <Paragraphs>0</Paragraphs>
  <TotalTime>2</TotalTime>
  <ScaleCrop>false</ScaleCrop>
  <LinksUpToDate>false</LinksUpToDate>
  <CharactersWithSpaces>2173</CharactersWithSpaces>
  <Application>WPS Office_12.1.0.18543_F1E327BC-269C-435d-A152-05C5408002CA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2020-07-20T15:24:00Z</dcterms:created>
  <dc:creator>397191422</dc:creator>
  <cp:lastModifiedBy>Administrator</cp:lastModifiedBy>
  <cp:lastPrinted>2024-10-09T02:21:00Z</cp:lastPrinted>
  <dcterms:modified xsi:type="dcterms:W3CDTF">2024-10-10T02:18:22Z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2052-12.1.0.18543</vt:lpwstr>
  </property>
  <property fmtid="{D5CDD505-2E9C-101B-9397-08002B2CF9AE}" pid="3" name="ICV">
    <vt:lpwstr>8DD762EA0D974C5798CD295A4CD2596A_13</vt:lpwstr>
  </property>
</Properties>
</file>