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F8D65">
      <w:pPr>
        <w:jc w:val="center"/>
        <w:outlineLvl w:val="0"/>
        <w:rPr>
          <w:rFonts w:hint="default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克州动物疾病控制与诊断中心动物疫苗采购项目一包-参数</w:t>
      </w:r>
      <w:bookmarkStart w:id="0" w:name="_GoBack"/>
      <w:bookmarkEnd w:id="0"/>
    </w:p>
    <w:tbl>
      <w:tblPr>
        <w:tblStyle w:val="3"/>
        <w:tblW w:w="9495" w:type="dxa"/>
        <w:tblInd w:w="-1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1845"/>
        <w:gridCol w:w="1290"/>
        <w:gridCol w:w="4216"/>
        <w:gridCol w:w="1261"/>
        <w:gridCol w:w="493"/>
      </w:tblGrid>
      <w:tr w14:paraId="119FE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EB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8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疫苗品名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60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作用与用途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7B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主要技术参数及要求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AD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数量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0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14085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CE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8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猪口蹄疫O型灭活疫苗（O/Mya98/XJ2010株+O/GX/09-7 株或O/MYA98/BY/2010株）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0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用于预防猪O型口蹄疫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A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1.规格：100毫升/瓶。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2.贮藏与有效期：在2-8℃保存，有效期为12个月。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3.产品的安全检验指标应符合中国兽医药品监察所审核认可的“兽用生物制品生产与检验报告”要求，免疫持续期6个月以上。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4.交货时产品有效期在8个月以上。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5.口蹄疫0型O/Mya98/XJ2010株+O/GX/09-7 或O/MYA98/BY/2010株毒株接种，经细胞培养收获细胞培养物灭活制成；效力检验,每头份疫苗应至少含猪O型6PD50；内毒素每头份疫苗不超过50EU。采用206油佐剂生产。                                     6.按1%数量比例配备相应的应急反应抢救药物和注射器（如肾上腺素、盐酸异丙嗪、地塞米松磷酸钠等）。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C0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3.5万毫升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FDE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</w:p>
        </w:tc>
      </w:tr>
      <w:tr w14:paraId="4DCC4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2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38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牛羊同用口蹄疫O型、A型二价灭活疫苗（O/MYA98/BY/2010 株或OHM/02株或O/HB/HK/99株+AKT-Ⅲ株或Re-A/WH/09 株或AF/72株）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5B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用于预防牛、羊O型、A型口蹄疫</w:t>
            </w:r>
          </w:p>
        </w:tc>
        <w:tc>
          <w:tcPr>
            <w:tcW w:w="4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8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1.规格：50、100毫升/瓶。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2.贮藏与有效期：在2-8℃保存，有效期为12个月及以上。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3.产品的安全检验指标应符合中国兽医药品监察所审核认可的“兽用生物制品生产与检验报告”要求，免疫持续期6个月以上。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4.如产品有效期18个月，在交货时有效期14个月以上，如有效期12个月，交货时有效期在8个月以上。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5.采用206油佐剂生产；效力检验，每头份疫苗应至少含牛口蹄疫0型、A型各6 PD50；内毒素含量不高于50EU/毫升；总蛋白含量不高于350ug/毫升。                   6.按0.1%数量比例配备相应的应急反应抢救药物和注射器（如肾上腺素、盐酸异丙嗪、地塞米松磷酸钠等）。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41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714万毫升/714万羊头份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88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360" w:firstLineChars="150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eastAsia="zh-CN"/>
              </w:rPr>
            </w:pPr>
          </w:p>
        </w:tc>
      </w:tr>
    </w:tbl>
    <w:p w14:paraId="30979431">
      <w:pPr>
        <w:pStyle w:val="2"/>
        <w:rPr>
          <w:rFonts w:hint="eastAsia"/>
          <w:lang w:eastAsia="zh-CN"/>
        </w:rPr>
      </w:pPr>
    </w:p>
    <w:p w14:paraId="419185B6">
      <w:pPr>
        <w:ind w:firstLine="482" w:firstLineChars="200"/>
        <w:jc w:val="left"/>
        <w:outlineLvl w:val="0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eastAsia="zh-CN"/>
        </w:rPr>
        <w:t>注：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1、产品质量及技术标准应符合或遵守《中华人民共和国兽用生物制品生产规程》《中华人民共和国兽用生物制品质量标准》及颁布的相应产品质量标准。</w:t>
      </w:r>
    </w:p>
    <w:p w14:paraId="02D9D839">
      <w:pPr>
        <w:ind w:firstLine="964" w:firstLineChars="400"/>
        <w:jc w:val="left"/>
        <w:outlineLvl w:val="0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2、产品的物理性状、无菌检验、安全检验、效力检验等指标应出具中国兽医药品监察所审核认可的“兽用生物制品生产与检验报告”（批签发记录）。</w:t>
      </w:r>
    </w:p>
    <w:p w14:paraId="494B3AB8">
      <w:pPr>
        <w:ind w:firstLine="964" w:firstLineChars="400"/>
        <w:jc w:val="left"/>
        <w:outlineLvl w:val="0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3、投标单位应在投标文件中提供农业部备案的兽药注册目录，质量标准、说明书和标签。</w:t>
      </w:r>
    </w:p>
    <w:p w14:paraId="02708319">
      <w:pPr>
        <w:ind w:firstLine="964" w:firstLineChars="400"/>
        <w:jc w:val="left"/>
        <w:outlineLvl w:val="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4、招标之前或之后，如遇农业农村部政策调整，有关疫苗毒株变更，相应产品直接变更。</w:t>
      </w:r>
    </w:p>
    <w:p w14:paraId="29C130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7753B4"/>
    <w:rsid w:val="4077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autoRedefine/>
    <w:qFormat/>
    <w:uiPriority w:val="0"/>
    <w:pPr>
      <w:ind w:left="482" w:firstLine="200" w:firstLineChars="20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2025-01-21T07:32:00Z</dcterms:created>
  <dc:creator>WPS</dc:creator>
  <cp:lastModifiedBy>WPS</cp:lastModifiedBy>
  <dcterms:modified xsi:type="dcterms:W3CDTF">2025-01-21T07:32:19Z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5787B0B6EF5B4BAC8D496EE294D1BF42_11</vt:lpwstr>
  </property>
</Properties>
</file>