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11186">
      <w:pPr>
        <w:spacing w:line="360" w:lineRule="auto"/>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东软64排螺旋CT维保参数</w:t>
      </w:r>
    </w:p>
    <w:p w14:paraId="2465FC3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1.对克州人民医院64排螺旋CT提供维保服务，包括整机全保3年（含高压注射器） 、故障备件免费且不限次数更换（含球管、探测器、扫描架、扫描床、操作台（含计算机系统）等），球管在维保期内不论是否损坏，需要在维保期内更换一次全新的球管，所更换的配件种类及型号要求与设备现有种类一样，不得对设备性能进行改装、所有更换的配件及耗材必须是全新原厂配件。质保期内提供免费移机一次（15天内完成移机，百分百开机并能正常投入使用）。</w:t>
      </w:r>
    </w:p>
    <w:p w14:paraId="5A48015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2.对后处理工作站中所有硬件、软件，在维保期内出现故障无限量更换维护，维保期内必须保证工作站的正常运行。</w:t>
      </w:r>
    </w:p>
    <w:p w14:paraId="39292C9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3、维保期间保障CT机房的防辐射铅门及电动门正常运行。</w:t>
      </w:r>
    </w:p>
    <w:p w14:paraId="50373CD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4、出现宕机时候免费提供给使用方与该机型匹配的全套光盘软件;</w:t>
      </w:r>
    </w:p>
    <w:p w14:paraId="2CABF69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5、维保期内由该项目产生的运输、安装、调试、人工、税费等服务管理过程中可能产生的各种费用均以包含在投标报价总费用内，由服务提供商承担。</w:t>
      </w:r>
    </w:p>
    <w:p w14:paraId="312F9DF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6、投标人提供有效期内的辐射安全许可证，需满足《放射性同位素与射线装置安全和防护条例》第五条中规定要求：生产、销售、使用放射性同位素和射线装置 的单位，应当依照本章规定取得许可证。</w:t>
      </w:r>
    </w:p>
    <w:p w14:paraId="6686759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7、提供24小时热线服务电话（400或800）随时在线响应。接到医院报修电话后，维修响应时间≤2小时，工程师到达现场时间≤10小时，现场确认故障原因≤24小时。 </w:t>
      </w:r>
    </w:p>
    <w:p w14:paraId="17A6DC7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8、投标人须具备全职服务团队，为本项目配备的专业工程师不少于2名，提供维修资格证书（包括学历、职称证书、培训证书）。</w:t>
      </w:r>
    </w:p>
    <w:p w14:paraId="44655557">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备件来源要求：确保备件必须为与该设备医疗器械注册证中结构及组成栏内所载明的组合部件同一型号的备件，安装完毕后达到设备使用说明书规定的设备运行标准。100%保障全新原厂备件供应，并提供相关溯源佐证资料</w:t>
      </w:r>
    </w:p>
    <w:p w14:paraId="3D18B4A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10、具有提供全新球管及其更换的能力，并能提供相关证明，以保证备件来源的合法性。</w:t>
      </w:r>
    </w:p>
    <w:p w14:paraId="1319125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11、投标人具备充足的备件供应能力，在国内设有备件库。</w:t>
      </w:r>
    </w:p>
    <w:p w14:paraId="2C7E2BF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12、如需更换配件，配件到达时间≤48小时，如因中标方原因导致设备单次停机时间≥ 72小时，院方有要求中标方承担相应损失的权利。</w:t>
      </w:r>
    </w:p>
    <w:p w14:paraId="46EE0F8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13、提供一年的4次的高级保养中需提供承诺及明确保养的具体内容。</w:t>
      </w:r>
    </w:p>
    <w:p w14:paraId="54E4BEF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14、保证设备开机率≥95%（按全年365天计算，不分节假日,全年停机时间不超过18.5天）。如低于95%开机率，每超过一天扣除2000元/天的维保费用，并且自动延保3天（除去故障备件等待的时间）。</w:t>
      </w:r>
    </w:p>
    <w:p w14:paraId="265344F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15、设备信息实现远程管理，基础信息实时远程监控、手机报修、效益分析等功能。</w:t>
      </w:r>
    </w:p>
    <w:p w14:paraId="0B14462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16、保修期内要对发现的设计缺陷及漏洞进行及时修复，以提高设备的可靠性及设备的安全性，并对系统软件升级为最新版本。</w:t>
      </w:r>
    </w:p>
    <w:p w14:paraId="6DD20A8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17、维保服务过程中，不得破坏、变更设备原有的结构和电气设计的基础。</w:t>
      </w:r>
    </w:p>
    <w:p w14:paraId="2FF1924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18、提供设备质控支持（包括质控的培训）。无论维修保养期内外，中标单位应协助采购人建立医疗器械维修保养管理制度。并按照设备使用说明书的要求进行检查、检验、校准、保养。安全检查按照设备预防性保养要求规定执行，具体包括但不限于：</w:t>
      </w:r>
    </w:p>
    <w:p w14:paraId="78889F8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（1）设备的外观检查；</w:t>
      </w:r>
    </w:p>
    <w:p w14:paraId="48A5D14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（2）设备散热过滤器和出风口的清洁和检查；</w:t>
      </w:r>
    </w:p>
    <w:p w14:paraId="0E12603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（3）性能和电气安全检测,按照生产厂家及行业标准执行；                                                                        </w:t>
      </w:r>
    </w:p>
    <w:p w14:paraId="60DC09A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（4）设备的主要组成部件OTS球管悬挂系统、移动床、立柱、电气机柜的检查和维护，一年不少于4次；</w:t>
      </w:r>
    </w:p>
    <w:p w14:paraId="4B5EEE3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（5）执行QAP测试；</w:t>
      </w:r>
    </w:p>
    <w:p w14:paraId="0239F88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（6）功能检查；</w:t>
      </w:r>
    </w:p>
    <w:p w14:paraId="3355CDC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（7）检查保护回路；</w:t>
      </w:r>
    </w:p>
    <w:p w14:paraId="1CC4982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（8）束光器检查；</w:t>
      </w:r>
    </w:p>
    <w:p w14:paraId="437BFF1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（9）mR和mAs校准(达到出厂标准)；</w:t>
      </w:r>
    </w:p>
    <w:p w14:paraId="7F6800B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（10）检查光野和X光野的匹配，光野中心是否和探测器中心重合；</w:t>
      </w:r>
    </w:p>
    <w:p w14:paraId="12D1DCA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（11）图像质量检查和数据校准；；</w:t>
      </w:r>
    </w:p>
    <w:p w14:paraId="67EDF80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（12）工作站的检查和维护，数据的备份。</w:t>
      </w:r>
    </w:p>
    <w:p w14:paraId="15B8D39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(13)、根据保养计划更换损耗部件；</w:t>
      </w:r>
    </w:p>
    <w:p w14:paraId="611EB80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(14)、调整/校准至出厂标准；</w:t>
      </w:r>
    </w:p>
    <w:p w14:paraId="7F84058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(15)、确认各项技术指标及性能；</w:t>
      </w:r>
    </w:p>
    <w:p w14:paraId="4383C0C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(16)、记录设备状况；</w:t>
      </w:r>
    </w:p>
    <w:p w14:paraId="084D363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(17)、提供维保服务报告。记录并安排保养时间</w:t>
      </w:r>
    </w:p>
    <w:p w14:paraId="62175CB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19、每季度对设备做定期的维护保养，一年不少于4次现场维护保养巡检、1次培训，每次维保、巡检、培训情况出</w:t>
      </w:r>
      <w:bookmarkStart w:id="0" w:name="_GoBack"/>
      <w:bookmarkEnd w:id="0"/>
      <w:r>
        <w:rPr>
          <w:rFonts w:hint="eastAsia" w:ascii="宋体" w:hAnsi="宋体" w:eastAsia="宋体" w:cs="宋体"/>
          <w:b w:val="0"/>
          <w:bCs w:val="0"/>
          <w:sz w:val="24"/>
          <w:szCs w:val="24"/>
          <w:lang w:val="en-US" w:eastAsia="zh-CN"/>
        </w:rPr>
        <w:t>具书面报告及影像资料交设备科存档。</w:t>
      </w:r>
    </w:p>
    <w:p w14:paraId="64B6E77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20、提供维修记录；确保医疗器械处于良好状态，进行分析、评估设备状态。</w:t>
      </w:r>
    </w:p>
    <w:p w14:paraId="21E5823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21、提供优秀的服务方案，方案中投标方需对公司的服务需求响应与承诺、维保技术服务流程做详细说明。</w:t>
      </w:r>
    </w:p>
    <w:p w14:paraId="1237038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22、维保服务期限内如中标方在对设备维修、保养过程对设备造成损坏，中标方须赔偿设备损失及相应的经济损失。</w:t>
      </w:r>
    </w:p>
    <w:p w14:paraId="7BF4C49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23、供应商应具有有专业维修工具,提供工具清单、图片等相关证明材料。</w:t>
      </w:r>
    </w:p>
    <w:p w14:paraId="57C08DEF">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仿宋" w:hAnsi="仿宋" w:eastAsia="仿宋" w:cs="仿宋"/>
          <w:b w:val="0"/>
          <w:bCs w:val="0"/>
          <w:sz w:val="32"/>
          <w:szCs w:val="32"/>
          <w:lang w:val="en-US" w:eastAsia="zh-CN"/>
        </w:rPr>
      </w:pPr>
      <w:r>
        <w:rPr>
          <w:rFonts w:hint="eastAsia" w:ascii="宋体" w:hAnsi="宋体" w:eastAsia="宋体" w:cs="宋体"/>
          <w:b w:val="0"/>
          <w:bCs w:val="0"/>
          <w:sz w:val="24"/>
          <w:szCs w:val="24"/>
          <w:lang w:val="en-US" w:eastAsia="zh-CN"/>
        </w:rPr>
        <w:t>24.提供基于互联网的远程诊断系统服务，24小时不间断监测设备运行情况，支持远程设备运行分析管理及设备维修维护。</w:t>
      </w:r>
    </w:p>
    <w:p w14:paraId="124AFE3B">
      <w:pPr>
        <w:rPr>
          <w:rFonts w:hint="default" w:ascii="仿宋" w:hAnsi="仿宋" w:eastAsia="仿宋" w:cs="仿宋"/>
          <w:b w:val="0"/>
          <w:bCs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hakuyoxingshu7000"/>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hakuyoxingshu7000">
    <w:panose1 w:val="02000600000000000000"/>
    <w:charset w:val="86"/>
    <w:family w:val="auto"/>
    <w:pitch w:val="default"/>
    <w:sig w:usb0="FFFFFFFF" w:usb1="E9FFFFFF" w:usb2="0000003F" w:usb3="00000000" w:csb0="603F00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mOGY0MDllNjE1YmU5MjExZjUyNzAyMTMzZmUyN2UifQ=="/>
  </w:docVars>
  <w:rsids>
    <w:rsidRoot w:val="00BB72CE"/>
    <w:rsid w:val="00075F86"/>
    <w:rsid w:val="001F6F41"/>
    <w:rsid w:val="002D7239"/>
    <w:rsid w:val="006A4D54"/>
    <w:rsid w:val="00736C3D"/>
    <w:rsid w:val="0095480D"/>
    <w:rsid w:val="00992A3A"/>
    <w:rsid w:val="009C164C"/>
    <w:rsid w:val="00BB72CE"/>
    <w:rsid w:val="00D14AD0"/>
    <w:rsid w:val="00DF6ED1"/>
    <w:rsid w:val="00E527EB"/>
    <w:rsid w:val="0A9032E6"/>
    <w:rsid w:val="1DC75609"/>
    <w:rsid w:val="1FEE37B4"/>
    <w:rsid w:val="2F1B6668"/>
    <w:rsid w:val="333C2872"/>
    <w:rsid w:val="361439B5"/>
    <w:rsid w:val="3E0A6E58"/>
    <w:rsid w:val="461F4EFB"/>
    <w:rsid w:val="69446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0"/>
      <w:lang w:val="en-US" w:eastAsia="zh-CN" w:bidi="ar-SA"/>
    </w:rPr>
  </w:style>
  <w:style w:type="paragraph" w:styleId="2">
    <w:name w:val="heading 3"/>
    <w:basedOn w:val="1"/>
    <w:next w:val="1"/>
    <w:link w:val="5"/>
    <w:semiHidden/>
    <w:unhideWhenUsed/>
    <w:qFormat/>
    <w:uiPriority w:val="9"/>
    <w:pPr>
      <w:keepNext/>
      <w:keepLines/>
      <w:spacing w:before="260" w:after="260" w:line="416" w:lineRule="auto"/>
      <w:outlineLvl w:val="2"/>
    </w:pPr>
    <w:rPr>
      <w:b/>
      <w:bCs/>
      <w:sz w:val="32"/>
      <w:szCs w:val="32"/>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5">
    <w:name w:val="标题 3 字符"/>
    <w:basedOn w:val="4"/>
    <w:link w:val="2"/>
    <w:semiHidden/>
    <w:qFormat/>
    <w:uiPriority w:val="9"/>
    <w:rPr>
      <w:rFonts w:ascii="Calibri" w:hAnsi="Calibri" w:eastAsia="宋体" w:cs="宋体"/>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2006</Words>
  <Characters>2079</Characters>
  <Lines>13</Lines>
  <Paragraphs>3</Paragraphs>
  <TotalTime>8</TotalTime>
  <ScaleCrop>false</ScaleCrop>
  <LinksUpToDate>false</LinksUpToDate>
  <CharactersWithSpaces>2153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2024-09-30T08:45:00Z</dcterms:created>
  <dc:creator>Microsoft</dc:creator>
  <cp:lastModifiedBy>Administrator</cp:lastModifiedBy>
  <cp:lastPrinted>2024-11-04T10:17:48Z</cp:lastPrinted>
  <dcterms:modified xsi:type="dcterms:W3CDTF">2024-11-04T10:25:54Z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371BA54804DA4023901F63CF348ADF3C_13</vt:lpwstr>
  </property>
</Properties>
</file>