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BB37B4">
      <w:pPr>
        <w:pageBreakBefore/>
        <w:numPr>
          <w:numId w:val="0"/>
        </w:numPr>
        <w:shd w:val="clear" w:color="auto" w:fill="auto"/>
        <w:spacing w:line="360" w:lineRule="auto"/>
        <w:jc w:val="center"/>
        <w:outlineLvl w:val="0"/>
        <w:rPr>
          <w:rFonts w:hint="eastAsia" w:hAnsi="宋体"/>
          <w:b/>
          <w:color w:val="auto"/>
          <w:sz w:val="28"/>
          <w:szCs w:val="28"/>
          <w:highlight w:val="none"/>
        </w:rPr>
      </w:pPr>
      <w:r>
        <w:rPr>
          <w:rFonts w:hint="eastAsia" w:ascii="宋体"/>
          <w:b/>
          <w:color w:val="auto"/>
          <w:sz w:val="32"/>
          <w:szCs w:val="32"/>
          <w:highlight w:val="none"/>
          <w:lang w:val="en-US" w:eastAsia="zh-CN"/>
        </w:rPr>
        <w:t>采购需求</w:t>
      </w:r>
    </w:p>
    <w:p w14:paraId="683E0021">
      <w:pPr>
        <w:spacing w:line="360" w:lineRule="auto"/>
        <w:rPr>
          <w:rFonts w:hint="eastAsia" w:hAnsi="宋体" w:eastAsia="宋体"/>
          <w:b/>
          <w:color w:val="auto"/>
          <w:sz w:val="28"/>
          <w:szCs w:val="28"/>
          <w:highlight w:val="none"/>
          <w:lang w:eastAsia="zh-CN"/>
        </w:rPr>
      </w:pPr>
      <w:r>
        <w:rPr>
          <w:rFonts w:hint="eastAsia" w:hAnsi="宋体"/>
          <w:b/>
          <w:color w:val="auto"/>
          <w:sz w:val="28"/>
          <w:szCs w:val="28"/>
          <w:highlight w:val="none"/>
          <w:lang w:eastAsia="zh-CN"/>
        </w:rPr>
        <w:t>一</w:t>
      </w:r>
      <w:r>
        <w:rPr>
          <w:rFonts w:hint="eastAsia" w:hAnsi="宋体"/>
          <w:b/>
          <w:color w:val="auto"/>
          <w:sz w:val="28"/>
          <w:szCs w:val="28"/>
          <w:highlight w:val="none"/>
        </w:rPr>
        <w:t>、</w:t>
      </w:r>
      <w:r>
        <w:rPr>
          <w:rFonts w:hint="eastAsia" w:hAnsi="宋体"/>
          <w:b/>
          <w:color w:val="auto"/>
          <w:sz w:val="28"/>
          <w:szCs w:val="28"/>
          <w:highlight w:val="none"/>
          <w:lang w:val="en-US" w:eastAsia="zh-CN"/>
        </w:rPr>
        <w:t>采购内容</w:t>
      </w:r>
    </w:p>
    <w:p w14:paraId="1E51E25A">
      <w:pPr>
        <w:shd w:val="clear" w:color="auto" w:fill="auto"/>
        <w:spacing w:line="460" w:lineRule="exact"/>
        <w:ind w:firstLine="420" w:firstLineChars="200"/>
        <w:jc w:val="left"/>
        <w:rPr>
          <w:rFonts w:hint="eastAsia" w:ascii="宋体" w:hAnsi="宋体" w:eastAsia="宋体" w:cs="Times New Roman"/>
          <w:bCs/>
          <w:color w:val="auto"/>
          <w:szCs w:val="21"/>
          <w:highlight w:val="none"/>
          <w:lang w:val="en-US" w:eastAsia="zh-CN"/>
        </w:rPr>
      </w:pPr>
      <w:r>
        <w:rPr>
          <w:rFonts w:hint="eastAsia" w:ascii="宋体" w:hAnsi="宋体" w:eastAsia="宋体" w:cs="Times New Roman"/>
          <w:bCs/>
          <w:color w:val="auto"/>
          <w:szCs w:val="21"/>
          <w:highlight w:val="none"/>
          <w:lang w:val="en-US" w:eastAsia="zh-CN"/>
        </w:rPr>
        <w:t>对乌恰县具有防洪任务的12条山区河道(阿依浪苏达里亚:18KM、巴喀布拉克:19KM、捷然布拉克:18KM、喀拉阿德尔:29KM、喀拉阔勒特:26KM、喀拉哲勒嘎:28KM、康萨依沟:27KM、库孜洪河:26KM、萨哈勒河:26KM、苏盖特萨依:33KM、铁列克河左支河:22KM、乌普拉特农场沟左支河:31KM)开展管理范围划定并编制报告。</w:t>
      </w:r>
    </w:p>
    <w:p w14:paraId="054664C7">
      <w:pPr>
        <w:shd w:val="clear" w:color="auto" w:fill="auto"/>
        <w:spacing w:line="460" w:lineRule="exact"/>
        <w:ind w:firstLine="482" w:firstLineChars="200"/>
        <w:jc w:val="left"/>
        <w:rPr>
          <w:rFonts w:hint="eastAsia" w:ascii="Times New Roman" w:hAnsi="宋体" w:eastAsia="宋体" w:cs="Times New Roman"/>
          <w:b/>
          <w:color w:val="auto"/>
          <w:sz w:val="24"/>
          <w:szCs w:val="24"/>
          <w:highlight w:val="none"/>
        </w:rPr>
      </w:pPr>
      <w:r>
        <w:rPr>
          <w:rFonts w:hint="eastAsia" w:ascii="Times New Roman" w:hAnsi="宋体" w:eastAsia="宋体" w:cs="Times New Roman"/>
          <w:b/>
          <w:color w:val="auto"/>
          <w:sz w:val="24"/>
          <w:szCs w:val="24"/>
          <w:highlight w:val="none"/>
          <w:lang w:eastAsia="zh-CN"/>
        </w:rPr>
        <w:t>二</w:t>
      </w:r>
      <w:r>
        <w:rPr>
          <w:rFonts w:hint="eastAsia" w:ascii="Times New Roman" w:hAnsi="宋体" w:eastAsia="宋体" w:cs="Times New Roman"/>
          <w:b/>
          <w:color w:val="auto"/>
          <w:sz w:val="24"/>
          <w:szCs w:val="24"/>
          <w:highlight w:val="none"/>
        </w:rPr>
        <w:t>、商务要求</w:t>
      </w:r>
    </w:p>
    <w:p w14:paraId="136410FE">
      <w:pPr>
        <w:keepNext w:val="0"/>
        <w:keepLines w:val="0"/>
        <w:pageBreakBefore w:val="0"/>
        <w:widowControl/>
        <w:kinsoku/>
        <w:wordWrap/>
        <w:overflowPunct/>
        <w:topLinePunct w:val="0"/>
        <w:autoSpaceDE/>
        <w:autoSpaceDN/>
        <w:bidi w:val="0"/>
        <w:adjustRightInd/>
        <w:snapToGrid/>
        <w:spacing w:line="420" w:lineRule="exact"/>
        <w:ind w:firstLine="420" w:firstLineChars="200"/>
        <w:textAlignment w:val="auto"/>
        <w:rPr>
          <w:rFonts w:hint="eastAsia" w:ascii="宋体" w:hAnsi="Times New Roman" w:eastAsia="宋体" w:cs="Times New Roman"/>
          <w:color w:val="auto"/>
          <w:szCs w:val="21"/>
          <w:highlight w:val="none"/>
          <w:lang w:eastAsia="zh-CN"/>
        </w:rPr>
      </w:pPr>
      <w:r>
        <w:rPr>
          <w:rFonts w:hint="eastAsia" w:ascii="宋体" w:hAnsi="Times New Roman" w:eastAsia="宋体" w:cs="Times New Roman"/>
          <w:color w:val="auto"/>
          <w:szCs w:val="21"/>
          <w:highlight w:val="none"/>
        </w:rPr>
        <w:t>成为成交供应商公示完成后7日历天</w:t>
      </w:r>
      <w:r>
        <w:rPr>
          <w:rFonts w:hint="eastAsia" w:ascii="宋体" w:hAnsi="Times New Roman" w:eastAsia="宋体" w:cs="Times New Roman"/>
          <w:color w:val="auto"/>
          <w:szCs w:val="21"/>
          <w:highlight w:val="none"/>
          <w:lang w:val="en-US" w:eastAsia="zh-CN"/>
        </w:rPr>
        <w:t>内</w:t>
      </w:r>
      <w:r>
        <w:rPr>
          <w:rFonts w:hint="eastAsia" w:ascii="宋体" w:hAnsi="Times New Roman" w:eastAsia="宋体" w:cs="Times New Roman"/>
          <w:color w:val="auto"/>
          <w:szCs w:val="21"/>
          <w:highlight w:val="none"/>
        </w:rPr>
        <w:t>签订合同，人员</w:t>
      </w:r>
      <w:r>
        <w:rPr>
          <w:rFonts w:hint="eastAsia" w:ascii="宋体" w:hAnsi="Times New Roman" w:eastAsia="宋体" w:cs="Times New Roman"/>
          <w:color w:val="auto"/>
          <w:szCs w:val="21"/>
          <w:highlight w:val="none"/>
          <w:lang w:val="en-US" w:eastAsia="zh-CN"/>
        </w:rPr>
        <w:t>进场开始进行服务，在乌恰县县城内需有固定服务办公场所，人员做到0.5小时响应，1小时内达到现场，</w:t>
      </w:r>
      <w:r>
        <w:rPr>
          <w:rFonts w:hint="eastAsia" w:ascii="宋体" w:hAnsi="Times New Roman" w:eastAsia="宋体" w:cs="Times New Roman"/>
          <w:color w:val="auto"/>
          <w:szCs w:val="21"/>
          <w:highlight w:val="none"/>
        </w:rPr>
        <w:t>测量人员、报告编制人员需了解河道基本情况、进行</w:t>
      </w:r>
      <w:bookmarkStart w:id="0" w:name="_GoBack"/>
      <w:bookmarkEnd w:id="0"/>
      <w:r>
        <w:rPr>
          <w:rFonts w:hint="eastAsia" w:ascii="宋体" w:hAnsi="Times New Roman" w:eastAsia="宋体" w:cs="Times New Roman"/>
          <w:color w:val="auto"/>
          <w:szCs w:val="21"/>
          <w:highlight w:val="none"/>
        </w:rPr>
        <w:t>现服务需求场调研;咨询成果满足国家相关法律法规、行业规范等要求，并通过上级相关主管部门审查</w:t>
      </w:r>
      <w:r>
        <w:rPr>
          <w:rFonts w:hint="eastAsia" w:ascii="宋体" w:hAnsi="Times New Roman" w:eastAsia="宋体" w:cs="Times New Roman"/>
          <w:color w:val="auto"/>
          <w:szCs w:val="21"/>
          <w:highlight w:val="none"/>
          <w:lang w:eastAsia="zh-CN"/>
        </w:rPr>
        <w:t>。</w:t>
      </w:r>
    </w:p>
    <w:p w14:paraId="308DC5C2">
      <w:pPr>
        <w:keepNext w:val="0"/>
        <w:keepLines w:val="0"/>
        <w:pageBreakBefore w:val="0"/>
        <w:widowControl/>
        <w:kinsoku/>
        <w:wordWrap/>
        <w:overflowPunct/>
        <w:topLinePunct w:val="0"/>
        <w:autoSpaceDE/>
        <w:autoSpaceDN/>
        <w:bidi w:val="0"/>
        <w:adjustRightInd/>
        <w:snapToGrid/>
        <w:spacing w:line="420" w:lineRule="exact"/>
        <w:ind w:firstLine="420" w:firstLineChars="200"/>
        <w:textAlignment w:val="auto"/>
        <w:rPr>
          <w:rFonts w:hint="default" w:ascii="宋体" w:hAnsi="Times New Roman" w:eastAsia="宋体" w:cs="Times New Roman"/>
          <w:color w:val="auto"/>
          <w:szCs w:val="21"/>
          <w:highlight w:val="none"/>
          <w:lang w:val="en-US" w:eastAsia="zh-CN"/>
        </w:rPr>
      </w:pPr>
      <w:r>
        <w:rPr>
          <w:rFonts w:hint="eastAsia" w:ascii="宋体" w:hAnsi="Times New Roman" w:eastAsia="宋体" w:cs="Times New Roman"/>
          <w:color w:val="auto"/>
          <w:szCs w:val="21"/>
          <w:highlight w:val="none"/>
          <w:lang w:val="en-US" w:eastAsia="zh-CN"/>
        </w:rPr>
        <w:t>功能和质量需求：符合</w:t>
      </w:r>
      <w:r>
        <w:rPr>
          <w:rFonts w:hint="eastAsia" w:ascii="宋体" w:hAnsi="Times New Roman" w:eastAsia="宋体" w:cs="Times New Roman"/>
          <w:color w:val="auto"/>
          <w:szCs w:val="21"/>
          <w:highlight w:val="yellow"/>
          <w:lang w:val="en-US" w:eastAsia="zh-CN"/>
        </w:rPr>
        <w:t>《水利部关于加快推进河湖管理范围划定工作的通知》（水河湖〔2018〕314号）</w:t>
      </w:r>
      <w:r>
        <w:rPr>
          <w:rFonts w:hint="eastAsia" w:ascii="宋体" w:hAnsi="Times New Roman" w:eastAsia="宋体" w:cs="Times New Roman"/>
          <w:color w:val="auto"/>
          <w:szCs w:val="21"/>
          <w:highlight w:val="none"/>
          <w:lang w:val="en-US" w:eastAsia="zh-CN"/>
        </w:rPr>
        <w:t>《关于加快推进河湖管理范围划定及岸线保护与利用规划编制等工作的通知》(新水办〔2020〕118号)等有关规定技术要求。并通过上级相关主管部门审查通过，完成上图等工作。</w:t>
      </w:r>
    </w:p>
    <w:p w14:paraId="177D1882">
      <w:pPr>
        <w:shd w:val="clear" w:color="auto" w:fill="auto"/>
        <w:spacing w:line="460" w:lineRule="exact"/>
        <w:jc w:val="left"/>
        <w:rPr>
          <w:rFonts w:hint="eastAsia" w:ascii="Times New Roman" w:hAnsi="宋体" w:eastAsia="宋体" w:cs="Times New Roman"/>
          <w:b/>
          <w:color w:val="auto"/>
          <w:sz w:val="24"/>
          <w:szCs w:val="24"/>
          <w:highlight w:val="none"/>
          <w:lang w:eastAsia="zh-CN"/>
        </w:rPr>
      </w:pPr>
      <w:r>
        <w:rPr>
          <w:rFonts w:hint="eastAsia" w:ascii="Times New Roman" w:hAnsi="宋体" w:eastAsia="宋体" w:cs="Times New Roman"/>
          <w:b/>
          <w:color w:val="auto"/>
          <w:sz w:val="24"/>
          <w:szCs w:val="24"/>
          <w:highlight w:val="none"/>
          <w:lang w:eastAsia="zh-CN"/>
        </w:rPr>
        <w:t>（三）报价要求</w:t>
      </w:r>
    </w:p>
    <w:p w14:paraId="415661C0">
      <w:pPr>
        <w:shd w:val="clear" w:color="auto" w:fill="auto"/>
        <w:spacing w:line="440" w:lineRule="exact"/>
        <w:ind w:firstLine="420" w:firstLineChars="200"/>
        <w:jc w:val="left"/>
        <w:rPr>
          <w:rFonts w:hint="eastAsia" w:ascii="宋体" w:hAnsi="宋体" w:eastAsia="宋体" w:cs="Times New Roman"/>
          <w:bCs/>
          <w:color w:val="auto"/>
          <w:szCs w:val="21"/>
          <w:highlight w:val="none"/>
          <w:lang w:val="en-US" w:eastAsia="zh-CN"/>
        </w:rPr>
      </w:pPr>
      <w:r>
        <w:rPr>
          <w:rFonts w:hint="eastAsia" w:ascii="宋体" w:hAnsi="宋体" w:eastAsia="宋体" w:cs="Times New Roman"/>
          <w:bCs/>
          <w:color w:val="auto"/>
          <w:szCs w:val="21"/>
          <w:highlight w:val="none"/>
          <w:lang w:val="en-US" w:eastAsia="zh-CN"/>
        </w:rPr>
        <w:t>供应商应按磋商文件规定的供货及服务要求、责任范围和合同条件，以人民币进行报价。</w:t>
      </w:r>
    </w:p>
    <w:p w14:paraId="1A928EEF">
      <w:pPr>
        <w:keepNext w:val="0"/>
        <w:keepLines w:val="0"/>
        <w:pageBreakBefore w:val="0"/>
        <w:widowControl/>
        <w:kinsoku/>
        <w:wordWrap/>
        <w:overflowPunct/>
        <w:topLinePunct w:val="0"/>
        <w:autoSpaceDE/>
        <w:autoSpaceDN/>
        <w:bidi w:val="0"/>
        <w:adjustRightInd/>
        <w:snapToGrid/>
        <w:spacing w:line="420" w:lineRule="exact"/>
        <w:ind w:firstLine="480"/>
        <w:textAlignment w:val="auto"/>
        <w:rPr>
          <w:rFonts w:hint="eastAsia" w:ascii="宋体" w:hAnsi="宋体" w:eastAsia="宋体" w:cs="Times New Roman"/>
          <w:bCs/>
          <w:color w:val="auto"/>
          <w:szCs w:val="21"/>
          <w:highlight w:val="none"/>
          <w:lang w:val="en-US" w:eastAsia="zh-CN"/>
        </w:rPr>
      </w:pPr>
      <w:r>
        <w:rPr>
          <w:rFonts w:hint="eastAsia" w:ascii="宋体" w:hAnsi="宋体" w:eastAsia="宋体" w:cs="Times New Roman"/>
          <w:bCs/>
          <w:color w:val="auto"/>
          <w:szCs w:val="21"/>
          <w:highlight w:val="none"/>
          <w:lang w:val="en-US" w:eastAsia="zh-CN"/>
        </w:rPr>
        <w:t>供应商必须按报价一览表和分项价格表的内容和格式要求填写各项货物及服务的分项价格和总价。供应商在磋商须知前附表规定的提交首次响应文件截止之日前修改报价一览表中的报价的，应同时修改其分项价格表中的报价。</w:t>
      </w:r>
    </w:p>
    <w:p w14:paraId="33691FBF">
      <w:pPr>
        <w:shd w:val="clear" w:color="auto" w:fill="auto"/>
        <w:spacing w:line="440" w:lineRule="exact"/>
        <w:ind w:firstLine="420" w:firstLineChars="200"/>
        <w:jc w:val="left"/>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其他未尽事宜由供需双方在采购合同中详细约定。</w:t>
      </w:r>
    </w:p>
    <w:p w14:paraId="258D918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AFF" w:usb1="C0007843"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111BB1"/>
    <w:rsid w:val="22111B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2025-06-20T04:06:00Z</dcterms:created>
  <dc:creator>Administrator</dc:creator>
  <cp:lastModifiedBy>Administrator</cp:lastModifiedBy>
  <dcterms:modified xsi:type="dcterms:W3CDTF">2025-06-20T04:07:29Z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3B9C849F8D28401FBD36F9E100CF1569_11</vt:lpwstr>
  </property>
  <property fmtid="{D5CDD505-2E9C-101B-9397-08002B2CF9AE}" pid="4" name="KSOTemplateDocerSaveRecord">
    <vt:lpwstr>eyJoZGlkIjoiY2FiNjJmOGYwMzQ1MzE4OTdlNzA3MGJmYzQ4NjEyNWEifQ==</vt:lpwstr>
  </property>
</Properties>
</file>