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4CD16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val="en-US" w:eastAsia="zh-CN" w:bidi="en-US"/>
        </w:rPr>
        <w:t>采购内容及技术要求</w:t>
      </w:r>
    </w:p>
    <w:tbl>
      <w:tblPr>
        <w:tblStyle w:val="6"/>
        <w:tblW w:w="144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1"/>
        <w:gridCol w:w="2744"/>
        <w:gridCol w:w="6618"/>
        <w:gridCol w:w="1560"/>
        <w:gridCol w:w="1200"/>
        <w:gridCol w:w="1594"/>
      </w:tblGrid>
      <w:tr w14:paraId="34478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tblHeader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88BD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>序 号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3A6C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>项目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886DB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>规格 型号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41BA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5021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>单 位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974E0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bidi="ar"/>
              </w:rPr>
              <w:t>备 注</w:t>
            </w:r>
          </w:p>
        </w:tc>
      </w:tr>
      <w:tr w14:paraId="5C471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21B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一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B888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直接费用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428F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92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533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4AAA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2997E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791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7F73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林果病虫害防治药剂购置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C175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65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7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31F0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03F96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7B83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987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29%石硫合剂 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164DB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剂型：水剂、20kg/桶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63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69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45B5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767A3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4E2B1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E6C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45%石硫合剂 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1585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剂型：结晶粉、400g/袋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A9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3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25D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50427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287B0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1C1E4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1.2%烟碱·苦参碱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3939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乳油 30mL/瓶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7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BE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D84B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079E3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111D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0B8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27%联苯·吡虫啉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42CC1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4.5%联苯菊酯+22.5%吡虫啉、悬浮剂、100g/瓶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4A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FE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3BAC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46216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1F7F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5C5C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15.6%阿维·丁醚脲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88581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阿维菌素0.6%+丁醚脲15%、乳油、200g/瓶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B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31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19B3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7B707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786EC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5C3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39%螺虫乙酯·噻嗪酮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69A2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13%螺虫乙酯+26%噻嗪酮、悬浮剂、500g/瓶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A9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60D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C6C6E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61ABD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4375F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A3D7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9%甲维·甲虫肼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1C419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甲氧虫酰肼≥8%，甲氨基阿维菌素苯甲酸盐≥1%、悬浮剂、500g/瓶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0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F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22B8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423E46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278A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0D503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40%啶虫·毒死蜱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6F66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啶虫脒/毒死蜱总含量≥40%、微乳剂、1000mL/瓶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E2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C2F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3FDD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3ABA1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FB9B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1B966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25%甲维·灭幼脲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5E0B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灭幼脲25% 400g/瓶 悬浮剂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BC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80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6C7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54F22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2C751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1.10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33E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10%阿维·除虫脲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03F1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0.3%阿维菌素+9.7%除虫脲、悬浮剂、20kg/桶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517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7E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29D8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5BBFB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2317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8D77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2.5%高效氯氟氰菊酯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BEDCA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水乳剂 20g/瓶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C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77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69E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18F90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2473A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DBE1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1.5%噻霉酮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E11F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水乳剂  1000mL/瓶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A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B8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DCB9F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2A62BA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365DB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8791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多菌灵可湿性粉剂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438CA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50%多菌灵WP、可湿性粉剂、500g/袋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1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C3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71F76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14940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4CEAD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E461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45%唑醚·戊唑醇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C2301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15%吡唑醚菌酯+30%戊唑醇、悬浮剂、500g/瓶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3A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B2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4043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2A0FD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05E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7282C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松脂酸钠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83DE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有效成分含量：30%、水乳剂、1000mL/瓶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D4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0B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2FC99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00970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38EF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F57B0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有机肥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ED9B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羊粪精滤有机肥 20kg/袋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7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F9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390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7830D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4600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AD84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磷酸二铵复合肥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F5C7F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总养分（N+P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O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vertAlign w:val="subscript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）≥64.0%、50kg/袋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2D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6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886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485BB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A988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BAA30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农用尿素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4AB73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总氮≥46.4%、粒度范围0.85-2.80mm、50kg/袋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22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34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9FF32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06703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572A2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1.19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3639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黄腐酸钾（松土改良剂）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779B0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黄腐酸钾≥55% 腐殖酸≥60% 氯化钾≥12%  PH9-11  25kg/袋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E4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10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F681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6DE84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6439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1.20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F8FFC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迷向丝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0E20B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新型李小/梨小/桃小食心虫复合迷向丝、200根/包、有效期6个月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BA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67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772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68C92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F9B72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3EDA3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石灰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DA5DE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散装、有效钙含量≥90%，块粒状：1cm-4cm（粉、沫、块）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B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CA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772C3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3E5B97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C495E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02D1C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工业盐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65E60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50kg/袋、外观性状：颗粒状、等级：一级品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AA4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D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16E35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4508D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13114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E5A3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粘虫胶带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7FD5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黄色（宽度×长度）10cm×50m、30卷/箱、双面带胶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FB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C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24D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6A537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E3B14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04DAF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设备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2BE6F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1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7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E0D3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1CC62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F2B62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E054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防护器具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C788A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包含面罩、口罩、防护服、防毒手套等。成人医用非一次性防护面罩：33 ×22 cm；高清视野阻隔防护；双面防雾化处理，防化工气体打农药用口罩 KN95 级3600 防毒面具套装、材质：橡胶主体，防护服：一次性医用；连体式（含脚套）无菌防护服；均码（160-180 cm）具备：透气性好、防细小颗粒、有效隔离避免直接接触，UVEX 氯丁橡胶工业防毒手套：材质：橡胶、乳胶、合成橡胶；具备植棉绒衬里、防滑纹路、机械性能、防化性能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A9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11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CE43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77E47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0C2A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4101C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修枝剪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A90B5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SK5刀头、硅胶手柄套，开口尺寸55mm，产品尺寸201×60mm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3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86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9D32D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767C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79E7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3312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油锯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97B45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发动机型式 单缸、风冷、二冲程，最大功率/转速（kW/r/min） ：2.4/8500，排量（ml）： 50.8，燃油消耗率（g/Kw·h）：≤500，离合转速（r/min）：5000±300，汽油油箱容积（mL）：540，导板长度：18in ，外形尺寸（mm）： 430×180×260，重量（kg）：5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F4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C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D1C7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33647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AE508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EC63C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手工钢锯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9DAE8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材质：钢、长60公分以上、SK5三门、磨齿果树锯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80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676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0DA5F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5481B0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4A7A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73C99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履带式除草机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60D6E">
            <w:pPr>
              <w:spacing w:line="22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功率16HP、自走式、旋转刀片、发动机排量452CC，发动机类型：四冲程、转速3600rpm、切割高度：10-200mm、燃油类型：汽油、邮箱容量：8L，外形尺寸：1400×1200×630mm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FD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0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00CAB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61EFE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2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C6A4E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82E3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农用四轮打药车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B2EFA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型式：水冷、直列4冲程柴油机，气缸数：6，驱动形式：四轮驱动，配套功率120马力，PTO 转速(r/min)：540/1000、额定牵引力(KN)：28，标定功率(KW)：88.2，额定转速：2300，变速箱：组成式(1+1)x4x4，同步器+啮合套换档，外形尺寸（长×宽×高）：5250×2400×3030mm、带农用拖车、车厢尺寸（长×宽×高）：3400×1900×500mm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3C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8D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20664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bookmarkStart w:id="0" w:name="_GoBack"/>
            <w:r>
              <w:rPr>
                <w:rFonts w:hint="eastAsia" w:ascii="宋体" w:hAnsi="宋体" w:cs="宋体"/>
                <w:b w:val="0"/>
                <w:bCs w:val="0"/>
                <w:color w:val="000000"/>
                <w:sz w:val="20"/>
                <w:szCs w:val="20"/>
                <w:lang w:eastAsia="zh-CN"/>
              </w:rPr>
              <w:t>车牌，保险，契税等费用由供应商承担及办理相关手续</w:t>
            </w:r>
            <w:bookmarkEnd w:id="0"/>
          </w:p>
        </w:tc>
      </w:tr>
      <w:tr w14:paraId="3130E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F4C20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809FA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开沟旋耕除草一体机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37D9A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传动方式:机械传动，履带尺寸：72×36×180mm，外形尺寸：2550×900×1150mm，开沟深度：387mm，燃油类型：柴油，除草深度：339mm，除草宽度：1301mm，施肥宽度：374mm，行走方式：履带式，施肥深度：337mm，旋耕深度：372mm，回填速度：408m，整机重：750kg，轮距：840mm，刀片数量：10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E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C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45C77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06BF5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0341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6AD4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铺膜播种施肥一体机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B1545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播种行数：2行，整机重量：180kg，外形尺寸：1900×1150×920mm，行距：380-550mm，播种单位率＞92%，最大施肥量：800kg（可调），膜幅宽度：900mm，膜边覆土宽＞35mm，膜边覆土厚＞25mm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0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D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D9ADD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531DFB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60886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A3465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太阳能诱捕灭虫器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09E8B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光源参数：波长320n-680rm、功率15W；太阳能电池板参数：功率30W、尺寸505×430mm；风机参数：供电12V、功率4W；立杆参数：直径76mm、长度3m；使用寿命&gt;3年，具有产品合格证和检测机构出具的检验报告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eastAsia="zh-CN"/>
              </w:rPr>
              <w:t>。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4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AA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6C8B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1E2EB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4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9E30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2.10 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63A0E">
            <w:pPr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病虫害监测设备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4827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>包含病虫害监测预警系统：20W黑色灯管(主波长360mm以上)：光通量未2700Im-2920Im；红外加热；互成120角度，单屏尺寸：长595士2 m，宽213士2咖，厚5mm；电处理面积：257.5mm×262mm；红外虫体处理仓温度：工作15 钟后达到85士5℃；灯管启动时间：&lt;5s；网络摄像头：500万像素；识别方式：区域卷积神经网络；通讯方式：以太网(默认)4C；工作方式：晚上自动开启监测，白天自动关灯待机；工作温度环境：0-40℃；功率待机≤5；整灯功率≤450W。</w:t>
            </w:r>
          </w:p>
          <w:p w14:paraId="285BA180">
            <w:pPr>
              <w:spacing w:line="240" w:lineRule="exact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  <w:t xml:space="preserve">监测工具2套（放大镜1件、记号笔2支、签字笔2支、强光手电筒1把、计数器1件、取样铲1把、窄毛刷1号1把、2号1把、剪枝剪1把、老虎钳1把、采集标签5页、收虫瓶1个、离心管2个、标本夹1件、便携解剖工具1套、口罩1包、卫生包1包、无菌1包、劳保手套1双、一次性乳胶手套1双、采集袋20个、取样袋20个、昆虫记录本1本、标本浸泡瓶1个、福尔马林液1瓶、微型显微镜1件、铁丝1卷、拖车1件、常用工具箱1个）、植物病虫害防治诊断仪1个、整套耗材1套。                 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44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E1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EB0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70486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3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技术培训、宣传费</w:t>
            </w:r>
          </w:p>
        </w:tc>
        <w:tc>
          <w:tcPr>
            <w:tcW w:w="6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6F77"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bidi="ar"/>
              </w:rPr>
              <w:t>人员培训、药剂配比及设备器具操作培训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 w:bidi="ar"/>
              </w:rPr>
              <w:t>病虫害防控宣传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C6874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bidi="ar"/>
              </w:rPr>
              <w:t>2000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A575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  <w:lang w:bidi="ar"/>
              </w:rPr>
              <w:t>人</w:t>
            </w: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11CC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14:paraId="33246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6328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93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F0D9F">
            <w:pPr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2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2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9EC12">
            <w:pPr>
              <w:widowControl/>
              <w:spacing w:line="2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</w:tbl>
    <w:p w14:paraId="25AB96B7"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53C69"/>
    <w:rsid w:val="0BDA25E8"/>
    <w:rsid w:val="11162CD7"/>
    <w:rsid w:val="209B07BE"/>
    <w:rsid w:val="29A17EB5"/>
    <w:rsid w:val="2D141BCC"/>
    <w:rsid w:val="32526625"/>
    <w:rsid w:val="3DA66F7A"/>
    <w:rsid w:val="551D1AF4"/>
    <w:rsid w:val="5BDD711C"/>
    <w:rsid w:val="6985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keepNext/>
      <w:keepLines/>
      <w:autoSpaceDE w:val="0"/>
      <w:autoSpaceDN w:val="0"/>
      <w:adjustRightInd w:val="0"/>
      <w:spacing w:line="240" w:lineRule="auto"/>
      <w:jc w:val="center"/>
      <w:outlineLvl w:val="0"/>
    </w:pPr>
    <w:rPr>
      <w:rFonts w:ascii="宋体" w:hAnsi="宋体" w:eastAsia="宋体"/>
      <w:b/>
      <w:kern w:val="44"/>
      <w:sz w:val="32"/>
      <w:szCs w:val="20"/>
    </w:rPr>
  </w:style>
  <w:style w:type="paragraph" w:styleId="4">
    <w:name w:val="heading 2"/>
    <w:basedOn w:val="1"/>
    <w:next w:val="5"/>
    <w:link w:val="10"/>
    <w:semiHidden/>
    <w:unhideWhenUsed/>
    <w:qFormat/>
    <w:uiPriority w:val="0"/>
    <w:pPr>
      <w:keepNext/>
      <w:keepLines/>
      <w:autoSpaceDE w:val="0"/>
      <w:autoSpaceDN w:val="0"/>
      <w:adjustRightInd w:val="0"/>
      <w:spacing w:before="120" w:line="300" w:lineRule="auto"/>
      <w:jc w:val="center"/>
      <w:outlineLvl w:val="1"/>
    </w:pPr>
    <w:rPr>
      <w:rFonts w:ascii="Arial" w:hAnsi="Arial" w:eastAsia="宋体"/>
      <w:b/>
      <w:kern w:val="0"/>
      <w:sz w:val="30"/>
      <w:szCs w:val="20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宋体" w:asciiTheme="minorAscii" w:hAnsiTheme="minorAscii"/>
      <w:b/>
      <w:sz w:val="30"/>
      <w:szCs w:val="22"/>
      <w:lang w:eastAsia="en-US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ind w:firstLine="420" w:firstLineChars="200"/>
    </w:pPr>
  </w:style>
  <w:style w:type="paragraph" w:customStyle="1" w:styleId="8">
    <w:name w:val="Table Text"/>
    <w:basedOn w:val="1"/>
    <w:autoRedefine/>
    <w:semiHidden/>
    <w:qFormat/>
    <w:uiPriority w:val="0"/>
    <w:pPr>
      <w:kinsoku/>
      <w:wordWrap w:val="0"/>
      <w:spacing w:line="240" w:lineRule="auto"/>
      <w:ind w:left="0" w:leftChars="0" w:firstLine="896" w:firstLineChars="200"/>
      <w:jc w:val="center"/>
    </w:pPr>
    <w:rPr>
      <w:rFonts w:ascii="宋体" w:hAnsi="宋体" w:eastAsia="宋体" w:cs="宋体"/>
      <w:snapToGrid w:val="0"/>
      <w:color w:val="000000"/>
      <w:kern w:val="0"/>
      <w:sz w:val="18"/>
      <w:szCs w:val="18"/>
      <w:lang w:eastAsia="en-US"/>
    </w:rPr>
  </w:style>
  <w:style w:type="character" w:customStyle="1" w:styleId="9">
    <w:name w:val="标题 1 Char"/>
    <w:link w:val="3"/>
    <w:qFormat/>
    <w:uiPriority w:val="0"/>
    <w:rPr>
      <w:rFonts w:ascii="宋体" w:hAnsi="宋体" w:eastAsia="宋体"/>
      <w:b/>
      <w:kern w:val="44"/>
      <w:sz w:val="32"/>
    </w:rPr>
  </w:style>
  <w:style w:type="character" w:customStyle="1" w:styleId="10">
    <w:name w:val="标题 2 Char"/>
    <w:link w:val="4"/>
    <w:qFormat/>
    <w:uiPriority w:val="0"/>
    <w:rPr>
      <w:rFonts w:ascii="Arial" w:hAnsi="Arial" w:eastAsia="宋体"/>
      <w:b/>
      <w:sz w:val="30"/>
    </w:rPr>
  </w:style>
  <w:style w:type="paragraph" w:styleId="11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533</Words>
  <Characters>847</Characters>
  <Lines>0</Lines>
  <Paragraphs>0</Paragraphs>
  <TotalTime>2</TotalTime>
  <ScaleCrop>false</ScaleCrop>
  <LinksUpToDate>false</LinksUpToDate>
  <CharactersWithSpaces>873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2025-03-07T06:32:00Z</dcterms:created>
  <dc:creator>年少怎能不多情</dc:creator>
  <cp:lastModifiedBy>Administrator</cp:lastModifiedBy>
  <dcterms:modified xsi:type="dcterms:W3CDTF">2025-03-07T10:44:28Z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036BBB95B38249518903A5DFFA72D899_11</vt:lpwstr>
  </property>
  <property fmtid="{D5CDD505-2E9C-101B-9397-08002B2CF9AE}" pid="4" name="KSOTemplateDocerSaveRecord">
    <vt:lpwstr>eyJoZGlkIjoiY2FiNjJmOGYwMzQ1MzE4OTdlNzA3MGJmYzQ4NjEyNWEifQ==</vt:lpwstr>
  </property>
</Properties>
</file>