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7C4E8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7F9A3762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4E15064C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1EC7BDBB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384D1BE8">
      <w:pPr>
        <w:pStyle w:val="3"/>
        <w:ind w:firstLine="0" w:firstLineChars="0"/>
        <w:jc w:val="center"/>
        <w:rPr>
          <w:rFonts w:ascii="宋体" w:hAnsi="宋体"/>
          <w:b/>
          <w:bCs/>
        </w:rPr>
      </w:pPr>
    </w:p>
    <w:p w14:paraId="1BD0112D">
      <w:pPr>
        <w:jc w:val="center"/>
        <w:rPr>
          <w:rFonts w:ascii="黑体" w:eastAsia="黑体"/>
          <w:sz w:val="72"/>
          <w:szCs w:val="72"/>
        </w:rPr>
      </w:pPr>
    </w:p>
    <w:p w14:paraId="67C4CAD2">
      <w:pPr>
        <w:pStyle w:val="3"/>
        <w:ind w:firstLine="0" w:firstLineChars="0"/>
        <w:jc w:val="center"/>
        <w:rPr>
          <w:rFonts w:ascii="黑体" w:hAnsi="黑体" w:eastAsia="黑体" w:cs="宋体"/>
          <w:bCs/>
          <w:sz w:val="48"/>
          <w:szCs w:val="48"/>
        </w:rPr>
      </w:pPr>
      <w:r>
        <w:rPr>
          <w:rFonts w:hint="eastAsia" w:ascii="黑体" w:hAnsi="黑体" w:eastAsia="黑体" w:cs="宋体"/>
          <w:bCs/>
          <w:sz w:val="48"/>
          <w:szCs w:val="48"/>
          <w:lang w:val="en-US" w:eastAsia="zh-CN"/>
        </w:rPr>
        <w:t>克</w:t>
      </w:r>
      <w:r>
        <w:rPr>
          <w:rFonts w:hint="eastAsia" w:ascii="黑体" w:hAnsi="黑体" w:eastAsia="黑体" w:cs="宋体"/>
          <w:bCs/>
          <w:sz w:val="48"/>
          <w:szCs w:val="48"/>
        </w:rPr>
        <w:t>州公共资源交易平台</w:t>
      </w:r>
    </w:p>
    <w:p w14:paraId="7ED87834">
      <w:pPr>
        <w:pStyle w:val="3"/>
        <w:ind w:firstLine="0" w:firstLineChars="0"/>
        <w:jc w:val="center"/>
        <w:rPr>
          <w:rFonts w:ascii="黑体" w:hAnsi="黑体" w:eastAsia="黑体" w:cs="宋体"/>
          <w:bCs/>
          <w:sz w:val="48"/>
          <w:szCs w:val="48"/>
        </w:rPr>
      </w:pPr>
      <w:r>
        <w:rPr>
          <w:rFonts w:hint="eastAsia" w:ascii="黑体" w:hAnsi="黑体" w:eastAsia="黑体" w:cs="宋体"/>
          <w:bCs/>
          <w:sz w:val="48"/>
          <w:szCs w:val="48"/>
        </w:rPr>
        <w:t>通用无范本</w:t>
      </w:r>
    </w:p>
    <w:p w14:paraId="22237D15">
      <w:pPr>
        <w:pStyle w:val="3"/>
        <w:ind w:firstLine="0" w:firstLineChars="0"/>
        <w:jc w:val="center"/>
        <w:rPr>
          <w:rFonts w:hint="eastAsia" w:ascii="黑体" w:hAnsi="黑体" w:eastAsia="黑体" w:cs="宋体"/>
          <w:bCs/>
          <w:sz w:val="48"/>
          <w:szCs w:val="48"/>
          <w:lang w:val="en-US" w:eastAsia="zh-CN"/>
        </w:rPr>
      </w:pPr>
      <w:r>
        <w:rPr>
          <w:rFonts w:hint="eastAsia" w:ascii="黑体" w:hAnsi="黑体" w:eastAsia="黑体" w:cs="宋体"/>
          <w:bCs/>
          <w:sz w:val="48"/>
          <w:szCs w:val="48"/>
        </w:rPr>
        <w:t>操作手册V1.</w:t>
      </w:r>
      <w:r>
        <w:rPr>
          <w:rFonts w:hint="eastAsia" w:ascii="黑体" w:hAnsi="黑体" w:eastAsia="黑体" w:cs="宋体"/>
          <w:bCs/>
          <w:sz w:val="48"/>
          <w:szCs w:val="48"/>
          <w:lang w:val="en-US" w:eastAsia="zh-CN"/>
        </w:rPr>
        <w:t>2</w:t>
      </w:r>
    </w:p>
    <w:p w14:paraId="206988DB">
      <w:pPr>
        <w:widowControl/>
        <w:jc w:val="left"/>
        <w:rPr>
          <w:rFonts w:ascii="黑体" w:hAnsi="黑体" w:eastAsia="黑体" w:cs="宋体"/>
          <w:bCs/>
          <w:sz w:val="48"/>
          <w:szCs w:val="48"/>
        </w:rPr>
      </w:pPr>
      <w:r>
        <w:rPr>
          <w:rFonts w:ascii="黑体" w:hAnsi="黑体" w:eastAsia="黑体" w:cs="宋体"/>
          <w:bCs/>
          <w:sz w:val="48"/>
          <w:szCs w:val="48"/>
        </w:rPr>
        <w:br w:type="page"/>
      </w:r>
    </w:p>
    <w:p w14:paraId="084EAA94">
      <w:pPr>
        <w:pStyle w:val="3"/>
        <w:ind w:firstLine="0" w:firstLineChars="0"/>
        <w:jc w:val="center"/>
        <w:rPr>
          <w:rFonts w:ascii="黑体" w:eastAsia="黑体"/>
          <w:sz w:val="48"/>
          <w:szCs w:val="48"/>
        </w:rPr>
      </w:pPr>
    </w:p>
    <w:p w14:paraId="23E67BCD">
      <w:pPr>
        <w:jc w:val="center"/>
        <w:rPr>
          <w:rFonts w:ascii="黑体" w:eastAsia="黑体"/>
          <w:sz w:val="44"/>
          <w:szCs w:val="44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/>
        </w:rPr>
        <w:id w:val="334492238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/>
        </w:rPr>
      </w:sdtEndPr>
      <w:sdtContent>
        <w:p w14:paraId="5289AA37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3821FE2C">
          <w:pPr>
            <w:pStyle w:val="12"/>
            <w:tabs>
              <w:tab w:val="right" w:leader="dot" w:pos="8306"/>
              <w:tab w:val="clear" w:pos="420"/>
              <w:tab w:val="clear" w:pos="8296"/>
            </w:tabs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_Toc16764 </w:instrText>
          </w:r>
          <w:r>
            <w:fldChar w:fldCharType="separate"/>
          </w:r>
          <w:r>
            <w:rPr>
              <w:rFonts w:ascii="宋体" w:hAnsi="宋体"/>
            </w:rPr>
            <w:t xml:space="preserve">一. </w:t>
          </w:r>
          <w:r>
            <w:rPr>
              <w:rFonts w:hint="eastAsia" w:ascii="宋体" w:hAnsi="宋体"/>
              <w:lang w:val="en-US" w:eastAsia="zh-CN"/>
            </w:rPr>
            <w:t>招标文件</w:t>
          </w:r>
          <w:r>
            <w:tab/>
          </w:r>
          <w:r>
            <w:fldChar w:fldCharType="begin"/>
          </w:r>
          <w:r>
            <w:instrText xml:space="preserve"> PAGEREF _Toc16764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B867135">
          <w:pPr>
            <w:pStyle w:val="12"/>
            <w:tabs>
              <w:tab w:val="right" w:leader="dot" w:pos="8306"/>
              <w:tab w:val="clear" w:pos="420"/>
              <w:tab w:val="clear" w:pos="8296"/>
            </w:tabs>
          </w:pPr>
          <w:r>
            <w:fldChar w:fldCharType="begin"/>
          </w:r>
          <w:r>
            <w:instrText xml:space="preserve"> HYPERLINK \l _Toc24418 </w:instrText>
          </w:r>
          <w:r>
            <w:fldChar w:fldCharType="separate"/>
          </w:r>
          <w:r>
            <w:rPr>
              <w:rFonts w:hint="default" w:eastAsia="宋体"/>
              <w:lang w:val="en-US" w:eastAsia="zh-CN"/>
            </w:rPr>
            <w:t xml:space="preserve">二. </w:t>
          </w:r>
          <w:r>
            <w:rPr>
              <w:rFonts w:hint="eastAsia"/>
              <w:lang w:val="en-US" w:eastAsia="zh-CN"/>
            </w:rPr>
            <w:t>评标办法</w:t>
          </w:r>
          <w:r>
            <w:tab/>
          </w:r>
          <w:r>
            <w:fldChar w:fldCharType="begin"/>
          </w:r>
          <w:r>
            <w:instrText xml:space="preserve"> PAGEREF _Toc24418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6C4CEE2">
          <w:pPr>
            <w:pStyle w:val="14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_Toc31247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1、 新增评分项</w:t>
          </w:r>
          <w:r>
            <w:tab/>
          </w:r>
          <w:r>
            <w:fldChar w:fldCharType="begin"/>
          </w:r>
          <w:r>
            <w:instrText xml:space="preserve"> PAGEREF _Toc31247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69734FC3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_Toc25690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1.1通用无范本</w:t>
          </w:r>
          <w:r>
            <w:tab/>
          </w:r>
          <w:r>
            <w:fldChar w:fldCharType="begin"/>
          </w:r>
          <w:r>
            <w:instrText xml:space="preserve"> PAGEREF _Toc25690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DFDFE8B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_Toc28721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1.2通用无范本双信封</w:t>
          </w:r>
          <w:r>
            <w:tab/>
          </w:r>
          <w:r>
            <w:fldChar w:fldCharType="begin"/>
          </w:r>
          <w:r>
            <w:instrText xml:space="preserve"> PAGEREF _Toc28721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9EEB333">
          <w:pPr>
            <w:pStyle w:val="14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_Toc16244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2、 设置评分点</w:t>
          </w:r>
          <w:r>
            <w:tab/>
          </w:r>
          <w:r>
            <w:fldChar w:fldCharType="begin"/>
          </w:r>
          <w:r>
            <w:instrText xml:space="preserve"> PAGEREF _Toc16244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7EFDD8D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_Toc16516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2.1评分大节点设置</w:t>
          </w:r>
          <w:r>
            <w:tab/>
          </w:r>
          <w:r>
            <w:fldChar w:fldCharType="begin"/>
          </w:r>
          <w:r>
            <w:instrText xml:space="preserve"> PAGEREF _Toc16516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35AD244">
          <w:pPr>
            <w:pStyle w:val="14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_Toc23357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3、 权重设置</w:t>
          </w:r>
          <w:r>
            <w:tab/>
          </w:r>
          <w:r>
            <w:fldChar w:fldCharType="begin"/>
          </w:r>
          <w:r>
            <w:instrText xml:space="preserve"> PAGEREF _Toc23357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74DEE3C9">
          <w:pPr>
            <w:pStyle w:val="12"/>
            <w:tabs>
              <w:tab w:val="right" w:leader="dot" w:pos="8306"/>
              <w:tab w:val="clear" w:pos="420"/>
              <w:tab w:val="clear" w:pos="8296"/>
            </w:tabs>
          </w:pPr>
          <w:r>
            <w:fldChar w:fldCharType="begin"/>
          </w:r>
          <w:r>
            <w:instrText xml:space="preserve"> HYPERLINK \l _Toc12807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三. </w:t>
          </w:r>
          <w:r>
            <w:rPr>
              <w:rFonts w:hint="eastAsia"/>
              <w:lang w:val="en-US" w:eastAsia="zh-CN"/>
            </w:rPr>
            <w:t>投标文件组成</w:t>
          </w:r>
          <w:r>
            <w:tab/>
          </w:r>
          <w:r>
            <w:fldChar w:fldCharType="begin"/>
          </w:r>
          <w:r>
            <w:instrText xml:space="preserve"> PAGEREF _Toc12807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5FA40B4">
          <w:pPr>
            <w:pStyle w:val="12"/>
            <w:tabs>
              <w:tab w:val="right" w:leader="dot" w:pos="8306"/>
              <w:tab w:val="clear" w:pos="420"/>
              <w:tab w:val="clear" w:pos="8296"/>
            </w:tabs>
          </w:pPr>
          <w:r>
            <w:fldChar w:fldCharType="begin"/>
          </w:r>
          <w:r>
            <w:instrText xml:space="preserve"> HYPERLINK \l _Toc30388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四. </w:t>
          </w:r>
          <w:r>
            <w:rPr>
              <w:rFonts w:hint="eastAsia"/>
              <w:lang w:val="en-US" w:eastAsia="zh-CN"/>
            </w:rPr>
            <w:t>注意事项</w:t>
          </w:r>
          <w:r>
            <w:tab/>
          </w:r>
          <w:r>
            <w:fldChar w:fldCharType="begin"/>
          </w:r>
          <w:r>
            <w:instrText xml:space="preserve"> PAGEREF _Toc30388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118C5BE9">
          <w:r>
            <w:fldChar w:fldCharType="end"/>
          </w:r>
        </w:p>
      </w:sdtContent>
    </w:sdt>
    <w:p w14:paraId="1641535B">
      <w:pPr>
        <w:pStyle w:val="3"/>
        <w:ind w:firstLine="0" w:firstLineChars="0"/>
        <w:jc w:val="center"/>
        <w:rPr>
          <w:rFonts w:ascii="宋体" w:hAnsi="宋体"/>
          <w:b/>
          <w:bCs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F6FEFA3">
      <w:pPr>
        <w:pStyle w:val="3"/>
        <w:ind w:firstLine="0" w:firstLineChars="0"/>
        <w:rPr>
          <w:rFonts w:ascii="宋体" w:hAnsi="宋体"/>
          <w:b/>
          <w:bCs/>
        </w:rPr>
      </w:pPr>
    </w:p>
    <w:p w14:paraId="68D28977">
      <w:pPr>
        <w:pStyle w:val="2"/>
        <w:rPr>
          <w:rFonts w:ascii="宋体" w:hAnsi="宋体"/>
        </w:rPr>
      </w:pPr>
      <w:bookmarkStart w:id="0" w:name="_Toc16764"/>
      <w:bookmarkStart w:id="1" w:name="_Toc446945002"/>
      <w:bookmarkStart w:id="2" w:name="_Toc446944918"/>
      <w:bookmarkStart w:id="3" w:name="_Toc446946553"/>
      <w:bookmarkStart w:id="4" w:name="_Toc446945138"/>
      <w:r>
        <w:rPr>
          <w:rFonts w:hint="eastAsia" w:ascii="宋体" w:hAnsi="宋体"/>
          <w:lang w:val="en-US" w:eastAsia="zh-CN"/>
        </w:rPr>
        <w:t>招标文件</w:t>
      </w:r>
      <w:bookmarkEnd w:id="0"/>
    </w:p>
    <w:p w14:paraId="135F0073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通用无范本，直接上传招标文件即可</w:t>
      </w:r>
    </w:p>
    <w:p w14:paraId="6039B973">
      <w:pPr>
        <w:pStyle w:val="3"/>
        <w:ind w:left="0" w:leftChars="0" w:firstLine="0" w:firstLineChars="0"/>
      </w:pPr>
      <w:r>
        <w:drawing>
          <wp:inline distT="0" distB="0" distL="114300" distR="114300">
            <wp:extent cx="5274310" cy="1464310"/>
            <wp:effectExtent l="0" t="0" r="13970" b="1397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0B04C">
      <w:pPr>
        <w:pStyle w:val="2"/>
        <w:rPr>
          <w:rFonts w:hint="default" w:eastAsia="宋体"/>
          <w:lang w:val="en-US" w:eastAsia="zh-CN"/>
        </w:rPr>
      </w:pPr>
      <w:bookmarkStart w:id="5" w:name="_Toc24418"/>
      <w:r>
        <w:rPr>
          <w:rFonts w:hint="eastAsia"/>
          <w:lang w:val="en-US" w:eastAsia="zh-CN"/>
        </w:rPr>
        <w:t>评标办法</w:t>
      </w:r>
      <w:bookmarkEnd w:id="5"/>
    </w:p>
    <w:p w14:paraId="5845AE60">
      <w:pPr>
        <w:pStyle w:val="4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6" w:name="_Toc31247"/>
      <w:r>
        <w:rPr>
          <w:rFonts w:hint="eastAsia"/>
          <w:lang w:val="en-US" w:eastAsia="zh-CN"/>
        </w:rPr>
        <w:t>新增评分项</w:t>
      </w:r>
      <w:bookmarkEnd w:id="6"/>
    </w:p>
    <w:p w14:paraId="22F021F5">
      <w:pPr>
        <w:pStyle w:val="5"/>
        <w:bidi w:val="0"/>
        <w:rPr>
          <w:rFonts w:hint="default"/>
          <w:lang w:val="en-US" w:eastAsia="zh-CN"/>
        </w:rPr>
      </w:pPr>
      <w:bookmarkStart w:id="7" w:name="_Toc25690"/>
      <w:r>
        <w:rPr>
          <w:rFonts w:hint="eastAsia"/>
          <w:lang w:val="en-US" w:eastAsia="zh-CN"/>
        </w:rPr>
        <w:t>1.1通用无范本</w:t>
      </w:r>
      <w:bookmarkEnd w:id="7"/>
    </w:p>
    <w:p w14:paraId="7A01F5C7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评分项类型中的“经济标暗标评审项”“技术标暗标评审项”“设计方案暗标评审项”，是暗标节点。</w:t>
      </w:r>
    </w:p>
    <w:p w14:paraId="0B84B3FA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如果该评分项为暗标评审，则此处新增评分项时需勾选对应的暗标节点。</w:t>
      </w:r>
    </w:p>
    <w:p w14:paraId="26148CCA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如果该评分项为废标节点，则此处新增评分项时需勾选“是否为废标节点”。</w:t>
      </w:r>
    </w:p>
    <w:p w14:paraId="75B9FB63">
      <w:pPr>
        <w:widowControl w:val="0"/>
        <w:numPr>
          <w:ilvl w:val="0"/>
          <w:numId w:val="0"/>
        </w:numPr>
        <w:bidi w:val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74310" cy="2324100"/>
            <wp:effectExtent l="0" t="0" r="1397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7702F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同一评审步骤下可以有多个评分项</w:t>
      </w:r>
    </w:p>
    <w:p w14:paraId="1C696BE1">
      <w:pPr>
        <w:widowControl w:val="0"/>
        <w:numPr>
          <w:ilvl w:val="0"/>
          <w:numId w:val="0"/>
        </w:numPr>
        <w:bidi w:val="0"/>
        <w:jc w:val="both"/>
      </w:pPr>
      <w:r>
        <w:drawing>
          <wp:inline distT="0" distB="0" distL="114300" distR="114300">
            <wp:extent cx="5274310" cy="1176020"/>
            <wp:effectExtent l="0" t="0" r="8890" b="5080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D84BC">
      <w:pPr>
        <w:widowControl w:val="0"/>
        <w:numPr>
          <w:ilvl w:val="0"/>
          <w:numId w:val="0"/>
        </w:numPr>
        <w:bidi w:val="0"/>
        <w:jc w:val="both"/>
      </w:pPr>
      <w:r>
        <w:drawing>
          <wp:inline distT="0" distB="0" distL="114300" distR="114300">
            <wp:extent cx="5274310" cy="1334770"/>
            <wp:effectExtent l="0" t="0" r="13970" b="6350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A59DC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如果新增评分项时忘记勾选暗标节点，可以在评分项类型里选择，然后保存修改</w:t>
      </w:r>
      <w:r>
        <w:rPr>
          <w:rFonts w:hint="eastAsia"/>
          <w:lang w:val="en-US" w:eastAsia="zh-CN"/>
        </w:rPr>
        <w:t>。</w:t>
      </w:r>
    </w:p>
    <w:p w14:paraId="3B7A720F">
      <w:pPr>
        <w:widowControl w:val="0"/>
        <w:numPr>
          <w:ilvl w:val="0"/>
          <w:numId w:val="0"/>
        </w:numPr>
        <w:bidi w:val="0"/>
        <w:jc w:val="both"/>
      </w:pPr>
      <w:r>
        <w:drawing>
          <wp:inline distT="0" distB="0" distL="114300" distR="114300">
            <wp:extent cx="5274310" cy="1229360"/>
            <wp:effectExtent l="0" t="0" r="1397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C341B">
      <w:pPr>
        <w:widowControl w:val="0"/>
        <w:numPr>
          <w:ilvl w:val="0"/>
          <w:numId w:val="0"/>
        </w:numPr>
        <w:bidi w:val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1080770"/>
            <wp:effectExtent l="0" t="0" r="1397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508AB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评审步骤有多个</w:t>
      </w:r>
    </w:p>
    <w:p w14:paraId="01A5D2B5">
      <w:pPr>
        <w:widowControl w:val="0"/>
        <w:numPr>
          <w:ilvl w:val="0"/>
          <w:numId w:val="0"/>
        </w:numPr>
        <w:bidi w:val="0"/>
        <w:jc w:val="both"/>
      </w:pPr>
      <w:r>
        <w:drawing>
          <wp:inline distT="0" distB="0" distL="114300" distR="114300">
            <wp:extent cx="5274310" cy="1349375"/>
            <wp:effectExtent l="0" t="0" r="1397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AE431">
      <w:pPr>
        <w:pStyle w:val="5"/>
        <w:bidi w:val="0"/>
        <w:rPr>
          <w:rFonts w:hint="default"/>
          <w:lang w:val="en-US" w:eastAsia="zh-CN"/>
        </w:rPr>
      </w:pPr>
      <w:bookmarkStart w:id="8" w:name="_Toc28721"/>
      <w:r>
        <w:rPr>
          <w:rFonts w:hint="eastAsia"/>
          <w:lang w:val="en-US" w:eastAsia="zh-CN"/>
        </w:rPr>
        <w:t>1.2通用无范本双信封</w:t>
      </w:r>
      <w:bookmarkEnd w:id="8"/>
    </w:p>
    <w:p w14:paraId="07D98FA3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新增评分项、暗标节点设置、多评分项、评审步骤设置操作同1.1通用无范本</w:t>
      </w:r>
    </w:p>
    <w:p w14:paraId="4FECA1CB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eastAsia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新增第二信封评分项时，“此节点是否为第二信封”必须勾选是</w:t>
      </w:r>
    </w:p>
    <w:p w14:paraId="0D81F7E6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default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新增第二信封评分项时，“此节点是否为第二信封”必须勾选是</w:t>
      </w:r>
    </w:p>
    <w:p w14:paraId="0BCC41FE">
      <w:pPr>
        <w:widowControl w:val="0"/>
        <w:numPr>
          <w:ilvl w:val="0"/>
          <w:numId w:val="0"/>
        </w:numPr>
        <w:bidi w:val="0"/>
        <w:ind w:firstLine="420" w:firstLineChars="0"/>
        <w:jc w:val="both"/>
        <w:rPr>
          <w:rFonts w:hint="default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新增第二信封评分项时，“此节点是否为第二信封”必须勾选是</w:t>
      </w:r>
    </w:p>
    <w:bookmarkEnd w:id="1"/>
    <w:bookmarkEnd w:id="2"/>
    <w:bookmarkEnd w:id="3"/>
    <w:bookmarkEnd w:id="4"/>
    <w:p w14:paraId="77E80F25">
      <w:pPr>
        <w:pStyle w:val="3"/>
        <w:ind w:left="0" w:leftChars="0" w:firstLine="0" w:firstLineChars="0"/>
      </w:pPr>
      <w:r>
        <w:drawing>
          <wp:inline distT="0" distB="0" distL="114300" distR="114300">
            <wp:extent cx="5274310" cy="2335530"/>
            <wp:effectExtent l="0" t="0" r="13970" b="1143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A4472">
      <w:pPr>
        <w:pStyle w:val="4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9" w:name="_Toc16244"/>
      <w:r>
        <w:rPr>
          <w:rFonts w:hint="eastAsia"/>
          <w:lang w:val="en-US" w:eastAsia="zh-CN"/>
        </w:rPr>
        <w:t>设置评分点</w:t>
      </w:r>
      <w:bookmarkEnd w:id="9"/>
    </w:p>
    <w:p w14:paraId="174D7EDF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lang w:val="en-US" w:eastAsia="zh-CN"/>
        </w:rPr>
        <w:t>如果是符合性打分方式（就是通过还是不通过），则评审结果选择“符合性汇总模式”。</w:t>
      </w:r>
    </w:p>
    <w:p w14:paraId="78830F6D">
      <w:pPr>
        <w:pStyle w:val="3"/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5274310" cy="1998980"/>
            <wp:effectExtent l="0" t="0" r="13970" b="1270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F9F73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符合性汇总通过率</w:t>
      </w:r>
    </w:p>
    <w:p w14:paraId="46F167E4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分项符合评分项通过率：0%表示某位专家下列评审点，其中一点不通过，汇总时“资格审查”仍为通过；100%表示某位专家下列评审点，其中一点不通过，汇总时“资格审查”即不通过。</w:t>
      </w:r>
    </w:p>
    <w:p w14:paraId="33EE1F01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汇总时评委通过率</w:t>
      </w:r>
      <w:r>
        <w:rPr>
          <w:rFonts w:hint="eastAsia"/>
          <w:lang w:val="en-US" w:eastAsia="zh-CN"/>
        </w:rPr>
        <w:t>：0%表示多位专家评审“资格审查”，有一位专家该评分项不通过，该单位的“资格审查”仍为通过；100%表示多位专家评审“资格审查”，有一位专家该评分项不通过，则该单位的“资格审查”为不通过。</w:t>
      </w:r>
    </w:p>
    <w:p w14:paraId="2386AFF7">
      <w:pPr>
        <w:pStyle w:val="3"/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5274310" cy="1487805"/>
            <wp:effectExtent l="0" t="0" r="8890" b="10795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930AD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如果是计算式打分方式，则评审结果选择“分数汇总模式”</w:t>
      </w:r>
    </w:p>
    <w:p w14:paraId="369494F0">
      <w:pPr>
        <w:pStyle w:val="3"/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5274310" cy="2164080"/>
            <wp:effectExtent l="0" t="0" r="13970" b="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D8D08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如果新增评分项时勾选了暗标节点（经济标暗标评审项/技术标暗标评审项/设计方案暗标评审项）且该评分项为暗标，则需勾选暗标，此处如不勾选，则默认明标。</w:t>
      </w:r>
    </w:p>
    <w:p w14:paraId="7ED778AD">
      <w:pPr>
        <w:pStyle w:val="3"/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5274310" cy="1466850"/>
            <wp:effectExtent l="0" t="0" r="13970" b="11430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926A0">
      <w:pPr>
        <w:pStyle w:val="5"/>
        <w:bidi w:val="0"/>
        <w:rPr>
          <w:rFonts w:hint="default"/>
          <w:lang w:val="en-US" w:eastAsia="zh-CN"/>
        </w:rPr>
      </w:pPr>
      <w:bookmarkStart w:id="10" w:name="_Toc16516"/>
      <w:r>
        <w:rPr>
          <w:rFonts w:hint="eastAsia"/>
          <w:lang w:val="en-US" w:eastAsia="zh-CN"/>
        </w:rPr>
        <w:t>2.1评分大节点设置</w:t>
      </w:r>
      <w:bookmarkEnd w:id="10"/>
    </w:p>
    <w:p w14:paraId="7CE23565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如果是符合性打分，首先设置大节点名称然后点击保存。</w:t>
      </w:r>
    </w:p>
    <w:p w14:paraId="6A41DE2F">
      <w:pPr>
        <w:pStyle w:val="3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74310" cy="1956435"/>
            <wp:effectExtent l="0" t="0" r="13970" b="952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CEB5A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再次新增评分点，设置大节点下的评分项，序号需要设置为大节点的序号加“.”并从1开始计数新增，编辑设置评分点名称和评审标准。</w:t>
      </w:r>
    </w:p>
    <w:p w14:paraId="244B6548">
      <w:pPr>
        <w:pStyle w:val="3"/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5274310" cy="2347595"/>
            <wp:effectExtent l="0" t="0" r="1397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CDB49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正常设置评分点，符合性打分最终效果如下图：</w:t>
      </w:r>
    </w:p>
    <w:p w14:paraId="4F4BE064">
      <w:pPr>
        <w:pStyle w:val="3"/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5270500" cy="2199005"/>
            <wp:effectExtent l="0" t="0" r="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46A20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如果是分数打分项，选择分数汇总模式，其余评分项设置同上，</w:t>
      </w:r>
      <w:r>
        <w:rPr>
          <w:rFonts w:hint="eastAsia"/>
          <w:b/>
          <w:bCs/>
          <w:lang w:val="en-US" w:eastAsia="zh-CN"/>
        </w:rPr>
        <w:t>要注意的是，设置分数时，</w:t>
      </w:r>
      <w:r>
        <w:rPr>
          <w:rFonts w:hint="eastAsia"/>
          <w:b/>
          <w:bCs/>
          <w:highlight w:val="yellow"/>
          <w:lang w:val="en-US" w:eastAsia="zh-CN"/>
        </w:rPr>
        <w:t>大节点的分数要设置为分项汇总之和</w:t>
      </w:r>
      <w:r>
        <w:rPr>
          <w:rFonts w:hint="eastAsia"/>
          <w:b/>
          <w:bCs/>
          <w:lang w:val="en-US" w:eastAsia="zh-CN"/>
        </w:rPr>
        <w:t>。</w:t>
      </w:r>
    </w:p>
    <w:p w14:paraId="175F6C5B">
      <w:pPr>
        <w:pStyle w:val="3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2180590"/>
            <wp:effectExtent l="0" t="0" r="13970" b="13970"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E2F12">
      <w:pPr>
        <w:pStyle w:val="4"/>
        <w:numPr>
          <w:ilvl w:val="0"/>
          <w:numId w:val="2"/>
        </w:numPr>
        <w:bidi w:val="0"/>
        <w:ind w:left="567" w:leftChars="0" w:hanging="567" w:firstLineChars="0"/>
        <w:rPr>
          <w:rFonts w:hint="eastAsia"/>
          <w:lang w:val="en-US" w:eastAsia="zh-CN"/>
        </w:rPr>
      </w:pPr>
      <w:bookmarkStart w:id="11" w:name="_Toc23357"/>
      <w:r>
        <w:rPr>
          <w:rFonts w:hint="eastAsia"/>
          <w:lang w:val="en-US" w:eastAsia="zh-CN"/>
        </w:rPr>
        <w:t>权重设置</w:t>
      </w:r>
      <w:bookmarkEnd w:id="11"/>
    </w:p>
    <w:p w14:paraId="1BFACBAE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设置该评分项所占权重，点击确定</w:t>
      </w:r>
    </w:p>
    <w:p w14:paraId="7968BC4F">
      <w:pPr>
        <w:pStyle w:val="3"/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5274310" cy="977265"/>
            <wp:effectExtent l="0" t="0" r="13970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2985B">
      <w:pPr>
        <w:pStyle w:val="2"/>
        <w:bidi w:val="0"/>
        <w:rPr>
          <w:rFonts w:hint="default"/>
          <w:lang w:val="en-US" w:eastAsia="zh-CN"/>
        </w:rPr>
      </w:pPr>
      <w:bookmarkStart w:id="12" w:name="_Toc12807"/>
      <w:r>
        <w:rPr>
          <w:rFonts w:hint="eastAsia"/>
          <w:lang w:val="en-US" w:eastAsia="zh-CN"/>
        </w:rPr>
        <w:t>投标文件组成</w:t>
      </w:r>
      <w:bookmarkEnd w:id="12"/>
    </w:p>
    <w:p w14:paraId="3E8D0F71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点击新增</w:t>
      </w:r>
    </w:p>
    <w:p w14:paraId="765A5386">
      <w:pPr>
        <w:pStyle w:val="3"/>
        <w:ind w:left="0" w:leftChars="0" w:firstLine="0" w:firstLineChars="0"/>
      </w:pPr>
      <w:r>
        <w:drawing>
          <wp:inline distT="0" distB="0" distL="114300" distR="114300">
            <wp:extent cx="5271770" cy="843915"/>
            <wp:effectExtent l="0" t="0" r="11430" b="6985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317F6">
      <w:pPr>
        <w:pStyle w:val="3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新增对应评分项的投标文件组成部分</w:t>
      </w:r>
    </w:p>
    <w:p w14:paraId="75FA3F7B">
      <w:pPr>
        <w:pStyle w:val="3"/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b/>
          <w:bCs/>
          <w:highlight w:val="red"/>
          <w:lang w:val="en-US" w:eastAsia="zh-CN"/>
        </w:rPr>
        <w:t>新增双信封投标组成的时候注意选择对应投标文件所在信封节点</w:t>
      </w:r>
    </w:p>
    <w:p w14:paraId="36D6117F">
      <w:pPr>
        <w:pStyle w:val="3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4310" cy="1363345"/>
            <wp:effectExtent l="0" t="0" r="13970" b="8255"/>
            <wp:docPr id="2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56A02">
      <w:pPr>
        <w:pStyle w:val="3"/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如果该评分项为暗标评审，则新增投标文件组成时也需勾选对应的暗标节点</w:t>
      </w:r>
    </w:p>
    <w:p w14:paraId="4D14827B">
      <w:pPr>
        <w:pStyle w:val="3"/>
        <w:ind w:left="0" w:leftChars="0" w:firstLine="0" w:firstLineChars="0"/>
      </w:pPr>
      <w:r>
        <w:drawing>
          <wp:inline distT="0" distB="0" distL="114300" distR="114300">
            <wp:extent cx="5274310" cy="1280160"/>
            <wp:effectExtent l="0" t="0" r="8890" b="254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AE722">
      <w:pPr>
        <w:pStyle w:val="3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如果新增投标组成的时候忘记勾选暗标节点，同样可以在界面上勾选。</w:t>
      </w:r>
    </w:p>
    <w:p w14:paraId="7A6E38E2">
      <w:pPr>
        <w:pStyle w:val="3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918210"/>
            <wp:effectExtent l="0" t="0" r="13970" b="11430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F52F2">
      <w:pPr>
        <w:pStyle w:val="3"/>
        <w:ind w:left="0" w:leftChars="0" w:firstLine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新增的错的投标文件组成部分点击删除下的红色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×</w:t>
      </w:r>
      <w:r>
        <w:rPr>
          <w:rFonts w:hint="eastAsia"/>
          <w:lang w:val="en-US" w:eastAsia="zh-CN"/>
        </w:rPr>
        <w:t>可以删除，点击预览下的蓝色图标可以修改对应投标文件组成的模板</w:t>
      </w:r>
    </w:p>
    <w:p w14:paraId="3CA31206">
      <w:pPr>
        <w:pStyle w:val="3"/>
        <w:ind w:left="0" w:leftChars="0" w:firstLine="0" w:firstLineChars="0"/>
      </w:pPr>
      <w:r>
        <w:drawing>
          <wp:inline distT="0" distB="0" distL="114300" distR="114300">
            <wp:extent cx="5274310" cy="1193800"/>
            <wp:effectExtent l="0" t="0" r="13970" b="1016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0597">
      <w:pPr>
        <w:pStyle w:val="3"/>
        <w:ind w:left="0" w:leftChars="0" w:firstLine="42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修改投标组成的模板后需保存</w:t>
      </w:r>
    </w:p>
    <w:p w14:paraId="4CED208A">
      <w:pPr>
        <w:pStyle w:val="3"/>
        <w:ind w:left="0" w:leftChars="0" w:firstLine="0" w:firstLineChars="0"/>
      </w:pPr>
      <w:r>
        <w:drawing>
          <wp:inline distT="0" distB="0" distL="114300" distR="114300">
            <wp:extent cx="5274310" cy="1951990"/>
            <wp:effectExtent l="0" t="0" r="13970" b="13970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7EDC7">
      <w:pPr>
        <w:pStyle w:val="2"/>
        <w:bidi w:val="0"/>
        <w:rPr>
          <w:rFonts w:hint="default"/>
          <w:lang w:val="en-US" w:eastAsia="zh-CN"/>
        </w:rPr>
      </w:pPr>
      <w:bookmarkStart w:id="13" w:name="_Toc30388"/>
      <w:r>
        <w:rPr>
          <w:rFonts w:hint="eastAsia"/>
          <w:lang w:val="en-US" w:eastAsia="zh-CN"/>
        </w:rPr>
        <w:t>注意事项</w:t>
      </w:r>
      <w:bookmarkEnd w:id="13"/>
    </w:p>
    <w:p w14:paraId="1D35F48C">
      <w:pPr>
        <w:pStyle w:val="3"/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某一项为暗标评审项，则新增评分项的时候，须勾选暗标节点（经济标暗标评审项/技术标暗标评审项/设计方案暗标评审项），详细页中的明暗标设定也必须勾选暗标，对应的投标文件组成也需勾选对应的节点（经济标暗标/技术标暗标/设计方案暗标）</w:t>
      </w:r>
    </w:p>
    <w:p w14:paraId="079A3CBF">
      <w:pPr>
        <w:pStyle w:val="3"/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专家在评标的时候，暗标评审项只能看到对应的暗标文件</w:t>
      </w:r>
    </w:p>
    <w:p w14:paraId="3A5D1DF6">
      <w:pPr>
        <w:pStyle w:val="3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简单的说，如果新增评分点的时候，你勾选了暗标组成，但是该部分投标文件没有勾选对应的暗标节点，专家评标的时候，看不到投标文件的。</w:t>
      </w:r>
    </w:p>
    <w:p w14:paraId="1625873D">
      <w:pPr>
        <w:pStyle w:val="3"/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详细页中的评审结果、明暗标设定必须选择。</w:t>
      </w:r>
    </w:p>
    <w:p w14:paraId="6A610D80">
      <w:pPr>
        <w:pStyle w:val="3"/>
        <w:numPr>
          <w:ilvl w:val="0"/>
          <w:numId w:val="3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权重设置理解。</w:t>
      </w:r>
    </w:p>
    <w:p w14:paraId="3CFC4CD0">
      <w:pPr>
        <w:pStyle w:val="3"/>
        <w:widowControl w:val="0"/>
        <w:numPr>
          <w:ilvl w:val="0"/>
          <w:numId w:val="0"/>
        </w:numPr>
        <w:spacing w:line="360" w:lineRule="auto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示例如下图</w:t>
      </w:r>
    </w:p>
    <w:p w14:paraId="10DD9785">
      <w:pPr>
        <w:pStyle w:val="3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bookmarkStart w:id="14" w:name="_GoBack"/>
      <w:r>
        <w:drawing>
          <wp:inline distT="0" distB="0" distL="114300" distR="114300">
            <wp:extent cx="5274310" cy="835660"/>
            <wp:effectExtent l="0" t="0" r="8890" b="254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4"/>
    </w:p>
    <w:p w14:paraId="60AD5C88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图中共有四个打分评审项，各项总分分别是80分、34分、100分、100分。其中80分取16分，则权重设置为20，两个100分分别取20分、30分，则对应权重分别设置20、30，34分的就是取34分，则权重设置为100。</w:t>
      </w:r>
    </w:p>
    <w:p w14:paraId="1C0E2731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如果你的所有打分项合计就是100，则不用设置权重。</w:t>
      </w:r>
    </w:p>
    <w:p w14:paraId="47F51EAC">
      <w:pPr>
        <w:pStyle w:val="3"/>
        <w:widowControl w:val="0"/>
        <w:numPr>
          <w:ilvl w:val="0"/>
          <w:numId w:val="0"/>
        </w:numPr>
        <w:spacing w:line="360" w:lineRule="auto"/>
        <w:ind w:firstLine="420" w:firstLineChars="0"/>
        <w:jc w:val="both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924D8">
    <w:pPr>
      <w:widowControl/>
      <w:spacing w:line="320" w:lineRule="atLeast"/>
      <w:jc w:val="left"/>
      <w:textAlignment w:val="baseline"/>
      <w:rPr>
        <w:rFonts w:ascii="宋体" w:hAnsi="宋体" w:cs="宋体"/>
        <w:color w:val="000000"/>
        <w:kern w:val="0"/>
        <w:sz w:val="18"/>
        <w:szCs w:val="18"/>
      </w:rPr>
    </w:pPr>
    <w:r>
      <w:rPr>
        <w:rFonts w:ascii="宋体" w:hAnsi="宋体" w:cs="宋体"/>
        <w:color w:val="000000"/>
        <w:kern w:val="0"/>
        <w:sz w:val="18"/>
        <w:szCs w:val="18"/>
      </w:rPr>
      <w:pict>
        <v:rect id="_x0000_i1025" o:spt="1" style="height:3pt;width:415.3pt;" fillcolor="#70AD47" filled="t" stroked="f" coordsize="21600,21600" o:hr="t" o:hrstd="t" o:hrnoshade="t" o:hralign="center">
          <v:path/>
          <v:fill on="t" focussize="0,0"/>
          <v:stroke on="f"/>
          <v:imagedata o:title=""/>
          <o:lock v:ext="edit"/>
          <w10:wrap type="none"/>
          <w10:anchorlock/>
        </v:rect>
      </w:pict>
    </w:r>
  </w:p>
  <w:p w14:paraId="55789AA2">
    <w:pPr>
      <w:widowControl/>
      <w:spacing w:line="320" w:lineRule="atLeast"/>
      <w:jc w:val="left"/>
      <w:textAlignment w:val="baseline"/>
      <w:rPr>
        <w:rFonts w:asciiTheme="minorEastAsia" w:hAnsiTheme="minorEastAsia" w:eastAsiaTheme="minorEastAsia"/>
        <w:sz w:val="18"/>
        <w:szCs w:val="18"/>
      </w:rPr>
    </w:pPr>
    <w:r>
      <w:rPr>
        <w:rFonts w:cs="宋体" w:asciiTheme="minorEastAsia" w:hAnsiTheme="minorEastAsia" w:eastAsiaTheme="minorEastAsia"/>
        <w:color w:val="000000"/>
        <w:kern w:val="0"/>
        <w:sz w:val="18"/>
        <w:szCs w:val="18"/>
      </w:rPr>
      <w:tab/>
    </w:r>
    <w:sdt>
      <w:sdtPr>
        <w:rPr>
          <w:rFonts w:asciiTheme="minorEastAsia" w:hAnsiTheme="minorEastAsia" w:eastAsiaTheme="minorEastAsia"/>
          <w:sz w:val="18"/>
          <w:szCs w:val="18"/>
        </w:rPr>
        <w:id w:val="843435250"/>
      </w:sdtPr>
      <w:sdtEndPr>
        <w:rPr>
          <w:rFonts w:asciiTheme="minorEastAsia" w:hAnsiTheme="minorEastAsia" w:eastAsiaTheme="minorEastAsia"/>
          <w:sz w:val="18"/>
          <w:szCs w:val="18"/>
        </w:rPr>
      </w:sdtEndPr>
      <w:sdtContent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tab/>
        </w:r>
        <w:r>
          <w:rPr>
            <w:rFonts w:asciiTheme="minorEastAsia" w:hAnsiTheme="minorEastAsia" w:eastAsiaTheme="minorEastAsia"/>
            <w:sz w:val="18"/>
            <w:szCs w:val="18"/>
          </w:rPr>
          <w:fldChar w:fldCharType="begin"/>
        </w:r>
        <w:r>
          <w:rPr>
            <w:rFonts w:asciiTheme="minorEastAsia" w:hAnsiTheme="minorEastAsia" w:eastAsiaTheme="minorEastAsia"/>
            <w:sz w:val="18"/>
            <w:szCs w:val="1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18"/>
            <w:szCs w:val="18"/>
          </w:rPr>
          <w:fldChar w:fldCharType="separate"/>
        </w:r>
        <w:r>
          <w:rPr>
            <w:rFonts w:asciiTheme="minorEastAsia" w:hAnsiTheme="minorEastAsia" w:eastAsiaTheme="minorEastAsia"/>
            <w:sz w:val="18"/>
            <w:szCs w:val="18"/>
            <w:lang w:val="zh-CN"/>
          </w:rPr>
          <w:t>16</w:t>
        </w:r>
        <w:r>
          <w:rPr>
            <w:rFonts w:asciiTheme="minorEastAsia" w:hAnsiTheme="minorEastAsia" w:eastAsiaTheme="minorEastAsia"/>
            <w:sz w:val="18"/>
            <w:szCs w:val="18"/>
          </w:rPr>
          <w:fldChar w:fldCharType="end"/>
        </w:r>
      </w:sdtContent>
    </w:sdt>
  </w:p>
  <w:p w14:paraId="3E154726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FB43C">
    <w:pPr>
      <w:widowControl/>
      <w:spacing w:line="320" w:lineRule="atLeast"/>
      <w:jc w:val="left"/>
      <w:textAlignment w:val="baseline"/>
      <w:rPr>
        <w:rFonts w:ascii="微软雅黑" w:hAnsi="微软雅黑" w:eastAsia="微软雅黑" w:cs="宋体"/>
        <w:color w:val="000000"/>
        <w:kern w:val="0"/>
        <w:sz w:val="24"/>
      </w:rPr>
    </w:pPr>
    <w:r>
      <w:rPr>
        <w:rFonts w:ascii="MS Gothic" w:hAnsi="MS Gothic" w:eastAsia="微软雅黑" w:cs="MS Gothic"/>
        <w:color w:val="000000"/>
        <w:kern w:val="0"/>
        <w:sz w:val="24"/>
      </w:rPr>
      <w:t>​​</w:t>
    </w:r>
  </w:p>
  <w:p w14:paraId="7AF9B6C7">
    <w:pPr>
      <w:pBdr>
        <w:bottom w:val="thickThinSmallGap" w:color="622423" w:sz="24" w:space="1"/>
      </w:pBdr>
      <w:tabs>
        <w:tab w:val="center" w:pos="4153"/>
        <w:tab w:val="right" w:pos="8306"/>
      </w:tabs>
      <w:snapToGrid w:val="0"/>
      <w:rPr>
        <w:rFonts w:ascii="Calibri Light" w:hAnsi="Calibri Light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20FEBE"/>
    <w:multiLevelType w:val="singleLevel"/>
    <w:tmpl w:val="C720FEB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000011"/>
    <w:multiLevelType w:val="multilevel"/>
    <w:tmpl w:val="00000011"/>
    <w:lvl w:ilvl="0" w:tentative="0">
      <w:start w:val="1"/>
      <w:numFmt w:val="chineseCountingThousand"/>
      <w:pStyle w:val="2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snapToGrid w:val="0"/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"/>
        <w:kern w:val="0"/>
        <w:position w:val="0"/>
        <w:szCs w:val="2"/>
        <w:u w:val="none"/>
        <w:vertAlign w:val="baseline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2">
    <w:nsid w:val="7871ACDD"/>
    <w:multiLevelType w:val="singleLevel"/>
    <w:tmpl w:val="7871ACD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yMDBmYjEzZjZmNzg0MDYyOGYxNDFjZmJlNzc1YjgifQ=="/>
  </w:docVars>
  <w:rsids>
    <w:rsidRoot w:val="007362F1"/>
    <w:rsid w:val="000061EC"/>
    <w:rsid w:val="0002032D"/>
    <w:rsid w:val="00021945"/>
    <w:rsid w:val="000309D5"/>
    <w:rsid w:val="00032FAE"/>
    <w:rsid w:val="00060AB9"/>
    <w:rsid w:val="000922F3"/>
    <w:rsid w:val="0009289C"/>
    <w:rsid w:val="00096770"/>
    <w:rsid w:val="000B76FD"/>
    <w:rsid w:val="000C059B"/>
    <w:rsid w:val="000D161A"/>
    <w:rsid w:val="000D6C01"/>
    <w:rsid w:val="000E408D"/>
    <w:rsid w:val="000E5437"/>
    <w:rsid w:val="000E587C"/>
    <w:rsid w:val="000F0ED5"/>
    <w:rsid w:val="000F1820"/>
    <w:rsid w:val="000F6293"/>
    <w:rsid w:val="00100B49"/>
    <w:rsid w:val="00101856"/>
    <w:rsid w:val="00105EA2"/>
    <w:rsid w:val="00110780"/>
    <w:rsid w:val="00114FE1"/>
    <w:rsid w:val="0013424D"/>
    <w:rsid w:val="00150A0A"/>
    <w:rsid w:val="001618E9"/>
    <w:rsid w:val="001649B8"/>
    <w:rsid w:val="0017573B"/>
    <w:rsid w:val="00176D07"/>
    <w:rsid w:val="0018502A"/>
    <w:rsid w:val="001A295E"/>
    <w:rsid w:val="001B1F40"/>
    <w:rsid w:val="001B644D"/>
    <w:rsid w:val="001C016B"/>
    <w:rsid w:val="00201426"/>
    <w:rsid w:val="00220F33"/>
    <w:rsid w:val="002253B3"/>
    <w:rsid w:val="0024208F"/>
    <w:rsid w:val="00245756"/>
    <w:rsid w:val="0025306A"/>
    <w:rsid w:val="002564F3"/>
    <w:rsid w:val="00257684"/>
    <w:rsid w:val="00257E5E"/>
    <w:rsid w:val="00265571"/>
    <w:rsid w:val="002727C0"/>
    <w:rsid w:val="00283A6D"/>
    <w:rsid w:val="002B1877"/>
    <w:rsid w:val="002B5355"/>
    <w:rsid w:val="002B6350"/>
    <w:rsid w:val="002C5BCA"/>
    <w:rsid w:val="002D711F"/>
    <w:rsid w:val="002E31FF"/>
    <w:rsid w:val="002F3679"/>
    <w:rsid w:val="002F465E"/>
    <w:rsid w:val="002F5D01"/>
    <w:rsid w:val="00300B7F"/>
    <w:rsid w:val="00351DC2"/>
    <w:rsid w:val="00356EF1"/>
    <w:rsid w:val="00360F0C"/>
    <w:rsid w:val="003644C4"/>
    <w:rsid w:val="0037209A"/>
    <w:rsid w:val="0037546F"/>
    <w:rsid w:val="0038647E"/>
    <w:rsid w:val="00391312"/>
    <w:rsid w:val="003A10E9"/>
    <w:rsid w:val="003A4090"/>
    <w:rsid w:val="003A7952"/>
    <w:rsid w:val="003E1A81"/>
    <w:rsid w:val="003E3989"/>
    <w:rsid w:val="003F2CC8"/>
    <w:rsid w:val="00403268"/>
    <w:rsid w:val="00405A7F"/>
    <w:rsid w:val="00413156"/>
    <w:rsid w:val="00417672"/>
    <w:rsid w:val="0042055B"/>
    <w:rsid w:val="004238A6"/>
    <w:rsid w:val="004439E9"/>
    <w:rsid w:val="00446F93"/>
    <w:rsid w:val="00456C35"/>
    <w:rsid w:val="00460ADA"/>
    <w:rsid w:val="0048085C"/>
    <w:rsid w:val="00483342"/>
    <w:rsid w:val="00491425"/>
    <w:rsid w:val="004A62F4"/>
    <w:rsid w:val="004A7767"/>
    <w:rsid w:val="004B43B0"/>
    <w:rsid w:val="004C0C2B"/>
    <w:rsid w:val="004D5F7A"/>
    <w:rsid w:val="004E1F50"/>
    <w:rsid w:val="004E26F5"/>
    <w:rsid w:val="004E3AD6"/>
    <w:rsid w:val="004E566A"/>
    <w:rsid w:val="004E66B2"/>
    <w:rsid w:val="004E7F4C"/>
    <w:rsid w:val="004F252A"/>
    <w:rsid w:val="004F4F12"/>
    <w:rsid w:val="0050237D"/>
    <w:rsid w:val="0050412E"/>
    <w:rsid w:val="005072FA"/>
    <w:rsid w:val="0051073B"/>
    <w:rsid w:val="00511B78"/>
    <w:rsid w:val="00511E95"/>
    <w:rsid w:val="00515679"/>
    <w:rsid w:val="00525EC2"/>
    <w:rsid w:val="00531FC3"/>
    <w:rsid w:val="00570313"/>
    <w:rsid w:val="005708ED"/>
    <w:rsid w:val="00576DFA"/>
    <w:rsid w:val="005A3140"/>
    <w:rsid w:val="005A6F25"/>
    <w:rsid w:val="005B425E"/>
    <w:rsid w:val="005E30D9"/>
    <w:rsid w:val="005F782D"/>
    <w:rsid w:val="006005A7"/>
    <w:rsid w:val="006029B6"/>
    <w:rsid w:val="0062457E"/>
    <w:rsid w:val="00625FE1"/>
    <w:rsid w:val="006330A1"/>
    <w:rsid w:val="00640514"/>
    <w:rsid w:val="0065357B"/>
    <w:rsid w:val="006540B2"/>
    <w:rsid w:val="00661F13"/>
    <w:rsid w:val="00672905"/>
    <w:rsid w:val="00680533"/>
    <w:rsid w:val="006937DC"/>
    <w:rsid w:val="00694F28"/>
    <w:rsid w:val="006A2AB5"/>
    <w:rsid w:val="006D363F"/>
    <w:rsid w:val="006E1370"/>
    <w:rsid w:val="00722846"/>
    <w:rsid w:val="00726D39"/>
    <w:rsid w:val="007362F1"/>
    <w:rsid w:val="00741383"/>
    <w:rsid w:val="00747E87"/>
    <w:rsid w:val="0075501F"/>
    <w:rsid w:val="00764056"/>
    <w:rsid w:val="00764B3A"/>
    <w:rsid w:val="007809C1"/>
    <w:rsid w:val="00782686"/>
    <w:rsid w:val="0079355B"/>
    <w:rsid w:val="007A5EC6"/>
    <w:rsid w:val="007B3CC6"/>
    <w:rsid w:val="007C1247"/>
    <w:rsid w:val="007C15A4"/>
    <w:rsid w:val="007E2061"/>
    <w:rsid w:val="007E641A"/>
    <w:rsid w:val="007F0EFB"/>
    <w:rsid w:val="007F0F76"/>
    <w:rsid w:val="00806859"/>
    <w:rsid w:val="0081373C"/>
    <w:rsid w:val="00827943"/>
    <w:rsid w:val="00842755"/>
    <w:rsid w:val="00853F5C"/>
    <w:rsid w:val="0085748A"/>
    <w:rsid w:val="00873677"/>
    <w:rsid w:val="00881F6D"/>
    <w:rsid w:val="00885159"/>
    <w:rsid w:val="008D017C"/>
    <w:rsid w:val="008D07A1"/>
    <w:rsid w:val="008D44A8"/>
    <w:rsid w:val="008D6FA4"/>
    <w:rsid w:val="008E2F74"/>
    <w:rsid w:val="008E6208"/>
    <w:rsid w:val="00905E5A"/>
    <w:rsid w:val="0092488D"/>
    <w:rsid w:val="00935ABD"/>
    <w:rsid w:val="00937A6C"/>
    <w:rsid w:val="00952055"/>
    <w:rsid w:val="00953838"/>
    <w:rsid w:val="0096539D"/>
    <w:rsid w:val="009720CE"/>
    <w:rsid w:val="00973E64"/>
    <w:rsid w:val="00995053"/>
    <w:rsid w:val="009A5A3A"/>
    <w:rsid w:val="009B68E7"/>
    <w:rsid w:val="009B773A"/>
    <w:rsid w:val="009C17E4"/>
    <w:rsid w:val="009C26EE"/>
    <w:rsid w:val="009C4DA5"/>
    <w:rsid w:val="009E0FAD"/>
    <w:rsid w:val="009E5FA7"/>
    <w:rsid w:val="009F6E23"/>
    <w:rsid w:val="00A37B4B"/>
    <w:rsid w:val="00A64847"/>
    <w:rsid w:val="00A837F4"/>
    <w:rsid w:val="00A85A92"/>
    <w:rsid w:val="00A9596C"/>
    <w:rsid w:val="00AC03E4"/>
    <w:rsid w:val="00AC2BF9"/>
    <w:rsid w:val="00AE1AF9"/>
    <w:rsid w:val="00AF0489"/>
    <w:rsid w:val="00B27998"/>
    <w:rsid w:val="00B27F50"/>
    <w:rsid w:val="00B47D43"/>
    <w:rsid w:val="00B53169"/>
    <w:rsid w:val="00B53671"/>
    <w:rsid w:val="00B5370F"/>
    <w:rsid w:val="00B57AB6"/>
    <w:rsid w:val="00B70135"/>
    <w:rsid w:val="00B7163C"/>
    <w:rsid w:val="00B7233A"/>
    <w:rsid w:val="00B728F4"/>
    <w:rsid w:val="00B84BC6"/>
    <w:rsid w:val="00B866F8"/>
    <w:rsid w:val="00B92FEB"/>
    <w:rsid w:val="00B96746"/>
    <w:rsid w:val="00BB1A12"/>
    <w:rsid w:val="00BB5253"/>
    <w:rsid w:val="00BC003E"/>
    <w:rsid w:val="00BC3EA4"/>
    <w:rsid w:val="00BD4C8D"/>
    <w:rsid w:val="00BF1800"/>
    <w:rsid w:val="00BF6EE3"/>
    <w:rsid w:val="00BF704B"/>
    <w:rsid w:val="00C0376D"/>
    <w:rsid w:val="00C13FF5"/>
    <w:rsid w:val="00C16FCB"/>
    <w:rsid w:val="00C42683"/>
    <w:rsid w:val="00C560B2"/>
    <w:rsid w:val="00C574CE"/>
    <w:rsid w:val="00C6163A"/>
    <w:rsid w:val="00C61823"/>
    <w:rsid w:val="00C647D0"/>
    <w:rsid w:val="00C84A14"/>
    <w:rsid w:val="00C861A4"/>
    <w:rsid w:val="00C86748"/>
    <w:rsid w:val="00C96448"/>
    <w:rsid w:val="00CB3430"/>
    <w:rsid w:val="00CB5D3B"/>
    <w:rsid w:val="00CD037C"/>
    <w:rsid w:val="00CD4195"/>
    <w:rsid w:val="00CD5B06"/>
    <w:rsid w:val="00CE1741"/>
    <w:rsid w:val="00CF059A"/>
    <w:rsid w:val="00D029C7"/>
    <w:rsid w:val="00D14D43"/>
    <w:rsid w:val="00D16D8C"/>
    <w:rsid w:val="00D22467"/>
    <w:rsid w:val="00D44E7E"/>
    <w:rsid w:val="00D50C8B"/>
    <w:rsid w:val="00D67845"/>
    <w:rsid w:val="00D76804"/>
    <w:rsid w:val="00D76AEC"/>
    <w:rsid w:val="00D8239D"/>
    <w:rsid w:val="00D84C30"/>
    <w:rsid w:val="00D8756D"/>
    <w:rsid w:val="00DD5523"/>
    <w:rsid w:val="00DE4CBA"/>
    <w:rsid w:val="00E047A0"/>
    <w:rsid w:val="00E07372"/>
    <w:rsid w:val="00E07FDF"/>
    <w:rsid w:val="00E1083E"/>
    <w:rsid w:val="00E1232A"/>
    <w:rsid w:val="00E2446B"/>
    <w:rsid w:val="00E44C15"/>
    <w:rsid w:val="00E51A3E"/>
    <w:rsid w:val="00E77991"/>
    <w:rsid w:val="00E83092"/>
    <w:rsid w:val="00E9568E"/>
    <w:rsid w:val="00EA4C08"/>
    <w:rsid w:val="00EA556E"/>
    <w:rsid w:val="00EB4696"/>
    <w:rsid w:val="00EB709A"/>
    <w:rsid w:val="00EC1CF1"/>
    <w:rsid w:val="00ED1ADF"/>
    <w:rsid w:val="00ED2707"/>
    <w:rsid w:val="00EE3ED3"/>
    <w:rsid w:val="00EF2BAF"/>
    <w:rsid w:val="00F00642"/>
    <w:rsid w:val="00F116FB"/>
    <w:rsid w:val="00F1690F"/>
    <w:rsid w:val="00F200B6"/>
    <w:rsid w:val="00F464AA"/>
    <w:rsid w:val="00F5448C"/>
    <w:rsid w:val="00F764DD"/>
    <w:rsid w:val="00F87C22"/>
    <w:rsid w:val="00F92F5E"/>
    <w:rsid w:val="00FA1289"/>
    <w:rsid w:val="00FA463A"/>
    <w:rsid w:val="00FA7B48"/>
    <w:rsid w:val="00FB5A7C"/>
    <w:rsid w:val="00FC3BB2"/>
    <w:rsid w:val="00FD14EC"/>
    <w:rsid w:val="00FD5F1C"/>
    <w:rsid w:val="00FE4A66"/>
    <w:rsid w:val="00FF0983"/>
    <w:rsid w:val="00FF49B8"/>
    <w:rsid w:val="00FF6E9C"/>
    <w:rsid w:val="01335339"/>
    <w:rsid w:val="02E22F62"/>
    <w:rsid w:val="03BB542D"/>
    <w:rsid w:val="040B61B3"/>
    <w:rsid w:val="05936E00"/>
    <w:rsid w:val="05A01E43"/>
    <w:rsid w:val="05DA0481"/>
    <w:rsid w:val="07216109"/>
    <w:rsid w:val="08AB5431"/>
    <w:rsid w:val="09123DB8"/>
    <w:rsid w:val="09574C04"/>
    <w:rsid w:val="0AA2328C"/>
    <w:rsid w:val="0B64411A"/>
    <w:rsid w:val="0BBB37B9"/>
    <w:rsid w:val="0C942660"/>
    <w:rsid w:val="0CD75850"/>
    <w:rsid w:val="0E7D3249"/>
    <w:rsid w:val="0F763830"/>
    <w:rsid w:val="10797A37"/>
    <w:rsid w:val="10D25ABF"/>
    <w:rsid w:val="11433F26"/>
    <w:rsid w:val="11FA182B"/>
    <w:rsid w:val="120B63F2"/>
    <w:rsid w:val="1257209B"/>
    <w:rsid w:val="14783D17"/>
    <w:rsid w:val="161230F1"/>
    <w:rsid w:val="16AE324F"/>
    <w:rsid w:val="16BF2685"/>
    <w:rsid w:val="18C339C6"/>
    <w:rsid w:val="1AB61A64"/>
    <w:rsid w:val="1B623495"/>
    <w:rsid w:val="1CC41605"/>
    <w:rsid w:val="1CE6176E"/>
    <w:rsid w:val="1D5E68E0"/>
    <w:rsid w:val="1F182476"/>
    <w:rsid w:val="1FDE73AF"/>
    <w:rsid w:val="20564F7D"/>
    <w:rsid w:val="21420F70"/>
    <w:rsid w:val="21655A64"/>
    <w:rsid w:val="22512464"/>
    <w:rsid w:val="23D22B76"/>
    <w:rsid w:val="24732603"/>
    <w:rsid w:val="267C68F6"/>
    <w:rsid w:val="270636E0"/>
    <w:rsid w:val="279A47EB"/>
    <w:rsid w:val="27E35B1F"/>
    <w:rsid w:val="28B0443E"/>
    <w:rsid w:val="28B41276"/>
    <w:rsid w:val="28E175B4"/>
    <w:rsid w:val="2A3D1B3E"/>
    <w:rsid w:val="2B492D3C"/>
    <w:rsid w:val="2C253780"/>
    <w:rsid w:val="2DA960CB"/>
    <w:rsid w:val="2DB33B27"/>
    <w:rsid w:val="2E136009"/>
    <w:rsid w:val="2E42225D"/>
    <w:rsid w:val="2E520682"/>
    <w:rsid w:val="2EA83021"/>
    <w:rsid w:val="2FB84480"/>
    <w:rsid w:val="2FE70616"/>
    <w:rsid w:val="305116A9"/>
    <w:rsid w:val="31E91747"/>
    <w:rsid w:val="32B22F02"/>
    <w:rsid w:val="32FC2638"/>
    <w:rsid w:val="33084B9C"/>
    <w:rsid w:val="364142DC"/>
    <w:rsid w:val="36FB7422"/>
    <w:rsid w:val="37415B4D"/>
    <w:rsid w:val="38273BC7"/>
    <w:rsid w:val="38B66A04"/>
    <w:rsid w:val="38C944DB"/>
    <w:rsid w:val="3B1E047E"/>
    <w:rsid w:val="3B68080C"/>
    <w:rsid w:val="3BFE5DC1"/>
    <w:rsid w:val="3C041FA7"/>
    <w:rsid w:val="3F0C0C70"/>
    <w:rsid w:val="413D1A27"/>
    <w:rsid w:val="41A85C23"/>
    <w:rsid w:val="42057207"/>
    <w:rsid w:val="42A26509"/>
    <w:rsid w:val="430605B3"/>
    <w:rsid w:val="43DF11CB"/>
    <w:rsid w:val="443A4B31"/>
    <w:rsid w:val="456D1055"/>
    <w:rsid w:val="46405F86"/>
    <w:rsid w:val="46510169"/>
    <w:rsid w:val="4699202C"/>
    <w:rsid w:val="48606B2E"/>
    <w:rsid w:val="493F3A05"/>
    <w:rsid w:val="4B797B4E"/>
    <w:rsid w:val="4B870ABB"/>
    <w:rsid w:val="4BE81C71"/>
    <w:rsid w:val="4C2576E9"/>
    <w:rsid w:val="4CE04CDB"/>
    <w:rsid w:val="4CEC3E19"/>
    <w:rsid w:val="4D635479"/>
    <w:rsid w:val="4EC46E20"/>
    <w:rsid w:val="514169FA"/>
    <w:rsid w:val="51597C45"/>
    <w:rsid w:val="51A55C3C"/>
    <w:rsid w:val="52D04C59"/>
    <w:rsid w:val="56626E93"/>
    <w:rsid w:val="57EF7378"/>
    <w:rsid w:val="58621DF9"/>
    <w:rsid w:val="59B069AB"/>
    <w:rsid w:val="59B521B6"/>
    <w:rsid w:val="5A182BFD"/>
    <w:rsid w:val="5A5B51D4"/>
    <w:rsid w:val="5B49321D"/>
    <w:rsid w:val="5DBC1BD8"/>
    <w:rsid w:val="5DCF1585"/>
    <w:rsid w:val="5DD90179"/>
    <w:rsid w:val="5F195BE0"/>
    <w:rsid w:val="615574D3"/>
    <w:rsid w:val="617E1A88"/>
    <w:rsid w:val="63B82610"/>
    <w:rsid w:val="641001CE"/>
    <w:rsid w:val="65053515"/>
    <w:rsid w:val="65567230"/>
    <w:rsid w:val="657B0571"/>
    <w:rsid w:val="65D46589"/>
    <w:rsid w:val="67B93DAB"/>
    <w:rsid w:val="68486147"/>
    <w:rsid w:val="69072B9A"/>
    <w:rsid w:val="6A5B4709"/>
    <w:rsid w:val="6B095746"/>
    <w:rsid w:val="6B5E1856"/>
    <w:rsid w:val="6D8C0218"/>
    <w:rsid w:val="6D91383C"/>
    <w:rsid w:val="6F751F13"/>
    <w:rsid w:val="707E7CD8"/>
    <w:rsid w:val="7098040E"/>
    <w:rsid w:val="70D03BED"/>
    <w:rsid w:val="70F86B4D"/>
    <w:rsid w:val="7372487C"/>
    <w:rsid w:val="74F77BB2"/>
    <w:rsid w:val="76CF7501"/>
    <w:rsid w:val="79A85DE2"/>
    <w:rsid w:val="79D3065A"/>
    <w:rsid w:val="7C5B6B56"/>
    <w:rsid w:val="7CAA4F58"/>
    <w:rsid w:val="7E234992"/>
    <w:rsid w:val="7EF63BF7"/>
    <w:rsid w:val="7F9C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20"/>
    <w:qFormat/>
    <w:uiPriority w:val="0"/>
    <w:pPr>
      <w:keepNext/>
      <w:keepLines/>
      <w:numPr>
        <w:ilvl w:val="0"/>
        <w:numId w:val="1"/>
      </w:numPr>
      <w:spacing w:before="340" w:after="330" w:line="360" w:lineRule="auto"/>
      <w:outlineLvl w:val="0"/>
    </w:pPr>
    <w:rPr>
      <w:b/>
      <w:bCs/>
      <w:kern w:val="44"/>
      <w:sz w:val="36"/>
      <w:szCs w:val="28"/>
    </w:rPr>
  </w:style>
  <w:style w:type="paragraph" w:styleId="4">
    <w:name w:val="heading 2"/>
    <w:basedOn w:val="1"/>
    <w:next w:val="3"/>
    <w:link w:val="21"/>
    <w:unhideWhenUsed/>
    <w:qFormat/>
    <w:uiPriority w:val="0"/>
    <w:pPr>
      <w:keepNext/>
      <w:keepLines/>
      <w:tabs>
        <w:tab w:val="left" w:pos="567"/>
      </w:tabs>
      <w:spacing w:before="260" w:after="260" w:line="360" w:lineRule="auto"/>
      <w:ind w:left="567" w:hanging="567"/>
      <w:outlineLvl w:val="1"/>
    </w:pPr>
    <w:rPr>
      <w:b/>
      <w:bCs/>
      <w:sz w:val="32"/>
      <w:szCs w:val="32"/>
    </w:rPr>
  </w:style>
  <w:style w:type="paragraph" w:styleId="5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2" w:lineRule="auto"/>
      <w:outlineLvl w:val="2"/>
    </w:pPr>
    <w:rPr>
      <w:b/>
      <w:sz w:val="32"/>
    </w:rPr>
  </w:style>
  <w:style w:type="paragraph" w:styleId="6">
    <w:name w:val="heading 4"/>
    <w:basedOn w:val="1"/>
    <w:next w:val="1"/>
    <w:link w:val="23"/>
    <w:unhideWhenUsed/>
    <w:qFormat/>
    <w:uiPriority w:val="9"/>
    <w:pPr>
      <w:keepNext/>
      <w:keepLines/>
      <w:spacing w:before="280" w:after="290" w:line="374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Indent Normal"/>
    <w:basedOn w:val="1"/>
    <w:qFormat/>
    <w:uiPriority w:val="0"/>
    <w:pPr>
      <w:spacing w:line="360" w:lineRule="auto"/>
      <w:ind w:firstLine="150" w:firstLineChars="150"/>
    </w:pPr>
    <w:rPr>
      <w:sz w:val="24"/>
    </w:rPr>
  </w:style>
  <w:style w:type="paragraph" w:styleId="7">
    <w:name w:val="annotation text"/>
    <w:basedOn w:val="1"/>
    <w:link w:val="30"/>
    <w:semiHidden/>
    <w:unhideWhenUsed/>
    <w:qFormat/>
    <w:uiPriority w:val="99"/>
    <w:pPr>
      <w:jc w:val="left"/>
    </w:pPr>
  </w:style>
  <w:style w:type="paragraph" w:styleId="8">
    <w:name w:val="toc 3"/>
    <w:basedOn w:val="1"/>
    <w:next w:val="1"/>
    <w:unhideWhenUsed/>
    <w:qFormat/>
    <w:uiPriority w:val="39"/>
    <w:pPr>
      <w:ind w:left="840" w:leftChars="400"/>
    </w:pPr>
  </w:style>
  <w:style w:type="paragraph" w:styleId="9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left" w:pos="420"/>
        <w:tab w:val="right" w:leader="dot" w:pos="8296"/>
      </w:tabs>
    </w:pPr>
  </w:style>
  <w:style w:type="paragraph" w:styleId="13">
    <w:name w:val="toc 4"/>
    <w:basedOn w:val="1"/>
    <w:next w:val="1"/>
    <w:unhideWhenUsed/>
    <w:qFormat/>
    <w:uiPriority w:val="39"/>
    <w:pPr>
      <w:tabs>
        <w:tab w:val="left" w:pos="1845"/>
        <w:tab w:val="right" w:leader="dot" w:pos="8296"/>
      </w:tabs>
      <w:ind w:left="1260" w:leftChars="600"/>
    </w:pPr>
  </w:style>
  <w:style w:type="paragraph" w:styleId="14">
    <w:name w:val="toc 2"/>
    <w:basedOn w:val="1"/>
    <w:next w:val="1"/>
    <w:unhideWhenUsed/>
    <w:qFormat/>
    <w:uiPriority w:val="39"/>
    <w:pPr>
      <w:tabs>
        <w:tab w:val="left" w:pos="840"/>
        <w:tab w:val="right" w:leader="dot" w:pos="8296"/>
      </w:tabs>
      <w:ind w:left="420" w:leftChars="200"/>
    </w:pPr>
  </w:style>
  <w:style w:type="paragraph" w:styleId="15">
    <w:name w:val="annotation subject"/>
    <w:basedOn w:val="7"/>
    <w:next w:val="7"/>
    <w:link w:val="31"/>
    <w:semiHidden/>
    <w:unhideWhenUsed/>
    <w:qFormat/>
    <w:uiPriority w:val="99"/>
    <w:rPr>
      <w:b/>
      <w:bCs/>
    </w:rPr>
  </w:style>
  <w:style w:type="character" w:styleId="18">
    <w:name w:val="Hyperlink"/>
    <w:unhideWhenUsed/>
    <w:qFormat/>
    <w:uiPriority w:val="99"/>
    <w:rPr>
      <w:color w:val="0000FF"/>
      <w:u w:val="single"/>
    </w:rPr>
  </w:style>
  <w:style w:type="character" w:styleId="19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0">
    <w:name w:val="标题 1 Char"/>
    <w:basedOn w:val="17"/>
    <w:link w:val="2"/>
    <w:qFormat/>
    <w:uiPriority w:val="0"/>
    <w:rPr>
      <w:rFonts w:ascii="Times New Roman" w:hAnsi="Times New Roman" w:eastAsia="宋体" w:cs="Times New Roman"/>
      <w:b/>
      <w:bCs/>
      <w:kern w:val="44"/>
      <w:sz w:val="36"/>
      <w:szCs w:val="28"/>
    </w:rPr>
  </w:style>
  <w:style w:type="character" w:customStyle="1" w:styleId="21">
    <w:name w:val="标题 2 Char"/>
    <w:basedOn w:val="17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2">
    <w:name w:val="标题 3 Char"/>
    <w:basedOn w:val="17"/>
    <w:link w:val="5"/>
    <w:qFormat/>
    <w:uiPriority w:val="9"/>
    <w:rPr>
      <w:rFonts w:ascii="Times New Roman" w:hAnsi="Times New Roman" w:eastAsia="宋体" w:cs="Times New Roman"/>
      <w:b/>
      <w:sz w:val="32"/>
      <w:szCs w:val="24"/>
    </w:rPr>
  </w:style>
  <w:style w:type="character" w:customStyle="1" w:styleId="23">
    <w:name w:val="标题 4 Char"/>
    <w:basedOn w:val="17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5">
    <w:name w:val="GP正文(首行缩进)"/>
    <w:basedOn w:val="1"/>
    <w:qFormat/>
    <w:uiPriority w:val="0"/>
    <w:pPr>
      <w:spacing w:line="360" w:lineRule="auto"/>
      <w:ind w:firstLine="200" w:firstLineChars="200"/>
    </w:pPr>
    <w:rPr>
      <w:sz w:val="24"/>
      <w:szCs w:val="21"/>
    </w:rPr>
  </w:style>
  <w:style w:type="character" w:customStyle="1" w:styleId="26">
    <w:name w:val="node-text2"/>
    <w:qFormat/>
    <w:uiPriority w:val="0"/>
  </w:style>
  <w:style w:type="character" w:customStyle="1" w:styleId="27">
    <w:name w:val="页眉 Char"/>
    <w:basedOn w:val="17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页脚 Char"/>
    <w:basedOn w:val="17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9">
    <w:name w:val="TOC 标题1"/>
    <w:basedOn w:val="2"/>
    <w:next w:val="1"/>
    <w:unhideWhenUsed/>
    <w:qFormat/>
    <w:uiPriority w:val="39"/>
    <w:pPr>
      <w:widowControl/>
      <w:numPr>
        <w:numId w:val="0"/>
      </w:numPr>
      <w:tabs>
        <w:tab w:val="clear" w:pos="425"/>
      </w:tabs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30">
    <w:name w:val="批注文字 Char"/>
    <w:basedOn w:val="17"/>
    <w:link w:val="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1">
    <w:name w:val="批注主题 Char"/>
    <w:basedOn w:val="30"/>
    <w:link w:val="15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2">
    <w:name w:val="批注框文本 Char"/>
    <w:basedOn w:val="17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numbering" Target="numbering.xml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pn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A9896-3075-49A0-BDCE-36A99334CE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1487</Words>
  <Characters>1533</Characters>
  <Lines>23</Lines>
  <Paragraphs>6</Paragraphs>
  <TotalTime>10</TotalTime>
  <ScaleCrop>false</ScaleCrop>
  <LinksUpToDate>false</LinksUpToDate>
  <CharactersWithSpaces>1550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2019-01-17T03:02:00Z</dcterms:created>
  <dc:creator>China</dc:creator>
  <cp:lastModifiedBy>旧城以西</cp:lastModifiedBy>
  <cp:lastPrinted>2019-08-09T09:41:00Z</cp:lastPrinted>
  <dcterms:modified xsi:type="dcterms:W3CDTF">2026-09-16T04:51:27Z</dcterms:modified>
  <cp:revision>276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5B8D8222394E41338C7BF66734DEDEB1</vt:lpwstr>
  </property>
  <property fmtid="{D5CDD505-2E9C-101B-9397-08002B2CF9AE}" pid="4" name="KSOTemplateDocerSaveRecord">
    <vt:lpwstr>eyJoZGlkIjoiNTIyZmU5YTQ3MWQ2MGE0YzcyN2E2OGU1NzMyOTk3NzUiLCJ1c2VySWQiOiI4OTM1OTU0NDkifQ==</vt:lpwstr>
  </property>
</Properties>
</file>