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ACEF97">
      <w:pPr>
        <w:keepNext/>
        <w:keepLines/>
        <w:pageBreakBefore w:val="0"/>
        <w:widowControl w:val="0"/>
        <w:tabs>
          <w:tab w:val="left" w:pos="0"/>
        </w:tabs>
        <w:kinsoku/>
        <w:wordWrap/>
        <w:overflowPunct/>
        <w:topLinePunct w:val="0"/>
        <w:autoSpaceDE/>
        <w:autoSpaceDN/>
        <w:bidi w:val="0"/>
        <w:adjustRightInd w:val="0"/>
        <w:snapToGrid w:val="0"/>
        <w:spacing w:line="560" w:lineRule="exact"/>
        <w:jc w:val="both"/>
        <w:textAlignment w:val="baseline"/>
        <w:outlineLvl w:val="0"/>
        <w:rPr>
          <w:rFonts w:hint="eastAsia" w:asciiTheme="majorEastAsia" w:hAnsiTheme="majorEastAsia" w:eastAsiaTheme="majorEastAsia" w:cstheme="majorEastAsia"/>
          <w:b/>
          <w:bCs w:val="0"/>
          <w:color w:val="000000"/>
          <w:kern w:val="44"/>
          <w:sz w:val="44"/>
          <w:szCs w:val="44"/>
          <w:lang w:val="zh-CN" w:eastAsia="zh-CN"/>
        </w:rPr>
      </w:pPr>
      <w:r>
        <w:rPr>
          <w:rFonts w:hint="eastAsia" w:asciiTheme="majorEastAsia" w:hAnsiTheme="majorEastAsia" w:eastAsiaTheme="majorEastAsia" w:cstheme="majorEastAsia"/>
          <w:b/>
          <w:bCs w:val="0"/>
          <w:color w:val="000000"/>
          <w:kern w:val="44"/>
          <w:sz w:val="44"/>
          <w:szCs w:val="44"/>
          <w:lang w:val="zh-CN" w:eastAsia="zh-CN"/>
        </w:rPr>
        <w:t>S209线乌鲁克恰提乡至穆呼至木吉乡公路项目用地预审与选址意见书、建设用地报批</w:t>
      </w:r>
    </w:p>
    <w:p w14:paraId="6C624EF0">
      <w:pPr>
        <w:keepNext/>
        <w:keepLines/>
        <w:pageBreakBefore w:val="0"/>
        <w:widowControl w:val="0"/>
        <w:tabs>
          <w:tab w:val="left" w:pos="0"/>
        </w:tabs>
        <w:kinsoku/>
        <w:wordWrap/>
        <w:overflowPunct/>
        <w:topLinePunct w:val="0"/>
        <w:autoSpaceDE/>
        <w:autoSpaceDN/>
        <w:bidi w:val="0"/>
        <w:adjustRightInd w:val="0"/>
        <w:snapToGrid w:val="0"/>
        <w:spacing w:line="560" w:lineRule="exact"/>
        <w:ind w:firstLine="2650" w:firstLineChars="600"/>
        <w:jc w:val="both"/>
        <w:textAlignment w:val="baseline"/>
        <w:outlineLvl w:val="0"/>
        <w:rPr>
          <w:rFonts w:hint="eastAsia" w:asciiTheme="majorEastAsia" w:hAnsiTheme="majorEastAsia" w:eastAsiaTheme="majorEastAsia" w:cstheme="majorEastAsia"/>
          <w:b/>
          <w:bCs w:val="0"/>
          <w:color w:val="000000"/>
          <w:kern w:val="44"/>
          <w:sz w:val="44"/>
          <w:szCs w:val="44"/>
          <w:lang w:val="zh-CN"/>
        </w:rPr>
      </w:pPr>
      <w:r>
        <w:rPr>
          <w:rFonts w:hint="eastAsia" w:asciiTheme="majorEastAsia" w:hAnsiTheme="majorEastAsia" w:eastAsiaTheme="majorEastAsia" w:cstheme="majorEastAsia"/>
          <w:b/>
          <w:bCs w:val="0"/>
          <w:color w:val="000000"/>
          <w:kern w:val="44"/>
          <w:sz w:val="44"/>
          <w:szCs w:val="44"/>
          <w:lang w:val="zh-CN" w:eastAsia="zh-CN"/>
        </w:rPr>
        <w:t>技术服务方案</w:t>
      </w:r>
    </w:p>
    <w:p w14:paraId="1CAB05FF">
      <w:pPr>
        <w:keepNext/>
        <w:keepLines/>
        <w:pageBreakBefore w:val="0"/>
        <w:widowControl w:val="0"/>
        <w:kinsoku/>
        <w:wordWrap/>
        <w:overflowPunct/>
        <w:topLinePunct w:val="0"/>
        <w:autoSpaceDE/>
        <w:autoSpaceDN/>
        <w:bidi w:val="0"/>
        <w:adjustRightInd w:val="0"/>
        <w:snapToGrid w:val="0"/>
        <w:spacing w:line="560" w:lineRule="exact"/>
        <w:ind w:firstLine="640" w:firstLineChars="200"/>
        <w:outlineLvl w:val="0"/>
        <w:rPr>
          <w:rFonts w:hint="eastAsia" w:ascii="黑体" w:hAnsi="黑体" w:eastAsia="黑体" w:cs="黑体"/>
          <w:b w:val="0"/>
          <w:bCs w:val="0"/>
          <w:kern w:val="44"/>
          <w:sz w:val="32"/>
          <w:szCs w:val="32"/>
          <w:lang w:val="ru-RU"/>
        </w:rPr>
      </w:pPr>
      <w:bookmarkStart w:id="0" w:name="_Toc62212091"/>
    </w:p>
    <w:p w14:paraId="6CC48D9A">
      <w:pPr>
        <w:keepNext/>
        <w:keepLines/>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0"/>
        <w:rPr>
          <w:rFonts w:ascii="Times New Roman" w:hAnsi="Times New Roman" w:eastAsia="宋体" w:cs="Times New Roman"/>
          <w:b/>
          <w:bCs/>
          <w:kern w:val="44"/>
          <w:sz w:val="32"/>
          <w:szCs w:val="44"/>
          <w:lang w:val="ru-RU"/>
        </w:rPr>
      </w:pPr>
      <w:r>
        <w:rPr>
          <w:rFonts w:hint="eastAsia" w:ascii="黑体" w:hAnsi="黑体" w:eastAsia="黑体" w:cs="黑体"/>
          <w:b w:val="0"/>
          <w:bCs w:val="0"/>
          <w:kern w:val="44"/>
          <w:sz w:val="32"/>
          <w:szCs w:val="32"/>
          <w:lang w:val="ru-RU" w:eastAsia="zh-CN"/>
        </w:rPr>
        <w:t>一、</w:t>
      </w:r>
      <w:r>
        <w:rPr>
          <w:rFonts w:hint="eastAsia" w:ascii="黑体" w:hAnsi="黑体" w:eastAsia="黑体" w:cs="黑体"/>
          <w:b w:val="0"/>
          <w:bCs w:val="0"/>
          <w:kern w:val="44"/>
          <w:sz w:val="32"/>
          <w:szCs w:val="32"/>
          <w:lang w:val="ru-RU"/>
        </w:rPr>
        <w:t>工程概况</w:t>
      </w:r>
      <w:bookmarkEnd w:id="0"/>
    </w:p>
    <w:p w14:paraId="284B13C6">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S209线</w:t>
      </w:r>
      <w:r>
        <w:rPr>
          <w:rFonts w:hint="eastAsia" w:ascii="仿宋" w:hAnsi="仿宋" w:eastAsia="仿宋" w:cs="仿宋"/>
          <w:sz w:val="32"/>
          <w:szCs w:val="32"/>
        </w:rPr>
        <w:t>乌鲁克恰提乡至穆呼至木吉乡公路项目位于新疆克孜勒苏柯尔克孜自治州境内，项目起于乌恰县加斯大桥西侧，与既有G581线相接，路线向南布设沿克孜勒苏河右岸顺流而下至马尔坎恰特（克孜勒苏河与玛尔坎苏河交汇处），随后路线往西南沿玛尔坎苏河逆流而上至穆呼后，折向南沿卡拉阿尔特河逆流而上至吾依如麻吉勒尕，与在建的吾依如马吉勒尕至木吉乡公路相接，路线全长约113km。路线大体走向由北向南，道路主要沿克孜勒苏河、玛尔坎苏河、卡拉阿尔特河岸线边缘布设。路线全长113.025km，双向2车道，设计车速为30km/h。</w:t>
      </w:r>
    </w:p>
    <w:p w14:paraId="1772E316">
      <w:pPr>
        <w:keepNext/>
        <w:keepLines/>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0"/>
        <w:rPr>
          <w:rFonts w:hint="eastAsia" w:ascii="黑体" w:hAnsi="黑体" w:eastAsia="黑体" w:cs="黑体"/>
          <w:b w:val="0"/>
          <w:bCs w:val="0"/>
          <w:kern w:val="44"/>
          <w:sz w:val="32"/>
          <w:szCs w:val="32"/>
          <w:lang w:val="ru-RU"/>
        </w:rPr>
      </w:pPr>
      <w:bookmarkStart w:id="1" w:name="_Toc62212092"/>
      <w:r>
        <w:rPr>
          <w:rFonts w:hint="eastAsia" w:ascii="黑体" w:hAnsi="黑体" w:eastAsia="黑体" w:cs="黑体"/>
          <w:b w:val="0"/>
          <w:bCs w:val="0"/>
          <w:kern w:val="44"/>
          <w:sz w:val="32"/>
          <w:szCs w:val="32"/>
          <w:lang w:val="ru-RU" w:eastAsia="zh-CN"/>
        </w:rPr>
        <w:t>二、</w:t>
      </w:r>
      <w:bookmarkEnd w:id="1"/>
      <w:r>
        <w:rPr>
          <w:rFonts w:hint="eastAsia" w:ascii="黑体" w:hAnsi="黑体" w:eastAsia="黑体" w:cs="黑体"/>
          <w:b w:val="0"/>
          <w:bCs w:val="0"/>
          <w:kern w:val="44"/>
          <w:sz w:val="32"/>
          <w:szCs w:val="32"/>
          <w:lang w:val="ru-RU" w:eastAsia="zh-CN"/>
        </w:rPr>
        <w:t>主要参数</w:t>
      </w:r>
      <w:r>
        <w:rPr>
          <w:rFonts w:hint="eastAsia" w:ascii="黑体" w:hAnsi="黑体" w:eastAsia="黑体" w:cs="黑体"/>
          <w:b w:val="0"/>
          <w:bCs w:val="0"/>
          <w:kern w:val="44"/>
          <w:sz w:val="32"/>
          <w:szCs w:val="32"/>
          <w:lang w:val="ru-RU"/>
        </w:rPr>
        <w:t>及工作任务内容</w:t>
      </w:r>
    </w:p>
    <w:p w14:paraId="74FB9210">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（一）</w:t>
      </w:r>
      <w:r>
        <w:rPr>
          <w:rFonts w:hint="eastAsia" w:ascii="楷体" w:hAnsi="楷体" w:eastAsia="楷体" w:cs="楷体"/>
          <w:b w:val="0"/>
          <w:bCs w:val="0"/>
          <w:kern w:val="44"/>
          <w:sz w:val="32"/>
          <w:szCs w:val="32"/>
          <w:lang w:val="ru-RU" w:eastAsia="zh-CN"/>
        </w:rPr>
        <w:t>主要参数</w:t>
      </w:r>
    </w:p>
    <w:p w14:paraId="4AA5CBB0">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eastAsia" w:ascii="仿宋" w:hAnsi="仿宋" w:eastAsia="仿宋" w:cs="仿宋"/>
          <w:sz w:val="32"/>
          <w:szCs w:val="32"/>
        </w:rPr>
        <w:t>采购计划</w:t>
      </w:r>
      <w:r>
        <w:rPr>
          <w:rFonts w:hint="eastAsia" w:ascii="仿宋" w:hAnsi="仿宋" w:eastAsia="仿宋" w:cs="仿宋"/>
          <w:sz w:val="32"/>
          <w:szCs w:val="32"/>
          <w:lang w:eastAsia="zh-CN"/>
        </w:rPr>
        <w:t>数量：</w:t>
      </w:r>
      <w:r>
        <w:rPr>
          <w:rFonts w:hint="eastAsia" w:ascii="仿宋" w:hAnsi="仿宋" w:eastAsia="仿宋" w:cs="仿宋"/>
          <w:sz w:val="32"/>
          <w:szCs w:val="32"/>
          <w:lang w:val="en-US" w:eastAsia="zh-CN"/>
        </w:rPr>
        <w:t>1项</w:t>
      </w:r>
    </w:p>
    <w:p w14:paraId="1493C38F">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2.预算金额：单价78万元（最高控制价）</w:t>
      </w:r>
    </w:p>
    <w:p w14:paraId="7C6397EC">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3.资金来源：财政资金（列入部门预算资金78万元）</w:t>
      </w:r>
    </w:p>
    <w:p w14:paraId="1ECC1C25">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4.服务周期：45天</w:t>
      </w:r>
    </w:p>
    <w:p w14:paraId="79B5E9F8">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楷体" w:hAnsi="楷体" w:eastAsia="楷体" w:cs="楷体"/>
          <w:sz w:val="32"/>
          <w:szCs w:val="32"/>
          <w:lang w:val="en-US" w:eastAsia="zh-CN"/>
        </w:rPr>
      </w:pPr>
      <w:r>
        <w:rPr>
          <w:rFonts w:hint="eastAsia" w:ascii="楷体" w:hAnsi="楷体" w:eastAsia="楷体" w:cs="楷体"/>
          <w:sz w:val="32"/>
          <w:szCs w:val="32"/>
          <w:lang w:val="en-US" w:eastAsia="zh-CN"/>
        </w:rPr>
        <w:t>（二）主要服务任务工作内容：</w:t>
      </w:r>
      <w:bookmarkStart w:id="2" w:name="_Toc62212094"/>
    </w:p>
    <w:p w14:paraId="1F0AB288">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1）参与项目前期选址选线工作，为项目用地单位提供用地政策指导与服务，确保项目用地符合国家和地方政策要求；</w:t>
      </w:r>
    </w:p>
    <w:p w14:paraId="006297B5">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2）按照国家及地方要求，编制《节约集约用地专章》，逐级审核后上报自治区评审，根据评审意见修改完善《节约集约用地专章》，并取得节约集约用地专章审查意见；</w:t>
      </w:r>
    </w:p>
    <w:p w14:paraId="102A9F5E">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3）编制填写项目用地预审与选址意见书申请表、申请报告；</w:t>
      </w:r>
    </w:p>
    <w:p w14:paraId="67860320">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4）制作项目用地面积分类表（土地面积分类表、回退地类面积表）；</w:t>
      </w:r>
    </w:p>
    <w:p w14:paraId="5D668F16">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5）编制项目预审所需图件（县域国土空间用地用海规划分区图、国土空间规划用地用海分区套合图、县域国土空间用地用海规划图、用地用海数据库落位截图、项目地理位置示意图等）；</w:t>
      </w:r>
    </w:p>
    <w:p w14:paraId="354D63DF">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eastAsia="zh-CN"/>
        </w:rPr>
        <w:t>（</w:t>
      </w:r>
      <w:r>
        <w:rPr>
          <w:rFonts w:hint="eastAsia" w:ascii="仿宋" w:hAnsi="仿宋" w:eastAsia="仿宋" w:cs="仿宋"/>
          <w:sz w:val="32"/>
          <w:szCs w:val="32"/>
        </w:rPr>
        <w:t>6）制作项目用地坐标文件（项目用地预审范围电子坐标、项目用地回退地类坐标）；</w:t>
      </w:r>
    </w:p>
    <w:p w14:paraId="6BD56619">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w:t>
      </w:r>
      <w:r>
        <w:rPr>
          <w:rFonts w:hint="eastAsia" w:ascii="仿宋" w:hAnsi="仿宋" w:eastAsia="仿宋" w:cs="仿宋"/>
          <w:sz w:val="32"/>
          <w:szCs w:val="32"/>
        </w:rPr>
        <w:t>7）整理汇总相关数据，上报自治区审核，跟进预审进度并根据上级部门补正要求完善预审材料，直至取得建设项目预审与选址意见书</w:t>
      </w:r>
      <w:r>
        <w:rPr>
          <w:rFonts w:hint="eastAsia" w:ascii="仿宋" w:hAnsi="仿宋" w:eastAsia="仿宋" w:cs="仿宋"/>
          <w:sz w:val="32"/>
          <w:szCs w:val="32"/>
          <w:lang w:eastAsia="zh-CN"/>
        </w:rPr>
        <w:t>；</w:t>
      </w:r>
    </w:p>
    <w:p w14:paraId="51656412">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8）办理建设用地手续办理，建设用地手续审核；</w:t>
      </w:r>
    </w:p>
    <w:p w14:paraId="66B13FBD">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（9）组织专家完成建设用地现场踏勘、组织专家评审等；</w:t>
      </w:r>
    </w:p>
    <w:p w14:paraId="5828B934">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（10）农用地的相关手续办理（如有）。</w:t>
      </w:r>
    </w:p>
    <w:p w14:paraId="5F5AB576">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kern w:val="44"/>
          <w:sz w:val="32"/>
          <w:szCs w:val="32"/>
          <w:lang w:val="ru-RU"/>
        </w:rPr>
      </w:pPr>
      <w:r>
        <w:rPr>
          <w:rFonts w:hint="eastAsia" w:ascii="黑体" w:hAnsi="黑体" w:eastAsia="黑体" w:cs="黑体"/>
          <w:b w:val="0"/>
          <w:bCs w:val="0"/>
          <w:kern w:val="44"/>
          <w:sz w:val="32"/>
          <w:szCs w:val="32"/>
          <w:lang w:val="ru-RU" w:eastAsia="zh-CN"/>
        </w:rPr>
        <w:t>三</w:t>
      </w:r>
      <w:r>
        <w:rPr>
          <w:rFonts w:hint="eastAsia" w:ascii="黑体" w:hAnsi="黑体" w:eastAsia="黑体" w:cs="黑体"/>
          <w:b w:val="0"/>
          <w:bCs w:val="0"/>
          <w:kern w:val="44"/>
          <w:sz w:val="32"/>
          <w:szCs w:val="32"/>
          <w:lang w:val="ru-RU"/>
        </w:rPr>
        <w:t xml:space="preserve"> </w:t>
      </w:r>
      <w:r>
        <w:rPr>
          <w:rFonts w:hint="eastAsia" w:ascii="黑体" w:hAnsi="黑体" w:eastAsia="黑体" w:cs="黑体"/>
          <w:b w:val="0"/>
          <w:bCs w:val="0"/>
          <w:kern w:val="44"/>
          <w:sz w:val="32"/>
          <w:szCs w:val="32"/>
          <w:lang w:val="ru-RU" w:eastAsia="zh-CN"/>
        </w:rPr>
        <w:t>、</w:t>
      </w:r>
      <w:r>
        <w:rPr>
          <w:rFonts w:hint="eastAsia" w:ascii="黑体" w:hAnsi="黑体" w:eastAsia="黑体" w:cs="黑体"/>
          <w:b w:val="0"/>
          <w:bCs w:val="0"/>
          <w:kern w:val="44"/>
          <w:sz w:val="32"/>
          <w:szCs w:val="32"/>
          <w:lang w:val="ru-RU"/>
        </w:rPr>
        <w:t>工作依据</w:t>
      </w:r>
      <w:bookmarkEnd w:id="2"/>
    </w:p>
    <w:p w14:paraId="15E15AC8">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（1）《中华人民共和国土地管理法》(2019年修正)；</w:t>
      </w:r>
    </w:p>
    <w:p w14:paraId="38432814">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（2）《新疆维吾尔自治区实施&lt;土地管理法&gt;办法》；</w:t>
      </w:r>
    </w:p>
    <w:p w14:paraId="3265B8EA">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（3）《建设用地审查报批管理办法》；</w:t>
      </w:r>
    </w:p>
    <w:p w14:paraId="6276DEF1">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（4）《关于推进自治区建设项目用地和规划许可“多审合一、多证合一”工作的通知》（新自然资发〔2019〕184号）；</w:t>
      </w:r>
      <w:r>
        <w:rPr>
          <w:rFonts w:hint="eastAsia" w:ascii="仿宋" w:hAnsi="仿宋" w:eastAsia="仿宋" w:cs="仿宋"/>
          <w:sz w:val="32"/>
          <w:szCs w:val="32"/>
          <w:lang w:val="en-US" w:eastAsia="zh-CN"/>
        </w:rPr>
        <w:t xml:space="preserve">  </w:t>
      </w:r>
    </w:p>
    <w:p w14:paraId="64EBCFE3">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（5）《自治区自然资源厅办公室关于进一步规范建设项目用地预审与选址意见书报批工作的通知》（新自然资办发〔2023〕27号）；</w:t>
      </w:r>
    </w:p>
    <w:p w14:paraId="053EC968">
      <w:pPr>
        <w:keepNext/>
        <w:keepLines/>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0"/>
        <w:rPr>
          <w:rFonts w:hint="eastAsia" w:ascii="仿宋" w:hAnsi="仿宋" w:eastAsia="仿宋" w:cs="仿宋"/>
          <w:sz w:val="32"/>
          <w:szCs w:val="32"/>
        </w:rPr>
      </w:pPr>
      <w:r>
        <w:rPr>
          <w:rFonts w:hint="eastAsia" w:ascii="仿宋" w:hAnsi="仿宋" w:eastAsia="仿宋" w:cs="仿宋"/>
          <w:sz w:val="32"/>
          <w:szCs w:val="32"/>
        </w:rPr>
        <w:t>（6）《自然资源部关于印发国土空间调查、规划、用途管制用地用海分类指南的通知》（自然资发〔2023〕234号）；</w:t>
      </w:r>
    </w:p>
    <w:p w14:paraId="490C1048">
      <w:pPr>
        <w:keepNext/>
        <w:keepLines/>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0"/>
        <w:rPr>
          <w:rFonts w:hint="eastAsia" w:ascii="仿宋" w:hAnsi="仿宋" w:eastAsia="仿宋" w:cs="仿宋"/>
          <w:sz w:val="32"/>
          <w:szCs w:val="32"/>
        </w:rPr>
      </w:pPr>
      <w:r>
        <w:rPr>
          <w:rFonts w:hint="eastAsia" w:ascii="仿宋" w:hAnsi="仿宋" w:eastAsia="仿宋" w:cs="仿宋"/>
          <w:sz w:val="32"/>
          <w:szCs w:val="32"/>
        </w:rPr>
        <w:t>（7）《基础地理信息数字成果1：500 1：1000 1：2000数字正射影像图》CH/9008.3-2010;</w:t>
      </w:r>
    </w:p>
    <w:p w14:paraId="0F8A8D4B">
      <w:pPr>
        <w:keepNext/>
        <w:keepLines/>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0"/>
        <w:rPr>
          <w:rFonts w:hint="eastAsia" w:ascii="仿宋" w:hAnsi="仿宋" w:eastAsia="仿宋" w:cs="仿宋"/>
          <w:sz w:val="32"/>
          <w:szCs w:val="32"/>
          <w:lang w:eastAsia="zh-CN"/>
        </w:rPr>
      </w:pPr>
      <w:r>
        <w:rPr>
          <w:rFonts w:hint="eastAsia" w:ascii="仿宋" w:hAnsi="仿宋" w:eastAsia="仿宋" w:cs="仿宋"/>
          <w:sz w:val="32"/>
          <w:szCs w:val="32"/>
        </w:rPr>
        <w:t>（8）《克孜勒苏柯尔克孜自治州“十四五”综合交通运输发展规划及2035年远景规划》</w:t>
      </w:r>
      <w:r>
        <w:rPr>
          <w:rFonts w:hint="eastAsia" w:ascii="仿宋" w:hAnsi="仿宋" w:eastAsia="仿宋" w:cs="仿宋"/>
          <w:sz w:val="32"/>
          <w:szCs w:val="32"/>
          <w:lang w:eastAsia="zh-CN"/>
        </w:rPr>
        <w:t>；</w:t>
      </w:r>
    </w:p>
    <w:p w14:paraId="1763C54B">
      <w:pPr>
        <w:keepNext/>
        <w:keepLines/>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0"/>
        <w:rPr>
          <w:rFonts w:hint="eastAsia" w:ascii="仿宋" w:hAnsi="仿宋" w:eastAsia="仿宋" w:cs="仿宋"/>
          <w:sz w:val="32"/>
          <w:szCs w:val="32"/>
        </w:rPr>
      </w:pPr>
      <w:r>
        <w:rPr>
          <w:rFonts w:hint="eastAsia" w:ascii="仿宋" w:hAnsi="仿宋" w:eastAsia="仿宋" w:cs="仿宋"/>
          <w:sz w:val="32"/>
          <w:szCs w:val="32"/>
          <w:lang w:val="en-US" w:eastAsia="zh-CN"/>
        </w:rPr>
        <w:t>（9）包括但不限于以上文件及其它有关法律法规及行业规定、规范等。</w:t>
      </w:r>
    </w:p>
    <w:p w14:paraId="12A6ABBE">
      <w:pPr>
        <w:keepNext/>
        <w:keepLines/>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0"/>
        <w:rPr>
          <w:rFonts w:hint="eastAsia" w:ascii="黑体" w:hAnsi="黑体" w:eastAsia="黑体" w:cs="黑体"/>
          <w:b w:val="0"/>
          <w:bCs w:val="0"/>
          <w:kern w:val="44"/>
          <w:sz w:val="32"/>
          <w:szCs w:val="32"/>
          <w:lang w:val="ru-RU" w:eastAsia="zh-CN"/>
        </w:rPr>
      </w:pPr>
      <w:r>
        <w:rPr>
          <w:rFonts w:hint="eastAsia" w:ascii="黑体" w:hAnsi="黑体" w:eastAsia="黑体" w:cs="黑体"/>
          <w:b w:val="0"/>
          <w:bCs w:val="0"/>
          <w:kern w:val="44"/>
          <w:sz w:val="32"/>
          <w:szCs w:val="32"/>
          <w:lang w:val="ru-RU" w:eastAsia="zh-CN"/>
        </w:rPr>
        <w:t>四、 成果文件</w:t>
      </w:r>
    </w:p>
    <w:p w14:paraId="5137ACA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sz w:val="32"/>
          <w:szCs w:val="32"/>
          <w:lang w:val="en"/>
        </w:rPr>
      </w:pPr>
      <w:r>
        <w:rPr>
          <w:rFonts w:hint="eastAsia" w:ascii="仿宋" w:hAnsi="仿宋" w:eastAsia="仿宋" w:cs="仿宋"/>
          <w:sz w:val="32"/>
          <w:szCs w:val="32"/>
        </w:rPr>
        <w:t>（1）节约集约用地专章</w:t>
      </w:r>
      <w:r>
        <w:rPr>
          <w:rFonts w:hint="eastAsia" w:ascii="仿宋" w:hAnsi="仿宋" w:eastAsia="仿宋" w:cs="仿宋"/>
          <w:sz w:val="32"/>
          <w:szCs w:val="32"/>
          <w:lang w:eastAsia="zh-CN"/>
        </w:rPr>
        <w:t>审查意见</w:t>
      </w:r>
      <w:r>
        <w:rPr>
          <w:rFonts w:hint="default" w:ascii="仿宋" w:hAnsi="仿宋" w:eastAsia="仿宋" w:cs="仿宋"/>
          <w:sz w:val="32"/>
          <w:szCs w:val="32"/>
          <w:lang w:val="en" w:eastAsia="zh-CN"/>
        </w:rPr>
        <w:t>;</w:t>
      </w:r>
    </w:p>
    <w:p w14:paraId="11079D1C">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sz w:val="32"/>
          <w:szCs w:val="32"/>
          <w:lang w:val="en" w:eastAsia="zh-CN"/>
        </w:rPr>
      </w:pPr>
      <w:r>
        <w:rPr>
          <w:rFonts w:hint="eastAsia" w:ascii="仿宋" w:hAnsi="仿宋" w:eastAsia="仿宋" w:cs="仿宋"/>
          <w:sz w:val="32"/>
          <w:szCs w:val="32"/>
        </w:rPr>
        <w:t>（2）项目预审与选址意见书</w:t>
      </w:r>
      <w:r>
        <w:rPr>
          <w:rFonts w:hint="default" w:ascii="仿宋" w:hAnsi="仿宋" w:eastAsia="仿宋" w:cs="仿宋"/>
          <w:sz w:val="32"/>
          <w:szCs w:val="32"/>
          <w:lang w:val="en"/>
        </w:rPr>
        <w:t>;</w:t>
      </w:r>
    </w:p>
    <w:p w14:paraId="0F068BB9">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3）项目建设用地批复；</w:t>
      </w:r>
    </w:p>
    <w:p w14:paraId="3A6D8054">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sz w:val="32"/>
          <w:szCs w:val="32"/>
          <w:lang w:val="en"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4）农用地转用批复（如需要）</w:t>
      </w:r>
      <w:r>
        <w:rPr>
          <w:rFonts w:hint="default" w:ascii="仿宋" w:hAnsi="仿宋" w:eastAsia="仿宋" w:cs="仿宋"/>
          <w:sz w:val="32"/>
          <w:szCs w:val="32"/>
          <w:lang w:val="en" w:eastAsia="zh-CN"/>
        </w:rPr>
        <w:t>;</w:t>
      </w:r>
    </w:p>
    <w:p w14:paraId="35E26290">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sz w:val="32"/>
          <w:szCs w:val="32"/>
          <w:lang w:val="en" w:eastAsia="zh-CN"/>
        </w:rPr>
      </w:pP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5）建设用地规划许可证（如需要）</w:t>
      </w:r>
      <w:r>
        <w:rPr>
          <w:rFonts w:hint="eastAsia" w:ascii="仿宋" w:hAnsi="仿宋" w:eastAsia="仿宋" w:cs="仿宋"/>
          <w:sz w:val="32"/>
          <w:szCs w:val="32"/>
          <w:lang w:val="en" w:eastAsia="zh-CN"/>
        </w:rPr>
        <w:t>。</w:t>
      </w:r>
    </w:p>
    <w:p w14:paraId="3C4E34AE">
      <w:pPr>
        <w:keepNext/>
        <w:keepLines/>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0"/>
        <w:rPr>
          <w:rFonts w:hint="eastAsia" w:ascii="黑体" w:hAnsi="黑体" w:eastAsia="黑体" w:cs="黑体"/>
          <w:b w:val="0"/>
          <w:bCs w:val="0"/>
          <w:kern w:val="44"/>
          <w:sz w:val="32"/>
          <w:szCs w:val="32"/>
          <w:lang w:val="ru-RU" w:eastAsia="zh-CN"/>
        </w:rPr>
      </w:pPr>
      <w:r>
        <w:rPr>
          <w:rFonts w:hint="eastAsia" w:ascii="黑体" w:hAnsi="黑体" w:eastAsia="黑体" w:cs="黑体"/>
          <w:b w:val="0"/>
          <w:bCs w:val="0"/>
          <w:kern w:val="44"/>
          <w:sz w:val="32"/>
          <w:szCs w:val="32"/>
          <w:lang w:val="ru-RU" w:eastAsia="zh-CN"/>
        </w:rPr>
        <w:t>五、其他要求</w:t>
      </w:r>
    </w:p>
    <w:p w14:paraId="063F5656">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1.需要完成项目开工建设所需的所有许可类文件，保障项目能够开工建设。</w:t>
      </w:r>
    </w:p>
    <w:p w14:paraId="0581435E">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2.完成用地所需其他报批手续的办理。</w:t>
      </w:r>
    </w:p>
    <w:p w14:paraId="1D9A5946">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3.如工程设计变更，由甲方提供变更材料，乙方仍需负责相关许可文件手续办理，并取得许可文件。</w:t>
      </w:r>
    </w:p>
    <w:p w14:paraId="1F6B6B21">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kern w:val="44"/>
          <w:sz w:val="32"/>
          <w:szCs w:val="32"/>
          <w:lang w:val="ru-RU" w:eastAsia="zh-CN"/>
        </w:rPr>
      </w:pPr>
      <w:r>
        <w:rPr>
          <w:rFonts w:hint="eastAsia" w:ascii="黑体" w:hAnsi="黑体" w:eastAsia="黑体" w:cs="黑体"/>
          <w:b w:val="0"/>
          <w:bCs w:val="0"/>
          <w:kern w:val="44"/>
          <w:sz w:val="32"/>
          <w:szCs w:val="32"/>
          <w:lang w:val="ru-RU" w:eastAsia="zh-CN"/>
        </w:rPr>
        <w:t>六、付款方式</w:t>
      </w:r>
    </w:p>
    <w:p w14:paraId="5B90479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采购方单位克孜勒苏柯尔克孜自治州交通运输局为甲方，服务方为乙方；</w:t>
      </w:r>
    </w:p>
    <w:p w14:paraId="38951BC7">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（1）签订合同后，乙方进场开始工作，支付至合同价的30%；</w:t>
      </w:r>
    </w:p>
    <w:p w14:paraId="50BD6A07">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（2）乙方完成报批文件成果报行业主管部门审查后，资金支付至合同价50%；</w:t>
      </w:r>
    </w:p>
    <w:p w14:paraId="47919B5A">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（3）经通过专家审查，取得建设用地批复后办，完成所有工作后，甲方支付剩余尾款。</w:t>
      </w:r>
    </w:p>
    <w:p w14:paraId="15017F1E">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sz w:val="32"/>
          <w:szCs w:val="32"/>
          <w:lang w:val="en-US" w:eastAsia="zh-CN"/>
        </w:rPr>
      </w:pPr>
      <w:bookmarkStart w:id="3" w:name="_GoBack"/>
      <w:bookmarkEnd w:id="3"/>
    </w:p>
    <w:p w14:paraId="43B8739C">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b w:val="0"/>
          <w:bCs w:val="0"/>
          <w:kern w:val="44"/>
          <w:sz w:val="32"/>
          <w:szCs w:val="32"/>
          <w:lang w:val="ru-RU" w:eastAsia="zh-CN"/>
        </w:rPr>
      </w:pPr>
    </w:p>
    <w:p w14:paraId="56E3EB3E">
      <w:pPr>
        <w:keepNext/>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outlineLvl w:val="0"/>
        <w:rPr>
          <w:rFonts w:hint="eastAsia" w:ascii="黑体" w:hAnsi="黑体" w:eastAsia="黑体" w:cs="黑体"/>
          <w:b w:val="0"/>
          <w:bCs w:val="0"/>
          <w:kern w:val="44"/>
          <w:sz w:val="32"/>
          <w:szCs w:val="32"/>
          <w:lang w:val="ru-RU" w:eastAsia="zh-CN"/>
        </w:rPr>
      </w:pPr>
    </w:p>
    <w:p w14:paraId="094F4435">
      <w:pPr>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 w:hAnsi="仿宋" w:eastAsia="仿宋" w:cs="仿宋"/>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Y0Yjc5Y2FhNmNkZTc0ZTdiZWM5YTRhNjlhNWU0YWMifQ=="/>
  </w:docVars>
  <w:rsids>
    <w:rsidRoot w:val="00545578"/>
    <w:rsid w:val="000F2C0D"/>
    <w:rsid w:val="00155FC7"/>
    <w:rsid w:val="002E6DD3"/>
    <w:rsid w:val="0047553A"/>
    <w:rsid w:val="005278E0"/>
    <w:rsid w:val="00545578"/>
    <w:rsid w:val="008504E6"/>
    <w:rsid w:val="00A518EF"/>
    <w:rsid w:val="00DF5190"/>
    <w:rsid w:val="2D17B5EE"/>
    <w:rsid w:val="3DD5DA17"/>
    <w:rsid w:val="3FBF1811"/>
    <w:rsid w:val="5BED7749"/>
    <w:rsid w:val="5DCF6971"/>
    <w:rsid w:val="5DEF20C0"/>
    <w:rsid w:val="5DFFE49F"/>
    <w:rsid w:val="5FFEC797"/>
    <w:rsid w:val="5FFF7B1E"/>
    <w:rsid w:val="66AF5C5E"/>
    <w:rsid w:val="765C85A1"/>
    <w:rsid w:val="77D3FCA0"/>
    <w:rsid w:val="77F79CF6"/>
    <w:rsid w:val="7B6C2113"/>
    <w:rsid w:val="7CFF5A51"/>
    <w:rsid w:val="7DDE05E3"/>
    <w:rsid w:val="7E65D493"/>
    <w:rsid w:val="7F8FAF77"/>
    <w:rsid w:val="7FC78601"/>
    <w:rsid w:val="7FDE6D64"/>
    <w:rsid w:val="7FEF67F4"/>
    <w:rsid w:val="B7FF22D4"/>
    <w:rsid w:val="BBE6E3C2"/>
    <w:rsid w:val="BFDD0151"/>
    <w:rsid w:val="DFFEA596"/>
    <w:rsid w:val="F775D6D6"/>
    <w:rsid w:val="FBFF63FC"/>
    <w:rsid w:val="FCDFFCDB"/>
    <w:rsid w:val="FDDCD83E"/>
    <w:rsid w:val="FF79F9AE"/>
    <w:rsid w:val="FF7B3C00"/>
    <w:rsid w:val="FFEF4CC7"/>
    <w:rsid w:val="FFFE23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qFormat/>
    <w:uiPriority w:val="99"/>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P R C</Company>
  <Pages>4</Pages>
  <Words>1456</Words>
  <Characters>1540</Characters>
  <Lines>7</Lines>
  <Paragraphs>2</Paragraphs>
  <TotalTime>0</TotalTime>
  <ScaleCrop>false</ScaleCrop>
  <LinksUpToDate>false</LinksUpToDate>
  <CharactersWithSpaces>1546</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2024-08-25T16:12:00Z</dcterms:created>
  <dc:creator>liujun</dc:creator>
  <cp:lastModifiedBy>曼曼</cp:lastModifiedBy>
  <dcterms:modified xsi:type="dcterms:W3CDTF">2024-11-05T10:12:53Z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C1B37B9283CC451BAC4EF18CAE3C0E18_12</vt:lpwstr>
  </property>
</Properties>
</file>