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EDF7D">
      <w:pPr>
        <w:pageBreakBefore/>
        <w:shd w:val="clear" w:color="auto" w:fill="auto"/>
        <w:spacing w:line="360" w:lineRule="auto"/>
        <w:jc w:val="center"/>
        <w:outlineLvl w:val="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eastAsia="zh-CN"/>
        </w:rPr>
        <w:t>技术要求</w:t>
      </w:r>
    </w:p>
    <w:p w14:paraId="478587E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 w:hAnsi="仿宋" w:eastAsia="仿宋" w:cs="仿宋"/>
          <w:b/>
          <w:bCs/>
          <w:color w:val="auto"/>
          <w:highlight w:val="none"/>
          <w:lang w:eastAsia="zh-CN"/>
        </w:rPr>
      </w:pPr>
    </w:p>
    <w:p w14:paraId="6098719F">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一、项目背景：</w:t>
      </w:r>
      <w:r>
        <w:rPr>
          <w:rFonts w:hint="eastAsia" w:ascii="仿宋" w:hAnsi="仿宋" w:eastAsia="仿宋" w:cs="仿宋"/>
          <w:b w:val="0"/>
          <w:bCs w:val="0"/>
          <w:color w:val="auto"/>
          <w:sz w:val="24"/>
          <w:szCs w:val="24"/>
          <w:highlight w:val="none"/>
          <w:lang w:val="en-US" w:eastAsia="zh-CN"/>
        </w:rPr>
        <w:t>为认真贯彻落实《中共中央国务院关于进一步推进农垦改革发展的意见》(中发 2015]33号)的要求和自治区党委办公厅、自治区人民政府办公厅关于《自治区深化乌恰县牧场草原改革试点指导意见》的通知(新党办发[2017]8号)精神，自然资源局部财政部农业部《关于加快推进农垦国有土地使用权确权登记发证工作的通知》(国资发[2016]156号)及自治区自然资源局厅、财政厅农业厅、畜牧厅关于印发《自治区乌恰县牧区草原土地使用权确权登记发证工作方案》的通知(新国土资发[2017]156号)和《关于加快推进自治区乌恰县牧区草原土地使用权确权登记发证工作的通知》(新国土资发[2017]172号)要求全面推进乌恰县牧区草原土地使用权确权登记发证工作，要求认真做好鸟恰县牧区草原土地使用权确权登记发证工作，明晰乌恰县牧区草原土地产权关系，明确乌恰县牧区草原土地使用权主体、使用权类型、土地用途等，依法维护鸟恰县牧区草原土地权益。经乌恰县人民政府批准，决定在乌恰县全面开展牧区草原土地使用权确权登记发证工作。</w:t>
      </w:r>
    </w:p>
    <w:p w14:paraId="0696968B">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主要工作内容</w:t>
      </w:r>
    </w:p>
    <w:p w14:paraId="77E24DB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（1）完成乌恰县牧场林草土地使用权权属界线范围的权属调查;</w:t>
      </w:r>
    </w:p>
    <w:p w14:paraId="5FC354E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（2）完成乌恰县林草土地使用权权属界线测量;</w:t>
      </w:r>
    </w:p>
    <w:p w14:paraId="3BD28F7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（3）通过外业测量完成分清林草用地的界线，进行分宗调查和测量;</w:t>
      </w:r>
    </w:p>
    <w:p w14:paraId="2EEA10A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（4）完成乌恰县林草确权的登记发证工作:</w:t>
      </w:r>
    </w:p>
    <w:p w14:paraId="7465E95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（5）完成乌恰县林草确权成果的数据整理，以便进行数据入库。</w:t>
      </w:r>
    </w:p>
    <w:p w14:paraId="6329DE4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（6）林地、草地、湿地、荒地“一张图”数据成果。</w:t>
      </w:r>
    </w:p>
    <w:p w14:paraId="4156C6C5">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三、技术依据和标准</w:t>
      </w:r>
    </w:p>
    <w:p w14:paraId="5B53F63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1.政策文件</w:t>
      </w:r>
      <w:r>
        <w:rPr>
          <w:rFonts w:hint="eastAsia" w:ascii="仿宋" w:hAnsi="仿宋" w:eastAsia="仿宋" w:cs="仿宋"/>
          <w:b w:val="0"/>
          <w:bCs w:val="0"/>
          <w:color w:val="auto"/>
          <w:sz w:val="24"/>
          <w:szCs w:val="24"/>
          <w:highlight w:val="none"/>
          <w:lang w:val="en-US" w:eastAsia="zh-CN"/>
        </w:rPr>
        <w:tab/>
      </w:r>
    </w:p>
    <w:p w14:paraId="78449F0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1.1《不动产登记暂行条例》(国务院令第656号)。</w:t>
      </w:r>
    </w:p>
    <w:p w14:paraId="0A53EB7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1.2《不动产登记暂行条例实施细则》(自然资源局部令第63号)</w:t>
      </w:r>
    </w:p>
    <w:p w14:paraId="4E8FF95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1.3自然资源局部办公厅《关于印发&lt;不动产单元设定与代码编制规则&gt;的函》国土资厅函(2017)1029 号。</w:t>
      </w:r>
    </w:p>
    <w:p w14:paraId="34B984A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 中发【2015】33 号文件。</w:t>
      </w:r>
    </w:p>
    <w:p w14:paraId="1CCBDF9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1.5《自然资源局部做好不动产权籍调查工作的通知》(国土资发[2015]41号)。</w:t>
      </w:r>
    </w:p>
    <w:p w14:paraId="4576D7B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1.6自然资源局部财政部农业部《关于加快推进农垦国有土地使用权确权登记发证工作的通知》(国土资发(2016)156号)。</w:t>
      </w:r>
    </w:p>
    <w:p w14:paraId="3D0F9BF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1.7 自治区自然资源局厅 财政厅 农业厅 畜牧厅《关于印发&lt;自治区地方农垦国有土地使用权确权登记发证工作方案&gt;的通知》(新国土资发(2017)156号)。</w:t>
      </w:r>
    </w:p>
    <w:p w14:paraId="2EEB37C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1.8自治区自然资源局厅《关于规范自治区地方农垦国有土地使用权确权登记发证工作的通知》。</w:t>
      </w:r>
    </w:p>
    <w:p w14:paraId="4532FD9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1.9《关于加快推进自治区乌恰县牧区草原土地使用权确权登记发证工作的通知》(新国土资发(2017)172号)</w:t>
      </w:r>
    </w:p>
    <w:p w14:paraId="2F85022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1.10《关于加快推进自治区乌恰县牧区草原土地使用权确权登记发证工作的通知》(新国士资发(2018)23号)</w:t>
      </w:r>
    </w:p>
    <w:p w14:paraId="4CBD3B2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1.11《关于进一步做好乌恰县牧区草原土地使用权确权登记发证工作的通知》(阿行办发电(2017)156号)</w:t>
      </w:r>
    </w:p>
    <w:p w14:paraId="24BE87F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1.12《乌恰县牧区草原土地使用权确权登记发证工作实施方案》</w:t>
      </w:r>
    </w:p>
    <w:p w14:paraId="1365546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1.13项目技术方案及审核批复意见。</w:t>
      </w:r>
    </w:p>
    <w:p w14:paraId="649A12A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2.技术标准和规范</w:t>
      </w:r>
    </w:p>
    <w:p w14:paraId="3802D18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2.1.1《中华人民共和国行政区划代码》(GB/T 2260-2007);</w:t>
      </w:r>
    </w:p>
    <w:p w14:paraId="02EA749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2.1.2《国民经济行业分类》(GB/T 4754);</w:t>
      </w:r>
    </w:p>
    <w:p w14:paraId="6656FB1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2.1.3《县级以下行政区划代码编制规则》(GB T10114-2003)</w:t>
      </w:r>
    </w:p>
    <w:p w14:paraId="3D52436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2.1.4《测绘成果质量检查与验收》(GB/T24356-2009)</w:t>
      </w:r>
    </w:p>
    <w:p w14:paraId="7189F9F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2.1.5《地籍调查规程》(TD/T 1001-2012);</w:t>
      </w:r>
    </w:p>
    <w:p w14:paraId="37EF46C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2.1.6《土地利用现状分类》(GB/T 21010-2007);</w:t>
      </w:r>
    </w:p>
    <w:p w14:paraId="5F2A81D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2.1.7《第三次全国土地调查技术规程》(TD/T 1014-2007);</w:t>
      </w:r>
    </w:p>
    <w:p w14:paraId="53DFCF2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2.1.8《土地利用数据库标准》(TD/T 1016-2007);</w:t>
      </w:r>
    </w:p>
    <w:p w14:paraId="4D164CB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2.1.9《卫星定位城市测量技术规范》(CJJ/T 73-2010);</w:t>
      </w:r>
    </w:p>
    <w:p w14:paraId="58317CA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2.1.10《全球定位系统实时动态测量(RTK)技术规范》(CH/T2009-2010);</w:t>
      </w:r>
    </w:p>
    <w:p w14:paraId="0EB6646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2.1.11《全球定位系统(GPS)测量规范》(GB/T18314-2009);</w:t>
      </w:r>
    </w:p>
    <w:p w14:paraId="71F31B3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2.1.12《测绘技术设计规定》(CH/T 1004-2005)</w:t>
      </w:r>
    </w:p>
    <w:p w14:paraId="4D7BBA9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2.1.13《宗地代码编制规则(试行)》(国土资厅发[2011]57号);</w:t>
      </w:r>
    </w:p>
    <w:p w14:paraId="0C08DB2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2.1.14《不动产权籍调查技术方案》(试行);</w:t>
      </w:r>
    </w:p>
    <w:p w14:paraId="7BF12EE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2.1.15《土地调查条例》(2008，中华人民共和国国务院令第518号);</w:t>
      </w:r>
    </w:p>
    <w:p w14:paraId="1E77082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2.1.16《土地登记办法》(2008，中华人民共和国自然资源局部)</w:t>
      </w:r>
    </w:p>
    <w:p w14:paraId="04972BD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2.2.1《中华人民共和国物权法》(主席令(2007)第62号);</w:t>
      </w:r>
    </w:p>
    <w:p w14:paraId="7079F33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2.2.2《中华人民共和国土地管理法》(主席令(2004)第28号):</w:t>
      </w:r>
    </w:p>
    <w:p w14:paraId="3EA4AEC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2.2.3《中华人民共和国房地产管理法》(主席令(2007)第72号):</w:t>
      </w:r>
    </w:p>
    <w:p w14:paraId="1748EC5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2.2.4《不动产登记暂行条例》(国务院令第656号);</w:t>
      </w:r>
    </w:p>
    <w:p w14:paraId="2FAB7C3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2.2.5《中华人民共和国土地管理法实施条例》(国务院令第256号);</w:t>
      </w:r>
    </w:p>
    <w:p w14:paraId="4BA7E8C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2.2.6《土地调查条例》(国务院令第518号);</w:t>
      </w:r>
    </w:p>
    <w:p w14:paraId="5D7A606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2.2.7《不动产登记暂行条例实施细则》(自然资源局部令第63号);</w:t>
      </w:r>
    </w:p>
    <w:p w14:paraId="40C7122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2.2.8《自然资源局部做好不动产权籍调查工作的通知》(国土资发[2015]41号);</w:t>
      </w:r>
    </w:p>
    <w:p w14:paraId="354FB8B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2.2.9《新疆维吾尔自治区实施土地管理法办法》;</w:t>
      </w:r>
    </w:p>
    <w:p w14:paraId="6D6FFE1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2.2.10 国家测绘局、国家保密局《关于印发&lt;测绘管理工作国家秘密范围的规定&gt;的通知》(国测办字(2003)17号)。</w:t>
      </w:r>
    </w:p>
    <w:p w14:paraId="7C745AC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2.3 相关文件</w:t>
      </w:r>
    </w:p>
    <w:p w14:paraId="37E6C79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2.1《关于印发新疆维吾尔自治区农村集体土地所有权确权登记发证工作实施方案的通知》(新政办发(2012)18号)</w:t>
      </w:r>
    </w:p>
    <w:p w14:paraId="7D031CC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2.2《第三次全国土地调查成果检查验收办法》(自然资源局部2007年11月);</w:t>
      </w:r>
    </w:p>
    <w:p w14:paraId="4345142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2.3《数字测绘产品检查验收规定和质量评定》GB/T18316-2001;</w:t>
      </w:r>
    </w:p>
    <w:p w14:paraId="7F79B70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2.4《测绘产品检查验收规定》CH1002-95;</w:t>
      </w:r>
    </w:p>
    <w:p w14:paraId="181A32A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3.坐标系统</w:t>
      </w:r>
    </w:p>
    <w:p w14:paraId="6D3EE38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采用 2000 国家大地坐标系(China Geodetic Coordinate System 2000,缩写为 CGCS2000)。</w:t>
      </w:r>
    </w:p>
    <w:p w14:paraId="3FD9A21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4.高程基准</w:t>
      </w:r>
    </w:p>
    <w:p w14:paraId="5947BA4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采用“1985 国家高程基准”</w:t>
      </w:r>
    </w:p>
    <w:p w14:paraId="6E999A0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 比例尺</w:t>
      </w:r>
    </w:p>
    <w:p w14:paraId="21AC8E9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确权比例尺采用 1:5000，有条件的地区可以选择1:1000、1:2000比例尺。</w:t>
      </w:r>
    </w:p>
    <w:p w14:paraId="57C89F2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6.计量单位</w:t>
      </w:r>
    </w:p>
    <w:p w14:paraId="4396D2F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在计量时，长度单位采用米(m)，面积计算单位采用平方米(m)，小数点后保留两位数字。在统计汇总时，面积单位采用公顷(hm)，小数点后保留两位有效数字，按四舍五入处理。</w:t>
      </w:r>
    </w:p>
    <w:p w14:paraId="77E7020D">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工作内容概况</w:t>
      </w:r>
    </w:p>
    <w:p w14:paraId="7EAD18D1">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按照《自然资源局部关于做好不动产权籍调查工作的通知》(国土资发[2015]41号)等文件要求，充分利用第三次全国土地调查成果和已有农村地籍调查、集体土地所有权确权、基础测组织开展权籍调查工作，按照《不动产登记暂行绘和高精度影像资料等成果，条实施细则》(中华人民共和国自然资源局部令第63号)要求在全面查清权属状况、完成权属指界基础上，统筹考虑乌恰县林草经济条件、改革需求等因素，选择适宜的测量方法，开展林草不动产测量，调查清楚乌恰县林草依法使用土地的权属、用途、四至、界址、面积等。权籍调查完成后，按照统一的不动产单元编码模式，形成包括权籍调查表、不动产测量报告和权籍图等在内的权籍调查成果，提供不动产登记机构，并最终形成乌恰县牧区草原土地管理信息库，实现信息化管理。</w:t>
      </w:r>
    </w:p>
    <w:p w14:paraId="7532F239">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482" w:firstLineChars="200"/>
        <w:textAlignment w:val="auto"/>
        <w:outlineLvl w:val="9"/>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项目范围</w:t>
      </w:r>
    </w:p>
    <w:p w14:paraId="11084297">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乌恰县辖9乡2镇、34个行政村、8个社区。乡镇分别是:乌恰镇、康苏镇黑孜苇乡、乌鲁克恰提乡、吉根乡、波斯坦铁列克乡、巴音库鲁提乡、膘尔托阔依乡、铁列克乡、托云乡、吾合沙鲁乡。</w:t>
      </w:r>
    </w:p>
    <w:p w14:paraId="16696A41">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482" w:firstLineChars="200"/>
        <w:textAlignment w:val="auto"/>
        <w:outlineLvl w:val="9"/>
        <w:rPr>
          <w:rFonts w:hint="default" w:ascii="仿宋" w:hAnsi="仿宋" w:eastAsia="仿宋" w:cs="仿宋"/>
          <w:b/>
          <w:bCs/>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验收</w:t>
      </w:r>
    </w:p>
    <w:p w14:paraId="2060213F">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在专检合格的基础上，由项目组织实施部门组织验收。</w:t>
      </w:r>
    </w:p>
    <w:p w14:paraId="0C32F504">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验收组先进行成果抽检和质量评定。内业随机抽查5%-10%,外业实际操作的抽检比例视内业抽检情况决定，但不得低于5%，根据抽检情况进行质量评定。对抽检发现的问题，作业单位应积极采取解决措施，及时进行返工。如果问题较多或者严重，质量评定为不合格的，要求作业单位整改后再申请验收。</w:t>
      </w:r>
    </w:p>
    <w:p w14:paraId="4CD23706">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验收组应出具验收报告和存在的问题的书面处理意见。要求内容具体、表述清晰、数据准确、结论可靠。验收报告一份交被检单位，一份由组织项目实施的部门存档。</w:t>
      </w:r>
    </w:p>
    <w:p w14:paraId="6C3F81B0">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482" w:firstLineChars="200"/>
        <w:textAlignment w:val="auto"/>
        <w:outlineLvl w:val="9"/>
        <w:rPr>
          <w:rFonts w:hint="default" w:ascii="仿宋" w:hAnsi="仿宋" w:eastAsia="仿宋" w:cs="仿宋"/>
          <w:b/>
          <w:bCs/>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服务期限:签订合同后一年内提交研究成果。</w:t>
      </w:r>
    </w:p>
    <w:p w14:paraId="1B9BE873">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质保期：2年</w:t>
      </w:r>
    </w:p>
    <w:p w14:paraId="383FFBEE">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482" w:firstLineChars="200"/>
        <w:textAlignment w:val="auto"/>
        <w:outlineLvl w:val="9"/>
        <w:rPr>
          <w:rFonts w:hint="default" w:ascii="仿宋" w:hAnsi="仿宋" w:eastAsia="仿宋" w:cs="仿宋"/>
          <w:b/>
          <w:bCs/>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服务地点:甲方指定地点</w:t>
      </w:r>
    </w:p>
    <w:p w14:paraId="687EE486">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9"/>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注：供应商须承诺如工作完后，确权登记发生争议供应商需解决后续问题。</w:t>
      </w:r>
    </w:p>
    <w:p w14:paraId="5F489E5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9BB884"/>
    <w:multiLevelType w:val="singleLevel"/>
    <w:tmpl w:val="3F9BB8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zYzMzNjk5NTVmNTQ2M2I4ZTc3MGM2MTkzN2UxOTIifQ=="/>
  </w:docVars>
  <w:rsids>
    <w:rsidRoot w:val="74402569"/>
    <w:rsid w:val="74402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2024-09-23T09:39:00Z</dcterms:created>
  <dc:creator>☍</dc:creator>
  <cp:lastModifiedBy>☍</cp:lastModifiedBy>
  <dcterms:modified xsi:type="dcterms:W3CDTF">2024-09-23T09:39:54Z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AD986B94F38344C7AC296C26E9762F74_11</vt:lpwstr>
  </property>
</Properties>
</file>