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val="0"/>
        <w:autoSpaceDE w:val="0"/>
        <w:autoSpaceDN w:val="0"/>
        <w:adjustRightInd w:val="0"/>
        <w:spacing w:before="53" w:line="248" w:lineRule="auto"/>
        <w:jc w:val="center"/>
        <w:textAlignment w:val="baseline"/>
        <w:outlineLvl w:val="1"/>
        <w:rPr>
          <w:sz w:val="18"/>
          <w:szCs w:val="18"/>
        </w:rPr>
      </w:pPr>
      <w:r>
        <w:rPr>
          <w:rFonts w:ascii="黑体" w:hAnsi="黑体" w:eastAsia="黑体" w:cs="黑体"/>
          <w:b/>
          <w:color w:val="000000"/>
          <w:sz w:val="28"/>
          <w:szCs w:val="28"/>
          <w14:textOutline w14:w="5803" w14:cap="rnd" w14:cmpd="sng" w14:algn="ctr">
            <w14:solidFill>
              <w14:srgbClr w14:val="000000"/>
            </w14:solidFill>
            <w14:prstDash w14:val="solid"/>
            <w14:bevel/>
          </w14:textOutline>
        </w:rPr>
        <w:t>第四部分</w:t>
      </w:r>
      <w:r>
        <w:rPr>
          <w:rFonts w:ascii="黑体" w:hAnsi="黑体" w:eastAsia="黑体"/>
          <w:b/>
          <w:color w:val="000000"/>
          <w:spacing w:val="1"/>
          <w:w w:val="91"/>
          <w:sz w:val="28"/>
          <w:szCs w:val="28"/>
        </w:rPr>
        <w:t xml:space="preserve"> </w:t>
      </w:r>
      <w:r>
        <w:rPr>
          <w:rFonts w:ascii="黑体" w:hAnsi="黑体" w:eastAsia="黑体" w:cs="黑体"/>
          <w:b/>
          <w:color w:val="000000"/>
          <w:sz w:val="28"/>
          <w:szCs w:val="28"/>
          <w14:textOutline w14:w="5803" w14:cap="rnd" w14:cmpd="sng" w14:algn="ctr">
            <w14:solidFill>
              <w14:srgbClr w14:val="000000"/>
            </w14:solidFill>
            <w14:prstDash w14:val="solid"/>
            <w14:bevel/>
          </w14:textOutline>
        </w:rPr>
        <w:t>采购需求</w:t>
      </w:r>
    </w:p>
    <w:p>
      <w:pPr>
        <w:kinsoku w:val="0"/>
        <w:autoSpaceDE w:val="0"/>
        <w:autoSpaceDN w:val="0"/>
        <w:adjustRightInd w:val="0"/>
        <w:spacing w:before="1" w:line="333" w:lineRule="auto"/>
        <w:textAlignment w:val="baseline"/>
        <w:rPr>
          <w:rFonts w:ascii="Arial" w:hAnsi="Arial" w:eastAsia="Arial" w:cs="Arial"/>
          <w:sz w:val="18"/>
          <w:szCs w:val="18"/>
        </w:rPr>
      </w:pPr>
      <w:r>
        <w:rPr>
          <w:sz w:val="18"/>
          <w:szCs w:val="18"/>
        </w:rPr>
        <mc:AlternateContent>
          <mc:Choice Requires="wps">
            <w:drawing>
              <wp:anchor distT="0" distB="0" distL="0" distR="0" simplePos="0" relativeHeight="251659264" behindDoc="0" locked="0" layoutInCell="1" allowOverlap="1">
                <wp:simplePos x="0" y="0"/>
                <wp:positionH relativeFrom="page">
                  <wp:posOffset>685800</wp:posOffset>
                </wp:positionH>
                <wp:positionV relativeFrom="paragraph">
                  <wp:posOffset>66675</wp:posOffset>
                </wp:positionV>
                <wp:extent cx="1219200" cy="264160"/>
                <wp:effectExtent l="0" t="0" r="0" b="0"/>
                <wp:wrapNone/>
                <wp:docPr id="1894" name="TextBox189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219200" cy="264160"/>
                        </a:xfrm>
                        <a:prstGeom prst="rect">
                          <a:avLst/>
                        </a:prstGeom>
                        <a:noFill/>
                      </wps:spPr>
                      <wps:txbx>
                        <w:txbxContent>
                          <w:p>
                            <w:pPr>
                              <w:kinsoku w:val="0"/>
                              <w:autoSpaceDE w:val="0"/>
                              <w:autoSpaceDN w:val="0"/>
                              <w:adjustRightInd w:val="0"/>
                              <w:spacing w:before="1" w:line="238" w:lineRule="auto"/>
                              <w:jc w:val="left"/>
                              <w:textAlignment w:val="baseline"/>
                              <w:outlineLvl w:val="1"/>
                            </w:pPr>
                            <w:r>
                              <w:rPr>
                                <w:rFonts w:ascii="黑体" w:hAnsi="黑体" w:eastAsia="黑体" w:cs="黑体"/>
                                <w:b/>
                                <w:color w:val="000000"/>
                                <w:spacing w:val="1"/>
                                <w:w w:val="99"/>
                                <w:sz w:val="32"/>
                                <w:szCs w:val="32"/>
                                <w14:textOutline w14:w="5803" w14:cap="rnd" w14:cmpd="sng" w14:algn="ctr">
                                  <w14:solidFill>
                                    <w14:srgbClr w14:val="000000"/>
                                  </w14:solidFill>
                                  <w14:prstDash w14:val="solid"/>
                                  <w14:bevel/>
                                </w14:textOutline>
                              </w:rPr>
                              <w:t>一、采购需求</w:t>
                            </w:r>
                          </w:p>
                        </w:txbxContent>
                      </wps:txbx>
                      <wps:bodyPr rot="0" vert="horz" wrap="square" lIns="0" tIns="0" rIns="0" bIns="0" anchor="t" anchorCtr="0">
                        <a:spAutoFit/>
                      </wps:bodyPr>
                    </wps:wsp>
                  </a:graphicData>
                </a:graphic>
              </wp:anchor>
            </w:drawing>
          </mc:Choice>
          <mc:Fallback>
            <w:pict>
              <v:shape id="TextBox1894" o:spid="_x0000_s1026" o:spt="202" type="#_x0000_t202" style="position:absolute;left:0pt;margin-left:54pt;margin-top:5.25pt;height:20.8pt;width:96pt;mso-position-horizontal-relative:page;z-index:251659264;mso-width-relative:page;mso-height-relative:page;" filled="f" stroked="f" coordsize="21600,21600" o:gfxdata="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4T4Z7VAAAACQEAAA8AAAAAAAAA&#10;AQAgAAAAIgAAAGRycy9kb3ducmV2LnhtbFBLAQIUABQAAAAIAIdO4kDNU0SF2wEAAKkDAAAOAAAA&#10;AAAAAAEAIAAAACQBAABkcnMvZTJvRG9jLnhtbFBLBQYAAAAABgAGAFkBAABxBQAAAAA=&#10;">
                <v:fill on="f" focussize="0,0"/>
                <v:stroke on="f"/>
                <v:imagedata o:title=""/>
                <o:lock v:ext="edit" aspectratio="t"/>
                <v:textbox inset="0mm,0mm,0mm,0mm" style="mso-fit-shape-to-text:t;">
                  <w:txbxContent>
                    <w:p>
                      <w:pPr>
                        <w:kinsoku w:val="0"/>
                        <w:autoSpaceDE w:val="0"/>
                        <w:autoSpaceDN w:val="0"/>
                        <w:adjustRightInd w:val="0"/>
                        <w:spacing w:before="1" w:line="238" w:lineRule="auto"/>
                        <w:jc w:val="left"/>
                        <w:textAlignment w:val="baseline"/>
                        <w:outlineLvl w:val="1"/>
                      </w:pPr>
                      <w:r>
                        <w:rPr>
                          <w:rFonts w:ascii="黑体" w:hAnsi="黑体" w:eastAsia="黑体" w:cs="黑体"/>
                          <w:b/>
                          <w:color w:val="000000"/>
                          <w:spacing w:val="1"/>
                          <w:w w:val="99"/>
                          <w:sz w:val="32"/>
                          <w:szCs w:val="32"/>
                          <w14:textOutline w14:w="5803" w14:cap="rnd" w14:cmpd="sng" w14:algn="ctr">
                            <w14:solidFill>
                              <w14:srgbClr w14:val="000000"/>
                            </w14:solidFill>
                            <w14:prstDash w14:val="solid"/>
                            <w14:bevel/>
                          </w14:textOutline>
                        </w:rPr>
                        <w:t>一、采购需求</w:t>
                      </w:r>
                    </w:p>
                  </w:txbxContent>
                </v:textbox>
              </v:shape>
            </w:pict>
          </mc:Fallback>
        </mc:AlternateContent>
      </w:r>
    </w:p>
    <w:p>
      <w:pPr>
        <w:kinsoku w:val="0"/>
        <w:autoSpaceDE w:val="0"/>
        <w:autoSpaceDN w:val="0"/>
        <w:adjustRightInd w:val="0"/>
        <w:spacing w:before="1" w:line="454" w:lineRule="auto"/>
        <w:textAlignment w:val="baseline"/>
        <w:rPr>
          <w:rFonts w:ascii="Arial" w:hAnsi="Arial" w:eastAsia="Arial" w:cs="Arial"/>
        </w:rPr>
      </w:pPr>
    </w:p>
    <w:tbl>
      <w:tblPr>
        <w:tblStyle w:val="3"/>
        <w:tblpPr w:leftFromText="180" w:rightFromText="180" w:vertAnchor="text" w:horzAnchor="page" w:tblpX="955" w:tblpY="322"/>
        <w:tblOverlap w:val="never"/>
        <w:tblW w:w="96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0"/>
        <w:gridCol w:w="1350"/>
        <w:gridCol w:w="6376"/>
        <w:gridCol w:w="568"/>
        <w:gridCol w:w="6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1" w:hRule="atLeast"/>
        </w:trPr>
        <w:tc>
          <w:tcPr>
            <w:tcW w:w="6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rPr>
            </w:pPr>
            <w:bookmarkStart w:id="0" w:name="_GoBack"/>
            <w:r>
              <w:rPr>
                <w:rFonts w:hint="eastAsia" w:asciiTheme="minorEastAsia" w:hAnsiTheme="minorEastAsia" w:eastAsiaTheme="minorEastAsia" w:cstheme="minorEastAsia"/>
                <w:i w:val="0"/>
                <w:color w:val="000000"/>
                <w:kern w:val="0"/>
                <w:sz w:val="24"/>
                <w:szCs w:val="24"/>
                <w:u w:val="none"/>
                <w:lang w:val="en-US" w:eastAsia="zh-CN" w:bidi="ar"/>
              </w:rPr>
              <w:t>序号</w:t>
            </w:r>
          </w:p>
        </w:tc>
        <w:tc>
          <w:tcPr>
            <w:tcW w:w="13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项目建设内容</w:t>
            </w:r>
          </w:p>
        </w:tc>
        <w:tc>
          <w:tcPr>
            <w:tcW w:w="637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lang w:val="en-US"/>
              </w:rPr>
            </w:pPr>
            <w:r>
              <w:rPr>
                <w:rFonts w:hint="eastAsia" w:asciiTheme="minorEastAsia" w:hAnsiTheme="minorEastAsia" w:eastAsiaTheme="minorEastAsia" w:cstheme="minorEastAsia"/>
                <w:i w:val="0"/>
                <w:color w:val="000000"/>
                <w:kern w:val="0"/>
                <w:sz w:val="24"/>
                <w:szCs w:val="24"/>
                <w:u w:val="none"/>
                <w:lang w:val="en-US" w:eastAsia="zh-CN" w:bidi="ar"/>
              </w:rPr>
              <w:t>技术规格、型号、参数</w:t>
            </w:r>
          </w:p>
        </w:tc>
        <w:tc>
          <w:tcPr>
            <w:tcW w:w="56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单位</w:t>
            </w:r>
          </w:p>
        </w:tc>
        <w:tc>
          <w:tcPr>
            <w:tcW w:w="66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2" w:hRule="atLeast"/>
        </w:trPr>
        <w:tc>
          <w:tcPr>
            <w:tcW w:w="65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sz w:val="24"/>
                <w:szCs w:val="24"/>
                <w:u w:val="none"/>
              </w:rPr>
            </w:pPr>
          </w:p>
        </w:tc>
        <w:tc>
          <w:tcPr>
            <w:tcW w:w="637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sz w:val="24"/>
                <w:szCs w:val="24"/>
                <w:u w:val="none"/>
              </w:rPr>
            </w:pPr>
          </w:p>
        </w:tc>
        <w:tc>
          <w:tcPr>
            <w:tcW w:w="56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sz w:val="24"/>
                <w:szCs w:val="24"/>
                <w:u w:val="none"/>
              </w:rPr>
            </w:pPr>
          </w:p>
        </w:tc>
        <w:tc>
          <w:tcPr>
            <w:tcW w:w="66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7" w:hRule="atLeast"/>
        </w:trPr>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补植补造（云杉苗子）</w:t>
            </w:r>
          </w:p>
        </w:tc>
        <w:tc>
          <w:tcPr>
            <w:tcW w:w="63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种苗数量及规格：苗木规格与质量严格按《主要造林树种苗木质量分级》（GB6000-1999）、《新疆苗木质量分级标准》（DB65/T2201-2014）执行，并完全采用一、二级合格苗木。</w:t>
            </w:r>
          </w:p>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 xml:space="preserve">苗木自带营养杯，苗木产地土壤要求微酸性土壤，根据本项目区立地条件，要求苗木原产地海拔不低于2500米，以便于新植苗木能更好的适应项目区种植环境， </w:t>
            </w:r>
          </w:p>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★云杉苗高0.5-0.7米，其中一级苗木数量不低于80％（苗高0.6米-0.7米属于一级苗木），二级苗木数量不低于20％（苗高0.5米-0.6米属于二级苗木）。</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株</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20442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7" w:hRule="atLeast"/>
        </w:trPr>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lang w:val="en-US" w:eastAsia="zh-CN"/>
              </w:rPr>
              <w:t>2</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植苗</w:t>
            </w:r>
          </w:p>
        </w:tc>
        <w:tc>
          <w:tcPr>
            <w:tcW w:w="63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人工植苗：按照“三埋两踩一提苗”的要求进行栽植， 即：先填熟土踩实后将苗木上提，再填土至坑穴的一半踩实，然后将剩余的土填入坑穴，但坑穴面不得高出地面（须稍低于地面 5 厘米）。造林密度：云杉栽植密度为55株/亩，株行距3m×4m。整地方式：人工穴状整地，人工穴0.40m×0.40m×0.40m。整地要求：挖表层草皮，翻松穴内土壤除去木片和石块等杂物。</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株</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20442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7" w:hRule="atLeast"/>
        </w:trPr>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lang w:val="en-US" w:eastAsia="zh-CN"/>
              </w:rPr>
              <w:t>3</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新建围栏及安装（草原牛栏网）</w:t>
            </w:r>
          </w:p>
        </w:tc>
        <w:tc>
          <w:tcPr>
            <w:tcW w:w="63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草原牛栏网技术参数：围栏桩距4米，</w:t>
            </w:r>
          </w:p>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围栏高1.3米，横丝挂线13道，横丝距离10cm-20㎝，铁丝为2.5mm铁丝。</w:t>
            </w:r>
          </w:p>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角铁立柱规格：5cm×5cm×200cm，刷红色防锈漆，打孔13个，立柱地下埋深0.5米，用C25混凝土浇筑，基础尺寸为0.4×0.4×0.5米，地面以上高1.5米。围栏安装位置位于半山腰、无道路。</w:t>
            </w:r>
          </w:p>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kern w:val="0"/>
                <w:sz w:val="24"/>
                <w:szCs w:val="24"/>
                <w:u w:val="none"/>
                <w:lang w:val="en-US" w:eastAsia="zh-CN" w:bidi="ar"/>
              </w:rPr>
            </w:pP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lang w:val="en-US" w:eastAsia="zh-CN"/>
              </w:rPr>
              <w:t>米</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lang w:val="en-US" w:eastAsia="zh-CN"/>
              </w:rPr>
              <w:t>3800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7" w:hRule="atLeast"/>
        </w:trPr>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4</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原有围栏维修</w:t>
            </w:r>
          </w:p>
        </w:tc>
        <w:tc>
          <w:tcPr>
            <w:tcW w:w="63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旧围栏维修技术参数：对原有的旧围栏因人为及牲畜导致的损坏进行维修，维修内容包括:对损坏的围栏进行更换，对倒地倾斜的围栏立柱进行扶正并用C25混凝土加固，必要时重新更换，对松弛的围栏进行绷紧重新固定。</w:t>
            </w:r>
          </w:p>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原有围栏规格：围栏桩距4米，围栏高1.3米，挂线13道，横丝距离10cm-20㎝，铁丝为2.5mm铁丝。角铁柱规格：5cm×5cm×200cm，刷红色防锈漆，打孔13个，立柱地下埋深0.5米，用C25混凝土浇筑，基础尺寸为0.4×0.4×0.5米，地面以上高1.5米。</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lang w:val="en-US" w:eastAsia="zh-CN"/>
              </w:rPr>
              <w:t>米</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lang w:val="en-US" w:eastAsia="zh-CN"/>
              </w:rPr>
              <w:t>3700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7" w:hRule="atLeast"/>
        </w:trPr>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5</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抚育修复</w:t>
            </w:r>
          </w:p>
        </w:tc>
        <w:tc>
          <w:tcPr>
            <w:tcW w:w="63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sz w:val="24"/>
                <w:szCs w:val="24"/>
                <w:u w:val="none"/>
                <w:lang w:val="en-US"/>
              </w:rPr>
            </w:pPr>
            <w:r>
              <w:rPr>
                <w:rFonts w:hint="eastAsia" w:asciiTheme="minorEastAsia" w:hAnsiTheme="minorEastAsia" w:eastAsiaTheme="minorEastAsia" w:cstheme="minorEastAsia"/>
                <w:i w:val="0"/>
                <w:color w:val="000000"/>
                <w:kern w:val="0"/>
                <w:sz w:val="24"/>
                <w:szCs w:val="24"/>
                <w:u w:val="none"/>
                <w:lang w:val="en-US" w:eastAsia="zh-CN" w:bidi="ar"/>
              </w:rPr>
              <w:t>森林抚育技术参数：对修复区自然整枝不良，造成林内卫生状况较差的云杉进行抚育修枝，主要内容包括修枝、除草、清除妨碍林木及幼林生长的灌木，清理抚育垃圾，修枝标准根部以上1.5米，修去枯死枝和树冠下部 1 轮～2 轮活枝，剪口不能伤害树干的韧皮部和木质部；保留树冠高度，原则上不低于树高的 1/2，最低不低于树高的 1/3。将已感染病虫害的，没有利用价值的作业剩余物和林区内的病腐木及死树应按照森林病虫害防治、森林防火、生态景观和生态保护等要求，清运出修复区，以减少森林火灾和病虫害传播的隐患。以树根为中心半径50厘米内杂草清除且不能损坏树木根系</w:t>
            </w:r>
            <w:r>
              <w:rPr>
                <w:rFonts w:hint="eastAsia" w:asciiTheme="minorEastAsia" w:hAnsiTheme="minorEastAsia" w:eastAsiaTheme="minorEastAsia" w:cstheme="minorEastAsia"/>
                <w:i w:val="0"/>
                <w:color w:val="000000"/>
                <w:sz w:val="24"/>
                <w:szCs w:val="24"/>
                <w:u w:val="none"/>
                <w:lang w:val="en-US" w:eastAsia="zh-CN"/>
              </w:rPr>
              <w:t>，清理抚育垃圾并粉碎清除，割锄影响林木生长的灌木。</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亩</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2916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7" w:hRule="atLeast"/>
        </w:trPr>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6</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110引水管道铺设</w:t>
            </w:r>
          </w:p>
        </w:tc>
        <w:tc>
          <w:tcPr>
            <w:tcW w:w="6376"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both"/>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110PE管技术参数：</w:t>
            </w:r>
          </w:p>
          <w:p>
            <w:pPr>
              <w:spacing w:line="240" w:lineRule="auto"/>
              <w:ind w:firstLine="0" w:firstLineChars="0"/>
              <w:jc w:val="both"/>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
              </w:rPr>
              <w:t>★</w:t>
            </w:r>
            <w:r>
              <w:rPr>
                <w:rFonts w:hint="eastAsia" w:asciiTheme="minorEastAsia" w:hAnsiTheme="minorEastAsia" w:eastAsiaTheme="minorEastAsia" w:cstheme="minorEastAsia"/>
                <w:i w:val="0"/>
                <w:color w:val="000000"/>
                <w:sz w:val="24"/>
                <w:szCs w:val="24"/>
                <w:u w:val="none"/>
                <w:lang w:val="en-US" w:eastAsia="zh-CN"/>
              </w:rPr>
              <w:t>110PE管，压力1.25Mpa，</w:t>
            </w:r>
          </w:p>
          <w:p>
            <w:pPr>
              <w:spacing w:line="240" w:lineRule="auto"/>
              <w:ind w:firstLine="0" w:firstLineChars="0"/>
              <w:jc w:val="left"/>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管道安装后在管道连接处两边用U型卡固定，主管道安装包括水源地建设2处，水源地位于半山腰、无道路，水源地建设要求：根据现场情况和甲方要求由乙方设计建设。</w:t>
            </w:r>
          </w:p>
          <w:p>
            <w:pPr>
              <w:spacing w:line="240" w:lineRule="auto"/>
              <w:ind w:firstLine="0" w:firstLineChars="0"/>
              <w:jc w:val="both"/>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FF0000"/>
                <w:kern w:val="0"/>
                <w:sz w:val="24"/>
                <w:szCs w:val="24"/>
                <w:u w:val="none"/>
                <w:lang w:val="en-US" w:eastAsia="zh-CN" w:bidi="ar"/>
              </w:rPr>
              <w:t>标注有“★”参数需提供</w:t>
            </w:r>
            <w:r>
              <w:rPr>
                <w:rFonts w:hint="eastAsia" w:asciiTheme="minorEastAsia" w:hAnsiTheme="minorEastAsia" w:eastAsiaTheme="minorEastAsia" w:cstheme="minorEastAsia"/>
                <w:i w:val="0"/>
                <w:color w:val="FF0000"/>
                <w:sz w:val="24"/>
                <w:szCs w:val="24"/>
                <w:u w:val="none"/>
                <w:lang w:val="en-US" w:eastAsia="zh-CN"/>
              </w:rPr>
              <w:t>具有MA和CNAS两种资格的检测机构出具的检测报告</w:t>
            </w:r>
            <w:r>
              <w:rPr>
                <w:rFonts w:hint="eastAsia" w:asciiTheme="minorEastAsia" w:hAnsiTheme="minorEastAsia" w:eastAsiaTheme="minorEastAsia" w:cstheme="minorEastAsia"/>
                <w:i w:val="0"/>
                <w:color w:val="FF0000"/>
                <w:kern w:val="0"/>
                <w:sz w:val="24"/>
                <w:szCs w:val="24"/>
                <w:u w:val="none"/>
                <w:lang w:val="en-US" w:eastAsia="zh-CN" w:bidi="ar"/>
              </w:rPr>
              <w:t>。</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240" w:firstLineChars="100"/>
              <w:jc w:val="center"/>
              <w:textAlignment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米</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7" w:hRule="atLeast"/>
        </w:trPr>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
              </w:rPr>
              <w:t>7</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Theme="minorEastAsia" w:hAnsiTheme="minorEastAsia" w:eastAsiaTheme="minorEastAsia" w:cstheme="minorEastAsia"/>
                <w:i w:val="0"/>
                <w:color w:val="000000"/>
                <w:sz w:val="24"/>
                <w:szCs w:val="24"/>
                <w:u w:val="none"/>
                <w:lang w:val="en-US"/>
              </w:rPr>
            </w:pPr>
            <w:r>
              <w:rPr>
                <w:rFonts w:hint="eastAsia" w:asciiTheme="minorEastAsia" w:hAnsiTheme="minorEastAsia" w:eastAsiaTheme="minorEastAsia" w:cstheme="minorEastAsia"/>
                <w:i w:val="0"/>
                <w:color w:val="000000"/>
                <w:kern w:val="0"/>
                <w:sz w:val="24"/>
                <w:szCs w:val="24"/>
                <w:u w:val="none"/>
                <w:lang w:val="en-US" w:eastAsia="zh-CN" w:bidi="ar"/>
              </w:rPr>
              <w:t>63引水管道铺设</w:t>
            </w:r>
          </w:p>
        </w:tc>
        <w:tc>
          <w:tcPr>
            <w:tcW w:w="63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63PE管技术参数：</w:t>
            </w:r>
          </w:p>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
              </w:rPr>
              <w:t>★</w:t>
            </w:r>
            <w:r>
              <w:rPr>
                <w:rFonts w:hint="eastAsia" w:asciiTheme="minorEastAsia" w:hAnsiTheme="minorEastAsia" w:eastAsiaTheme="minorEastAsia" w:cstheme="minorEastAsia"/>
                <w:i w:val="0"/>
                <w:color w:val="000000"/>
                <w:sz w:val="24"/>
                <w:szCs w:val="24"/>
                <w:u w:val="none"/>
                <w:lang w:val="en-US" w:eastAsia="zh-CN"/>
              </w:rPr>
              <w:t>63PE管，压力1.25Mpa。</w:t>
            </w:r>
          </w:p>
          <w:p>
            <w:pPr>
              <w:spacing w:line="240" w:lineRule="auto"/>
              <w:ind w:firstLine="0" w:firstLineChars="0"/>
              <w:jc w:val="both"/>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管道安装后在管道连接处两边用U型卡固定。</w:t>
            </w:r>
          </w:p>
          <w:p>
            <w:pPr>
              <w:spacing w:line="240" w:lineRule="auto"/>
              <w:ind w:firstLine="0" w:firstLineChars="0"/>
              <w:jc w:val="both"/>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FF0000"/>
                <w:kern w:val="0"/>
                <w:sz w:val="24"/>
                <w:szCs w:val="24"/>
                <w:u w:val="none"/>
                <w:lang w:val="en-US" w:eastAsia="zh-CN" w:bidi="ar"/>
              </w:rPr>
              <w:t>标注有“★”参数需提供</w:t>
            </w:r>
            <w:r>
              <w:rPr>
                <w:rFonts w:hint="eastAsia" w:asciiTheme="minorEastAsia" w:hAnsiTheme="minorEastAsia" w:eastAsiaTheme="minorEastAsia" w:cstheme="minorEastAsia"/>
                <w:i w:val="0"/>
                <w:color w:val="FF0000"/>
                <w:sz w:val="24"/>
                <w:szCs w:val="24"/>
                <w:u w:val="none"/>
                <w:lang w:val="en-US" w:eastAsia="zh-CN"/>
              </w:rPr>
              <w:t>具有MA和CNAS两种资格的检测机构出具的检测报告</w:t>
            </w:r>
            <w:r>
              <w:rPr>
                <w:rFonts w:hint="eastAsia" w:asciiTheme="minorEastAsia" w:hAnsiTheme="minorEastAsia" w:eastAsiaTheme="minorEastAsia" w:cstheme="minorEastAsia"/>
                <w:i w:val="0"/>
                <w:color w:val="FF0000"/>
                <w:kern w:val="0"/>
                <w:sz w:val="24"/>
                <w:szCs w:val="24"/>
                <w:u w:val="none"/>
                <w:lang w:val="en-US" w:eastAsia="zh-CN" w:bidi="ar"/>
              </w:rPr>
              <w:t>。</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米</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7" w:hRule="atLeast"/>
        </w:trPr>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
              </w:rPr>
              <w:t>8</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Theme="minorEastAsia" w:hAnsiTheme="minorEastAsia" w:eastAsiaTheme="minorEastAsia" w:cstheme="minorEastAsia"/>
                <w:i w:val="0"/>
                <w:color w:val="000000"/>
                <w:sz w:val="24"/>
                <w:szCs w:val="24"/>
                <w:u w:val="none"/>
                <w:lang w:val="en-US"/>
              </w:rPr>
            </w:pPr>
            <w:r>
              <w:rPr>
                <w:rFonts w:hint="eastAsia" w:asciiTheme="minorEastAsia" w:hAnsiTheme="minorEastAsia" w:eastAsiaTheme="minorEastAsia" w:cstheme="minorEastAsia"/>
                <w:i w:val="0"/>
                <w:color w:val="000000"/>
                <w:kern w:val="0"/>
                <w:sz w:val="24"/>
                <w:szCs w:val="24"/>
                <w:u w:val="none"/>
                <w:lang w:val="en-US" w:eastAsia="zh-CN" w:bidi="ar"/>
              </w:rPr>
              <w:t>25引水管道铺设</w:t>
            </w:r>
          </w:p>
        </w:tc>
        <w:tc>
          <w:tcPr>
            <w:tcW w:w="63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25PE管技术参数：</w:t>
            </w:r>
          </w:p>
          <w:p>
            <w:pPr>
              <w:keepNext w:val="0"/>
              <w:keepLines w:val="0"/>
              <w:widowControl/>
              <w:suppressLineNumbers w:val="0"/>
              <w:spacing w:line="240" w:lineRule="auto"/>
              <w:ind w:firstLine="0" w:firstLineChars="0"/>
              <w:jc w:val="both"/>
              <w:textAlignment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
              </w:rPr>
              <w:t>★</w:t>
            </w:r>
            <w:r>
              <w:rPr>
                <w:rFonts w:hint="eastAsia" w:asciiTheme="minorEastAsia" w:hAnsiTheme="minorEastAsia" w:eastAsiaTheme="minorEastAsia" w:cstheme="minorEastAsia"/>
                <w:i w:val="0"/>
                <w:color w:val="000000"/>
                <w:sz w:val="24"/>
                <w:szCs w:val="24"/>
                <w:u w:val="none"/>
                <w:lang w:val="en-US" w:eastAsia="zh-CN"/>
              </w:rPr>
              <w:t>25PE管，压力1.25Mpa。</w:t>
            </w:r>
          </w:p>
          <w:p>
            <w:pPr>
              <w:spacing w:line="240" w:lineRule="auto"/>
              <w:ind w:firstLine="0" w:firstLineChars="0"/>
              <w:jc w:val="both"/>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FF0000"/>
                <w:kern w:val="0"/>
                <w:sz w:val="24"/>
                <w:szCs w:val="24"/>
                <w:u w:val="none"/>
                <w:lang w:val="en-US" w:eastAsia="zh-CN" w:bidi="ar"/>
              </w:rPr>
              <w:t>标注有“★”参数需提供</w:t>
            </w:r>
            <w:r>
              <w:rPr>
                <w:rFonts w:hint="eastAsia" w:asciiTheme="minorEastAsia" w:hAnsiTheme="minorEastAsia" w:eastAsiaTheme="minorEastAsia" w:cstheme="minorEastAsia"/>
                <w:i w:val="0"/>
                <w:color w:val="FF0000"/>
                <w:sz w:val="24"/>
                <w:szCs w:val="24"/>
                <w:u w:val="none"/>
                <w:lang w:val="en-US" w:eastAsia="zh-CN"/>
              </w:rPr>
              <w:t>具有MA和CNAS两种资格的检测机构出具的检测报告</w:t>
            </w:r>
            <w:r>
              <w:rPr>
                <w:rFonts w:hint="eastAsia" w:asciiTheme="minorEastAsia" w:hAnsiTheme="minorEastAsia" w:eastAsiaTheme="minorEastAsia" w:cstheme="minorEastAsia"/>
                <w:i w:val="0"/>
                <w:color w:val="000000"/>
                <w:kern w:val="0"/>
                <w:sz w:val="24"/>
                <w:szCs w:val="24"/>
                <w:u w:val="none"/>
                <w:lang w:val="en-US" w:eastAsia="zh-CN" w:bidi="ar"/>
              </w:rPr>
              <w:t>。</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米</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25" w:hRule="atLeast"/>
        </w:trPr>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9</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firstLine="0" w:firstLineChars="0"/>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7.5立方铁质减压池</w:t>
            </w:r>
          </w:p>
        </w:tc>
        <w:tc>
          <w:tcPr>
            <w:tcW w:w="6376" w:type="dxa"/>
            <w:tcBorders>
              <w:top w:val="single" w:color="000000" w:sz="4" w:space="0"/>
              <w:left w:val="single" w:color="000000" w:sz="4" w:space="0"/>
              <w:bottom w:val="single" w:color="000000" w:sz="4" w:space="0"/>
              <w:right w:val="single" w:color="000000" w:sz="4" w:space="0"/>
            </w:tcBorders>
            <w:noWrap w:val="0"/>
            <w:vAlign w:val="center"/>
          </w:tcPr>
          <w:p>
            <w:pPr>
              <w:pStyle w:val="5"/>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i w:val="0"/>
                <w:color w:val="000000"/>
                <w:kern w:val="0"/>
                <w:sz w:val="24"/>
                <w:szCs w:val="24"/>
                <w:u w:val="none"/>
                <w:lang w:val="en-US" w:eastAsia="zh-CN" w:bidi="ar"/>
              </w:rPr>
              <w:t>.5立方减压池技术参数：减压池尺寸长2.5米×宽2米×高1.5米，材质304不锈钢焊接，，厚度2.0mm，减压池需设置检查口1个，进水口1个，出水口1个、排污口1个、溢水口1个，减压池内侧用5cm×5cm角铁加固，减压池安装位置位于半山腰、无道路。安装要求:包括平地，安装，固定,进水口和出水口分别与110PE管链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个</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7" w:hRule="atLeast"/>
        </w:trPr>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10</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lang w:val="en-US" w:eastAsia="zh-CN"/>
              </w:rPr>
              <w:t>宣传费</w:t>
            </w:r>
          </w:p>
        </w:tc>
        <w:tc>
          <w:tcPr>
            <w:tcW w:w="6376"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both"/>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宣传牌技术参数：</w:t>
            </w:r>
          </w:p>
          <w:p>
            <w:pPr>
              <w:numPr>
                <w:ilvl w:val="0"/>
                <w:numId w:val="1"/>
              </w:numPr>
              <w:spacing w:line="240" w:lineRule="auto"/>
              <w:ind w:firstLine="0" w:firstLineChars="0"/>
              <w:jc w:val="both"/>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宣传牌3块，牌面尺寸5米×2米,双面铁皮，骨架为4×4镀锌方钢，牌面材质为白铁皮，每块宣传牌立柱2根，立柱为DN150镀锌钢管，立柱基础80cm×80cm×100cm,基础用C25混凝土浇筑，安装后牌面顶部到地面距离3.8米。牌面内容根据甲方要求由乙方设计制作安装。</w:t>
            </w:r>
          </w:p>
          <w:p>
            <w:pPr>
              <w:numPr>
                <w:numId w:val="0"/>
              </w:numPr>
              <w:spacing w:line="240" w:lineRule="auto"/>
              <w:jc w:val="both"/>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cstheme="minorEastAsia"/>
                <w:i w:val="0"/>
                <w:color w:val="000000"/>
                <w:sz w:val="24"/>
                <w:szCs w:val="24"/>
                <w:u w:val="none"/>
                <w:lang w:val="en-US" w:eastAsia="zh-CN"/>
              </w:rPr>
              <w:t>2、</w:t>
            </w:r>
            <w:r>
              <w:rPr>
                <w:rFonts w:hint="eastAsia" w:asciiTheme="minorEastAsia" w:hAnsiTheme="minorEastAsia" w:eastAsiaTheme="minorEastAsia" w:cstheme="minorEastAsia"/>
                <w:i w:val="0"/>
                <w:color w:val="000000"/>
                <w:sz w:val="24"/>
                <w:szCs w:val="24"/>
                <w:u w:val="none"/>
                <w:lang w:val="en-US" w:eastAsia="zh-CN"/>
              </w:rPr>
              <w:t>标志牌技术参数：</w:t>
            </w:r>
          </w:p>
          <w:p>
            <w:pPr>
              <w:spacing w:line="240" w:lineRule="auto"/>
              <w:ind w:firstLine="0" w:firstLineChars="0"/>
              <w:jc w:val="both"/>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标志牌2块，牌面尺寸1.5米×2米，双面铁皮，骨架为4×4镀锌方钢，牌面材质为白铁皮，每块标志牌立柱2根，立柱为DN90镀锌钢管，立柱基础60cm×60cm×80cm,基础用C25混凝土浇筑，安装后牌面顶部到地面距离3.3米。牌面内容根据甲方要求由乙方设计制作安装,。</w:t>
            </w:r>
          </w:p>
          <w:p>
            <w:pPr>
              <w:numPr>
                <w:numId w:val="0"/>
              </w:numPr>
              <w:spacing w:line="240" w:lineRule="auto"/>
              <w:jc w:val="both"/>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cstheme="minorEastAsia"/>
                <w:i w:val="0"/>
                <w:color w:val="000000"/>
                <w:sz w:val="24"/>
                <w:szCs w:val="24"/>
                <w:u w:val="none"/>
                <w:lang w:val="en-US" w:eastAsia="zh-CN"/>
              </w:rPr>
              <w:t>3、</w:t>
            </w:r>
            <w:r>
              <w:rPr>
                <w:rFonts w:hint="eastAsia" w:asciiTheme="minorEastAsia" w:hAnsiTheme="minorEastAsia" w:eastAsiaTheme="minorEastAsia" w:cstheme="minorEastAsia"/>
                <w:i w:val="0"/>
                <w:color w:val="000000"/>
                <w:sz w:val="24"/>
                <w:szCs w:val="24"/>
                <w:u w:val="none"/>
                <w:lang w:val="en-US" w:eastAsia="zh-CN"/>
              </w:rPr>
              <w:t>PVC＋UV宣传标语技术参数：PVC板尺寸60×80公分、厚度1.5公分PVC板共计100块，工艺为PVC＋UV喷绘，内容由乙方根据现场环境和甲方要求设计安装。</w:t>
            </w:r>
          </w:p>
          <w:p>
            <w:pPr>
              <w:numPr>
                <w:numId w:val="0"/>
              </w:numPr>
              <w:spacing w:line="240" w:lineRule="auto"/>
              <w:jc w:val="both"/>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cstheme="minorEastAsia"/>
                <w:i w:val="0"/>
                <w:color w:val="000000"/>
                <w:sz w:val="24"/>
                <w:szCs w:val="24"/>
                <w:u w:val="none"/>
                <w:lang w:val="en-US" w:eastAsia="zh-CN"/>
              </w:rPr>
              <w:t>4、</w:t>
            </w:r>
            <w:r>
              <w:rPr>
                <w:rFonts w:hint="eastAsia" w:asciiTheme="minorEastAsia" w:hAnsiTheme="minorEastAsia" w:eastAsiaTheme="minorEastAsia" w:cstheme="minorEastAsia"/>
                <w:i w:val="0"/>
                <w:color w:val="000000"/>
                <w:sz w:val="24"/>
                <w:szCs w:val="24"/>
                <w:u w:val="none"/>
                <w:lang w:val="en-US" w:eastAsia="zh-CN"/>
              </w:rPr>
              <w:t>宣传册技术参数：印刷退化林修复保护宣传册540份，宣传册尺寸为A4，全彩印，每份15页左右，由乙方根据现场环境和甲方要求设计印刷。</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亩</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center"/>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i w:val="0"/>
                <w:color w:val="000000"/>
                <w:sz w:val="24"/>
                <w:szCs w:val="24"/>
                <w:u w:val="none"/>
                <w:lang w:val="en-US" w:eastAsia="zh-CN"/>
              </w:rPr>
              <w:t>2916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3" w:hRule="atLeast"/>
        </w:trPr>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11</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lang w:val="en-US" w:eastAsia="zh-CN"/>
              </w:rPr>
              <w:t>备注</w:t>
            </w:r>
          </w:p>
        </w:tc>
        <w:tc>
          <w:tcPr>
            <w:tcW w:w="7610"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rPr>
                <w:rFonts w:hint="eastAsia" w:asciiTheme="minorEastAsia" w:hAnsiTheme="minorEastAsia" w:eastAsiaTheme="minorEastAsia" w:cstheme="minorEastAsia"/>
                <w:i w:val="0"/>
                <w:color w:val="000000"/>
                <w:sz w:val="24"/>
                <w:szCs w:val="24"/>
                <w:u w:val="none"/>
                <w:lang w:val="en-US" w:eastAsia="zh-CN"/>
              </w:rPr>
            </w:pPr>
            <w:r>
              <w:rPr>
                <w:rFonts w:hint="eastAsia" w:asciiTheme="minorEastAsia" w:hAnsiTheme="minorEastAsia" w:eastAsiaTheme="minorEastAsia" w:cstheme="minorEastAsia"/>
                <w:b/>
                <w:bCs/>
                <w:i w:val="0"/>
                <w:color w:val="auto"/>
                <w:kern w:val="0"/>
                <w:sz w:val="24"/>
                <w:szCs w:val="24"/>
                <w:u w:val="none"/>
                <w:lang w:val="en-US" w:eastAsia="zh-CN" w:bidi="ar"/>
              </w:rPr>
              <w:t>重要提醒：本项目实施地处于高海拔山区，平均海拔2500米以上，无电，无信号，项目区距主要交通干道58公里，其中28公里无路、无桥，交通状况很差，仅有一条河流，沿河流进出项目区，河流常年流水，河流水面较宽，河水湍急，普通车辆难以通行，施工道路由乙方自行解决，因此请各供应商谨慎报价。</w:t>
            </w:r>
          </w:p>
        </w:tc>
      </w:tr>
    </w:tbl>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09D97"/>
    <w:multiLevelType w:val="singleLevel"/>
    <w:tmpl w:val="02F09D9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iYWUyOWNjZTkwMzcxOThjYWI0MWU0NGMzZmJkYTMifQ=="/>
    <w:docVar w:name="KSO_WPS_MARK_KEY" w:val="ac9c29ad-6336-4c80-9b63-49c82cf9982b"/>
  </w:docVars>
  <w:rsids>
    <w:rsidRoot w:val="3F174977"/>
    <w:rsid w:val="282839AC"/>
    <w:rsid w:val="299B6018"/>
    <w:rsid w:val="39E66330"/>
    <w:rsid w:val="3F174977"/>
    <w:rsid w:val="4F776F01"/>
    <w:rsid w:val="543560C6"/>
    <w:rsid w:val="6D044F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 Spacing"/>
    <w:basedOn w:val="1"/>
    <w:qFormat/>
    <w:uiPriority w:val="1"/>
    <w:rPr>
      <w:rFonts w:ascii="Times New Roman" w:hAnsi="Times New Roman" w:eastAsia="宋体" w:cs="Times New Roman"/>
      <w:sz w:val="22"/>
      <w:szCs w:val="22"/>
      <w:lang w:val="en-US" w:eastAsia="zh-CN" w:bidi="ar-SA"/>
    </w:rPr>
  </w:style>
  <w:style w:type="paragraph" w:customStyle="1" w:styleId="5">
    <w:name w:val="_Style 1"/>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2008</Words>
  <Characters>2336</Characters>
  <Lines>0</Lines>
  <Paragraphs>0</Paragraphs>
  <TotalTime>13</TotalTime>
  <ScaleCrop>false</ScaleCrop>
  <LinksUpToDate>false</LinksUpToDate>
  <CharactersWithSpaces>2346</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2024-11-01T14:45:00Z</dcterms:created>
  <dc:creator>许焰</dc:creator>
  <cp:lastModifiedBy>Administrator</cp:lastModifiedBy>
  <dcterms:modified xsi:type="dcterms:W3CDTF">2024-11-04T07:57:58Z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DDB84936A15E496E94CE212151A1D929_11</vt:lpwstr>
  </property>
</Properties>
</file>