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bCs/>
          <w:color w:val="auto"/>
          <w:w w:val="90"/>
          <w:sz w:val="40"/>
          <w:szCs w:val="40"/>
          <w:lang w:eastAsia="zh-CN"/>
        </w:rPr>
      </w:pPr>
    </w:p>
    <w:p>
      <w:pPr>
        <w:spacing w:line="760" w:lineRule="exact"/>
        <w:jc w:val="center"/>
        <w:rPr>
          <w:rFonts w:hint="eastAsia" w:ascii="仿宋" w:hAnsi="仿宋" w:eastAsia="仿宋" w:cs="仿宋"/>
          <w:b/>
          <w:bCs/>
          <w:color w:val="auto"/>
          <w:w w:val="90"/>
          <w:sz w:val="40"/>
          <w:szCs w:val="40"/>
          <w:lang w:eastAsia="zh-CN"/>
        </w:rPr>
      </w:pPr>
      <w:r>
        <w:rPr>
          <w:rFonts w:hint="eastAsia" w:ascii="仿宋" w:hAnsi="仿宋" w:eastAsia="仿宋" w:cs="仿宋"/>
          <w:b/>
          <w:bCs/>
          <w:color w:val="auto"/>
          <w:w w:val="90"/>
          <w:sz w:val="40"/>
          <w:szCs w:val="40"/>
          <w:lang w:eastAsia="zh-CN"/>
        </w:rPr>
        <w:t>乌恰县人民医院购买医疗设备及手术器械采购项目</w:t>
      </w:r>
    </w:p>
    <w:p>
      <w:pPr>
        <w:spacing w:line="760" w:lineRule="exact"/>
        <w:jc w:val="center"/>
        <w:rPr>
          <w:rFonts w:hint="eastAsia" w:ascii="仿宋" w:hAnsi="仿宋" w:eastAsia="仿宋" w:cs="仿宋"/>
          <w:b/>
          <w:bCs/>
          <w:color w:val="auto"/>
          <w:w w:val="90"/>
          <w:sz w:val="40"/>
          <w:szCs w:val="40"/>
          <w:lang w:val="en-US" w:eastAsia="zh-CN"/>
        </w:rPr>
      </w:pPr>
      <w:r>
        <w:rPr>
          <w:rFonts w:hint="eastAsia" w:ascii="仿宋" w:hAnsi="仿宋" w:eastAsia="仿宋" w:cs="仿宋"/>
          <w:b/>
          <w:bCs/>
          <w:color w:val="auto"/>
          <w:w w:val="90"/>
          <w:sz w:val="40"/>
          <w:szCs w:val="40"/>
          <w:lang w:eastAsia="zh-CN"/>
        </w:rPr>
        <w:t>项目编号：WQZFCG(ZB)-202</w:t>
      </w:r>
      <w:r>
        <w:rPr>
          <w:rFonts w:hint="eastAsia" w:ascii="仿宋" w:hAnsi="仿宋" w:eastAsia="仿宋" w:cs="仿宋"/>
          <w:b/>
          <w:bCs/>
          <w:color w:val="auto"/>
          <w:w w:val="90"/>
          <w:sz w:val="40"/>
          <w:szCs w:val="40"/>
          <w:lang w:val="en-US" w:eastAsia="zh-CN"/>
        </w:rPr>
        <w:t>3-073</w:t>
      </w:r>
    </w:p>
    <w:p>
      <w:pPr>
        <w:pStyle w:val="28"/>
        <w:spacing w:line="760" w:lineRule="exact"/>
        <w:rPr>
          <w:rFonts w:hint="eastAsia" w:ascii="仿宋" w:hAnsi="仿宋" w:eastAsia="仿宋" w:cs="仿宋"/>
          <w:color w:val="auto"/>
        </w:rPr>
      </w:pPr>
    </w:p>
    <w:p>
      <w:pPr>
        <w:pStyle w:val="28"/>
        <w:rPr>
          <w:rFonts w:hint="eastAsia" w:ascii="仿宋" w:hAnsi="仿宋" w:eastAsia="仿宋" w:cs="仿宋"/>
          <w:color w:val="auto"/>
        </w:rPr>
      </w:pPr>
    </w:p>
    <w:p>
      <w:pPr>
        <w:pStyle w:val="28"/>
        <w:jc w:val="center"/>
        <w:rPr>
          <w:rFonts w:hint="eastAsia" w:ascii="仿宋" w:hAnsi="仿宋" w:eastAsia="仿宋" w:cs="仿宋"/>
          <w:b/>
          <w:color w:val="auto"/>
          <w:sz w:val="96"/>
          <w:szCs w:val="96"/>
        </w:rPr>
      </w:pPr>
      <w:r>
        <w:rPr>
          <w:rFonts w:hint="eastAsia" w:ascii="仿宋" w:hAnsi="仿宋" w:eastAsia="仿宋" w:cs="仿宋"/>
          <w:b/>
          <w:color w:val="auto"/>
          <w:sz w:val="96"/>
          <w:szCs w:val="96"/>
        </w:rPr>
        <w:drawing>
          <wp:anchor distT="0" distB="0" distL="114300" distR="114300" simplePos="0" relativeHeight="251664384" behindDoc="1" locked="0" layoutInCell="1" allowOverlap="1">
            <wp:simplePos x="0" y="0"/>
            <wp:positionH relativeFrom="column">
              <wp:posOffset>1626870</wp:posOffset>
            </wp:positionH>
            <wp:positionV relativeFrom="page">
              <wp:posOffset>3444240</wp:posOffset>
            </wp:positionV>
            <wp:extent cx="2419350" cy="2362200"/>
            <wp:effectExtent l="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stretch>
                      <a:fillRect/>
                    </a:stretch>
                  </pic:blipFill>
                  <pic:spPr>
                    <a:xfrm>
                      <a:off x="0" y="0"/>
                      <a:ext cx="2419350" cy="2362200"/>
                    </a:xfrm>
                    <a:prstGeom prst="rect">
                      <a:avLst/>
                    </a:prstGeom>
                    <a:noFill/>
                    <a:ln>
                      <a:noFill/>
                    </a:ln>
                  </pic:spPr>
                </pic:pic>
              </a:graphicData>
            </a:graphic>
          </wp:anchor>
        </w:drawing>
      </w:r>
      <w:r>
        <w:rPr>
          <w:rFonts w:hint="eastAsia" w:ascii="仿宋" w:hAnsi="仿宋" w:eastAsia="仿宋" w:cs="仿宋"/>
          <w:b/>
          <w:color w:val="auto"/>
          <w:sz w:val="96"/>
          <w:szCs w:val="96"/>
        </w:rPr>
        <w:t>招</w:t>
      </w:r>
    </w:p>
    <w:p>
      <w:pPr>
        <w:pStyle w:val="28"/>
        <w:jc w:val="center"/>
        <w:rPr>
          <w:rFonts w:hint="eastAsia" w:ascii="仿宋" w:hAnsi="仿宋" w:eastAsia="仿宋" w:cs="仿宋"/>
          <w:b/>
          <w:bCs/>
          <w:color w:val="auto"/>
          <w:sz w:val="96"/>
          <w:szCs w:val="96"/>
        </w:rPr>
      </w:pPr>
      <w:r>
        <w:rPr>
          <w:rFonts w:hint="eastAsia" w:ascii="仿宋" w:hAnsi="仿宋" w:eastAsia="仿宋" w:cs="仿宋"/>
          <w:b/>
          <w:color w:val="auto"/>
          <w:sz w:val="96"/>
          <w:szCs w:val="96"/>
        </w:rPr>
        <w:t>标</w:t>
      </w:r>
    </w:p>
    <w:p>
      <w:pPr>
        <w:pStyle w:val="28"/>
        <w:jc w:val="center"/>
        <w:rPr>
          <w:rFonts w:hint="eastAsia" w:ascii="仿宋" w:hAnsi="仿宋" w:eastAsia="仿宋" w:cs="仿宋"/>
          <w:b/>
          <w:bCs/>
          <w:color w:val="auto"/>
          <w:sz w:val="96"/>
          <w:szCs w:val="96"/>
        </w:rPr>
      </w:pPr>
      <w:r>
        <w:rPr>
          <w:rFonts w:hint="eastAsia" w:ascii="仿宋" w:hAnsi="仿宋" w:eastAsia="仿宋" w:cs="仿宋"/>
          <w:b/>
          <w:bCs/>
          <w:color w:val="auto"/>
          <w:sz w:val="96"/>
          <w:szCs w:val="96"/>
        </w:rPr>
        <w:t>文</w:t>
      </w:r>
    </w:p>
    <w:p>
      <w:pPr>
        <w:pStyle w:val="28"/>
        <w:jc w:val="center"/>
        <w:rPr>
          <w:rFonts w:hint="eastAsia" w:ascii="仿宋" w:hAnsi="仿宋" w:eastAsia="仿宋" w:cs="仿宋"/>
          <w:color w:val="auto"/>
          <w:sz w:val="84"/>
          <w:szCs w:val="84"/>
        </w:rPr>
      </w:pPr>
      <w:r>
        <w:rPr>
          <w:rFonts w:hint="eastAsia" w:ascii="仿宋" w:hAnsi="仿宋" w:eastAsia="仿宋" w:cs="仿宋"/>
          <w:b/>
          <w:bCs/>
          <w:color w:val="auto"/>
          <w:sz w:val="96"/>
          <w:szCs w:val="96"/>
        </w:rPr>
        <w:t>件</w:t>
      </w:r>
    </w:p>
    <w:p>
      <w:pPr>
        <w:pStyle w:val="28"/>
        <w:rPr>
          <w:rFonts w:hint="eastAsia" w:ascii="仿宋" w:hAnsi="仿宋" w:eastAsia="仿宋" w:cs="仿宋"/>
          <w:color w:val="auto"/>
        </w:rPr>
      </w:pP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采购单位：乌恰县人民医院</w:t>
      </w: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 张女士</w:t>
      </w:r>
    </w:p>
    <w:p>
      <w:pPr>
        <w:spacing w:line="7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18709086880</w:t>
      </w: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w:t>
      </w: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人：朱先生</w:t>
      </w:r>
    </w:p>
    <w:p>
      <w:pPr>
        <w:spacing w:line="700" w:lineRule="exact"/>
        <w:ind w:firstLine="640" w:firstLineChars="200"/>
        <w:rPr>
          <w:rFonts w:hint="eastAsia"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 18609088999</w:t>
      </w:r>
    </w:p>
    <w:p>
      <w:pPr>
        <w:jc w:val="center"/>
        <w:rPr>
          <w:rFonts w:hint="eastAsia" w:ascii="仿宋" w:hAnsi="仿宋" w:eastAsia="仿宋" w:cs="仿宋"/>
          <w:b/>
          <w:color w:val="auto"/>
          <w:sz w:val="36"/>
          <w:szCs w:val="36"/>
          <w:lang w:eastAsia="zh-CN"/>
        </w:rPr>
      </w:pPr>
    </w:p>
    <w:p>
      <w:pPr>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2"/>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hint="eastAsia" w:ascii="仿宋" w:hAnsi="仿宋" w:eastAsia="仿宋" w:cs="仿宋"/>
                <w:color w:val="auto"/>
                <w:lang w:eastAsia="zh-CN"/>
              </w:rPr>
            </w:pPr>
          </w:p>
          <w:p>
            <w:pPr>
              <w:spacing w:line="500" w:lineRule="exact"/>
              <w:jc w:val="both"/>
              <w:rPr>
                <w:rFonts w:hint="eastAsia" w:ascii="仿宋" w:hAnsi="仿宋" w:eastAsia="仿宋" w:cs="仿宋"/>
                <w:color w:val="auto"/>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采购单位：乌恰县人民医院</w:t>
            </w:r>
            <w:r>
              <w:rPr>
                <w:rFonts w:hint="eastAsia" w:ascii="仿宋" w:hAnsi="仿宋" w:eastAsia="仿宋" w:cs="仿宋"/>
                <w:color w:val="auto"/>
                <w:w w:val="95"/>
                <w:sz w:val="32"/>
                <w:szCs w:val="32"/>
                <w:lang w:eastAsia="zh-CN"/>
              </w:rPr>
              <w:t>（盖章）</w:t>
            </w:r>
          </w:p>
          <w:p>
            <w:pPr>
              <w:spacing w:line="50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ind w:left="3520" w:hanging="3520" w:hangingChars="1100"/>
              <w:jc w:val="both"/>
              <w:rPr>
                <w:rFonts w:hint="eastAsia" w:ascii="仿宋" w:hAnsi="仿宋" w:eastAsia="仿宋" w:cs="仿宋"/>
                <w:color w:val="auto"/>
                <w:sz w:val="32"/>
                <w:szCs w:val="32"/>
                <w:lang w:eastAsia="zh-CN"/>
              </w:rPr>
            </w:pPr>
          </w:p>
          <w:p>
            <w:pPr>
              <w:spacing w:line="760" w:lineRule="exact"/>
              <w:jc w:val="center"/>
              <w:rPr>
                <w:rFonts w:hint="eastAsia" w:ascii="仿宋" w:hAnsi="仿宋" w:eastAsia="仿宋" w:cs="仿宋"/>
                <w:b/>
                <w:bCs/>
                <w:color w:val="auto"/>
                <w:w w:val="90"/>
                <w:sz w:val="40"/>
                <w:szCs w:val="40"/>
                <w:lang w:eastAsia="zh-CN"/>
              </w:rPr>
            </w:pPr>
            <w:r>
              <w:rPr>
                <w:rFonts w:hint="eastAsia" w:ascii="仿宋" w:hAnsi="仿宋" w:eastAsia="仿宋" w:cs="仿宋"/>
                <w:color w:val="auto"/>
                <w:sz w:val="32"/>
                <w:szCs w:val="32"/>
                <w:lang w:eastAsia="zh-CN"/>
              </w:rPr>
              <w:t>采购项目名称：乌恰县人民医院购买医疗设备及手术器械采购项目</w:t>
            </w:r>
          </w:p>
          <w:p>
            <w:pPr>
              <w:spacing w:line="500" w:lineRule="exact"/>
              <w:ind w:left="3520" w:hanging="3520" w:hangingChars="1100"/>
              <w:jc w:val="both"/>
              <w:rPr>
                <w:rFonts w:hint="eastAsia" w:ascii="仿宋" w:hAnsi="仿宋" w:eastAsia="仿宋" w:cs="仿宋"/>
                <w:color w:val="auto"/>
                <w:sz w:val="32"/>
                <w:szCs w:val="32"/>
                <w:lang w:eastAsia="zh-CN"/>
              </w:rPr>
            </w:pPr>
          </w:p>
          <w:p>
            <w:pPr>
              <w:spacing w:line="500" w:lineRule="exact"/>
              <w:ind w:left="3520" w:hanging="3520" w:hangingChars="1100"/>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代理机构：鼎建项目管理有限公司（盖章）</w:t>
            </w:r>
          </w:p>
          <w:p>
            <w:pPr>
              <w:pStyle w:val="5"/>
              <w:jc w:val="both"/>
              <w:outlineLvl w:val="2"/>
              <w:rPr>
                <w:rFonts w:hint="eastAsia" w:ascii="仿宋" w:hAnsi="仿宋" w:eastAsia="仿宋" w:cs="仿宋"/>
                <w:color w:val="auto"/>
                <w:lang w:eastAsia="zh-CN"/>
              </w:rPr>
            </w:pPr>
          </w:p>
          <w:p>
            <w:pPr>
              <w:jc w:val="both"/>
              <w:rPr>
                <w:rFonts w:hint="eastAsia" w:ascii="仿宋" w:hAnsi="仿宋" w:eastAsia="仿宋" w:cs="仿宋"/>
                <w:color w:val="auto"/>
                <w:lang w:eastAsia="zh-CN"/>
              </w:rPr>
            </w:pPr>
          </w:p>
          <w:p>
            <w:pPr>
              <w:pStyle w:val="5"/>
              <w:jc w:val="center"/>
              <w:outlineLvl w:val="2"/>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 xml:space="preserve"> 7</w:t>
            </w:r>
            <w:r>
              <w:rPr>
                <w:rFonts w:hint="eastAsia" w:ascii="仿宋" w:hAnsi="仿宋" w:eastAsia="仿宋" w:cs="仿宋"/>
                <w:color w:val="auto"/>
              </w:rPr>
              <w:t>月</w:t>
            </w:r>
          </w:p>
          <w:p>
            <w:pPr>
              <w:pStyle w:val="5"/>
              <w:jc w:val="both"/>
              <w:outlineLvl w:val="2"/>
              <w:rPr>
                <w:rFonts w:hint="eastAsia" w:ascii="仿宋" w:hAnsi="仿宋" w:eastAsia="仿宋" w:cs="仿宋"/>
                <w:color w:val="auto"/>
              </w:rPr>
            </w:pPr>
          </w:p>
        </w:tc>
      </w:tr>
    </w:tbl>
    <w:p>
      <w:pPr>
        <w:spacing w:line="240" w:lineRule="exact"/>
        <w:rPr>
          <w:rFonts w:hint="eastAsia" w:ascii="仿宋" w:hAnsi="仿宋" w:eastAsia="仿宋" w:cs="仿宋"/>
          <w:color w:val="auto"/>
          <w:sz w:val="44"/>
          <w:szCs w:val="44"/>
          <w:lang w:val="en-US"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r>
        <w:rPr>
          <w:rFonts w:hint="eastAsia" w:ascii="仿宋" w:hAnsi="仿宋" w:eastAsia="仿宋" w:cs="仿宋"/>
          <w:color w:val="auto"/>
          <w:sz w:val="44"/>
          <w:szCs w:val="44"/>
          <w:lang w:val="en-US" w:eastAsia="zh-CN"/>
        </w:rPr>
        <w:t xml:space="preserve"> </w:t>
      </w:r>
    </w:p>
    <w:p>
      <w:pPr>
        <w:pStyle w:val="31"/>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pPr>
        <w:rPr>
          <w:rFonts w:hint="eastAsia" w:ascii="仿宋" w:hAnsi="仿宋" w:eastAsia="仿宋" w:cs="仿宋"/>
          <w:color w:val="auto"/>
          <w:lang w:val="zh-CN"/>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rPr>
        <w:t>第一部分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招标公告…………………………………………1</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供应商须知………………………………………</w:t>
      </w:r>
      <w:r>
        <w:rPr>
          <w:rFonts w:hint="eastAsia" w:ascii="仿宋" w:hAnsi="仿宋" w:eastAsia="仿宋" w:cs="仿宋"/>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评标办法…………………………………………3</w:t>
      </w:r>
      <w:r>
        <w:rPr>
          <w:rFonts w:hint="eastAsia" w:ascii="仿宋" w:hAnsi="仿宋" w:eastAsia="仿宋" w:cs="仿宋"/>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第四部分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技术规格数量及质量要求………………………</w:t>
      </w:r>
      <w:r>
        <w:rPr>
          <w:rFonts w:hint="eastAsia" w:ascii="仿宋" w:hAnsi="仿宋" w:eastAsia="仿宋" w:cs="仿宋"/>
          <w:color w:val="auto"/>
          <w:sz w:val="32"/>
          <w:szCs w:val="32"/>
          <w:lang w:val="en-US" w:eastAsia="zh-CN"/>
        </w:rPr>
        <w:t>45</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第五部分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合同（参考）……………………………………</w:t>
      </w:r>
      <w:r>
        <w:rPr>
          <w:rFonts w:hint="eastAsia" w:ascii="仿宋" w:hAnsi="仿宋" w:eastAsia="仿宋" w:cs="仿宋"/>
          <w:color w:val="auto"/>
          <w:sz w:val="32"/>
          <w:szCs w:val="32"/>
          <w:lang w:val="en-US" w:eastAsia="zh-CN"/>
        </w:rPr>
        <w:t>56</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第六部分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投标文件格式……………………………………</w:t>
      </w:r>
      <w:r>
        <w:rPr>
          <w:rFonts w:hint="eastAsia" w:ascii="仿宋" w:hAnsi="仿宋" w:eastAsia="仿宋" w:cs="仿宋"/>
          <w:color w:val="auto"/>
          <w:sz w:val="32"/>
          <w:szCs w:val="32"/>
          <w:lang w:val="en-US" w:eastAsia="zh-CN"/>
        </w:rPr>
        <w:t>62</w:t>
      </w:r>
    </w:p>
    <w:p>
      <w:pPr>
        <w:rPr>
          <w:rFonts w:hint="eastAsia" w:ascii="仿宋" w:hAnsi="仿宋" w:eastAsia="仿宋" w:cs="仿宋"/>
          <w:color w:val="auto"/>
          <w:lang w:eastAsia="zh-CN"/>
        </w:rPr>
      </w:pPr>
    </w:p>
    <w:p>
      <w:pPr>
        <w:spacing w:line="480" w:lineRule="auto"/>
        <w:rPr>
          <w:rFonts w:hint="eastAsia" w:ascii="仿宋" w:hAnsi="仿宋" w:eastAsia="仿宋" w:cs="仿宋"/>
          <w:color w:val="auto"/>
          <w:lang w:eastAsia="zh-CN"/>
        </w:rPr>
      </w:pPr>
    </w:p>
    <w:p>
      <w:pPr>
        <w:pStyle w:val="5"/>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5"/>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5"/>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5"/>
        <w:rPr>
          <w:rFonts w:hint="eastAsia" w:ascii="仿宋" w:hAnsi="仿宋" w:eastAsia="仿宋" w:cs="仿宋"/>
          <w:color w:val="auto"/>
          <w:lang w:eastAsia="zh-CN"/>
        </w:rPr>
      </w:pPr>
    </w:p>
    <w:p>
      <w:pPr>
        <w:pStyle w:val="32"/>
        <w:keepNext/>
        <w:keepLines/>
        <w:spacing w:before="120" w:after="300"/>
        <w:jc w:val="both"/>
        <w:rPr>
          <w:rFonts w:hint="eastAsia"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2"/>
        <w:keepNext/>
        <w:keepLines/>
        <w:spacing w:before="120" w:after="300"/>
        <w:rPr>
          <w:rFonts w:hint="eastAsia" w:ascii="仿宋" w:hAnsi="仿宋" w:eastAsia="仿宋" w:cs="仿宋"/>
          <w:b/>
          <w:bCs/>
          <w:color w:val="auto"/>
          <w:lang w:eastAsia="zh-CN"/>
        </w:rPr>
      </w:pPr>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招标公告</w:t>
      </w:r>
    </w:p>
    <w:p>
      <w:pPr>
        <w:jc w:val="center"/>
        <w:rPr>
          <w:rFonts w:hint="eastAsia" w:ascii="仿宋" w:hAnsi="仿宋" w:eastAsia="仿宋" w:cs="仿宋"/>
          <w:b/>
          <w:bCs/>
          <w:color w:val="auto"/>
          <w:w w:val="95"/>
          <w:sz w:val="28"/>
          <w:szCs w:val="28"/>
          <w:lang w:eastAsia="zh-CN"/>
        </w:rPr>
      </w:pPr>
      <w:r>
        <w:rPr>
          <w:rFonts w:hint="eastAsia" w:ascii="仿宋" w:hAnsi="仿宋" w:eastAsia="仿宋" w:cs="仿宋"/>
          <w:b/>
          <w:bCs/>
          <w:color w:val="auto"/>
          <w:w w:val="95"/>
          <w:sz w:val="28"/>
          <w:szCs w:val="28"/>
          <w:lang w:eastAsia="zh-CN"/>
        </w:rPr>
        <w:t>鼎建项目管理有限公司关于乌恰县人民医院购买医疗设备及手术器械采购项目</w:t>
      </w:r>
    </w:p>
    <w:p>
      <w:pPr>
        <w:jc w:val="center"/>
        <w:rPr>
          <w:rFonts w:hint="eastAsia" w:ascii="仿宋" w:hAnsi="仿宋" w:eastAsia="仿宋" w:cs="仿宋"/>
          <w:color w:val="auto"/>
          <w:sz w:val="28"/>
          <w:szCs w:val="28"/>
          <w:lang w:eastAsia="zh-CN"/>
        </w:rPr>
      </w:pPr>
      <w:r>
        <w:rPr>
          <w:rFonts w:hint="eastAsia" w:ascii="仿宋" w:hAnsi="仿宋" w:eastAsia="仿宋" w:cs="仿宋"/>
          <w:b/>
          <w:bCs/>
          <w:color w:val="auto"/>
          <w:sz w:val="28"/>
          <w:szCs w:val="28"/>
          <w:lang w:eastAsia="zh-CN"/>
        </w:rPr>
        <w:t xml:space="preserve">公开招标公告  </w:t>
      </w:r>
      <w:r>
        <w:rPr>
          <w:rFonts w:hint="eastAsia" w:ascii="仿宋" w:hAnsi="仿宋" w:eastAsia="仿宋" w:cs="仿宋"/>
          <w:color w:val="auto"/>
          <w:sz w:val="28"/>
          <w:szCs w:val="28"/>
          <w:lang w:eastAsia="zh-CN"/>
        </w:rPr>
        <w:t xml:space="preserve">   </w:t>
      </w:r>
    </w:p>
    <w:tbl>
      <w:tblPr>
        <w:tblStyle w:val="22"/>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3" w:hRule="atLeast"/>
          <w:jc w:val="center"/>
        </w:trPr>
        <w:tc>
          <w:tcPr>
            <w:tcW w:w="9535" w:type="dxa"/>
          </w:tcPr>
          <w:p>
            <w:pPr>
              <w:jc w:val="both"/>
              <w:rPr>
                <w:rFonts w:hint="eastAsia" w:ascii="仿宋" w:hAnsi="仿宋" w:eastAsia="仿宋" w:cs="仿宋"/>
                <w:color w:val="auto"/>
                <w:lang w:eastAsia="zh-CN"/>
              </w:rPr>
            </w:pPr>
            <w:r>
              <w:rPr>
                <w:rFonts w:hint="eastAsia" w:ascii="仿宋" w:hAnsi="仿宋" w:eastAsia="仿宋" w:cs="仿宋"/>
                <w:color w:val="auto"/>
                <w:lang w:eastAsia="zh-CN"/>
              </w:rPr>
              <w:t>项目概况</w:t>
            </w:r>
          </w:p>
          <w:p>
            <w:pPr>
              <w:ind w:firstLine="480" w:firstLineChars="200"/>
              <w:jc w:val="both"/>
              <w:rPr>
                <w:rFonts w:hint="eastAsia" w:ascii="仿宋" w:hAnsi="仿宋" w:eastAsia="仿宋" w:cs="仿宋"/>
                <w:color w:val="auto"/>
                <w:lang w:eastAsia="zh-CN"/>
              </w:rPr>
            </w:pPr>
            <w:r>
              <w:rPr>
                <w:rFonts w:hint="eastAsia" w:ascii="仿宋" w:hAnsi="仿宋" w:eastAsia="仿宋" w:cs="仿宋"/>
                <w:color w:val="auto"/>
                <w:lang w:eastAsia="zh-CN"/>
              </w:rPr>
              <w:t>乌恰县人民医院购买医疗设备及手术器械采购项目的潜在投标人应在供应商登陆政采云平台http://www.zcygov.cn/，在线申请获取采购文件（登录政府采购云平台 → 项目采购 → 获取采购文件 → 申请，审核通过后可下载招标文件，如有操作性问题，可与政采云在线客服进行咨询，咨询电话：95763）获取招标文件，并于</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8</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3 </w:t>
            </w:r>
            <w:r>
              <w:rPr>
                <w:rFonts w:hint="eastAsia" w:ascii="仿宋" w:hAnsi="仿宋" w:eastAsia="仿宋" w:cs="仿宋"/>
                <w:color w:val="auto"/>
                <w:u w:val="single"/>
                <w:lang w:eastAsia="zh-CN"/>
              </w:rPr>
              <w:t>日</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w:t>
            </w:r>
            <w:r>
              <w:rPr>
                <w:rFonts w:hint="eastAsia" w:ascii="仿宋" w:hAnsi="仿宋" w:eastAsia="仿宋" w:cs="仿宋"/>
                <w:color w:val="auto"/>
                <w:lang w:eastAsia="zh-CN"/>
              </w:rPr>
              <w:t>（北京时间）前（上传）电子投标文件。</w:t>
            </w:r>
          </w:p>
        </w:tc>
      </w:tr>
    </w:tbl>
    <w:p>
      <w:pPr>
        <w:keepNext w:val="0"/>
        <w:keepLines w:val="0"/>
        <w:pageBreakBefore w:val="0"/>
        <w:numPr>
          <w:ilvl w:val="0"/>
          <w:numId w:val="0"/>
        </w:numPr>
        <w:kinsoku/>
        <w:wordWrap/>
        <w:overflowPunct/>
        <w:topLinePunct w:val="0"/>
        <w:autoSpaceDE/>
        <w:autoSpaceDN/>
        <w:bidi w:val="0"/>
        <w:spacing w:line="380" w:lineRule="exact"/>
        <w:ind w:firstLine="480" w:firstLineChars="200"/>
        <w:rPr>
          <w:rFonts w:hint="eastAsia" w:ascii="仿宋" w:hAnsi="仿宋" w:eastAsia="仿宋" w:cs="仿宋"/>
          <w:color w:val="auto"/>
        </w:rPr>
      </w:pPr>
      <w:r>
        <w:rPr>
          <w:rFonts w:hint="eastAsia" w:ascii="仿宋" w:hAnsi="仿宋" w:eastAsia="仿宋" w:cs="仿宋"/>
          <w:b/>
          <w:bCs/>
          <w:color w:val="auto"/>
          <w:lang w:eastAsia="zh-CN"/>
        </w:rPr>
        <w:t>一、</w:t>
      </w:r>
      <w:r>
        <w:rPr>
          <w:rFonts w:hint="eastAsia" w:ascii="仿宋" w:hAnsi="仿宋" w:eastAsia="仿宋" w:cs="仿宋"/>
          <w:b/>
          <w:bCs/>
          <w:color w:val="auto"/>
        </w:rPr>
        <w:t>项目基本情况</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lang w:eastAsia="zh-CN"/>
        </w:rPr>
        <w:t>项目编号：WQZFCG(ZB)-202</w:t>
      </w:r>
      <w:r>
        <w:rPr>
          <w:rFonts w:hint="eastAsia" w:ascii="仿宋" w:hAnsi="仿宋" w:eastAsia="仿宋" w:cs="仿宋"/>
          <w:color w:val="auto"/>
          <w:lang w:val="en-US" w:eastAsia="zh-CN"/>
        </w:rPr>
        <w:t>3-073</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项目名称：乌恰县人民医院购买医疗设备及手术器械采购项目</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采购方式：公开招标</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预算金额（元）：1939000</w:t>
      </w:r>
      <w:r>
        <w:rPr>
          <w:rFonts w:hint="eastAsia" w:ascii="仿宋" w:hAnsi="仿宋" w:eastAsia="仿宋" w:cs="仿宋"/>
          <w:color w:val="auto"/>
          <w:lang w:val="en-US" w:eastAsia="zh-CN"/>
        </w:rPr>
        <w:t>.00</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lang w:eastAsia="zh-CN"/>
        </w:rPr>
        <w:t>最高限价（元）：1939000</w:t>
      </w:r>
      <w:r>
        <w:rPr>
          <w:rFonts w:hint="eastAsia" w:ascii="仿宋" w:hAnsi="仿宋" w:eastAsia="仿宋" w:cs="仿宋"/>
          <w:color w:val="auto"/>
          <w:lang w:val="en-US" w:eastAsia="zh-CN"/>
        </w:rPr>
        <w:t>.00</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采购需求：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960" w:firstLineChars="4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标项名称:乌恰县人民医院购买医疗设备及手术器械采购项目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960" w:firstLineChars="4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数量:1</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960" w:firstLineChars="40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eastAsia="zh-CN"/>
        </w:rPr>
        <w:t>预算金额（元）:</w:t>
      </w:r>
      <w:r>
        <w:rPr>
          <w:rFonts w:hint="eastAsia" w:ascii="仿宋" w:hAnsi="仿宋" w:eastAsia="仿宋" w:cs="仿宋"/>
          <w:i w:val="0"/>
          <w:iCs w:val="0"/>
          <w:caps w:val="0"/>
          <w:color w:val="auto"/>
          <w:spacing w:val="0"/>
          <w:sz w:val="24"/>
          <w:szCs w:val="24"/>
        </w:rPr>
        <w:t>1939000</w:t>
      </w:r>
      <w:r>
        <w:rPr>
          <w:rFonts w:hint="eastAsia" w:ascii="仿宋" w:hAnsi="仿宋" w:eastAsia="仿宋" w:cs="仿宋"/>
          <w:i w:val="0"/>
          <w:iCs w:val="0"/>
          <w:caps w:val="0"/>
          <w:color w:val="auto"/>
          <w:spacing w:val="0"/>
          <w:sz w:val="24"/>
          <w:szCs w:val="24"/>
          <w:lang w:val="en-US" w:eastAsia="zh-CN"/>
        </w:rPr>
        <w:t>.00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firstLine="960" w:firstLineChars="4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简要规格描述或项目基本概况介绍、用途：便携式多导睡眠记录仪、全胸振荡排痰仪设备等（具体采购内容详见采购清单)</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960" w:firstLineChars="4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备注：</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jc w:val="left"/>
        <w:textAlignment w:val="auto"/>
        <w:rPr>
          <w:rFonts w:hint="eastAsia" w:ascii="仿宋" w:hAnsi="仿宋" w:eastAsia="仿宋" w:cs="仿宋"/>
          <w:b w:val="0"/>
          <w:bCs w:val="0"/>
          <w:i w:val="0"/>
          <w:iCs w:val="0"/>
          <w:caps w:val="0"/>
          <w:color w:val="auto"/>
          <w:spacing w:val="0"/>
          <w:sz w:val="24"/>
          <w:szCs w:val="24"/>
          <w:highlight w:val="yellow"/>
          <w:lang w:eastAsia="zh-CN"/>
        </w:rPr>
      </w:pPr>
      <w:r>
        <w:rPr>
          <w:rFonts w:hint="eastAsia" w:ascii="仿宋" w:hAnsi="仿宋" w:eastAsia="仿宋" w:cs="仿宋"/>
          <w:b w:val="0"/>
          <w:bCs w:val="0"/>
          <w:i w:val="0"/>
          <w:iCs w:val="0"/>
          <w:caps w:val="0"/>
          <w:color w:val="auto"/>
          <w:spacing w:val="0"/>
          <w:sz w:val="24"/>
          <w:szCs w:val="24"/>
          <w:lang w:eastAsia="zh-CN"/>
        </w:rPr>
        <w:t>合同履约期限：自签订合同后</w:t>
      </w:r>
      <w:r>
        <w:rPr>
          <w:rFonts w:hint="eastAsia" w:ascii="仿宋" w:hAnsi="仿宋" w:eastAsia="仿宋" w:cs="仿宋"/>
          <w:b w:val="0"/>
          <w:bCs w:val="0"/>
          <w:i w:val="0"/>
          <w:iCs w:val="0"/>
          <w:caps w:val="0"/>
          <w:color w:val="auto"/>
          <w:spacing w:val="0"/>
          <w:sz w:val="24"/>
          <w:szCs w:val="24"/>
          <w:lang w:val="en-US" w:eastAsia="zh-CN"/>
        </w:rPr>
        <w:t>30</w:t>
      </w:r>
      <w:r>
        <w:rPr>
          <w:rFonts w:hint="eastAsia" w:ascii="仿宋" w:hAnsi="仿宋" w:eastAsia="仿宋" w:cs="仿宋"/>
          <w:b w:val="0"/>
          <w:bCs w:val="0"/>
          <w:i w:val="0"/>
          <w:iCs w:val="0"/>
          <w:caps w:val="0"/>
          <w:color w:val="auto"/>
          <w:spacing w:val="0"/>
          <w:sz w:val="24"/>
          <w:szCs w:val="24"/>
          <w:lang w:eastAsia="zh-CN"/>
        </w:rPr>
        <w:t>天内完成供货。</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本项目不接受联合体投标。</w:t>
      </w:r>
    </w:p>
    <w:p>
      <w:pPr>
        <w:keepNext w:val="0"/>
        <w:keepLines w:val="0"/>
        <w:pageBreakBefore w:val="0"/>
        <w:numPr>
          <w:ilvl w:val="0"/>
          <w:numId w:val="0"/>
        </w:numPr>
        <w:kinsoku/>
        <w:wordWrap/>
        <w:overflowPunct/>
        <w:topLinePunct w:val="0"/>
        <w:autoSpaceDE/>
        <w:autoSpaceDN/>
        <w:bidi w:val="0"/>
        <w:spacing w:line="380" w:lineRule="exact"/>
        <w:ind w:firstLine="480" w:firstLineChars="200"/>
        <w:rPr>
          <w:rFonts w:hint="eastAsia" w:ascii="仿宋" w:hAnsi="仿宋" w:eastAsia="仿宋" w:cs="仿宋"/>
          <w:b/>
          <w:bCs/>
          <w:color w:val="auto"/>
        </w:rPr>
      </w:pPr>
      <w:r>
        <w:rPr>
          <w:rFonts w:hint="eastAsia" w:ascii="仿宋" w:hAnsi="仿宋" w:eastAsia="仿宋" w:cs="仿宋"/>
          <w:b/>
          <w:bCs/>
          <w:color w:val="auto"/>
          <w:lang w:eastAsia="zh-CN"/>
        </w:rPr>
        <w:t>二、</w:t>
      </w:r>
      <w:r>
        <w:rPr>
          <w:rFonts w:hint="eastAsia" w:ascii="仿宋" w:hAnsi="仿宋" w:eastAsia="仿宋" w:cs="仿宋"/>
          <w:b/>
          <w:bCs/>
          <w:color w:val="auto"/>
        </w:rPr>
        <w:t>申请人的资格要求：</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本项目为非专门面向中小企业采购，根据《政府采购促进中小企业发展管理办法》的通知（财库[2020]46号）及（财库[2022]19号）给予价格扣除比例10%，用优惠后的价格参与评审。</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lang w:eastAsia="zh-CN"/>
        </w:rPr>
        <w:t>3.本项目的特定资格要求：</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val="en-US" w:eastAsia="zh-CN"/>
        </w:rPr>
        <w:t>（</w:t>
      </w:r>
      <w:r>
        <w:rPr>
          <w:rFonts w:hint="eastAsia" w:ascii="仿宋" w:hAnsi="仿宋" w:eastAsia="仿宋" w:cs="仿宋"/>
          <w:color w:val="auto"/>
          <w:lang w:eastAsia="zh-CN"/>
        </w:rPr>
        <w:t>1)具备三证合一营业执照副本；</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（2)法定代表人投标须提供法定代表人资格证明书，委托代理人投标须提供法定代表人授权委托书；</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（3)投标企业须提供投标人（被授权在职人员）</w:t>
      </w:r>
      <w:r>
        <w:rPr>
          <w:rFonts w:hint="eastAsia" w:ascii="仿宋" w:hAnsi="仿宋" w:eastAsia="仿宋" w:cs="仿宋"/>
          <w:color w:val="auto"/>
          <w:sz w:val="24"/>
          <w:szCs w:val="24"/>
          <w:lang w:eastAsia="zh-CN"/>
        </w:rPr>
        <w:t>近期</w:t>
      </w:r>
      <w:r>
        <w:rPr>
          <w:rFonts w:hint="eastAsia" w:ascii="仿宋" w:hAnsi="仿宋" w:eastAsia="仿宋" w:cs="仿宋"/>
          <w:color w:val="auto"/>
          <w:lang w:val="en-US" w:eastAsia="zh-CN"/>
        </w:rPr>
        <w:t>3个月</w:t>
      </w:r>
      <w:r>
        <w:rPr>
          <w:rFonts w:hint="eastAsia" w:ascii="仿宋" w:hAnsi="仿宋" w:eastAsia="仿宋" w:cs="仿宋"/>
          <w:color w:val="auto"/>
          <w:lang w:eastAsia="zh-CN"/>
        </w:rPr>
        <w:t>有效的社保证明；</w:t>
      </w:r>
    </w:p>
    <w:p>
      <w:pPr>
        <w:keepNext w:val="0"/>
        <w:keepLines w:val="0"/>
        <w:pageBreakBefore w:val="0"/>
        <w:kinsoku/>
        <w:wordWrap/>
        <w:overflowPunct/>
        <w:topLinePunct w:val="0"/>
        <w:autoSpaceDE/>
        <w:autoSpaceDN/>
        <w:bidi w:val="0"/>
        <w:spacing w:line="380" w:lineRule="exact"/>
        <w:ind w:left="480" w:leftChars="100" w:hanging="240" w:hangingChars="100"/>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4</w:t>
      </w:r>
      <w:r>
        <w:rPr>
          <w:rFonts w:hint="eastAsia" w:ascii="仿宋" w:hAnsi="仿宋" w:eastAsia="仿宋" w:cs="仿宋"/>
          <w:color w:val="auto"/>
          <w:lang w:eastAsia="zh-CN"/>
        </w:rPr>
        <w:t>)投标企业须提供有效的《医疗器械生产许可证》或《医疗器械经营许可证》</w:t>
      </w:r>
      <w:r>
        <w:rPr>
          <w:rFonts w:hint="eastAsia" w:ascii="仿宋" w:hAnsi="仿宋" w:eastAsia="仿宋" w:cs="仿宋"/>
          <w:color w:val="auto"/>
          <w:lang w:val="en-US" w:eastAsia="zh-CN"/>
        </w:rPr>
        <w:t>复印件加盖公章</w:t>
      </w:r>
      <w:r>
        <w:rPr>
          <w:rFonts w:hint="eastAsia" w:ascii="仿宋" w:hAnsi="仿宋" w:eastAsia="仿宋" w:cs="仿宋"/>
          <w:color w:val="auto"/>
          <w:lang w:eastAsia="zh-CN"/>
        </w:rPr>
        <w:t>；</w:t>
      </w:r>
    </w:p>
    <w:p>
      <w:pPr>
        <w:keepNext w:val="0"/>
        <w:keepLines w:val="0"/>
        <w:pageBreakBefore w:val="0"/>
        <w:kinsoku/>
        <w:wordWrap/>
        <w:overflowPunct/>
        <w:topLinePunct w:val="0"/>
        <w:autoSpaceDE/>
        <w:autoSpaceDN/>
        <w:bidi w:val="0"/>
        <w:spacing w:line="380" w:lineRule="exact"/>
        <w:ind w:left="480" w:leftChars="200"/>
        <w:rPr>
          <w:rFonts w:hint="eastAsia" w:ascii="仿宋" w:hAnsi="仿宋" w:eastAsia="仿宋" w:cs="仿宋"/>
          <w:color w:val="auto"/>
          <w:lang w:eastAsia="zh-CN"/>
        </w:rPr>
      </w:pPr>
      <w:r>
        <w:rPr>
          <w:rFonts w:hint="eastAsia" w:ascii="仿宋" w:hAnsi="仿宋" w:eastAsia="仿宋" w:cs="仿宋"/>
          <w:color w:val="auto"/>
          <w:lang w:eastAsia="zh-CN"/>
        </w:rPr>
        <w:t>（5）未被“信用中国”（www.creditchina.gov.cn）、中国政府采购网（www.ccgp.gov.cn）列入失信被执行人、税收违法黑名单、政府采购严重违法失信行为记录名单；</w:t>
      </w:r>
    </w:p>
    <w:p>
      <w:pPr>
        <w:pStyle w:val="8"/>
        <w:keepNext w:val="0"/>
        <w:keepLines w:val="0"/>
        <w:pageBreakBefore w:val="0"/>
        <w:numPr>
          <w:ilvl w:val="0"/>
          <w:numId w:val="0"/>
        </w:numPr>
        <w:kinsoku/>
        <w:wordWrap/>
        <w:overflowPunct/>
        <w:topLinePunct w:val="0"/>
        <w:autoSpaceDE/>
        <w:autoSpaceDN/>
        <w:bidi w:val="0"/>
        <w:spacing w:line="380" w:lineRule="exact"/>
        <w:ind w:leftChars="0" w:firstLine="480" w:firstLineChars="20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（6）投标产品为进口设备的投标企业须提供生产厂家针对本项目的授权。（授权内容需明确项目名称、被授权公司名称、授权期限及授权厂家的公章）</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三、获取采购文件</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14</w:t>
      </w:r>
      <w:r>
        <w:rPr>
          <w:rFonts w:hint="eastAsia" w:ascii="仿宋" w:hAnsi="仿宋" w:eastAsia="仿宋" w:cs="仿宋"/>
          <w:color w:val="auto"/>
          <w:u w:val="single"/>
          <w:lang w:eastAsia="zh-CN"/>
        </w:rPr>
        <w:t>日</w:t>
      </w:r>
      <w:r>
        <w:rPr>
          <w:rFonts w:hint="eastAsia" w:ascii="仿宋" w:hAnsi="仿宋" w:eastAsia="仿宋" w:cs="仿宋"/>
          <w:color w:val="auto"/>
          <w:lang w:eastAsia="zh-CN"/>
        </w:rPr>
        <w:t>至</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7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21</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，每天上午10:00至13:30，下午16:30至20：00（北京时间，节假日除外）</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2、地点：供应商登陆政采云平台http://www.zcygov.cn/，在线申请获取招标文件（登录政府采购云平台 → 项目采购 → 获取招标文件→申请，审核通过后可下载招标文件，如有操作性问题，可与政采云在线客服进行咨询，咨询电话：95763）。</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3、方式：（1）线上获取（登录政府采购云平台 → 项目采购 → 获取招标文件→ 申请，审核通过后可下载招标文件）。本次招标不提供纸质版招标文件。（2）供应商获取招标文件前应注册成为政府采购云平台正式供应商。</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4、售价（元）：0</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lang w:eastAsia="zh-CN"/>
        </w:rPr>
      </w:pPr>
      <w:r>
        <w:rPr>
          <w:rFonts w:hint="eastAsia" w:ascii="仿宋" w:hAnsi="仿宋" w:eastAsia="仿宋" w:cs="仿宋"/>
          <w:b/>
          <w:bCs/>
          <w:color w:val="auto"/>
          <w:lang w:eastAsia="zh-CN"/>
        </w:rPr>
        <w:t>四、提交投标文件截止时间、开标时间和地点</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截止时间：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年</w:t>
      </w:r>
      <w:r>
        <w:rPr>
          <w:rFonts w:hint="eastAsia" w:ascii="仿宋" w:hAnsi="仿宋" w:eastAsia="仿宋" w:cs="仿宋"/>
          <w:color w:val="auto"/>
          <w:kern w:val="2"/>
          <w:u w:val="single"/>
          <w:lang w:val="en-US" w:eastAsia="zh-CN" w:bidi="ar-SA"/>
        </w:rPr>
        <w:t xml:space="preserve"> 8</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 xml:space="preserve">3 </w:t>
      </w:r>
      <w:r>
        <w:rPr>
          <w:rFonts w:hint="eastAsia" w:ascii="仿宋" w:hAnsi="仿宋" w:eastAsia="仿宋" w:cs="仿宋"/>
          <w:color w:val="auto"/>
          <w:kern w:val="2"/>
          <w:u w:val="single"/>
          <w:lang w:eastAsia="zh-CN" w:bidi="ar-SA"/>
        </w:rPr>
        <w:t>日 1</w:t>
      </w:r>
      <w:r>
        <w:rPr>
          <w:rFonts w:hint="eastAsia" w:ascii="仿宋" w:hAnsi="仿宋" w:eastAsia="仿宋" w:cs="仿宋"/>
          <w:color w:val="auto"/>
          <w:kern w:val="2"/>
          <w:u w:val="single"/>
          <w:lang w:val="en-US" w:eastAsia="zh-CN" w:bidi="ar-SA"/>
        </w:rPr>
        <w:t>0</w:t>
      </w:r>
      <w:r>
        <w:rPr>
          <w:rFonts w:hint="eastAsia" w:ascii="仿宋" w:hAnsi="仿宋" w:eastAsia="仿宋" w:cs="仿宋"/>
          <w:color w:val="auto"/>
          <w:kern w:val="2"/>
          <w:u w:val="single"/>
          <w:lang w:eastAsia="zh-CN" w:bidi="ar-SA"/>
        </w:rPr>
        <w:t>：</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 xml:space="preserve">0 </w:t>
      </w:r>
      <w:r>
        <w:rPr>
          <w:rFonts w:hint="eastAsia" w:ascii="仿宋" w:hAnsi="仿宋" w:eastAsia="仿宋" w:cs="仿宋"/>
          <w:color w:val="auto"/>
          <w:kern w:val="2"/>
          <w:lang w:eastAsia="zh-CN" w:bidi="ar-SA"/>
        </w:rPr>
        <w:t>（北京时间）</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投标地点：政府采购云平台（www.zcygov.cn）</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开标时间：</w:t>
      </w:r>
      <w:r>
        <w:rPr>
          <w:rFonts w:hint="eastAsia" w:ascii="仿宋" w:hAnsi="仿宋" w:eastAsia="仿宋" w:cs="仿宋"/>
          <w:color w:val="auto"/>
          <w:kern w:val="2"/>
          <w:u w:val="single"/>
          <w:lang w:eastAsia="zh-CN" w:bidi="ar-SA"/>
        </w:rPr>
        <w:t>202</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 xml:space="preserve">年 </w:t>
      </w:r>
      <w:r>
        <w:rPr>
          <w:rFonts w:hint="eastAsia" w:ascii="仿宋" w:hAnsi="仿宋" w:eastAsia="仿宋" w:cs="仿宋"/>
          <w:color w:val="auto"/>
          <w:kern w:val="2"/>
          <w:u w:val="single"/>
          <w:lang w:val="en-US" w:eastAsia="zh-CN" w:bidi="ar-SA"/>
        </w:rPr>
        <w:t xml:space="preserve">8 </w:t>
      </w:r>
      <w:r>
        <w:rPr>
          <w:rFonts w:hint="eastAsia" w:ascii="仿宋" w:hAnsi="仿宋" w:eastAsia="仿宋" w:cs="仿宋"/>
          <w:color w:val="auto"/>
          <w:kern w:val="2"/>
          <w:u w:val="single"/>
          <w:lang w:eastAsia="zh-CN" w:bidi="ar-SA"/>
        </w:rPr>
        <w:t>月</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 xml:space="preserve"> 日 1</w:t>
      </w:r>
      <w:r>
        <w:rPr>
          <w:rFonts w:hint="eastAsia" w:ascii="仿宋" w:hAnsi="仿宋" w:eastAsia="仿宋" w:cs="仿宋"/>
          <w:color w:val="auto"/>
          <w:kern w:val="2"/>
          <w:u w:val="single"/>
          <w:lang w:val="en-US" w:eastAsia="zh-CN" w:bidi="ar-SA"/>
        </w:rPr>
        <w:t>0</w:t>
      </w:r>
      <w:r>
        <w:rPr>
          <w:rFonts w:hint="eastAsia" w:ascii="仿宋" w:hAnsi="仿宋" w:eastAsia="仿宋" w:cs="仿宋"/>
          <w:color w:val="auto"/>
          <w:kern w:val="2"/>
          <w:u w:val="single"/>
          <w:lang w:eastAsia="zh-CN" w:bidi="ar-SA"/>
        </w:rPr>
        <w:t>：</w:t>
      </w:r>
      <w:r>
        <w:rPr>
          <w:rFonts w:hint="eastAsia" w:ascii="仿宋" w:hAnsi="仿宋" w:eastAsia="仿宋" w:cs="仿宋"/>
          <w:color w:val="auto"/>
          <w:kern w:val="2"/>
          <w:u w:val="single"/>
          <w:lang w:val="en-US" w:eastAsia="zh-CN" w:bidi="ar-SA"/>
        </w:rPr>
        <w:t>3</w:t>
      </w:r>
      <w:r>
        <w:rPr>
          <w:rFonts w:hint="eastAsia" w:ascii="仿宋" w:hAnsi="仿宋" w:eastAsia="仿宋" w:cs="仿宋"/>
          <w:color w:val="auto"/>
          <w:kern w:val="2"/>
          <w:u w:val="single"/>
          <w:lang w:eastAsia="zh-CN" w:bidi="ar-SA"/>
        </w:rPr>
        <w:t xml:space="preserve">0 </w:t>
      </w:r>
      <w:r>
        <w:rPr>
          <w:rFonts w:hint="eastAsia" w:ascii="仿宋" w:hAnsi="仿宋" w:eastAsia="仿宋" w:cs="仿宋"/>
          <w:color w:val="auto"/>
          <w:kern w:val="2"/>
          <w:lang w:eastAsia="zh-CN" w:bidi="ar-SA"/>
        </w:rPr>
        <w:t>（北京时间）</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开标地点：在政府采购云平台（www.zcygov.cn）上开启投标文件，开标时间后，待采购组织机构发出解密通知后30分钟内，供应商须登录“政采云”平台，用“项目采购-开标评标”功能解密投标文件。</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b/>
          <w:bCs/>
          <w:color w:val="auto"/>
          <w:kern w:val="2"/>
          <w:lang w:eastAsia="zh-CN" w:bidi="ar-SA"/>
        </w:rPr>
      </w:pPr>
      <w:r>
        <w:rPr>
          <w:rFonts w:hint="eastAsia" w:ascii="仿宋" w:hAnsi="仿宋" w:eastAsia="仿宋" w:cs="仿宋"/>
          <w:b/>
          <w:bCs/>
          <w:color w:val="auto"/>
          <w:kern w:val="2"/>
          <w:lang w:eastAsia="zh-CN" w:bidi="ar-SA"/>
        </w:rPr>
        <w:t>五、公告期限</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自本公告发布之日起5个工作日</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b/>
          <w:bCs/>
          <w:color w:val="auto"/>
          <w:kern w:val="2"/>
          <w:lang w:eastAsia="zh-CN" w:bidi="ar-SA"/>
        </w:rPr>
      </w:pPr>
      <w:r>
        <w:rPr>
          <w:rFonts w:hint="eastAsia" w:ascii="仿宋" w:hAnsi="仿宋" w:eastAsia="仿宋" w:cs="仿宋"/>
          <w:b/>
          <w:bCs/>
          <w:color w:val="auto"/>
          <w:kern w:val="2"/>
          <w:lang w:eastAsia="zh-CN" w:bidi="ar-SA"/>
        </w:rPr>
        <w:t>六、其他补充事宜</w:t>
      </w:r>
    </w:p>
    <w:p>
      <w:pPr>
        <w:pStyle w:val="27"/>
        <w:keepNext w:val="0"/>
        <w:keepLines w:val="0"/>
        <w:pageBreakBefore w:val="0"/>
        <w:kinsoku/>
        <w:wordWrap/>
        <w:overflowPunct/>
        <w:topLinePunct w:val="0"/>
        <w:autoSpaceDE/>
        <w:autoSpaceDN/>
        <w:bidi w:val="0"/>
        <w:spacing w:line="380" w:lineRule="exact"/>
        <w:ind w:firstLine="960" w:firstLineChars="400"/>
        <w:rPr>
          <w:rFonts w:hint="eastAsia" w:ascii="仿宋" w:hAnsi="仿宋" w:eastAsia="仿宋" w:cs="仿宋"/>
          <w:color w:val="auto"/>
          <w:kern w:val="2"/>
          <w:lang w:val="en-US" w:eastAsia="zh-CN" w:bidi="ar-SA"/>
        </w:rPr>
      </w:pPr>
      <w:r>
        <w:rPr>
          <w:rFonts w:hint="eastAsia" w:ascii="仿宋" w:hAnsi="仿宋" w:eastAsia="仿宋" w:cs="仿宋"/>
          <w:color w:val="auto"/>
          <w:kern w:val="2"/>
          <w:lang w:val="en-US" w:eastAsia="zh-CN" w:bidi="ar-SA"/>
        </w:rPr>
        <w:t>/</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b/>
          <w:bCs/>
          <w:color w:val="auto"/>
          <w:kern w:val="2"/>
          <w:lang w:eastAsia="zh-CN" w:bidi="ar-SA"/>
        </w:rPr>
      </w:pPr>
      <w:r>
        <w:rPr>
          <w:rFonts w:hint="eastAsia" w:ascii="仿宋" w:hAnsi="仿宋" w:eastAsia="仿宋" w:cs="仿宋"/>
          <w:b/>
          <w:bCs/>
          <w:color w:val="auto"/>
          <w:kern w:val="2"/>
          <w:lang w:eastAsia="zh-CN" w:bidi="ar-SA"/>
        </w:rPr>
        <w:t>七、对本次招标提出询问，请按以下方式联系。</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1.采购人信息</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 xml:space="preserve">名 称：乌恰县人民医院              </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 xml:space="preserve">地址：乌恰县健康路8号  </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联系方式：</w:t>
      </w:r>
      <w:r>
        <w:rPr>
          <w:rFonts w:hint="eastAsia" w:ascii="仿宋" w:hAnsi="仿宋" w:eastAsia="仿宋" w:cs="仿宋"/>
          <w:color w:val="auto"/>
          <w:kern w:val="2"/>
          <w:lang w:val="en-US" w:eastAsia="zh-CN" w:bidi="ar-SA"/>
        </w:rPr>
        <w:t>18709086880</w:t>
      </w:r>
      <w:r>
        <w:rPr>
          <w:rFonts w:hint="eastAsia" w:ascii="仿宋" w:hAnsi="仿宋" w:eastAsia="仿宋" w:cs="仿宋"/>
          <w:color w:val="auto"/>
          <w:kern w:val="2"/>
          <w:lang w:eastAsia="zh-CN" w:bidi="ar-SA"/>
        </w:rPr>
        <w:t xml:space="preserve">     </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2.采购代理机构信息</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名 称：鼎建项目管理有限公司　　　　　　　　   　</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eastAsia="zh-CN" w:bidi="ar-SA"/>
        </w:rPr>
      </w:pPr>
      <w:r>
        <w:rPr>
          <w:rFonts w:hint="eastAsia" w:ascii="仿宋" w:hAnsi="仿宋" w:eastAsia="仿宋" w:cs="仿宋"/>
          <w:color w:val="auto"/>
          <w:kern w:val="2"/>
          <w:lang w:eastAsia="zh-CN" w:bidi="ar-SA"/>
        </w:rPr>
        <w:t>地 址：阿图什市光明北路12号博格拉A座四楼　  　</w:t>
      </w:r>
    </w:p>
    <w:p>
      <w:pPr>
        <w:keepNext w:val="0"/>
        <w:keepLines w:val="0"/>
        <w:pageBreakBefore w:val="0"/>
        <w:kinsoku/>
        <w:wordWrap/>
        <w:overflowPunct/>
        <w:topLinePunct w:val="0"/>
        <w:autoSpaceDE/>
        <w:autoSpaceDN/>
        <w:bidi w:val="0"/>
        <w:spacing w:line="380" w:lineRule="exact"/>
        <w:ind w:firstLine="480" w:firstLineChars="200"/>
        <w:rPr>
          <w:rFonts w:hint="eastAsia" w:ascii="仿宋" w:hAnsi="仿宋" w:eastAsia="仿宋" w:cs="仿宋"/>
          <w:color w:val="auto"/>
          <w:kern w:val="2"/>
          <w:lang w:val="en-US" w:eastAsia="zh-CN" w:bidi="ar-SA"/>
        </w:rPr>
      </w:pPr>
      <w:r>
        <w:rPr>
          <w:rFonts w:hint="eastAsia" w:ascii="仿宋" w:hAnsi="仿宋" w:eastAsia="仿宋" w:cs="仿宋"/>
          <w:color w:val="auto"/>
          <w:kern w:val="2"/>
          <w:lang w:eastAsia="zh-CN" w:bidi="ar-SA"/>
        </w:rPr>
        <w:t>联系方式：朱先生　 18609088999</w:t>
      </w:r>
    </w:p>
    <w:p>
      <w:pPr>
        <w:spacing w:line="360" w:lineRule="auto"/>
        <w:ind w:firstLine="480" w:firstLineChars="200"/>
        <w:rPr>
          <w:rFonts w:hint="eastAsia" w:ascii="仿宋" w:hAnsi="仿宋" w:eastAsia="仿宋" w:cs="仿宋"/>
          <w:color w:val="auto"/>
          <w:kern w:val="2"/>
          <w:lang w:eastAsia="zh-CN" w:bidi="ar-SA"/>
        </w:rPr>
      </w:pPr>
    </w:p>
    <w:p>
      <w:pPr>
        <w:pStyle w:val="32"/>
        <w:keepNext/>
        <w:keepLines/>
        <w:spacing w:before="0" w:after="240"/>
        <w:rPr>
          <w:rFonts w:hint="eastAsia" w:ascii="仿宋" w:hAnsi="仿宋" w:eastAsia="仿宋" w:cs="仿宋"/>
          <w:b/>
          <w:bCs/>
          <w:color w:val="auto"/>
        </w:rPr>
      </w:pPr>
      <w:r>
        <w:rPr>
          <w:rFonts w:hint="eastAsia" w:ascii="仿宋" w:hAnsi="仿宋" w:eastAsia="仿宋" w:cs="仿宋"/>
          <w:b/>
          <w:bCs/>
          <w:color w:val="auto"/>
        </w:rPr>
        <w:t>第二部分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供应商</w:t>
      </w:r>
      <w:r>
        <w:rPr>
          <w:rFonts w:hint="eastAsia" w:ascii="仿宋" w:hAnsi="仿宋" w:eastAsia="仿宋" w:cs="仿宋"/>
          <w:b/>
          <w:bCs/>
          <w:color w:val="auto"/>
        </w:rPr>
        <w:t>须知</w:t>
      </w:r>
    </w:p>
    <w:p>
      <w:pPr>
        <w:spacing w:line="400" w:lineRule="exact"/>
        <w:ind w:firstLine="560" w:firstLineChars="200"/>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1"/>
        <w:tblW w:w="9365" w:type="dxa"/>
        <w:jc w:val="center"/>
        <w:tblLayout w:type="fixed"/>
        <w:tblCellMar>
          <w:top w:w="0" w:type="dxa"/>
          <w:left w:w="108" w:type="dxa"/>
          <w:bottom w:w="0" w:type="dxa"/>
          <w:right w:w="108" w:type="dxa"/>
        </w:tblCellMar>
      </w:tblPr>
      <w:tblGrid>
        <w:gridCol w:w="558"/>
        <w:gridCol w:w="1691"/>
        <w:gridCol w:w="7116"/>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hint="eastAsia" w:ascii="仿宋" w:hAnsi="仿宋" w:eastAsia="仿宋" w:cs="仿宋"/>
                <w:b/>
                <w:color w:val="auto"/>
              </w:rPr>
            </w:pPr>
            <w:r>
              <w:rPr>
                <w:rFonts w:hint="eastAsia" w:ascii="仿宋" w:hAnsi="仿宋" w:eastAsia="仿宋" w:cs="仿宋"/>
                <w:b/>
                <w:color w:val="auto"/>
              </w:rPr>
              <w:t>序 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hint="eastAsia" w:ascii="仿宋" w:hAnsi="仿宋" w:eastAsia="仿宋" w:cs="仿宋"/>
                <w:b/>
                <w:color w:val="auto"/>
              </w:rPr>
            </w:pPr>
            <w:r>
              <w:rPr>
                <w:rFonts w:hint="eastAsia" w:ascii="仿宋" w:hAnsi="仿宋" w:eastAsia="仿宋" w:cs="仿宋"/>
                <w:b/>
                <w:color w:val="auto"/>
              </w:rPr>
              <w:t>名  称</w:t>
            </w:r>
          </w:p>
        </w:tc>
        <w:tc>
          <w:tcPr>
            <w:tcW w:w="7116"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hint="eastAsia" w:ascii="仿宋" w:hAnsi="仿宋" w:eastAsia="仿宋" w:cs="仿宋"/>
                <w:b/>
                <w:color w:val="auto"/>
              </w:rPr>
            </w:pPr>
            <w:r>
              <w:rPr>
                <w:rFonts w:hint="eastAsia" w:ascii="仿宋" w:hAnsi="仿宋" w:eastAsia="仿宋" w:cs="仿宋"/>
                <w:b/>
                <w:color w:val="auto"/>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pStyle w:val="27"/>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项目名称：</w:t>
            </w:r>
          </w:p>
          <w:p>
            <w:pPr>
              <w:pStyle w:val="27"/>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项目编号：</w:t>
            </w:r>
          </w:p>
          <w:p>
            <w:pPr>
              <w:pStyle w:val="27"/>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采购内容：</w:t>
            </w:r>
          </w:p>
          <w:p>
            <w:pPr>
              <w:pStyle w:val="27"/>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项目名称：</w:t>
            </w:r>
            <w:r>
              <w:rPr>
                <w:rFonts w:hint="eastAsia" w:ascii="仿宋" w:hAnsi="仿宋" w:eastAsia="仿宋" w:cs="仿宋"/>
                <w:b w:val="0"/>
                <w:bCs w:val="0"/>
                <w:i w:val="0"/>
                <w:iCs w:val="0"/>
                <w:caps w:val="0"/>
                <w:color w:val="auto"/>
                <w:spacing w:val="0"/>
                <w:sz w:val="24"/>
                <w:szCs w:val="24"/>
                <w:lang w:eastAsia="zh-CN"/>
              </w:rPr>
              <w:t>乌恰县人民医院购买医疗设备及手术器械采购项目</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项目编号：WQZFCG(ZB)-202</w:t>
            </w:r>
            <w:r>
              <w:rPr>
                <w:rFonts w:hint="eastAsia" w:ascii="仿宋" w:hAnsi="仿宋" w:eastAsia="仿宋" w:cs="仿宋"/>
                <w:color w:val="auto"/>
                <w:lang w:val="en-US" w:eastAsia="zh-CN"/>
              </w:rPr>
              <w:t>3-073</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采购内容：便携式多导睡眠记录仪、全胸振荡排痰仪设备等（具体采购内容详见采购清单)</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供货期：</w:t>
            </w:r>
            <w:r>
              <w:rPr>
                <w:rFonts w:hint="eastAsia" w:ascii="仿宋" w:hAnsi="仿宋" w:eastAsia="仿宋" w:cs="仿宋"/>
                <w:b w:val="0"/>
                <w:bCs w:val="0"/>
                <w:i w:val="0"/>
                <w:iCs w:val="0"/>
                <w:caps w:val="0"/>
                <w:color w:val="auto"/>
                <w:spacing w:val="0"/>
                <w:sz w:val="24"/>
                <w:szCs w:val="24"/>
                <w:lang w:eastAsia="zh-CN"/>
              </w:rPr>
              <w:t>自签订合同后</w:t>
            </w:r>
            <w:r>
              <w:rPr>
                <w:rFonts w:hint="eastAsia" w:ascii="仿宋" w:hAnsi="仿宋" w:eastAsia="仿宋" w:cs="仿宋"/>
                <w:b w:val="0"/>
                <w:bCs w:val="0"/>
                <w:i w:val="0"/>
                <w:iCs w:val="0"/>
                <w:caps w:val="0"/>
                <w:color w:val="auto"/>
                <w:spacing w:val="0"/>
                <w:sz w:val="24"/>
                <w:szCs w:val="24"/>
                <w:lang w:val="en-US" w:eastAsia="zh-CN"/>
              </w:rPr>
              <w:t>30</w:t>
            </w:r>
            <w:r>
              <w:rPr>
                <w:rFonts w:hint="eastAsia" w:ascii="仿宋" w:hAnsi="仿宋" w:eastAsia="仿宋" w:cs="仿宋"/>
                <w:b w:val="0"/>
                <w:bCs w:val="0"/>
                <w:i w:val="0"/>
                <w:iCs w:val="0"/>
                <w:caps w:val="0"/>
                <w:color w:val="auto"/>
                <w:spacing w:val="0"/>
                <w:sz w:val="24"/>
                <w:szCs w:val="24"/>
                <w:lang w:eastAsia="zh-CN"/>
              </w:rPr>
              <w:t>天内完成供货。</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名  称：乌恰县人民医院 </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联系人：张女士       电  话：</w:t>
            </w:r>
            <w:r>
              <w:rPr>
                <w:rFonts w:hint="eastAsia" w:ascii="仿宋" w:hAnsi="仿宋" w:eastAsia="仿宋" w:cs="仿宋"/>
                <w:color w:val="auto"/>
                <w:lang w:val="en-US" w:eastAsia="zh-CN"/>
              </w:rPr>
              <w:t xml:space="preserve">18709086880  </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名  称：鼎建项目管理有限公司</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  址：阿图什市光明北路12号博格拉A座四楼</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联系人：朱</w:t>
            </w:r>
            <w:r>
              <w:rPr>
                <w:rFonts w:hint="eastAsia" w:ascii="仿宋" w:hAnsi="仿宋" w:eastAsia="仿宋" w:cs="仿宋"/>
                <w:color w:val="auto"/>
                <w:kern w:val="2"/>
                <w:lang w:eastAsia="zh-CN" w:bidi="ar-SA"/>
              </w:rPr>
              <w:t>先生</w:t>
            </w:r>
            <w:r>
              <w:rPr>
                <w:rFonts w:hint="eastAsia" w:ascii="仿宋" w:hAnsi="仿宋" w:eastAsia="仿宋" w:cs="仿宋"/>
                <w:color w:val="auto"/>
                <w:lang w:eastAsia="zh-CN"/>
              </w:rPr>
              <w:t xml:space="preserve">       电  话：18609088999</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采购单位指定地点</w:t>
            </w:r>
          </w:p>
        </w:tc>
      </w:tr>
      <w:tr>
        <w:tblPrEx>
          <w:tblCellMar>
            <w:top w:w="0" w:type="dxa"/>
            <w:left w:w="108" w:type="dxa"/>
            <w:bottom w:w="0" w:type="dxa"/>
            <w:right w:w="108" w:type="dxa"/>
          </w:tblCellMar>
        </w:tblPrEx>
        <w:trPr>
          <w:trHeight w:val="54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本项目为非专门面向中小企业采购，根据《政府采购促进中小企业发展管理办法》的通知（财库[2020]46号）及（财库[2022]19号）给予价格扣除比例10%，用优惠后的价格参与评审。</w:t>
            </w:r>
          </w:p>
          <w:p>
            <w:pPr>
              <w:keepNext w:val="0"/>
              <w:keepLines w:val="0"/>
              <w:pageBreakBefore w:val="0"/>
              <w:kinsoku/>
              <w:wordWrap/>
              <w:overflowPunct/>
              <w:topLinePunct w:val="0"/>
              <w:autoSpaceDE/>
              <w:autoSpaceDN/>
              <w:bidi w:val="0"/>
              <w:spacing w:line="320" w:lineRule="exact"/>
              <w:rPr>
                <w:rFonts w:hint="eastAsia" w:ascii="仿宋" w:hAnsi="仿宋" w:eastAsia="仿宋" w:cs="仿宋"/>
                <w:b/>
                <w:bCs/>
                <w:i w:val="0"/>
                <w:iCs w:val="0"/>
                <w:caps w:val="0"/>
                <w:color w:val="auto"/>
                <w:spacing w:val="0"/>
                <w:sz w:val="24"/>
                <w:szCs w:val="24"/>
              </w:rPr>
            </w:pPr>
            <w:r>
              <w:rPr>
                <w:rFonts w:hint="eastAsia" w:ascii="仿宋" w:hAnsi="仿宋" w:eastAsia="仿宋" w:cs="仿宋"/>
                <w:color w:val="auto"/>
                <w:lang w:eastAsia="zh-CN"/>
              </w:rPr>
              <w:t>3.本项目的特定资格要求：</w:t>
            </w:r>
            <w:r>
              <w:rPr>
                <w:rFonts w:hint="eastAsia" w:ascii="仿宋" w:hAnsi="仿宋" w:eastAsia="仿宋" w:cs="仿宋"/>
                <w:color w:val="auto"/>
                <w:sz w:val="24"/>
                <w:szCs w:val="24"/>
                <w:lang w:eastAsia="zh-CN"/>
              </w:rPr>
              <w:t>1)具备三证合一营业执照副本；2)法定代表人投标须提供法定代表人资格证明书，委托代理人投标须提供法定代表人授权委托书；</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)投标企业须提供投标人（被授权在职人员）近期</w:t>
            </w:r>
            <w:r>
              <w:rPr>
                <w:rFonts w:hint="eastAsia" w:ascii="仿宋" w:hAnsi="仿宋" w:eastAsia="仿宋" w:cs="仿宋"/>
                <w:color w:val="auto"/>
                <w:sz w:val="24"/>
                <w:szCs w:val="24"/>
                <w:lang w:val="en-US" w:eastAsia="zh-CN"/>
              </w:rPr>
              <w:t>3个月</w:t>
            </w:r>
            <w:r>
              <w:rPr>
                <w:rFonts w:hint="eastAsia" w:ascii="仿宋" w:hAnsi="仿宋" w:eastAsia="仿宋" w:cs="仿宋"/>
                <w:color w:val="auto"/>
                <w:sz w:val="24"/>
                <w:szCs w:val="24"/>
                <w:lang w:eastAsia="zh-CN"/>
              </w:rPr>
              <w:t>有效的社保证明；</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bidi="en-US"/>
              </w:rPr>
              <w:t>投标产品为进口设备的投标企业须提供生产厂家针对本项目的授权。（授权内容需明确项目名称、被授权公司名称、授权期限及授权厂家的公章）</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val="en-US" w:eastAsia="zh-CN"/>
              </w:rPr>
              <w:t>能力提升补助资金</w:t>
            </w:r>
          </w:p>
        </w:tc>
      </w:tr>
      <w:tr>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采购范围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val="en-US" w:eastAsia="zh-CN"/>
              </w:rPr>
              <w:t>手术显微镜、宫腔检查镜，采购人可以采购进口产品。</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2、截止时点：开标后评标前。</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■不接受</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□接  受</w:t>
            </w:r>
          </w:p>
        </w:tc>
      </w:tr>
      <w:tr>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8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3 </w:t>
            </w:r>
            <w:r>
              <w:rPr>
                <w:rFonts w:hint="eastAsia" w:ascii="仿宋" w:hAnsi="仿宋" w:eastAsia="仿宋" w:cs="仿宋"/>
                <w:color w:val="auto"/>
                <w:u w:val="single"/>
                <w:lang w:eastAsia="zh-CN"/>
              </w:rPr>
              <w:t>日上午1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0分</w:t>
            </w:r>
            <w:r>
              <w:rPr>
                <w:rFonts w:hint="eastAsia" w:ascii="仿宋" w:hAnsi="仿宋" w:eastAsia="仿宋" w:cs="仿宋"/>
                <w:color w:val="auto"/>
                <w:lang w:eastAsia="zh-CN"/>
              </w:rPr>
              <w:t>（北京时间）</w:t>
            </w:r>
          </w:p>
        </w:tc>
      </w:tr>
      <w:tr>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b/>
                <w:bCs/>
                <w:color w:val="auto"/>
                <w:lang w:eastAsia="zh-CN"/>
              </w:rPr>
              <w:t>投标保证金交纳方式：</w:t>
            </w:r>
            <w:r>
              <w:rPr>
                <w:rFonts w:hint="eastAsia" w:ascii="仿宋" w:hAnsi="仿宋" w:eastAsia="仿宋" w:cs="仿宋"/>
                <w:color w:val="auto"/>
                <w:lang w:eastAsia="zh-CN"/>
              </w:rPr>
              <w:t>投标保证金应当以支票、汇票、本票、网上银行支付或者金融机构、担保机构出具的保函等非现金形式交纳。</w:t>
            </w:r>
          </w:p>
          <w:p>
            <w:pPr>
              <w:spacing w:line="360" w:lineRule="auto"/>
              <w:rPr>
                <w:rFonts w:hint="eastAsia" w:ascii="仿宋" w:hAnsi="仿宋" w:eastAsia="仿宋" w:cs="仿宋"/>
                <w:color w:val="auto"/>
                <w:lang w:val="en-US" w:eastAsia="zh-CN"/>
              </w:rPr>
            </w:pPr>
            <w:r>
              <w:rPr>
                <w:rFonts w:hint="eastAsia" w:ascii="仿宋" w:hAnsi="仿宋" w:eastAsia="仿宋" w:cs="仿宋"/>
                <w:b/>
                <w:bCs/>
                <w:color w:val="auto"/>
                <w:lang w:eastAsia="zh-CN"/>
              </w:rPr>
              <w:t>投标保证金的金额：</w:t>
            </w:r>
            <w:r>
              <w:rPr>
                <w:rFonts w:hint="eastAsia" w:ascii="仿宋" w:hAnsi="仿宋" w:eastAsia="仿宋" w:cs="仿宋"/>
                <w:b w:val="0"/>
                <w:bCs w:val="0"/>
                <w:color w:val="auto"/>
                <w:lang w:val="en-US" w:eastAsia="zh-CN"/>
              </w:rPr>
              <w:t>30000.00元（叁万元整）</w:t>
            </w:r>
          </w:p>
          <w:p>
            <w:pPr>
              <w:spacing w:line="360" w:lineRule="auto"/>
              <w:rPr>
                <w:rFonts w:hint="eastAsia" w:ascii="仿宋" w:hAnsi="仿宋" w:eastAsia="仿宋" w:cs="仿宋"/>
                <w:color w:val="auto"/>
                <w:lang w:eastAsia="zh-CN"/>
              </w:rPr>
            </w:pPr>
            <w:r>
              <w:rPr>
                <w:rFonts w:hint="eastAsia" w:ascii="仿宋" w:hAnsi="仿宋" w:eastAsia="仿宋" w:cs="仿宋"/>
                <w:b/>
                <w:bCs/>
                <w:color w:val="auto"/>
                <w:lang w:eastAsia="zh-CN"/>
              </w:rPr>
              <w:t>投标保证金交纳要求：</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1、投标保证金以电汇、网银等转账形式提交的，应在投标截止时间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8</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3 </w:t>
            </w:r>
            <w:r>
              <w:rPr>
                <w:rFonts w:hint="eastAsia" w:ascii="仿宋" w:hAnsi="仿宋" w:eastAsia="仿宋" w:cs="仿宋"/>
                <w:color w:val="auto"/>
                <w:u w:val="single"/>
                <w:lang w:eastAsia="zh-CN"/>
              </w:rPr>
              <w:t>上午1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0时</w:t>
            </w:r>
            <w:r>
              <w:rPr>
                <w:rFonts w:hint="eastAsia" w:ascii="仿宋" w:hAnsi="仿宋" w:eastAsia="仿宋" w:cs="仿宋"/>
                <w:color w:val="auto"/>
                <w:lang w:eastAsia="zh-CN"/>
              </w:rPr>
              <w:t>（北京时间）前以总公司的基本账户一次性汇入指定账户（以到账时间为准），不接受现金及任何个人汇款。确认到账后，持银行交款单、基本户开户许可证（基本存款账户信息</w:t>
            </w:r>
            <w:r>
              <w:rPr>
                <w:rFonts w:hint="eastAsia" w:ascii="仿宋" w:hAnsi="仿宋" w:eastAsia="仿宋" w:cs="仿宋"/>
                <w:color w:val="auto"/>
                <w:lang w:val="en-US" w:eastAsia="zh-CN"/>
              </w:rPr>
              <w:t>/开户许可证复印件</w:t>
            </w:r>
            <w:r>
              <w:rPr>
                <w:rFonts w:hint="eastAsia" w:ascii="仿宋" w:hAnsi="仿宋" w:eastAsia="仿宋" w:cs="仿宋"/>
                <w:color w:val="auto"/>
                <w:lang w:eastAsia="zh-CN"/>
              </w:rPr>
              <w:t>）和银行电子回单复印件加盖企业公章到乌恰县政务服务和公共资源交易中心二楼换取票据收据，项目开具的票据收据原件须扫描上传，标书内附有此票据收据。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2、投标保证金以保函等票据形式提交的，金融机构、担保机构出具的票据原件须扫描上传，标书内附有此票据。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3、有效投标保证金成功交纳后，截止开标时间，供应商无正当理由不参加该项目投标且不递交弃标函，投标保证金不予退还。</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户名：乌恰县政务服务和公共资源交易中心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账号：30470101040018134</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行名：中国农业银行乌恰县支行</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联系人：唐先生</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电话：0908-4623359、15509080607</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（备注：必须写清楚某某公司某某项目保证金）</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投标退保证金需准备以下相关资料：</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1．本单位给投标公司开的收据原件；5日内办理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2．投标公司请给我单位反开收据原件；5日内办理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3．开户许可证复印件及联系方式</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4．银行打保证金的电子回单复印件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5．中标企业需提供合同</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因供应商自身原因耽搁领取，超过退还时限，不承担延后退还责任。    </w:t>
            </w:r>
            <w:r>
              <w:rPr>
                <w:rFonts w:hint="eastAsia" w:ascii="仿宋" w:hAnsi="仿宋" w:eastAsia="仿宋" w:cs="仿宋"/>
                <w:color w:val="auto"/>
                <w:lang w:val="en-US" w:eastAsia="zh-CN"/>
              </w:rPr>
              <w:t xml:space="preserve"> </w:t>
            </w:r>
          </w:p>
        </w:tc>
      </w:tr>
      <w:tr>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■不允许</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招标文件领取</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7</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 14</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7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21</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13</w:t>
            </w: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3</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（北京时间，节假日除外）</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方式：（1）线上获取（登录政府采购云平台 → 项目采购 → 获取招标文件 → 申请，审核通过后可下载招标文件 ）。本次招标不提供纸质版招标文件 。</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（2）供应商获取招标文件 前应注册成为政府采购云平台正式供应商。</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8</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245291818@qq.com，接收人：朱先生，电话：18609088999），“备份投标文件”由供应商自愿提供，招标文件 不作强制性要求；如不提供或未按要求提供的，当电子投标文件无法解密时，将导致无备份投标文件而失去投标资格。</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4</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人。</w:t>
            </w:r>
          </w:p>
          <w:p>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zh-CN" w:eastAsia="zh-CN"/>
              </w:rPr>
            </w:pPr>
            <w:r>
              <w:rPr>
                <w:rFonts w:hint="eastAsia" w:ascii="仿宋" w:hAnsi="仿宋" w:eastAsia="仿宋" w:cs="仿宋"/>
                <w:color w:val="auto"/>
                <w:lang w:eastAsia="zh-CN"/>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u w:val="none"/>
                <w:lang w:eastAsia="zh-CN"/>
              </w:rPr>
              <w:t>202</w:t>
            </w:r>
            <w:r>
              <w:rPr>
                <w:rFonts w:hint="eastAsia" w:ascii="仿宋" w:hAnsi="仿宋" w:eastAsia="仿宋" w:cs="仿宋"/>
                <w:color w:val="auto"/>
                <w:u w:val="none"/>
                <w:lang w:val="en-US" w:eastAsia="zh-CN"/>
              </w:rPr>
              <w:t>3</w:t>
            </w:r>
            <w:r>
              <w:rPr>
                <w:rFonts w:hint="eastAsia" w:ascii="仿宋" w:hAnsi="仿宋" w:eastAsia="仿宋" w:cs="仿宋"/>
                <w:color w:val="auto"/>
                <w:u w:val="none"/>
                <w:lang w:eastAsia="zh-CN"/>
              </w:rPr>
              <w:t>年</w:t>
            </w:r>
            <w:r>
              <w:rPr>
                <w:rFonts w:hint="eastAsia" w:ascii="仿宋" w:hAnsi="仿宋" w:eastAsia="仿宋" w:cs="仿宋"/>
                <w:color w:val="auto"/>
                <w:u w:val="none"/>
                <w:lang w:val="en-US" w:eastAsia="zh-CN"/>
              </w:rPr>
              <w:t xml:space="preserve">8 </w:t>
            </w:r>
            <w:r>
              <w:rPr>
                <w:rFonts w:hint="eastAsia" w:ascii="仿宋" w:hAnsi="仿宋" w:eastAsia="仿宋" w:cs="仿宋"/>
                <w:color w:val="auto"/>
                <w:u w:val="none"/>
                <w:lang w:eastAsia="zh-CN"/>
              </w:rPr>
              <w:t>月</w:t>
            </w:r>
            <w:r>
              <w:rPr>
                <w:rFonts w:hint="eastAsia" w:ascii="仿宋" w:hAnsi="仿宋" w:eastAsia="仿宋" w:cs="仿宋"/>
                <w:color w:val="auto"/>
                <w:u w:val="none"/>
                <w:lang w:val="en-US" w:eastAsia="zh-CN"/>
              </w:rPr>
              <w:t xml:space="preserve">3 </w:t>
            </w:r>
            <w:r>
              <w:rPr>
                <w:rFonts w:hint="eastAsia" w:ascii="仿宋" w:hAnsi="仿宋" w:eastAsia="仿宋" w:cs="仿宋"/>
                <w:color w:val="auto"/>
                <w:u w:val="none"/>
                <w:lang w:eastAsia="zh-CN"/>
              </w:rPr>
              <w:t>日上午1</w:t>
            </w:r>
            <w:r>
              <w:rPr>
                <w:rFonts w:hint="eastAsia" w:ascii="仿宋" w:hAnsi="仿宋" w:eastAsia="仿宋" w:cs="仿宋"/>
                <w:color w:val="auto"/>
                <w:u w:val="none"/>
                <w:lang w:val="en-US" w:eastAsia="zh-CN"/>
              </w:rPr>
              <w:t>0</w:t>
            </w:r>
            <w:r>
              <w:rPr>
                <w:rFonts w:hint="eastAsia" w:ascii="仿宋" w:hAnsi="仿宋" w:eastAsia="仿宋" w:cs="仿宋"/>
                <w:color w:val="auto"/>
                <w:u w:val="none"/>
                <w:lang w:eastAsia="zh-CN"/>
              </w:rPr>
              <w:t>时</w:t>
            </w:r>
            <w:r>
              <w:rPr>
                <w:rFonts w:hint="eastAsia" w:ascii="仿宋" w:hAnsi="仿宋" w:eastAsia="仿宋" w:cs="仿宋"/>
                <w:color w:val="auto"/>
                <w:u w:val="none"/>
                <w:lang w:val="en-US" w:eastAsia="zh-CN"/>
              </w:rPr>
              <w:t>3</w:t>
            </w:r>
            <w:r>
              <w:rPr>
                <w:rFonts w:hint="eastAsia" w:ascii="仿宋" w:hAnsi="仿宋" w:eastAsia="仿宋" w:cs="仿宋"/>
                <w:color w:val="auto"/>
                <w:u w:val="none"/>
                <w:lang w:eastAsia="zh-CN"/>
              </w:rPr>
              <w:t>0分</w:t>
            </w:r>
            <w:r>
              <w:rPr>
                <w:rFonts w:hint="eastAsia" w:ascii="仿宋" w:hAnsi="仿宋" w:eastAsia="仿宋" w:cs="仿宋"/>
                <w:color w:val="auto"/>
                <w:lang w:eastAsia="zh-CN"/>
              </w:rPr>
              <w:t>（北京时间）</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2</w:t>
            </w:r>
          </w:p>
        </w:tc>
        <w:tc>
          <w:tcPr>
            <w:tcW w:w="1691"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开标时间和地点</w:t>
            </w:r>
          </w:p>
        </w:tc>
        <w:tc>
          <w:tcPr>
            <w:tcW w:w="7116" w:type="dxa"/>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8</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 3</w:t>
            </w:r>
            <w:r>
              <w:rPr>
                <w:rFonts w:hint="eastAsia" w:ascii="仿宋" w:hAnsi="仿宋" w:eastAsia="仿宋" w:cs="仿宋"/>
                <w:color w:val="auto"/>
                <w:u w:val="single"/>
                <w:lang w:eastAsia="zh-CN"/>
              </w:rPr>
              <w:t>日上午1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0分</w:t>
            </w:r>
            <w:r>
              <w:rPr>
                <w:rFonts w:hint="eastAsia" w:ascii="仿宋" w:hAnsi="仿宋" w:eastAsia="仿宋" w:cs="仿宋"/>
                <w:color w:val="auto"/>
                <w:lang w:eastAsia="zh-CN"/>
              </w:rPr>
              <w:t>（北京时间）</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116" w:type="dxa"/>
            <w:tcBorders>
              <w:top w:val="single" w:color="auto" w:sz="4" w:space="0"/>
              <w:left w:val="single" w:color="auto" w:sz="4" w:space="0"/>
              <w:right w:val="single" w:color="auto" w:sz="4" w:space="0"/>
            </w:tcBorders>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w:t>
            </w:r>
            <w:r>
              <w:rPr>
                <w:rFonts w:hint="eastAsia" w:ascii="仿宋" w:hAnsi="仿宋" w:eastAsia="仿宋" w:cs="仿宋"/>
                <w:color w:val="auto"/>
                <w:sz w:val="24"/>
                <w:szCs w:val="24"/>
                <w:highlight w:val="none"/>
                <w:lang w:eastAsia="zh-CN"/>
              </w:rPr>
              <w:t>(已在政采云平台其他省份入驻的供应商无须重复注册）</w:t>
            </w:r>
            <w:r>
              <w:rPr>
                <w:rFonts w:hint="eastAsia" w:ascii="仿宋" w:hAnsi="仿宋" w:eastAsia="仿宋" w:cs="仿宋"/>
                <w:color w:val="auto"/>
                <w:sz w:val="24"/>
                <w:szCs w:val="24"/>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 xml:space="preserve"> 95763</w:t>
            </w:r>
            <w:r>
              <w:rPr>
                <w:rFonts w:hint="eastAsia" w:ascii="仿宋" w:hAnsi="仿宋" w:eastAsia="仿宋" w:cs="仿宋"/>
                <w:color w:val="auto"/>
                <w:sz w:val="24"/>
                <w:szCs w:val="24"/>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360" w:lineRule="auto"/>
              <w:rPr>
                <w:rFonts w:hint="eastAsia" w:ascii="仿宋" w:hAnsi="仿宋" w:eastAsia="仿宋" w:cs="仿宋"/>
                <w:color w:val="auto"/>
                <w:lang w:eastAsia="zh-CN"/>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lang w:val="en-US" w:eastAsia="zh-CN"/>
              </w:rPr>
              <w:t>245291818@qq.cpm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eastAsia="zh-CN"/>
              </w:rPr>
              <w:t>朱先生</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18609088999</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供应商应提前上传，以便在上传时遇到技术问题，有充足的时间请教平台的技术人员。</w:t>
            </w:r>
          </w:p>
          <w:p>
            <w:pPr>
              <w:spacing w:line="360" w:lineRule="auto"/>
              <w:rPr>
                <w:rFonts w:hint="eastAsia" w:ascii="仿宋" w:hAnsi="仿宋" w:eastAsia="仿宋" w:cs="仿宋"/>
                <w:color w:val="auto"/>
                <w:lang w:eastAsia="zh-CN"/>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5</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招标代理服务费</w:t>
            </w:r>
          </w:p>
        </w:tc>
      </w:tr>
      <w:tr>
        <w:tblPrEx>
          <w:tblCellMar>
            <w:top w:w="0" w:type="dxa"/>
            <w:left w:w="108" w:type="dxa"/>
            <w:bottom w:w="0" w:type="dxa"/>
            <w:right w:w="108" w:type="dxa"/>
          </w:tblCellMar>
        </w:tblPrEx>
        <w:trPr>
          <w:trHeight w:val="65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收费标准：中标单位在领取本采购项目中标通知书时，按照《国家计委关于印发招标代理服务收费管理暂行办法的通知（计价格[2002]1980号）中规定收费基准支付代理费及《招标代理服务收费有关问题》（发改办价格[2003]857号文）中规定收取代理费；</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招标代理服务收费标准(费率)</w:t>
            </w:r>
          </w:p>
          <w:tbl>
            <w:tblPr>
              <w:tblStyle w:val="21"/>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费率中标金额</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货物招标</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服务招标</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100万元以下</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1.5%</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1.5%</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100～500万元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1.1%</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0.8%</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500～1000万元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0.8%</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0.45%</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1000～5000万元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0.5%</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0.25%</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5000万元～1亿元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0.25%</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0.1%</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0.2%</w:t>
                  </w:r>
                  <w:r>
                    <w:rPr>
                      <w:rFonts w:hint="eastAsia" w:ascii="仿宋" w:hAnsi="仿宋" w:eastAsia="仿宋" w:cs="仿宋"/>
                      <w:color w:val="auto"/>
                      <w:lang w:eastAsia="zh-CN"/>
                    </w:rPr>
                    <w:c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1～5亿元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0.05%</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0.05%</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0.05</w:t>
                  </w:r>
                  <w:r>
                    <w:rPr>
                      <w:rFonts w:hint="eastAsia" w:ascii="仿宋" w:hAnsi="仿宋" w:eastAsia="仿宋" w:cs="仿宋"/>
                      <w:color w:val="auto"/>
                      <w:lang w:eastAsia="zh-CN"/>
                    </w:rPr>
                    <w:cr/>
                  </w:r>
                  <w:r>
                    <w:rPr>
                      <w:rFonts w:hint="eastAsia" w:ascii="仿宋" w:hAnsi="仿宋" w:eastAsia="仿宋" w:cs="仿宋"/>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5～10亿元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0.035%</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0.035%</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10～50亿元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0.008%</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0.008%</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50～100亿元</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0.006%</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0.006%</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100亿以上</w:t>
                  </w:r>
                </w:p>
              </w:tc>
              <w:tc>
                <w:tcPr>
                  <w:tcW w:w="1530"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0.004%</w:t>
                  </w:r>
                </w:p>
              </w:tc>
              <w:tc>
                <w:tcPr>
                  <w:tcW w:w="1335"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0.004%</w:t>
                  </w:r>
                </w:p>
              </w:tc>
              <w:tc>
                <w:tcPr>
                  <w:tcW w:w="2996" w:type="dxa"/>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0.004%</w:t>
                  </w:r>
                </w:p>
              </w:tc>
            </w:tr>
          </w:tbl>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注：</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1、按本表费率计算的收费为招标代理服务全过程的收费基准价格，单独提供编制招标文件（有标底的含标底）服务的，可按规定标准的30％计收。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2、招标代理服务收费按差额定率累进法计算。例如：某工程招标代理业务中标金额为6000万元，计算招标代理服务费额如下：</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100万元×1.0％＝1万元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（500－100）万元×0.7％＝2.8万元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（1000－500）万元×0.55％＝2.75万元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（5000－1000）万元×0.35％＝14万元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（6000－5000）万元×0.2％＝2万元</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lang w:eastAsia="zh-CN"/>
              </w:rPr>
              <w:t>    合计收费＝1＋2.8＋2.75＋14＋2＝22.55(万元)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6</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7</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8</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本次招标预算价：1939000</w:t>
            </w:r>
            <w:r>
              <w:rPr>
                <w:rFonts w:hint="eastAsia" w:ascii="仿宋" w:hAnsi="仿宋" w:eastAsia="仿宋" w:cs="仿宋"/>
                <w:color w:val="auto"/>
                <w:lang w:val="en-US" w:eastAsia="zh-CN"/>
              </w:rPr>
              <w:t>.00</w:t>
            </w:r>
            <w:r>
              <w:rPr>
                <w:rFonts w:hint="eastAsia" w:ascii="仿宋" w:hAnsi="仿宋" w:eastAsia="仿宋" w:cs="仿宋"/>
                <w:color w:val="auto"/>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（1）根据财政部、工业和信息化部关于印发《政府采购促进中小企业发展管理办法》的通知（财库[2020]46号）和（新财购[202</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22</w:t>
            </w:r>
            <w:r>
              <w:rPr>
                <w:rFonts w:hint="eastAsia" w:ascii="仿宋" w:hAnsi="仿宋" w:eastAsia="仿宋" w:cs="仿宋"/>
                <w:color w:val="auto"/>
                <w:lang w:eastAsia="zh-CN"/>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202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（1）支持中小企业发展：给予小型和微型企业产品的价格10%-20%的扣除，用扣除后的价格参与评审，</w:t>
            </w:r>
            <w:r>
              <w:rPr>
                <w:rFonts w:hint="eastAsia" w:ascii="仿宋" w:hAnsi="仿宋" w:eastAsia="仿宋" w:cs="仿宋"/>
                <w:b/>
                <w:bCs/>
                <w:color w:val="auto"/>
                <w:u w:val="single"/>
                <w:lang w:eastAsia="zh-CN"/>
              </w:rPr>
              <w:t>本项目具体扣除比例为10%</w:t>
            </w:r>
            <w:r>
              <w:rPr>
                <w:rFonts w:hint="eastAsia" w:ascii="仿宋" w:hAnsi="仿宋" w:eastAsia="仿宋" w:cs="仿宋"/>
                <w:color w:val="auto"/>
                <w:lang w:eastAsia="zh-CN"/>
              </w:rPr>
              <w:t>。用扣除后的价格参与评审。残疾人福利性单位视同小型、微型企业，享受同等价格扣除，但同时属于残疾人福利性单位和小微企业的，不重复价格扣除。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p>
        </w:tc>
        <w:tc>
          <w:tcPr>
            <w:tcW w:w="1691"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（2）不符合上述适用情形的投标人无需提供上述声明函件。</w:t>
            </w:r>
          </w:p>
        </w:tc>
      </w:tr>
      <w:tr>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p>
        </w:tc>
        <w:tc>
          <w:tcPr>
            <w:tcW w:w="1691"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3</w:t>
            </w:r>
            <w:r>
              <w:rPr>
                <w:rFonts w:hint="eastAsia" w:ascii="仿宋" w:hAnsi="仿宋" w:eastAsia="仿宋" w:cs="仿宋"/>
                <w:b/>
                <w:bCs/>
                <w:color w:val="auto"/>
                <w:lang w:eastAsia="zh-CN"/>
              </w:rPr>
              <w:t>）本项目货物所属行业：工业</w:t>
            </w:r>
          </w:p>
        </w:tc>
      </w:tr>
      <w:tr>
        <w:tblPrEx>
          <w:tblCellMar>
            <w:top w:w="0" w:type="dxa"/>
            <w:left w:w="108" w:type="dxa"/>
            <w:bottom w:w="0" w:type="dxa"/>
            <w:right w:w="108" w:type="dxa"/>
          </w:tblCellMar>
        </w:tblPrEx>
        <w:trPr>
          <w:trHeight w:val="38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4</w:t>
            </w:r>
            <w:r>
              <w:rPr>
                <w:rFonts w:hint="eastAsia" w:ascii="仿宋" w:hAnsi="仿宋" w:eastAsia="仿宋" w:cs="仿宋"/>
                <w:b w:val="0"/>
                <w:bCs w:val="0"/>
                <w:color w:val="auto"/>
                <w:lang w:eastAsia="zh-CN"/>
              </w:rPr>
              <w:t>）投标供应商在提供《中小企业声明函》时，必须将招标文件所列的采购标的物全部列入《中小企业声明函》，否则</w:t>
            </w:r>
            <w:r>
              <w:rPr>
                <w:rFonts w:hint="eastAsia" w:ascii="仿宋" w:hAnsi="仿宋" w:eastAsia="仿宋" w:cs="仿宋"/>
                <w:b w:val="0"/>
                <w:bCs w:val="0"/>
                <w:color w:val="auto"/>
                <w:lang w:val="en-US" w:eastAsia="zh-CN"/>
              </w:rPr>
              <w:t>不享受</w:t>
            </w:r>
            <w:r>
              <w:rPr>
                <w:rFonts w:hint="eastAsia" w:ascii="仿宋" w:hAnsi="仿宋" w:eastAsia="仿宋" w:cs="仿宋"/>
                <w:b w:val="0"/>
                <w:bCs w:val="0"/>
                <w:color w:val="auto"/>
                <w:lang w:eastAsia="zh-CN"/>
              </w:rPr>
              <w:t>10%价格</w:t>
            </w:r>
            <w:r>
              <w:rPr>
                <w:rFonts w:hint="eastAsia" w:ascii="仿宋" w:hAnsi="仿宋" w:eastAsia="仿宋" w:cs="仿宋"/>
                <w:b w:val="0"/>
                <w:bCs w:val="0"/>
                <w:color w:val="auto"/>
                <w:lang w:val="en-US" w:eastAsia="zh-CN"/>
              </w:rPr>
              <w:t>的</w:t>
            </w:r>
            <w:r>
              <w:rPr>
                <w:rFonts w:hint="eastAsia" w:ascii="仿宋" w:hAnsi="仿宋" w:eastAsia="仿宋" w:cs="仿宋"/>
                <w:b w:val="0"/>
                <w:bCs w:val="0"/>
                <w:color w:val="auto"/>
                <w:lang w:eastAsia="zh-CN"/>
              </w:rPr>
              <w:t>优惠政策。</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val="zh-CN" w:eastAsia="zh-CN"/>
              </w:rPr>
            </w:pPr>
          </w:p>
          <w:p>
            <w:pPr>
              <w:spacing w:line="360" w:lineRule="auto"/>
              <w:jc w:val="center"/>
              <w:rPr>
                <w:rFonts w:hint="eastAsia" w:ascii="仿宋" w:hAnsi="仿宋" w:eastAsia="仿宋" w:cs="仿宋"/>
                <w:color w:val="auto"/>
                <w:lang w:val="zh-CN" w:eastAsia="zh-CN"/>
              </w:rPr>
            </w:pPr>
            <w:r>
              <w:rPr>
                <w:rFonts w:hint="eastAsia" w:ascii="仿宋" w:hAnsi="仿宋" w:eastAsia="仿宋" w:cs="仿宋"/>
                <w:color w:val="auto"/>
                <w:lang w:val="zh-CN" w:eastAsia="zh-CN"/>
              </w:rPr>
              <w:t>履约保证金</w:t>
            </w:r>
          </w:p>
          <w:p>
            <w:pPr>
              <w:spacing w:line="360" w:lineRule="auto"/>
              <w:jc w:val="center"/>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u w:val="single"/>
                <w:lang w:val="zh-CN" w:eastAsia="zh-CN"/>
              </w:rPr>
              <w:t>金额不超过合同总价的10%</w:t>
            </w:r>
            <w:r>
              <w:rPr>
                <w:rFonts w:hint="eastAsia" w:ascii="仿宋" w:hAnsi="仿宋" w:eastAsia="仿宋" w:cs="仿宋"/>
                <w:color w:val="auto"/>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1、着重提醒各投标人注意，并认真查看招标文件中的每一个条款及要求，因误读招标文件而造成的后果，招标人概不负责。</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2、投标人使用相同IP地址的，一经发现，相关部门将进一步核实，查实后按串通投标处理。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5、其它：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（4）中标人务必按照招标文件规定的时间供货，如出现不能按时供货的，采购人有权取消中标资格。</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（5）招标文件中如出现前后不一致情况，均以前附表内容为准。</w:t>
            </w:r>
          </w:p>
        </w:tc>
      </w:tr>
    </w:tbl>
    <w:p>
      <w:pPr>
        <w:spacing w:line="360" w:lineRule="auto"/>
        <w:rPr>
          <w:rFonts w:hint="eastAsia" w:ascii="仿宋" w:hAnsi="仿宋" w:eastAsia="仿宋" w:cs="仿宋"/>
          <w:color w:val="auto"/>
          <w:lang w:eastAsia="zh-CN"/>
        </w:rPr>
      </w:pPr>
    </w:p>
    <w:p>
      <w:pPr>
        <w:pageBreakBefore/>
        <w:spacing w:before="312" w:beforeLines="100" w:after="312" w:afterLines="100" w:line="340" w:lineRule="exact"/>
        <w:jc w:val="center"/>
        <w:outlineLvl w:val="1"/>
        <w:rPr>
          <w:rFonts w:hint="eastAsia"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pPr>
        <w:spacing w:line="340" w:lineRule="exact"/>
        <w:jc w:val="center"/>
        <w:outlineLvl w:val="2"/>
        <w:rPr>
          <w:rFonts w:hint="eastAsia" w:ascii="仿宋" w:hAnsi="仿宋" w:eastAsia="仿宋" w:cs="仿宋"/>
          <w:color w:val="auto"/>
          <w:sz w:val="28"/>
          <w:szCs w:val="28"/>
          <w:lang w:eastAsia="zh-CN"/>
        </w:rPr>
      </w:pPr>
      <w:bookmarkStart w:id="0"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0"/>
    </w:p>
    <w:p>
      <w:pPr>
        <w:snapToGrid w:val="0"/>
        <w:spacing w:line="3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pPr>
        <w:snapToGrid w:val="0"/>
        <w:spacing w:line="440" w:lineRule="exact"/>
        <w:ind w:firstLine="2400" w:firstLineChars="10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pPr>
        <w:snapToGrid w:val="0"/>
        <w:spacing w:line="440" w:lineRule="exact"/>
        <w:ind w:firstLine="600" w:firstLineChars="25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个包。</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4.1本项目招标方式：见供应商须知前附表。</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7.投标人资格：</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7.4供应商必须确保自己在信息库中注册的信息真实、准确，并保证投标文件中的有关信息与库中的信息相一致。否则，投标人因此蒙受损失，招标人概不负责。</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1" w:name="_Toc144974507"/>
      <w:bookmarkStart w:id="2" w:name="_Toc296602429"/>
      <w:bookmarkStart w:id="3" w:name="_Toc152045539"/>
      <w:bookmarkStart w:id="4" w:name="_Toc247527563"/>
      <w:bookmarkStart w:id="5" w:name="_Toc247513962"/>
      <w:bookmarkStart w:id="6" w:name="_Toc152042315"/>
      <w:bookmarkStart w:id="7" w:name="_Toc247592876"/>
      <w:r>
        <w:rPr>
          <w:rFonts w:hint="eastAsia" w:ascii="仿宋" w:hAnsi="仿宋" w:eastAsia="仿宋" w:cs="仿宋"/>
          <w:b/>
          <w:color w:val="auto"/>
          <w:szCs w:val="21"/>
          <w:lang w:eastAsia="zh-CN"/>
        </w:rPr>
        <w:t xml:space="preserve"> 踏勘现场</w:t>
      </w:r>
      <w:bookmarkEnd w:id="1"/>
      <w:bookmarkEnd w:id="2"/>
      <w:bookmarkEnd w:id="3"/>
      <w:bookmarkEnd w:id="4"/>
      <w:bookmarkEnd w:id="5"/>
      <w:bookmarkEnd w:id="6"/>
      <w:bookmarkEnd w:id="7"/>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供应商须知前附表规定组织踏勘现场的，招标人按供应商须知前附表规定的时间、地点组织供应商踏勘项目现场。如需踏勘现场，供应商</w:t>
      </w:r>
      <w:r>
        <w:rPr>
          <w:rFonts w:hint="eastAsia" w:ascii="仿宋" w:hAnsi="仿宋" w:eastAsia="仿宋" w:cs="仿宋"/>
          <w:color w:val="auto"/>
          <w:lang w:eastAsia="zh-CN"/>
        </w:rPr>
        <w:t>自行踏勘现场的，可咨询本项目采购人或采购代理机构联系人。</w:t>
      </w:r>
      <w:r>
        <w:rPr>
          <w:rFonts w:hint="eastAsia" w:ascii="仿宋" w:hAnsi="仿宋" w:eastAsia="仿宋" w:cs="仿宋"/>
          <w:b/>
          <w:bCs/>
          <w:color w:val="auto"/>
          <w:lang w:eastAsia="zh-CN"/>
        </w:rPr>
        <w:t>投标人自行踏勘现场的，可咨询本项目采购人或采购代理机构联系人。</w:t>
      </w:r>
      <w:r>
        <w:rPr>
          <w:rFonts w:hint="eastAsia" w:ascii="仿宋" w:hAnsi="仿宋" w:eastAsia="仿宋" w:cs="仿宋"/>
          <w:b/>
          <w:bCs/>
          <w:color w:val="auto"/>
          <w:szCs w:val="21"/>
          <w:lang w:eastAsia="zh-CN"/>
        </w:rPr>
        <w:t xml:space="preserve"> </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招标人在踏勘现场中介绍的场地和相关的周边环境情况，供供应商在编制投标文件时参考，招标人不对投标人据此作出的判断和决策负责。</w:t>
      </w:r>
      <w:bookmarkStart w:id="8" w:name="_Toc296602430"/>
      <w:bookmarkStart w:id="9" w:name="_Toc247592877"/>
      <w:bookmarkStart w:id="10" w:name="_Toc247527564"/>
      <w:bookmarkStart w:id="11" w:name="_Toc247513963"/>
      <w:bookmarkStart w:id="12" w:name="_Toc152045540"/>
      <w:bookmarkStart w:id="13" w:name="_Toc144974508"/>
      <w:bookmarkStart w:id="14" w:name="_Toc152042316"/>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8"/>
      <w:bookmarkEnd w:id="9"/>
      <w:bookmarkEnd w:id="10"/>
      <w:bookmarkEnd w:id="11"/>
      <w:bookmarkEnd w:id="12"/>
      <w:bookmarkEnd w:id="13"/>
      <w:bookmarkEnd w:id="14"/>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10.1供应商须知前附表规定召开投标预备会的，招标人按供应商须知前附表规定的时间和地点召开投标预备会，澄清投标人提出的问题。</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hint="eastAsia"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pPr>
        <w:pStyle w:val="9"/>
        <w:spacing w:after="0" w:line="400" w:lineRule="exact"/>
        <w:ind w:left="0" w:leftChars="0" w:firstLine="484" w:firstLineChars="202"/>
        <w:rPr>
          <w:rFonts w:hint="eastAsia"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pPr>
        <w:spacing w:line="440" w:lineRule="exact"/>
        <w:ind w:firstLine="470" w:firstLineChars="196"/>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12.1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具体详见供应商须知前附表。</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13.投标人应注意的事项</w:t>
      </w:r>
    </w:p>
    <w:p>
      <w:pPr>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color w:val="auto"/>
          <w:szCs w:val="21"/>
          <w:lang w:eastAsia="zh-CN"/>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13.2 投标人对采购内容中规定的技术参数、规格等要求必须完全响应或优于采购文件中的要求。</w:t>
      </w:r>
    </w:p>
    <w:p>
      <w:pPr>
        <w:spacing w:line="440" w:lineRule="exact"/>
        <w:ind w:firstLine="470" w:firstLineChars="196"/>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13.3所有投标人的投标保证金都应在采购文件规定的投标保证金缴纳截止日期前缴纳。</w:t>
      </w:r>
    </w:p>
    <w:p>
      <w:pPr>
        <w:spacing w:line="440" w:lineRule="exact"/>
        <w:ind w:firstLine="470" w:firstLineChars="196"/>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13.6  投标人被视为充分熟悉本招标项目所在地的与履行合同有关的各种情况，包括但不限于：</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5" w:name="_Toc469495725"/>
    </w:p>
    <w:p>
      <w:pPr>
        <w:spacing w:line="400" w:lineRule="exact"/>
        <w:ind w:firstLine="420" w:firstLineChars="150"/>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5"/>
      <w:r>
        <w:rPr>
          <w:rFonts w:hint="eastAsia" w:ascii="仿宋" w:hAnsi="仿宋" w:eastAsia="仿宋" w:cs="仿宋"/>
          <w:b/>
          <w:color w:val="auto"/>
          <w:sz w:val="28"/>
          <w:szCs w:val="28"/>
          <w:lang w:eastAsia="zh-CN"/>
        </w:rPr>
        <w:t>招标文件</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除16.1内容外，招标答疑亦为采购文件的组成部分，对招标人和投标人起约束作用。</w:t>
      </w:r>
    </w:p>
    <w:p>
      <w:pPr>
        <w:pStyle w:val="10"/>
        <w:wordWrap w:val="0"/>
        <w:spacing w:line="4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pPr>
        <w:wordWrap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pPr>
        <w:spacing w:line="400" w:lineRule="exact"/>
        <w:ind w:firstLine="240" w:firstLineChars="1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pPr>
        <w:spacing w:line="400" w:lineRule="exact"/>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pPr>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pPr>
        <w:spacing w:line="440" w:lineRule="exact"/>
        <w:ind w:firstLine="240" w:firstLineChars="100"/>
        <w:rPr>
          <w:rFonts w:hint="eastAsia" w:ascii="仿宋" w:hAnsi="仿宋" w:eastAsia="仿宋" w:cs="仿宋"/>
          <w:color w:val="auto"/>
          <w:szCs w:val="21"/>
          <w:lang w:eastAsia="zh-CN"/>
        </w:rPr>
      </w:pPr>
      <w:bookmarkStart w:id="16"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40" w:lineRule="exact"/>
        <w:ind w:firstLine="420"/>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16"/>
    </w:p>
    <w:p>
      <w:pPr>
        <w:spacing w:line="440" w:lineRule="exact"/>
        <w:ind w:firstLine="348" w:firstLineChars="145"/>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pPr>
        <w:spacing w:line="440" w:lineRule="exact"/>
        <w:ind w:firstLine="324" w:firstLineChars="135"/>
        <w:rPr>
          <w:rFonts w:hint="eastAsia" w:ascii="仿宋" w:hAnsi="仿宋" w:eastAsia="仿宋" w:cs="仿宋"/>
          <w:color w:val="auto"/>
          <w:szCs w:val="21"/>
          <w:lang w:eastAsia="zh-CN"/>
        </w:rPr>
      </w:pPr>
      <w:r>
        <w:rPr>
          <w:rFonts w:hint="eastAsia" w:ascii="仿宋" w:hAnsi="仿宋" w:eastAsia="仿宋" w:cs="仿宋"/>
          <w:color w:val="auto"/>
          <w:szCs w:val="21"/>
          <w:lang w:eastAsia="zh-CN"/>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pPr>
        <w:spacing w:line="400" w:lineRule="exact"/>
        <w:ind w:firstLine="235" w:firstLineChars="98"/>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资格证明文件是证明投标人有资格参加投标和中标后有能力履行合同的文件，这些文件应能满足招标的要求，否则作无效投标处理。</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4、投标保证金收据或投标担保函；</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5、</w:t>
      </w:r>
      <w:r>
        <w:rPr>
          <w:rFonts w:hint="eastAsia" w:ascii="仿宋" w:hAnsi="仿宋" w:eastAsia="仿宋" w:cs="仿宋"/>
          <w:color w:val="auto"/>
          <w:sz w:val="24"/>
          <w:szCs w:val="24"/>
          <w:lang w:eastAsia="zh-CN"/>
        </w:rPr>
        <w:t>投标企业须提供投标人（被授权在职人员）近期</w:t>
      </w:r>
      <w:r>
        <w:rPr>
          <w:rFonts w:hint="eastAsia" w:ascii="仿宋" w:hAnsi="仿宋" w:eastAsia="仿宋" w:cs="仿宋"/>
          <w:color w:val="auto"/>
          <w:sz w:val="24"/>
          <w:szCs w:val="24"/>
          <w:lang w:val="en-US" w:eastAsia="zh-CN"/>
        </w:rPr>
        <w:t>3个月</w:t>
      </w:r>
      <w:r>
        <w:rPr>
          <w:rFonts w:hint="eastAsia" w:ascii="仿宋" w:hAnsi="仿宋" w:eastAsia="仿宋" w:cs="仿宋"/>
          <w:color w:val="auto"/>
          <w:sz w:val="24"/>
          <w:szCs w:val="24"/>
          <w:lang w:eastAsia="zh-CN"/>
        </w:rPr>
        <w:t>有效的社保证明</w:t>
      </w:r>
      <w:r>
        <w:rPr>
          <w:rFonts w:hint="eastAsia" w:ascii="仿宋" w:hAnsi="仿宋" w:eastAsia="仿宋" w:cs="仿宋"/>
          <w:color w:val="auto"/>
          <w:szCs w:val="21"/>
          <w:lang w:eastAsia="zh-CN"/>
        </w:rPr>
        <w:t>;</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6、</w:t>
      </w: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r>
        <w:rPr>
          <w:rFonts w:hint="eastAsia" w:ascii="仿宋" w:hAnsi="仿宋" w:eastAsia="仿宋" w:cs="仿宋"/>
          <w:color w:val="auto"/>
          <w:szCs w:val="21"/>
          <w:lang w:eastAsia="zh-CN"/>
        </w:rPr>
        <w:t>；</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7、未被“信用中国”（www.creditchina.gov.cn）、中国政府采购网（www.ccgp.gov.cn）列入失信被执行人、税收违法黑名单、政府采购严重违法失信行为记录名单；</w:t>
      </w:r>
    </w:p>
    <w:p>
      <w:pPr>
        <w:spacing w:line="440" w:lineRule="exact"/>
        <w:ind w:firstLine="352" w:firstLineChars="147"/>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w:t>
      </w:r>
      <w:r>
        <w:rPr>
          <w:rFonts w:hint="eastAsia" w:ascii="仿宋" w:hAnsi="仿宋" w:eastAsia="仿宋" w:cs="仿宋"/>
          <w:color w:val="auto"/>
          <w:sz w:val="24"/>
          <w:szCs w:val="24"/>
          <w:lang w:val="en-US" w:eastAsia="zh-CN" w:bidi="en-US"/>
        </w:rPr>
        <w:t>投标产品为进口设备的投标企业须提供生产厂家针对本项目的授权。（授权内容需明确项目名称、被授权公司名称、授权期限及授权厂家的公章）</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 xml:space="preserve">、投标人须知资料表要求的其他资格证明文件; </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3、货物说明一览表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4、投标分项报价表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5、技术规格偏离表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6、商务条款偏离表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7、投标人基本情况表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8、近三年（20</w:t>
      </w:r>
      <w:r>
        <w:rPr>
          <w:rFonts w:hint="eastAsia" w:ascii="仿宋" w:hAnsi="仿宋" w:eastAsia="仿宋" w:cs="仿宋"/>
          <w:bCs/>
          <w:color w:val="auto"/>
          <w:szCs w:val="21"/>
          <w:lang w:val="en-US" w:eastAsia="zh-CN"/>
        </w:rPr>
        <w:t>20</w:t>
      </w:r>
      <w:r>
        <w:rPr>
          <w:rFonts w:hint="eastAsia" w:ascii="仿宋" w:hAnsi="仿宋" w:eastAsia="仿宋" w:cs="仿宋"/>
          <w:bCs/>
          <w:color w:val="auto"/>
          <w:szCs w:val="21"/>
          <w:lang w:eastAsia="zh-CN"/>
        </w:rPr>
        <w:t>年1月1日至今）类似项目业绩表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9、中小企业声明函(货物)</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10、《残疾人福利性单位声明函》</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11、评分标准和细则中技术部分证明材料</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12、评分标准和细则中技术部分证明材料（格式自拟）</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13、投标人认为有必要提供的其他证明材料（格式自拟）</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b/>
          <w:color w:val="auto"/>
          <w:szCs w:val="21"/>
          <w:u w:val="single"/>
          <w:lang w:eastAsia="zh-CN"/>
        </w:rPr>
        <w:t>注：以上材料须逐页加盖单位公章。</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22.2投标报价表上应清楚地标明投标人拟提供货物的名称、型号、生产厂家、数量、单价和总价。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22.3投标人只允许有一个方案、一个报价。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pPr>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投标人投标总报价，不得高于本次招标设置的最高限价，</w:t>
      </w:r>
      <w:r>
        <w:rPr>
          <w:rFonts w:hint="eastAsia" w:ascii="仿宋" w:hAnsi="仿宋" w:eastAsia="仿宋" w:cs="仿宋"/>
          <w:b/>
          <w:bCs/>
          <w:color w:val="auto"/>
          <w:szCs w:val="21"/>
          <w:lang w:eastAsia="zh-CN"/>
        </w:rPr>
        <w:t>否则将作为无效投标处理。</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22.12投标人不得对从第三方采购货物的随机备品、备件另行收费，否则在计算评标价时这部分费用将不予扣除，在授予合同时将从中标价格中扣除该部分费用。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23.1 除投标人须知前附表另有规定外，投标有效期为60天。</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23.2在投标有效期内，投标人撤销或修改其投标文件的，应承担采购文件和法律规定的责任。</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60" w:firstLineChars="192"/>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24.2自中标通知书发出之日起5个工作日内退还未中标投标人的投标保证金，自政府采购合同签订之日起5个工作日内退还中标人的投标保证金。</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（1）投标人在规定的投标有效期内撤回或修改其投标文件；</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pPr>
        <w:spacing w:line="400" w:lineRule="exact"/>
        <w:ind w:firstLine="480" w:firstLineChars="200"/>
        <w:rPr>
          <w:rFonts w:hint="eastAsia" w:ascii="仿宋" w:hAnsi="仿宋" w:eastAsia="仿宋" w:cs="仿宋"/>
          <w:color w:val="auto"/>
          <w:szCs w:val="21"/>
          <w:lang w:eastAsia="zh-CN"/>
        </w:rPr>
      </w:pPr>
      <w:bookmarkStart w:id="17" w:name="_Toc469495727"/>
      <w:r>
        <w:rPr>
          <w:rFonts w:hint="eastAsia" w:ascii="仿宋" w:hAnsi="仿宋" w:eastAsia="仿宋" w:cs="仿宋"/>
          <w:color w:val="auto"/>
          <w:szCs w:val="21"/>
          <w:lang w:eastAsia="zh-CN"/>
        </w:rPr>
        <w:t>24.4投标保证金按投标人须知前附表第24条规定执行。</w:t>
      </w:r>
    </w:p>
    <w:p>
      <w:pPr>
        <w:pStyle w:val="3"/>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17"/>
      <w:r>
        <w:rPr>
          <w:rFonts w:hint="eastAsia" w:ascii="仿宋" w:hAnsi="仿宋" w:eastAsia="仿宋" w:cs="仿宋"/>
          <w:color w:val="auto"/>
          <w:sz w:val="28"/>
          <w:szCs w:val="28"/>
          <w:lang w:eastAsia="zh-CN"/>
        </w:rPr>
        <w:t>投标文件的制作、上传及递交要求</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bCs/>
          <w:color w:val="auto"/>
          <w:lang w:eastAsia="zh-CN"/>
        </w:rPr>
        <w:t>25.投标文件的制作要求</w:t>
      </w:r>
    </w:p>
    <w:p>
      <w:pPr>
        <w:pStyle w:val="6"/>
        <w:snapToGrid w:val="0"/>
        <w:spacing w:line="360" w:lineRule="auto"/>
        <w:rPr>
          <w:rFonts w:hint="eastAsia"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80" w:firstLineChars="200"/>
        <w:rPr>
          <w:rFonts w:hint="eastAsia"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napToGrid w:val="0"/>
        <w:spacing w:line="360" w:lineRule="auto"/>
        <w:ind w:firstLine="480" w:firstLineChars="20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bCs/>
          <w:color w:val="auto"/>
          <w:lang w:eastAsia="zh-CN"/>
        </w:rPr>
        <w:t>26.投标文件的上传</w:t>
      </w:r>
    </w:p>
    <w:p>
      <w:pPr>
        <w:pStyle w:val="6"/>
        <w:snapToGrid w:val="0"/>
        <w:spacing w:line="360" w:lineRule="auto"/>
        <w:rPr>
          <w:rFonts w:hint="eastAsia"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pPr>
        <w:pStyle w:val="6"/>
        <w:snapToGrid w:val="0"/>
        <w:spacing w:line="360" w:lineRule="auto"/>
        <w:ind w:firstLine="600" w:firstLineChars="250"/>
        <w:rPr>
          <w:rFonts w:hint="eastAsia"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pPr>
        <w:pStyle w:val="6"/>
        <w:snapToGrid w:val="0"/>
        <w:spacing w:line="360" w:lineRule="auto"/>
        <w:ind w:firstLine="600" w:firstLineChars="25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pPr>
        <w:pStyle w:val="6"/>
        <w:snapToGrid w:val="0"/>
        <w:spacing w:line="360" w:lineRule="auto"/>
        <w:rPr>
          <w:rFonts w:hint="eastAsia"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pPr>
        <w:pStyle w:val="6"/>
        <w:snapToGrid w:val="0"/>
        <w:spacing w:line="360" w:lineRule="auto"/>
        <w:ind w:firstLine="600" w:firstLineChars="250"/>
        <w:rPr>
          <w:rFonts w:hint="eastAsia"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"mailto:1207446769@qq.com，接收人：陈加轲，电话：15157655122" </w:instrText>
      </w:r>
      <w:r>
        <w:rPr>
          <w:rFonts w:hint="eastAsia" w:ascii="仿宋" w:hAnsi="仿宋" w:eastAsia="仿宋" w:cs="仿宋"/>
          <w:color w:val="auto"/>
        </w:rPr>
        <w:fldChar w:fldCharType="separate"/>
      </w:r>
      <w:r>
        <w:rPr>
          <w:rFonts w:hint="eastAsia" w:ascii="仿宋" w:hAnsi="仿宋" w:eastAsia="仿宋" w:cs="仿宋"/>
          <w:color w:val="auto"/>
          <w:szCs w:val="24"/>
          <w:u w:val="single"/>
          <w:lang w:eastAsia="zh-CN" w:bidi="zh-CN"/>
        </w:rPr>
        <w:t>245291818@qq.com</w:t>
      </w:r>
      <w:r>
        <w:rPr>
          <w:rStyle w:val="25"/>
          <w:rFonts w:hint="eastAsia" w:ascii="仿宋" w:hAnsi="仿宋" w:eastAsia="仿宋" w:cs="仿宋"/>
          <w:color w:val="auto"/>
          <w:szCs w:val="24"/>
          <w:lang w:eastAsia="zh-CN" w:bidi="zh-CN"/>
        </w:rPr>
        <w:t>，接收人：</w:t>
      </w:r>
      <w:r>
        <w:rPr>
          <w:rFonts w:hint="eastAsia" w:ascii="仿宋" w:hAnsi="仿宋" w:eastAsia="仿宋" w:cs="仿宋"/>
          <w:color w:val="auto"/>
          <w:szCs w:val="24"/>
          <w:u w:val="single"/>
          <w:lang w:eastAsia="zh-CN" w:bidi="zh-CN"/>
        </w:rPr>
        <w:t>朱先生</w:t>
      </w:r>
      <w:r>
        <w:rPr>
          <w:rStyle w:val="25"/>
          <w:rFonts w:hint="eastAsia" w:ascii="仿宋" w:hAnsi="仿宋" w:eastAsia="仿宋" w:cs="仿宋"/>
          <w:color w:val="auto"/>
          <w:szCs w:val="24"/>
          <w:lang w:eastAsia="zh-CN" w:bidi="zh-CN"/>
        </w:rPr>
        <w:t>，电话：</w:t>
      </w:r>
      <w:r>
        <w:rPr>
          <w:rFonts w:hint="eastAsia" w:ascii="仿宋" w:hAnsi="仿宋" w:eastAsia="仿宋" w:cs="仿宋"/>
          <w:color w:val="auto"/>
          <w:szCs w:val="24"/>
          <w:u w:val="single"/>
          <w:lang w:eastAsia="zh-CN" w:bidi="zh-CN"/>
        </w:rPr>
        <w:t>1</w:t>
      </w:r>
      <w:r>
        <w:rPr>
          <w:rFonts w:hint="eastAsia" w:ascii="仿宋" w:hAnsi="仿宋" w:eastAsia="仿宋" w:cs="仿宋"/>
          <w:color w:val="auto"/>
          <w:szCs w:val="24"/>
          <w:u w:val="single"/>
          <w:lang w:eastAsia="zh-CN" w:bidi="zh-CN"/>
        </w:rPr>
        <w:fldChar w:fldCharType="end"/>
      </w:r>
      <w:r>
        <w:rPr>
          <w:rFonts w:hint="eastAsia" w:ascii="仿宋" w:hAnsi="仿宋" w:eastAsia="仿宋" w:cs="仿宋"/>
          <w:color w:val="auto"/>
          <w:szCs w:val="24"/>
          <w:u w:val="single"/>
          <w:lang w:eastAsia="zh-CN" w:bidi="zh-CN"/>
        </w:rPr>
        <w:t>8609088999</w:t>
      </w:r>
      <w:r>
        <w:rPr>
          <w:rFonts w:hint="eastAsia" w:ascii="仿宋" w:hAnsi="仿宋" w:eastAsia="仿宋" w:cs="仿宋"/>
          <w:color w:val="auto"/>
          <w:szCs w:val="24"/>
          <w:lang w:eastAsia="zh-CN" w:bidi="zh-CN"/>
        </w:rPr>
        <w:t>）；</w:t>
      </w:r>
    </w:p>
    <w:p>
      <w:pPr>
        <w:pStyle w:val="6"/>
        <w:snapToGrid w:val="0"/>
        <w:spacing w:line="360" w:lineRule="auto"/>
        <w:ind w:firstLine="600" w:firstLineChars="250"/>
        <w:rPr>
          <w:rFonts w:hint="eastAsia"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tabs>
          <w:tab w:val="left" w:pos="960"/>
          <w:tab w:val="left" w:pos="1418"/>
        </w:tabs>
        <w:autoSpaceDE w:val="0"/>
        <w:autoSpaceDN w:val="0"/>
        <w:adjustRightInd w:val="0"/>
        <w:snapToGrid w:val="0"/>
        <w:spacing w:line="360" w:lineRule="auto"/>
        <w:ind w:firstLine="560" w:firstLineChars="200"/>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18"/>
    </w:p>
    <w:p>
      <w:pPr>
        <w:snapToGrid w:val="0"/>
        <w:spacing w:line="360" w:lineRule="auto"/>
        <w:ind w:firstLine="480"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29. 开标</w:t>
      </w:r>
    </w:p>
    <w:p>
      <w:pPr>
        <w:snapToGrid w:val="0"/>
        <w:spacing w:line="360" w:lineRule="auto"/>
        <w:ind w:firstLine="480" w:firstLineChars="200"/>
        <w:rPr>
          <w:rFonts w:hint="eastAsia" w:ascii="仿宋" w:hAnsi="仿宋" w:eastAsia="仿宋" w:cs="仿宋"/>
          <w:b/>
          <w:bCs/>
          <w:color w:val="auto"/>
          <w:lang w:eastAsia="zh-CN"/>
        </w:rPr>
      </w:pPr>
      <w:bookmarkStart w:id="19" w:name="_Toc73975822"/>
      <w:r>
        <w:rPr>
          <w:rFonts w:hint="eastAsia" w:ascii="仿宋" w:hAnsi="仿宋" w:eastAsia="仿宋" w:cs="仿宋"/>
          <w:b/>
          <w:bCs/>
          <w:color w:val="auto"/>
          <w:lang w:eastAsia="zh-CN"/>
        </w:rPr>
        <w:t>29.1开标邀请</w:t>
      </w:r>
      <w:bookmarkEnd w:id="19"/>
    </w:p>
    <w:p>
      <w:pPr>
        <w:pStyle w:val="10"/>
        <w:snapToGrid w:val="0"/>
        <w:spacing w:line="360" w:lineRule="auto"/>
        <w:ind w:firstLine="480" w:firstLineChars="20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pPr>
        <w:pStyle w:val="10"/>
        <w:snapToGrid w:val="0"/>
        <w:spacing w:line="360" w:lineRule="auto"/>
        <w:ind w:firstLine="480" w:firstLineChars="20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（2）开标主持</w:t>
      </w:r>
      <w:r>
        <w:rPr>
          <w:rFonts w:hint="eastAsia" w:ascii="仿宋" w:hAnsi="仿宋" w:eastAsia="仿宋" w:cs="仿宋"/>
          <w:bCs/>
          <w:color w:val="auto"/>
          <w:szCs w:val="24"/>
          <w:lang w:val="en-US" w:eastAsia="zh-CN"/>
        </w:rPr>
        <w:t>:</w:t>
      </w:r>
      <w:r>
        <w:rPr>
          <w:rFonts w:hint="eastAsia" w:ascii="仿宋" w:hAnsi="仿宋" w:eastAsia="仿宋" w:cs="仿宋"/>
          <w:bCs/>
          <w:color w:val="auto"/>
          <w:szCs w:val="24"/>
          <w:lang w:eastAsia="zh-CN"/>
        </w:rPr>
        <w:t>本项目开标由采购人或者采购代理机构主持；</w:t>
      </w:r>
    </w:p>
    <w:p>
      <w:pPr>
        <w:pStyle w:val="10"/>
        <w:snapToGrid w:val="0"/>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"http://www.zcygov.cn" </w:instrText>
      </w:r>
      <w:r>
        <w:rPr>
          <w:rFonts w:hint="eastAsia" w:ascii="仿宋" w:hAnsi="仿宋" w:eastAsia="仿宋" w:cs="仿宋"/>
          <w:color w:val="auto"/>
        </w:rPr>
        <w:fldChar w:fldCharType="separate"/>
      </w:r>
      <w:r>
        <w:rPr>
          <w:rStyle w:val="25"/>
          <w:rFonts w:hint="eastAsia" w:ascii="仿宋" w:hAnsi="仿宋" w:eastAsia="仿宋" w:cs="仿宋"/>
          <w:color w:val="auto"/>
          <w:szCs w:val="24"/>
          <w:u w:val="none"/>
        </w:rPr>
        <w:t>www.zcygov.cn</w:t>
      </w:r>
      <w:r>
        <w:rPr>
          <w:rStyle w:val="25"/>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pPr>
        <w:pStyle w:val="10"/>
        <w:snapToGrid w:val="0"/>
        <w:spacing w:line="360" w:lineRule="auto"/>
        <w:ind w:firstLine="480" w:firstLineChars="200"/>
        <w:rPr>
          <w:rFonts w:hint="eastAsia"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hint="eastAsia" w:ascii="仿宋" w:hAnsi="仿宋" w:eastAsia="仿宋" w:cs="仿宋"/>
          <w:b/>
          <w:color w:val="auto"/>
          <w:lang w:eastAsia="zh-CN"/>
        </w:rPr>
      </w:pPr>
      <w:bookmarkStart w:id="20"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开标程序（先资格、商务技术后报价）</w:t>
      </w:r>
      <w:bookmarkEnd w:id="20"/>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《政府采购活动现场确认声明书》（疫情防控期间，将通过电子邮件形式组织签署），供应商应在20分钟内通过邮件形式将经签署的《政府采购活动现场确认声明书》发送至采购代理机构指定邮箱245291818@qq.com ，逾期发送或未发送的视为无异议</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（7）开启有效投标供应商的报价，公布开标一览表有关内容，</w:t>
      </w:r>
      <w:r>
        <w:rPr>
          <w:rFonts w:hint="eastAsia" w:ascii="仿宋" w:hAnsi="仿宋" w:eastAsia="仿宋" w:cs="仿宋"/>
          <w:color w:val="auto"/>
          <w:lang w:eastAsia="zh-CN" w:bidi="zh-CN"/>
        </w:rPr>
        <w:t>并【开启签章时段】，供应商对开标记录进行在线签章确认（不予确认的应说明理由，否则视为无异议）</w:t>
      </w:r>
      <w:r>
        <w:rPr>
          <w:rFonts w:hint="eastAsia" w:ascii="仿宋" w:hAnsi="仿宋" w:eastAsia="仿宋" w:cs="仿宋"/>
          <w:color w:val="auto"/>
          <w:lang w:eastAsia="zh-CN"/>
        </w:rPr>
        <w:t>。开标结束后，由评标委员会对报价的合理性、准确性等进行审查核实。</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（8）评审结束后，采购代理机构在系统上公布评审结果。</w:t>
      </w:r>
    </w:p>
    <w:p>
      <w:pPr>
        <w:snapToGrid w:val="0"/>
        <w:spacing w:line="360" w:lineRule="auto"/>
        <w:ind w:left="480"/>
        <w:rPr>
          <w:rFonts w:hint="eastAsia" w:ascii="仿宋" w:hAnsi="仿宋" w:eastAsia="仿宋" w:cs="仿宋"/>
          <w:b/>
          <w:color w:val="auto"/>
          <w:lang w:eastAsia="zh-CN"/>
        </w:rPr>
      </w:pPr>
      <w:r>
        <w:rPr>
          <w:rFonts w:hint="eastAsia" w:ascii="仿宋" w:hAnsi="仿宋" w:eastAsia="仿宋" w:cs="仿宋"/>
          <w:b/>
          <w:color w:val="auto"/>
          <w:lang w:eastAsia="zh-CN"/>
        </w:rPr>
        <w:t>特别情况说明：</w:t>
      </w:r>
    </w:p>
    <w:p>
      <w:pPr>
        <w:snapToGrid w:val="0"/>
        <w:spacing w:line="360" w:lineRule="auto"/>
        <w:ind w:firstLine="424" w:firstLineChars="177"/>
        <w:rPr>
          <w:rFonts w:hint="eastAsia"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pPr>
        <w:snapToGrid w:val="0"/>
        <w:spacing w:line="360" w:lineRule="auto"/>
        <w:ind w:firstLine="424" w:firstLineChars="177"/>
        <w:rPr>
          <w:rFonts w:hint="eastAsia"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color w:val="auto"/>
          <w:lang w:eastAsia="zh-CN"/>
        </w:rPr>
        <w:t>29.3 投标供应商资格审查：</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31.1评标委员会由采购人或采购代理机构依法组建，成员由采购人代表和评审专家组成，成员人数为五人或以上单数，其中评审专家不少于成员总数的三分之二。</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 评标原则</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34. 评委纪律</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35.评标程序</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综合评分法货物项目的价格分值占总分值的比重(即权值)为3</w:t>
      </w:r>
      <w:r>
        <w:rPr>
          <w:rFonts w:hint="eastAsia" w:ascii="仿宋" w:hAnsi="仿宋" w:eastAsia="仿宋" w:cs="仿宋"/>
          <w:color w:val="auto"/>
          <w:szCs w:val="21"/>
          <w:lang w:val="en-US" w:eastAsia="zh-CN"/>
        </w:rPr>
        <w:t>0</w:t>
      </w:r>
      <w:r>
        <w:rPr>
          <w:rFonts w:hint="eastAsia" w:ascii="仿宋" w:hAnsi="仿宋" w:eastAsia="仿宋" w:cs="仿宋"/>
          <w:color w:val="auto"/>
          <w:szCs w:val="21"/>
          <w:lang w:eastAsia="zh-CN"/>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hint="eastAsia" w:ascii="仿宋" w:hAnsi="仿宋" w:eastAsia="仿宋" w:cs="仿宋"/>
          <w:color w:val="auto"/>
          <w:szCs w:val="21"/>
          <w:lang w:eastAsia="zh-CN"/>
        </w:rPr>
      </w:pPr>
      <w:r>
        <w:rPr>
          <w:rFonts w:hint="eastAsia" w:ascii="仿宋" w:hAnsi="仿宋" w:eastAsia="仿宋" w:cs="仿宋"/>
          <w:color w:val="auto"/>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投标报价得分=（基准价/投标报价）×价格权值×100</w:t>
      </w:r>
    </w:p>
    <w:p>
      <w:pPr>
        <w:widowControl/>
        <w:spacing w:line="440" w:lineRule="exact"/>
        <w:ind w:firstLine="480"/>
        <w:rPr>
          <w:rFonts w:hint="eastAsia" w:ascii="仿宋" w:hAnsi="仿宋" w:eastAsia="仿宋" w:cs="仿宋"/>
          <w:color w:val="auto"/>
          <w:szCs w:val="21"/>
          <w:lang w:eastAsia="zh-CN"/>
        </w:rPr>
      </w:pPr>
      <w:r>
        <w:rPr>
          <w:rFonts w:hint="eastAsia" w:ascii="仿宋" w:hAnsi="仿宋" w:eastAsia="仿宋" w:cs="仿宋"/>
          <w:color w:val="auto"/>
          <w:szCs w:val="21"/>
          <w:lang w:eastAsia="zh-CN"/>
        </w:rPr>
        <w:t>项目评审过程中，不得去掉最后报价中的最高报价和最低报价。</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pPr>
        <w:spacing w:line="440" w:lineRule="exact"/>
        <w:ind w:firstLine="240" w:firstLineChars="100"/>
        <w:rPr>
          <w:rFonts w:hint="eastAsia"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 报名的投标人与参加投标的投标人发生实质性变更的且未提供有效证明的；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38.2</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投标人提交两份或两份以上内容不同的投标文件，未声明哪一份有效的；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38.3 投标文件非投标人法定代表人签署的，未提供或提供无效的法定代表人授权书；</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38.4 未按招标文件规定装订；</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38.5 投标文件内容未按招标文件规定签章或盖章的；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38.7 投标人未按招标文件变更通知更改投标文件的；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38.9 标项投标报价超过招标文件规定的预算金额或最高限价</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38.10 因投标人原因编制错误造成经评标委员会修正后的报价达到或超过投标报价的0.5%；</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38.11 投标人的报价明显低于其他通过符合性审查投标人的报价，有可能影响产品质量或者不能诚信履约的，且在规定时间内不能合理说明原因并提供证明材料的；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38.12 未实质性响应招标文件中条款要求的投标文件；</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投标文件中承诺的投标有效期少于招标文件中载明的投标有效期；</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38.17投标人串通投标，妨碍其他投标人的竞争行为，损害采购人或者其他投标人的合法权益；</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39．废标</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39.1 符合招标文件规定废标情形的；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41. 定标</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1" w:name="_Toc469495729"/>
      <w:r>
        <w:rPr>
          <w:rFonts w:hint="eastAsia" w:ascii="仿宋" w:hAnsi="仿宋" w:eastAsia="仿宋" w:cs="仿宋"/>
          <w:color w:val="auto"/>
          <w:szCs w:val="21"/>
          <w:lang w:eastAsia="zh-CN"/>
        </w:rPr>
        <w:t>41.1采购结果确认（确定中标供应商）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hint="eastAsia"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56" w:beforeLines="50" w:line="440" w:lineRule="exact"/>
        <w:jc w:val="center"/>
        <w:outlineLvl w:val="2"/>
        <w:rPr>
          <w:rFonts w:hint="eastAsia"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1"/>
    </w:p>
    <w:p>
      <w:pPr>
        <w:spacing w:line="440" w:lineRule="exact"/>
        <w:ind w:firstLine="240" w:firstLineChars="100"/>
        <w:rPr>
          <w:rFonts w:hint="eastAsia" w:ascii="仿宋" w:hAnsi="仿宋" w:eastAsia="仿宋" w:cs="仿宋"/>
          <w:color w:val="auto"/>
          <w:szCs w:val="21"/>
          <w:lang w:eastAsia="zh-CN"/>
        </w:rPr>
      </w:pPr>
      <w:bookmarkStart w:id="22" w:name="_Toc73975842"/>
      <w:bookmarkStart w:id="23" w:name="_Toc469495730"/>
      <w:r>
        <w:rPr>
          <w:rFonts w:hint="eastAsia" w:ascii="仿宋" w:hAnsi="仿宋" w:eastAsia="仿宋" w:cs="仿宋"/>
          <w:color w:val="auto"/>
          <w:szCs w:val="21"/>
          <w:lang w:eastAsia="zh-CN"/>
        </w:rPr>
        <w:t>43．履约保证金</w:t>
      </w:r>
      <w:bookmarkEnd w:id="22"/>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w:t>
      </w:r>
      <w:r>
        <w:rPr>
          <w:rFonts w:hint="eastAsia" w:ascii="仿宋" w:hAnsi="仿宋" w:eastAsia="仿宋" w:cs="仿宋"/>
          <w:color w:val="auto"/>
          <w:szCs w:val="21"/>
          <w:lang w:val="en-US" w:eastAsia="zh-CN"/>
        </w:rPr>
        <w:t>10</w:t>
      </w:r>
      <w:r>
        <w:rPr>
          <w:rFonts w:hint="eastAsia" w:ascii="仿宋" w:hAnsi="仿宋" w:eastAsia="仿宋" w:cs="仿宋"/>
          <w:color w:val="auto"/>
          <w:szCs w:val="21"/>
          <w:lang w:eastAsia="zh-CN"/>
        </w:rPr>
        <w:t>个工作日内向采购人交纳不超过中标价10%的履约保证金（鼓励以银行、保险公司出具的履约保函形式提交；若以电汇、银行转账方式提交的，必须转到采购人的指定账户）。</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hint="eastAsia" w:ascii="仿宋" w:hAnsi="仿宋" w:eastAsia="仿宋" w:cs="仿宋"/>
          <w:color w:val="auto"/>
          <w:szCs w:val="21"/>
          <w:lang w:eastAsia="zh-CN"/>
        </w:rPr>
      </w:pPr>
      <w:bookmarkStart w:id="24" w:name="_Toc73975843"/>
      <w:r>
        <w:rPr>
          <w:rFonts w:hint="eastAsia" w:ascii="仿宋" w:hAnsi="仿宋" w:eastAsia="仿宋" w:cs="仿宋"/>
          <w:color w:val="auto"/>
          <w:szCs w:val="21"/>
          <w:lang w:eastAsia="zh-CN"/>
        </w:rPr>
        <w:t>44．签订合同及公告</w:t>
      </w:r>
      <w:bookmarkEnd w:id="24"/>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3"/>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45.1招标人不得泄漏招标投标活动中应当保密的情况和资料，不得与投标人串通损害国家利益，社会公共利益或者他人合法权益。 </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46. 对投标人的纪律要求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32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pPr>
        <w:spacing w:line="36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pPr>
        <w:spacing w:line="36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49.5供应商有下列情形之一的，采购代理机构将报告乌恰县财政局，将其列入不良行为记录名单：</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hint="eastAsia" w:ascii="仿宋" w:hAnsi="仿宋" w:eastAsia="仿宋" w:cs="仿宋"/>
          <w:color w:val="auto"/>
          <w:sz w:val="30"/>
          <w:szCs w:val="30"/>
          <w:lang w:eastAsia="zh-CN"/>
        </w:rPr>
      </w:pPr>
    </w:p>
    <w:p>
      <w:pPr>
        <w:rPr>
          <w:rFonts w:hint="eastAsia" w:ascii="仿宋" w:hAnsi="仿宋" w:eastAsia="仿宋" w:cs="仿宋"/>
          <w:b/>
          <w:bCs/>
          <w:color w:val="auto"/>
          <w:sz w:val="21"/>
          <w:szCs w:val="21"/>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r>
        <w:rPr>
          <w:rFonts w:hint="eastAsia" w:ascii="仿宋" w:hAnsi="仿宋" w:eastAsia="仿宋" w:cs="仿宋"/>
          <w:b/>
          <w:bCs/>
          <w:color w:val="auto"/>
          <w:lang w:eastAsia="zh-CN"/>
        </w:rPr>
        <w:t>附件：</w:t>
      </w:r>
    </w:p>
    <w:p>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pPr>
        <w:spacing w:line="400" w:lineRule="exact"/>
        <w:jc w:val="center"/>
        <w:rPr>
          <w:rFonts w:hint="eastAsia" w:ascii="仿宋" w:hAnsi="仿宋" w:eastAsia="仿宋" w:cs="仿宋"/>
          <w:color w:val="auto"/>
          <w:u w:val="single"/>
          <w:lang w:eastAsia="zh-CN"/>
        </w:rPr>
      </w:pPr>
      <w:r>
        <w:rPr>
          <w:rFonts w:hint="eastAsia" w:ascii="仿宋" w:hAnsi="仿宋" w:eastAsia="仿宋" w:cs="仿宋"/>
          <w:b/>
          <w:bCs/>
          <w:color w:val="auto"/>
          <w:sz w:val="28"/>
          <w:szCs w:val="28"/>
          <w:lang w:eastAsia="zh-CN"/>
        </w:rPr>
        <w:t>政府采购投诉书（范本）</w:t>
      </w:r>
    </w:p>
    <w:p>
      <w:pPr>
        <w:spacing w:line="400" w:lineRule="exact"/>
        <w:rPr>
          <w:rFonts w:hint="eastAsia" w:ascii="仿宋" w:hAnsi="仿宋" w:eastAsia="仿宋" w:cs="仿宋"/>
          <w:color w:val="auto"/>
          <w:lang w:eastAsia="zh-CN"/>
        </w:rPr>
      </w:pP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委托代理人姓名：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住址：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联系电话：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被投诉人：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p>
    <w:p>
      <w:pPr>
        <w:spacing w:line="400" w:lineRule="exact"/>
        <w:ind w:firstLine="480"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电话：</w:t>
      </w:r>
      <w:r>
        <w:rPr>
          <w:rFonts w:hint="eastAsia" w:ascii="仿宋" w:hAnsi="仿宋" w:eastAsia="仿宋" w:cs="仿宋"/>
          <w:color w:val="auto"/>
          <w:u w:val="single"/>
          <w:lang w:eastAsia="zh-CN"/>
        </w:rPr>
        <w:t xml:space="preserve">               </w:t>
      </w:r>
    </w:p>
    <w:p>
      <w:pPr>
        <w:spacing w:line="400" w:lineRule="exact"/>
        <w:ind w:firstLine="480" w:firstLineChars="200"/>
        <w:rPr>
          <w:rFonts w:hint="eastAsia" w:ascii="仿宋" w:hAnsi="仿宋" w:eastAsia="仿宋" w:cs="仿宋"/>
          <w:color w:val="auto"/>
          <w:lang w:eastAsia="zh-CN"/>
        </w:rPr>
      </w:pP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我公司参加了</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年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日被投诉人组织的</w:t>
      </w:r>
      <w:r>
        <w:rPr>
          <w:rFonts w:hint="eastAsia" w:ascii="仿宋" w:hAnsi="仿宋" w:eastAsia="仿宋" w:cs="仿宋"/>
          <w:color w:val="auto"/>
          <w:u w:val="single"/>
          <w:lang w:eastAsia="zh-CN"/>
        </w:rPr>
        <w:t>（采购人）（项目名称）（项目编号）</w:t>
      </w:r>
      <w:r>
        <w:rPr>
          <w:rFonts w:hint="eastAsia" w:ascii="仿宋" w:hAnsi="仿宋" w:eastAsia="仿宋" w:cs="仿宋"/>
          <w:color w:val="auto"/>
          <w:lang w:eastAsia="zh-CN"/>
        </w:rPr>
        <w:t>的采购活动，我公司认为该项目的</w:t>
      </w:r>
      <w:r>
        <w:rPr>
          <w:rFonts w:hint="eastAsia" w:ascii="仿宋" w:hAnsi="仿宋" w:eastAsia="仿宋" w:cs="仿宋"/>
          <w:color w:val="auto"/>
          <w:u w:val="single"/>
          <w:lang w:eastAsia="zh-CN"/>
        </w:rPr>
        <w:t>（采购文件/采购过程/中标（中标）结果）</w:t>
      </w:r>
      <w:r>
        <w:rPr>
          <w:rFonts w:hint="eastAsia" w:ascii="仿宋" w:hAnsi="仿宋" w:eastAsia="仿宋" w:cs="仿宋"/>
          <w:color w:val="auto"/>
          <w:lang w:eastAsia="zh-CN"/>
        </w:rPr>
        <w:t>损害了我公司权益，对此，我公司于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日向</w:t>
      </w:r>
      <w:r>
        <w:rPr>
          <w:rFonts w:hint="eastAsia" w:ascii="仿宋" w:hAnsi="仿宋" w:eastAsia="仿宋" w:cs="仿宋"/>
          <w:color w:val="auto"/>
          <w:u w:val="single"/>
          <w:lang w:eastAsia="zh-CN"/>
        </w:rPr>
        <w:t>（采购人或者政府采购代理机构）</w:t>
      </w:r>
      <w:r>
        <w:rPr>
          <w:rFonts w:hint="eastAsia" w:ascii="仿宋" w:hAnsi="仿宋" w:eastAsia="仿宋" w:cs="仿宋"/>
          <w:color w:val="auto"/>
          <w:lang w:eastAsia="zh-CN"/>
        </w:rPr>
        <w:t>提出了质疑，</w:t>
      </w:r>
      <w:r>
        <w:rPr>
          <w:rFonts w:hint="eastAsia" w:ascii="仿宋" w:hAnsi="仿宋" w:eastAsia="仿宋" w:cs="仿宋"/>
          <w:color w:val="auto"/>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lang w:eastAsia="zh-CN"/>
        </w:rPr>
        <w:t>，现向贵机关提起投诉：</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具体的投诉事项及事实依据；</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质疑和质疑答复情况简要描述；</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u w:val="single"/>
          <w:lang w:eastAsia="zh-CN"/>
        </w:rPr>
        <w:t>投诉请求。</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附件：</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1.质疑书和质疑答复书；</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2.证据材料（需注明证据来源），证人的姓名、住址和联系方式等；</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3.营业执照；</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4.法定代表人身份证明函</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5.法定代表人授权委托书（包含法定代表人和委托代理人的身份证复印件）；</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6.政府采购监管部门认为应当提供的其它材料。</w:t>
      </w:r>
    </w:p>
    <w:p>
      <w:pPr>
        <w:spacing w:line="400" w:lineRule="exact"/>
        <w:jc w:val="center"/>
        <w:rPr>
          <w:rFonts w:hint="eastAsia" w:ascii="仿宋" w:hAnsi="仿宋" w:eastAsia="仿宋" w:cs="仿宋"/>
          <w:color w:val="auto"/>
          <w:lang w:eastAsia="zh-CN"/>
        </w:rPr>
      </w:pPr>
    </w:p>
    <w:p>
      <w:pPr>
        <w:spacing w:line="40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投诉供应商：（盖章）</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法定代表人（或主要负责人）：（签章）</w:t>
      </w:r>
    </w:p>
    <w:p>
      <w:pPr>
        <w:spacing w:line="400" w:lineRule="exact"/>
        <w:ind w:firstLine="3840" w:firstLineChars="1600"/>
        <w:rPr>
          <w:rFonts w:hint="eastAsia" w:ascii="仿宋" w:hAnsi="仿宋" w:eastAsia="仿宋" w:cs="仿宋"/>
          <w:color w:val="auto"/>
          <w:lang w:eastAsia="zh-CN"/>
        </w:rPr>
      </w:pP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00" w:lineRule="exact"/>
        <w:rPr>
          <w:rFonts w:hint="eastAsia" w:ascii="仿宋" w:hAnsi="仿宋" w:eastAsia="仿宋" w:cs="仿宋"/>
          <w:color w:val="auto"/>
          <w:lang w:eastAsia="zh-CN"/>
        </w:rPr>
      </w:pPr>
    </w:p>
    <w:p>
      <w:pPr>
        <w:spacing w:line="400" w:lineRule="exact"/>
        <w:jc w:val="right"/>
        <w:rPr>
          <w:rFonts w:hint="eastAsia" w:ascii="仿宋" w:hAnsi="仿宋" w:eastAsia="仿宋" w:cs="仿宋"/>
          <w:color w:val="auto"/>
          <w:lang w:eastAsia="zh-CN"/>
        </w:rPr>
      </w:pPr>
      <w:r>
        <w:rPr>
          <w:rFonts w:hint="eastAsia" w:ascii="仿宋" w:hAnsi="仿宋" w:eastAsia="仿宋" w:cs="仿宋"/>
          <w:color w:val="auto"/>
          <w:lang w:eastAsia="zh-CN"/>
        </w:rPr>
        <w:t>本投诉书正本叁份，副本</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份并附电子文档。</w:t>
      </w:r>
    </w:p>
    <w:p>
      <w:pPr>
        <w:jc w:val="both"/>
        <w:outlineLvl w:val="0"/>
        <w:rPr>
          <w:rFonts w:hint="eastAsia" w:ascii="仿宋" w:hAnsi="仿宋" w:eastAsia="仿宋" w:cs="仿宋"/>
          <w:b/>
          <w:bCs/>
          <w:color w:val="auto"/>
          <w:lang w:eastAsia="zh-CN"/>
        </w:rPr>
      </w:pPr>
      <w:bookmarkStart w:id="25" w:name="_Toc17515"/>
    </w:p>
    <w:p>
      <w:pPr>
        <w:ind w:left="5783" w:hanging="5760" w:hangingChars="1800"/>
        <w:jc w:val="center"/>
        <w:outlineLvl w:val="0"/>
        <w:rPr>
          <w:rFonts w:hint="eastAsia" w:ascii="仿宋" w:hAnsi="仿宋" w:eastAsia="仿宋" w:cs="仿宋"/>
          <w:b/>
          <w:bCs/>
          <w:color w:val="auto"/>
          <w:sz w:val="32"/>
          <w:szCs w:val="32"/>
          <w:lang w:eastAsia="zh-CN"/>
        </w:rPr>
      </w:pPr>
    </w:p>
    <w:p>
      <w:pPr>
        <w:ind w:left="5783" w:hanging="5760" w:hangingChars="1800"/>
        <w:jc w:val="center"/>
        <w:outlineLvl w:val="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投诉相关说明</w:t>
      </w:r>
      <w:bookmarkEnd w:id="25"/>
    </w:p>
    <w:p>
      <w:pPr>
        <w:widowControl/>
        <w:spacing w:line="400" w:lineRule="exact"/>
        <w:ind w:firstLine="420"/>
        <w:rPr>
          <w:rFonts w:hint="eastAsia"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pPr>
        <w:numPr>
          <w:ilvl w:val="0"/>
          <w:numId w:val="2"/>
        </w:numPr>
        <w:spacing w:line="400" w:lineRule="exact"/>
        <w:ind w:left="4089" w:leftChars="304" w:hanging="3360" w:hangingChars="1600"/>
        <w:outlineLvl w:val="0"/>
        <w:rPr>
          <w:rFonts w:hint="eastAsia" w:ascii="仿宋" w:hAnsi="仿宋" w:eastAsia="仿宋" w:cs="仿宋"/>
          <w:b/>
          <w:bCs/>
          <w:color w:val="auto"/>
          <w:sz w:val="21"/>
          <w:szCs w:val="21"/>
        </w:rPr>
      </w:pPr>
      <w:bookmarkStart w:id="26" w:name="_Toc11499"/>
      <w:r>
        <w:rPr>
          <w:rFonts w:hint="eastAsia" w:ascii="仿宋" w:hAnsi="仿宋" w:eastAsia="仿宋" w:cs="仿宋"/>
          <w:b/>
          <w:bCs/>
          <w:color w:val="auto"/>
          <w:sz w:val="21"/>
          <w:szCs w:val="21"/>
        </w:rPr>
        <w:t>质疑前置及时间要求</w:t>
      </w:r>
      <w:bookmarkEnd w:id="26"/>
    </w:p>
    <w:p>
      <w:pPr>
        <w:widowControl/>
        <w:spacing w:line="400" w:lineRule="exact"/>
        <w:ind w:firstLine="420"/>
        <w:rPr>
          <w:rFonts w:hint="eastAsia"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hint="eastAsia"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hint="eastAsia"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780" w:hangingChars="1800"/>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27" w:name="_Toc13508"/>
      <w:r>
        <w:rPr>
          <w:rFonts w:hint="eastAsia" w:ascii="仿宋" w:hAnsi="仿宋" w:eastAsia="仿宋" w:cs="仿宋"/>
          <w:b/>
          <w:bCs/>
          <w:color w:val="auto"/>
          <w:sz w:val="21"/>
          <w:szCs w:val="21"/>
          <w:lang w:eastAsia="zh-CN"/>
        </w:rPr>
        <w:t>二、书面方式</w:t>
      </w:r>
      <w:bookmarkEnd w:id="27"/>
    </w:p>
    <w:p>
      <w:pPr>
        <w:spacing w:line="400" w:lineRule="exact"/>
        <w:ind w:left="3780" w:hanging="3780" w:hangingChars="1800"/>
        <w:rPr>
          <w:rFonts w:hint="eastAsia"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pPr>
        <w:spacing w:line="400" w:lineRule="exact"/>
        <w:ind w:left="4320" w:hanging="4320" w:hangingChars="1800"/>
        <w:rPr>
          <w:rFonts w:hint="eastAsia"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pPr>
        <w:numPr>
          <w:ilvl w:val="0"/>
          <w:numId w:val="3"/>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pPr>
        <w:numPr>
          <w:ilvl w:val="0"/>
          <w:numId w:val="3"/>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具体的投诉事项及事实依据；</w:t>
      </w:r>
    </w:p>
    <w:p>
      <w:pPr>
        <w:numPr>
          <w:ilvl w:val="0"/>
          <w:numId w:val="3"/>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pPr>
        <w:numPr>
          <w:ilvl w:val="0"/>
          <w:numId w:val="3"/>
        </w:numPr>
        <w:spacing w:line="400" w:lineRule="exact"/>
        <w:rPr>
          <w:rFonts w:hint="eastAsia" w:ascii="仿宋" w:hAnsi="仿宋" w:eastAsia="仿宋" w:cs="仿宋"/>
          <w:color w:val="auto"/>
        </w:rPr>
      </w:pPr>
      <w:r>
        <w:rPr>
          <w:rFonts w:hint="eastAsia" w:ascii="仿宋" w:hAnsi="仿宋" w:eastAsia="仿宋" w:cs="仿宋"/>
          <w:color w:val="auto"/>
        </w:rPr>
        <w:t>提起投诉的日期。</w:t>
      </w:r>
    </w:p>
    <w:p>
      <w:pPr>
        <w:spacing w:line="400" w:lineRule="exact"/>
        <w:ind w:firstLine="645"/>
        <w:rPr>
          <w:rFonts w:hint="eastAsia"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pPr>
        <w:spacing w:line="400" w:lineRule="exact"/>
        <w:ind w:firstLine="645"/>
        <w:rPr>
          <w:rFonts w:hint="eastAsia"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hint="eastAsia"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提起投诉诉前已依法进行质疑；</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投诉书内容符合本办法的规定；</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在投诉有效期内提起投诉；</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属于本级财政部门管辖；</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国务院财政部门规定的其他条件。</w:t>
      </w:r>
    </w:p>
    <w:p>
      <w:pPr>
        <w:spacing w:line="400" w:lineRule="exact"/>
        <w:ind w:left="4320" w:hanging="4320" w:hangingChars="180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outlineLvl w:val="0"/>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28" w:name="_Toc5978"/>
      <w:r>
        <w:rPr>
          <w:rFonts w:hint="eastAsia" w:ascii="仿宋" w:hAnsi="仿宋" w:eastAsia="仿宋" w:cs="仿宋"/>
          <w:b/>
          <w:bCs/>
          <w:color w:val="auto"/>
          <w:lang w:eastAsia="zh-CN"/>
        </w:rPr>
        <w:t>三、虚假、恶意投诉法律责任</w:t>
      </w:r>
      <w:bookmarkEnd w:id="28"/>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pPr>
        <w:spacing w:line="400" w:lineRule="exact"/>
        <w:rPr>
          <w:rFonts w:hint="eastAsia" w:ascii="仿宋" w:hAnsi="仿宋" w:eastAsia="仿宋" w:cs="仿宋"/>
          <w:color w:val="auto"/>
          <w:sz w:val="21"/>
          <w:szCs w:val="21"/>
          <w:lang w:eastAsia="zh-CN"/>
        </w:rPr>
      </w:pPr>
    </w:p>
    <w:p>
      <w:pPr>
        <w:spacing w:line="400" w:lineRule="exact"/>
        <w:rPr>
          <w:rFonts w:hint="eastAsia" w:ascii="仿宋" w:hAnsi="仿宋" w:eastAsia="仿宋" w:cs="仿宋"/>
          <w:color w:val="auto"/>
          <w:sz w:val="21"/>
          <w:szCs w:val="21"/>
          <w:lang w:eastAsia="zh-CN"/>
        </w:rPr>
      </w:pPr>
    </w:p>
    <w:p>
      <w:pPr>
        <w:jc w:val="both"/>
        <w:rPr>
          <w:rFonts w:hint="eastAsia" w:ascii="仿宋" w:hAnsi="仿宋" w:eastAsia="仿宋" w:cs="仿宋"/>
          <w:color w:val="auto"/>
          <w:lang w:eastAsia="zh-CN"/>
        </w:rPr>
      </w:pPr>
      <w:r>
        <w:rPr>
          <w:rFonts w:hint="eastAsia" w:ascii="仿宋" w:hAnsi="仿宋" w:eastAsia="仿宋" w:cs="仿宋"/>
          <w:color w:val="auto"/>
          <w:lang w:eastAsia="zh-CN"/>
        </w:rPr>
        <w:t>递交投诉书地址：乌恰县政府采购办监管办公室</w:t>
      </w:r>
    </w:p>
    <w:p>
      <w:pPr>
        <w:jc w:val="right"/>
        <w:rPr>
          <w:rFonts w:hint="eastAsia" w:ascii="仿宋" w:hAnsi="仿宋" w:eastAsia="仿宋" w:cs="仿宋"/>
          <w:color w:val="auto"/>
          <w:sz w:val="32"/>
          <w:szCs w:val="32"/>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pStyle w:val="27"/>
        <w:rPr>
          <w:rFonts w:hint="eastAsia" w:ascii="仿宋" w:hAnsi="仿宋" w:eastAsia="仿宋" w:cs="仿宋"/>
          <w:b/>
          <w:bCs/>
          <w:color w:val="auto"/>
          <w:sz w:val="44"/>
          <w:szCs w:val="44"/>
          <w:lang w:eastAsia="zh-CN"/>
        </w:rPr>
      </w:pPr>
    </w:p>
    <w:p>
      <w:pPr>
        <w:pStyle w:val="27"/>
        <w:rPr>
          <w:rFonts w:hint="eastAsia" w:ascii="仿宋" w:hAnsi="仿宋" w:eastAsia="仿宋" w:cs="仿宋"/>
          <w:b/>
          <w:bCs/>
          <w:color w:val="auto"/>
          <w:sz w:val="44"/>
          <w:szCs w:val="44"/>
          <w:lang w:eastAsia="zh-CN"/>
        </w:rPr>
      </w:pPr>
    </w:p>
    <w:p>
      <w:pPr>
        <w:pStyle w:val="27"/>
        <w:rPr>
          <w:rFonts w:hint="eastAsia" w:ascii="仿宋" w:hAnsi="仿宋" w:eastAsia="仿宋" w:cs="仿宋"/>
          <w:b/>
          <w:bCs/>
          <w:color w:val="auto"/>
          <w:sz w:val="44"/>
          <w:szCs w:val="44"/>
          <w:lang w:eastAsia="zh-CN"/>
        </w:rPr>
      </w:pPr>
    </w:p>
    <w:p>
      <w:pPr>
        <w:spacing w:line="540" w:lineRule="exact"/>
        <w:jc w:val="both"/>
        <w:outlineLvl w:val="0"/>
        <w:rPr>
          <w:rFonts w:hint="eastAsia" w:ascii="仿宋" w:hAnsi="仿宋" w:eastAsia="仿宋" w:cs="仿宋"/>
          <w:b/>
          <w:bCs/>
          <w:color w:val="auto"/>
          <w:sz w:val="44"/>
          <w:szCs w:val="44"/>
          <w:lang w:eastAsia="zh-CN"/>
        </w:rPr>
      </w:pPr>
      <w:bookmarkStart w:id="29" w:name="_Toc1697"/>
    </w:p>
    <w:p>
      <w:pPr>
        <w:spacing w:line="540" w:lineRule="exact"/>
        <w:jc w:val="both"/>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质疑函范本</w:t>
      </w:r>
      <w:bookmarkEnd w:id="29"/>
    </w:p>
    <w:p>
      <w:pPr>
        <w:adjustRightInd w:val="0"/>
        <w:snapToGrid w:val="0"/>
        <w:spacing w:before="312" w:beforeLines="100" w:line="540" w:lineRule="exact"/>
        <w:ind w:firstLine="480" w:firstLineChars="200"/>
        <w:outlineLvl w:val="0"/>
        <w:rPr>
          <w:rFonts w:hint="eastAsia" w:ascii="仿宋" w:hAnsi="仿宋" w:eastAsia="仿宋" w:cs="仿宋"/>
          <w:bCs/>
          <w:color w:val="auto"/>
          <w:lang w:eastAsia="zh-CN"/>
        </w:rPr>
      </w:pPr>
      <w:bookmarkStart w:id="30" w:name="_Toc9061"/>
      <w:r>
        <w:rPr>
          <w:rFonts w:hint="eastAsia" w:ascii="仿宋" w:hAnsi="仿宋" w:eastAsia="仿宋" w:cs="仿宋"/>
          <w:bCs/>
          <w:color w:val="auto"/>
          <w:lang w:eastAsia="zh-CN"/>
        </w:rPr>
        <w:t>一、质疑供应商基本信息</w:t>
      </w:r>
      <w:bookmarkEnd w:id="30"/>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outlineLvl w:val="0"/>
        <w:rPr>
          <w:rFonts w:hint="eastAsia" w:ascii="仿宋" w:hAnsi="仿宋" w:eastAsia="仿宋" w:cs="仿宋"/>
          <w:bCs/>
          <w:color w:val="auto"/>
          <w:lang w:eastAsia="zh-CN"/>
        </w:rPr>
      </w:pPr>
      <w:bookmarkStart w:id="31" w:name="_Toc15938"/>
      <w:r>
        <w:rPr>
          <w:rFonts w:hint="eastAsia" w:ascii="仿宋" w:hAnsi="仿宋" w:eastAsia="仿宋" w:cs="仿宋"/>
          <w:bCs/>
          <w:color w:val="auto"/>
          <w:lang w:eastAsia="zh-CN"/>
        </w:rPr>
        <w:t>二、质疑项目基本情况</w:t>
      </w:r>
      <w:bookmarkEnd w:id="31"/>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outlineLvl w:val="0"/>
        <w:rPr>
          <w:rFonts w:hint="eastAsia" w:ascii="仿宋" w:hAnsi="仿宋" w:eastAsia="仿宋" w:cs="仿宋"/>
          <w:bCs/>
          <w:color w:val="auto"/>
          <w:lang w:eastAsia="zh-CN"/>
        </w:rPr>
      </w:pPr>
      <w:bookmarkStart w:id="32" w:name="_Toc18271"/>
      <w:r>
        <w:rPr>
          <w:rFonts w:hint="eastAsia" w:ascii="仿宋" w:hAnsi="仿宋" w:eastAsia="仿宋" w:cs="仿宋"/>
          <w:bCs/>
          <w:color w:val="auto"/>
          <w:lang w:eastAsia="zh-CN"/>
        </w:rPr>
        <w:t>三、质疑事项具体内容</w:t>
      </w:r>
      <w:bookmarkEnd w:id="32"/>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质疑事项2</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p>
    <w:p>
      <w:pPr>
        <w:adjustRightInd w:val="0"/>
        <w:snapToGrid w:val="0"/>
        <w:spacing w:line="540" w:lineRule="exact"/>
        <w:ind w:firstLine="480" w:firstLineChars="200"/>
        <w:outlineLvl w:val="0"/>
        <w:rPr>
          <w:rFonts w:hint="eastAsia" w:ascii="仿宋" w:hAnsi="仿宋" w:eastAsia="仿宋" w:cs="仿宋"/>
          <w:bCs/>
          <w:color w:val="auto"/>
          <w:lang w:eastAsia="zh-CN"/>
        </w:rPr>
      </w:pPr>
      <w:bookmarkStart w:id="33" w:name="_Toc22365"/>
      <w:r>
        <w:rPr>
          <w:rFonts w:hint="eastAsia" w:ascii="仿宋" w:hAnsi="仿宋" w:eastAsia="仿宋" w:cs="仿宋"/>
          <w:bCs/>
          <w:color w:val="auto"/>
          <w:lang w:eastAsia="zh-CN"/>
        </w:rPr>
        <w:t>四、与质疑事项相关的质疑请求</w:t>
      </w:r>
      <w:bookmarkEnd w:id="33"/>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pPr>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签章(签章)：                   公章：                      </w:t>
      </w:r>
    </w:p>
    <w:p>
      <w:pPr>
        <w:spacing w:line="540" w:lineRule="exact"/>
        <w:ind w:firstLine="480" w:firstLineChars="200"/>
        <w:rPr>
          <w:rFonts w:hint="eastAsia" w:ascii="仿宋" w:hAnsi="仿宋" w:eastAsia="仿宋" w:cs="仿宋"/>
          <w:b/>
          <w:bCs/>
          <w:color w:val="auto"/>
          <w:lang w:eastAsia="zh-CN"/>
        </w:rPr>
      </w:pPr>
      <w:r>
        <w:rPr>
          <w:rFonts w:hint="eastAsia" w:ascii="仿宋" w:hAnsi="仿宋" w:eastAsia="仿宋" w:cs="仿宋"/>
          <w:color w:val="auto"/>
          <w:lang w:eastAsia="zh-CN"/>
        </w:rPr>
        <w:t xml:space="preserve">日期：    </w:t>
      </w:r>
    </w:p>
    <w:p>
      <w:pPr>
        <w:spacing w:line="540" w:lineRule="exact"/>
        <w:ind w:firstLine="420" w:firstLineChars="200"/>
        <w:rPr>
          <w:rFonts w:hint="eastAsia" w:ascii="仿宋" w:hAnsi="仿宋" w:eastAsia="仿宋" w:cs="仿宋"/>
          <w:b/>
          <w:bCs/>
          <w:color w:val="auto"/>
          <w:sz w:val="21"/>
          <w:szCs w:val="21"/>
          <w:lang w:eastAsia="zh-CN"/>
        </w:rPr>
      </w:pPr>
    </w:p>
    <w:p>
      <w:pPr>
        <w:pageBreakBefore/>
        <w:spacing w:line="440" w:lineRule="exact"/>
        <w:jc w:val="center"/>
        <w:outlineLvl w:val="0"/>
        <w:rPr>
          <w:rFonts w:hint="eastAsia" w:ascii="仿宋" w:hAnsi="仿宋" w:eastAsia="仿宋" w:cs="仿宋"/>
          <w:b/>
          <w:bCs/>
          <w:color w:val="auto"/>
          <w:sz w:val="30"/>
          <w:szCs w:val="30"/>
          <w:lang w:eastAsia="zh-CN"/>
        </w:rPr>
      </w:pPr>
      <w:bookmarkStart w:id="34" w:name="_Toc469495731"/>
      <w:r>
        <w:rPr>
          <w:rFonts w:hint="eastAsia" w:ascii="仿宋" w:hAnsi="仿宋" w:eastAsia="仿宋" w:cs="仿宋"/>
          <w:b/>
          <w:bCs/>
          <w:color w:val="auto"/>
          <w:sz w:val="30"/>
          <w:szCs w:val="30"/>
          <w:lang w:eastAsia="zh-CN"/>
        </w:rPr>
        <w:t>第三部分  评标办法</w:t>
      </w:r>
      <w:bookmarkEnd w:id="34"/>
    </w:p>
    <w:p>
      <w:pPr>
        <w:jc w:val="center"/>
        <w:outlineLvl w:val="1"/>
        <w:rPr>
          <w:rFonts w:hint="eastAsia" w:ascii="仿宋" w:hAnsi="仿宋" w:eastAsia="仿宋" w:cs="仿宋"/>
          <w:b/>
          <w:color w:val="auto"/>
          <w:sz w:val="28"/>
          <w:szCs w:val="28"/>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lang w:eastAsia="zh-CN"/>
        </w:rPr>
        <w:t>一  总  则</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1、一般规定</w:t>
      </w:r>
    </w:p>
    <w:p>
      <w:pPr>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pPr>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pPr>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pPr>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1.4评标按照招标文件规定的内容进行，采取符合招标文件要求的最低评标价法；</w:t>
      </w:r>
    </w:p>
    <w:p>
      <w:pPr>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pPr>
        <w:widowControl/>
        <w:spacing w:line="440" w:lineRule="exact"/>
        <w:ind w:firstLine="480"/>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评标委员会由采购人代表</w:t>
      </w:r>
      <w:r>
        <w:rPr>
          <w:rFonts w:hint="eastAsia" w:ascii="仿宋" w:hAnsi="仿宋" w:eastAsia="仿宋" w:cs="仿宋"/>
          <w:color w:val="auto"/>
          <w:spacing w:val="-2"/>
          <w:lang w:val="en-US" w:eastAsia="zh-CN"/>
        </w:rPr>
        <w:t>1人</w:t>
      </w:r>
      <w:r>
        <w:rPr>
          <w:rFonts w:hint="eastAsia" w:ascii="仿宋" w:hAnsi="仿宋" w:eastAsia="仿宋" w:cs="仿宋"/>
          <w:color w:val="auto"/>
          <w:spacing w:val="-2"/>
          <w:lang w:eastAsia="zh-CN"/>
        </w:rPr>
        <w:t>和有关技术、经济等方面的专家</w:t>
      </w:r>
      <w:r>
        <w:rPr>
          <w:rFonts w:hint="eastAsia" w:ascii="仿宋" w:hAnsi="仿宋" w:eastAsia="仿宋" w:cs="仿宋"/>
          <w:color w:val="auto"/>
          <w:spacing w:val="-2"/>
          <w:lang w:val="en-US" w:eastAsia="zh-CN"/>
        </w:rPr>
        <w:t>4人</w:t>
      </w:r>
      <w:r>
        <w:rPr>
          <w:rFonts w:hint="eastAsia" w:ascii="仿宋" w:hAnsi="仿宋" w:eastAsia="仿宋" w:cs="仿宋"/>
          <w:color w:val="auto"/>
          <w:spacing w:val="-2"/>
          <w:lang w:eastAsia="zh-CN"/>
        </w:rPr>
        <w:t>组成，成员人数为</w:t>
      </w:r>
      <w:r>
        <w:rPr>
          <w:rFonts w:hint="eastAsia" w:ascii="仿宋" w:hAnsi="仿宋" w:eastAsia="仿宋" w:cs="仿宋"/>
          <w:color w:val="auto"/>
          <w:spacing w:val="-2"/>
          <w:lang w:val="en-US" w:eastAsia="zh-CN"/>
        </w:rPr>
        <w:t>5</w:t>
      </w:r>
      <w:r>
        <w:rPr>
          <w:rFonts w:hint="eastAsia" w:ascii="仿宋" w:hAnsi="仿宋" w:eastAsia="仿宋" w:cs="仿宋"/>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pPr>
        <w:tabs>
          <w:tab w:val="left" w:pos="567"/>
          <w:tab w:val="left" w:pos="1145"/>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pPr>
        <w:pStyle w:val="38"/>
        <w:spacing w:before="0" w:beforeAutospacing="0" w:after="0" w:afterAutospacing="0" w:line="440" w:lineRule="exact"/>
        <w:ind w:firstLine="612" w:firstLineChars="25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3.1审查投标文件是否符合招标文件要求，并作出评价；</w:t>
      </w:r>
    </w:p>
    <w:p>
      <w:pPr>
        <w:pStyle w:val="38"/>
        <w:spacing w:before="0" w:beforeAutospacing="0" w:after="0" w:afterAutospacing="0" w:line="440" w:lineRule="exact"/>
        <w:ind w:firstLine="612" w:firstLineChars="25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3.2要求投标人对投标文件有关事项作出解释或者澄清；</w:t>
      </w:r>
    </w:p>
    <w:p>
      <w:pPr>
        <w:pStyle w:val="38"/>
        <w:spacing w:before="0" w:beforeAutospacing="0" w:after="0" w:afterAutospacing="0" w:line="440" w:lineRule="exact"/>
        <w:ind w:firstLine="612" w:firstLineChars="25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pPr>
        <w:pStyle w:val="38"/>
        <w:spacing w:before="0" w:beforeAutospacing="0" w:after="0" w:afterAutospacing="0" w:line="440" w:lineRule="exact"/>
        <w:ind w:firstLine="612" w:firstLineChars="25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4.2按照招标文件规定的评标方法和评标标准进行评标，对评审意见承担个人责任；</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4.3对评标过程和结果，以及投标人的商业秘密保密；</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pPr>
        <w:tabs>
          <w:tab w:val="left" w:pos="567"/>
          <w:tab w:val="left" w:pos="600"/>
        </w:tabs>
        <w:spacing w:line="440" w:lineRule="exact"/>
        <w:ind w:firstLine="612" w:firstLineChars="255"/>
        <w:rPr>
          <w:rFonts w:hint="eastAsia"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pPr>
        <w:tabs>
          <w:tab w:val="left" w:pos="1547"/>
        </w:tabs>
        <w:spacing w:line="440" w:lineRule="exact"/>
        <w:ind w:firstLine="612" w:firstLineChars="255"/>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pPr>
        <w:pStyle w:val="18"/>
        <w:tabs>
          <w:tab w:val="left" w:pos="720"/>
          <w:tab w:val="clear" w:pos="0"/>
        </w:tabs>
        <w:spacing w:line="440" w:lineRule="exact"/>
        <w:ind w:firstLine="612" w:firstLineChars="255"/>
        <w:rPr>
          <w:rFonts w:hint="eastAsia"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5.1本次评标首先由评标委员会对投标人的投标文件进行初审，对未能通过初审的投标文件作无效标处理；</w:t>
      </w:r>
    </w:p>
    <w:p>
      <w:pPr>
        <w:tabs>
          <w:tab w:val="left" w:pos="720"/>
        </w:tabs>
        <w:spacing w:line="440" w:lineRule="exact"/>
        <w:ind w:firstLine="612" w:firstLineChars="255"/>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5.2对通过初审的投标人的投标文件进行详细的比较和评价。如需要，进行必要的澄清工作；</w:t>
      </w:r>
    </w:p>
    <w:p>
      <w:pPr>
        <w:widowControl/>
        <w:spacing w:line="360" w:lineRule="exact"/>
        <w:ind w:firstLine="482"/>
        <w:rPr>
          <w:rFonts w:hint="eastAsia"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5.3依据评分标准以及各项权值，各位评委单独就每个投标人的投标文件进行价格、技术、</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"http://zhidao.baidu.com/search?word=%E8%B4%A2%E5%8A%A1%E7%8A%B6%E5%86%B5&amp;fr=qb_search_exp&amp;ie=utf8&amp;eid_gfrom=151" </w:instrText>
      </w:r>
      <w:r>
        <w:rPr>
          <w:rFonts w:hint="eastAsia" w:ascii="仿宋" w:hAnsi="仿宋" w:eastAsia="仿宋" w:cs="仿宋"/>
          <w:color w:val="auto"/>
        </w:rPr>
        <w:fldChar w:fldCharType="separate"/>
      </w:r>
      <w:r>
        <w:rPr>
          <w:rFonts w:hint="eastAsia" w:ascii="仿宋" w:hAnsi="仿宋" w:eastAsia="仿宋" w:cs="仿宋"/>
          <w:color w:val="auto"/>
          <w:szCs w:val="21"/>
          <w:lang w:eastAsia="zh-CN" w:bidi="ar-SA"/>
        </w:rPr>
        <w:t>财务状况</w:t>
      </w:r>
      <w:r>
        <w:rPr>
          <w:rFonts w:hint="eastAsia" w:ascii="仿宋" w:hAnsi="仿宋" w:eastAsia="仿宋" w:cs="仿宋"/>
          <w:color w:val="auto"/>
          <w:szCs w:val="21"/>
          <w:lang w:eastAsia="zh-CN" w:bidi="ar-SA"/>
        </w:rPr>
        <w:fldChar w:fldCharType="end"/>
      </w:r>
      <w:r>
        <w:rPr>
          <w:rFonts w:hint="eastAsia" w:ascii="仿宋" w:hAnsi="仿宋" w:eastAsia="仿宋" w:cs="仿宋"/>
          <w:color w:val="auto"/>
          <w:szCs w:val="21"/>
          <w:lang w:eastAsia="zh-CN"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5"/>
      <w:bookmarkEnd w:id="36"/>
    </w:p>
    <w:p>
      <w:pPr>
        <w:spacing w:line="40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pPr>
        <w:spacing w:line="400" w:lineRule="exact"/>
        <w:ind w:firstLine="352" w:firstLineChars="147"/>
        <w:rPr>
          <w:rFonts w:hint="eastAsia"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项目</w:t>
            </w:r>
          </w:p>
        </w:tc>
        <w:tc>
          <w:tcPr>
            <w:tcW w:w="7196" w:type="dxa"/>
            <w:gridSpan w:val="2"/>
            <w:vMerge w:val="restart"/>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209" w:type="dxa"/>
            <w:gridSpan w:val="2"/>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hint="eastAsia" w:ascii="仿宋" w:hAnsi="仿宋" w:eastAsia="仿宋" w:cs="仿宋"/>
                <w:color w:val="auto"/>
                <w:sz w:val="18"/>
                <w:szCs w:val="21"/>
              </w:rPr>
            </w:pPr>
          </w:p>
        </w:tc>
        <w:tc>
          <w:tcPr>
            <w:tcW w:w="7196" w:type="dxa"/>
            <w:gridSpan w:val="2"/>
            <w:vMerge w:val="continue"/>
          </w:tcPr>
          <w:p>
            <w:pPr>
              <w:rPr>
                <w:rFonts w:hint="eastAsia" w:ascii="仿宋" w:hAnsi="仿宋" w:eastAsia="仿宋" w:cs="仿宋"/>
                <w:color w:val="auto"/>
                <w:sz w:val="18"/>
                <w:szCs w:val="21"/>
              </w:rPr>
            </w:pPr>
          </w:p>
        </w:tc>
        <w:tc>
          <w:tcPr>
            <w:tcW w:w="55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是</w:t>
            </w:r>
          </w:p>
        </w:tc>
        <w:tc>
          <w:tcPr>
            <w:tcW w:w="654"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审</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查</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标</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准</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(适</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用</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于</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格</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后</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审)</w:t>
            </w:r>
          </w:p>
        </w:tc>
        <w:tc>
          <w:tcPr>
            <w:tcW w:w="5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649" w:type="dxa"/>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（三证合一）营业执照</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2</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lang w:eastAsia="zh-CN" w:bidi="ar"/>
              </w:rPr>
              <w:t>法定代表人投标需提供法定代表人资格证明书，委托代理人投标需提供法定代表人授权委托书</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3</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lang w:eastAsia="zh-CN" w:bidi="ar"/>
              </w:rPr>
              <w:t>未被“信用中国”（www.creditchina.gov.cn）、中国政府采购网（www.ccgp.gov.cn）列入失信被执行人、税收违法黑名单、政府采购严重违法失信行为记录名单</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4</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lang w:eastAsia="zh-CN" w:bidi="ar"/>
              </w:rPr>
              <w:t>投标保证金收据或保函等票据</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5</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6</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sz w:val="24"/>
                <w:szCs w:val="24"/>
                <w:lang w:eastAsia="zh-CN"/>
              </w:rPr>
              <w:t>投标企业须提供投标人（被授权在职人员）近期</w:t>
            </w:r>
            <w:r>
              <w:rPr>
                <w:rFonts w:hint="eastAsia" w:ascii="仿宋" w:hAnsi="仿宋" w:eastAsia="仿宋" w:cs="仿宋"/>
                <w:color w:val="auto"/>
                <w:sz w:val="24"/>
                <w:szCs w:val="24"/>
                <w:lang w:val="en-US" w:eastAsia="zh-CN"/>
              </w:rPr>
              <w:t>3个月</w:t>
            </w:r>
            <w:r>
              <w:rPr>
                <w:rFonts w:hint="eastAsia" w:ascii="仿宋" w:hAnsi="仿宋" w:eastAsia="仿宋" w:cs="仿宋"/>
                <w:color w:val="auto"/>
                <w:sz w:val="24"/>
                <w:szCs w:val="24"/>
                <w:lang w:eastAsia="zh-CN"/>
              </w:rPr>
              <w:t>有效的社保证明</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6649" w:type="dxa"/>
            <w:vAlign w:val="center"/>
          </w:tcPr>
          <w:p>
            <w:pPr>
              <w:widowControl/>
              <w:textAlignment w:val="center"/>
              <w:rPr>
                <w:rFonts w:hint="eastAsia" w:ascii="仿宋" w:hAnsi="仿宋" w:eastAsia="仿宋" w:cs="仿宋"/>
                <w:color w:val="auto"/>
                <w:lang w:val="en-US" w:eastAsia="zh-CN" w:bidi="ar"/>
              </w:rPr>
            </w:pPr>
            <w:r>
              <w:rPr>
                <w:rFonts w:hint="eastAsia" w:ascii="仿宋" w:hAnsi="仿宋" w:eastAsia="仿宋" w:cs="仿宋"/>
                <w:color w:val="auto"/>
                <w:sz w:val="24"/>
                <w:szCs w:val="24"/>
                <w:lang w:val="en-US" w:eastAsia="zh-CN" w:bidi="en-US"/>
              </w:rPr>
              <w:t>投标产品为进口设备的投标企业须提供生产厂家针对本项目的授权。（授权内容需明确项目名称、被授权公司名称、授权期限及授权厂家的公章）</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color w:val="auto"/>
                <w:szCs w:val="21"/>
                <w:lang w:eastAsia="zh-CN"/>
              </w:rPr>
            </w:pPr>
          </w:p>
        </w:tc>
        <w:tc>
          <w:tcPr>
            <w:tcW w:w="547" w:type="dxa"/>
          </w:tcPr>
          <w:p>
            <w:pPr>
              <w:spacing w:line="440" w:lineRule="exact"/>
              <w:rPr>
                <w:rFonts w:hint="eastAsia" w:ascii="仿宋" w:hAnsi="仿宋" w:eastAsia="仿宋" w:cs="仿宋"/>
                <w:color w:val="auto"/>
                <w:szCs w:val="21"/>
                <w:lang w:eastAsia="zh-CN"/>
              </w:rPr>
            </w:pPr>
          </w:p>
        </w:tc>
        <w:tc>
          <w:tcPr>
            <w:tcW w:w="6649" w:type="dxa"/>
          </w:tcPr>
          <w:p>
            <w:pPr>
              <w:rPr>
                <w:rFonts w:hint="eastAsia"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hint="eastAsia"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209" w:type="dxa"/>
            <w:gridSpan w:val="2"/>
          </w:tcPr>
          <w:p>
            <w:pPr>
              <w:rPr>
                <w:rFonts w:hint="eastAsia" w:ascii="仿宋" w:hAnsi="仿宋" w:eastAsia="仿宋" w:cs="仿宋"/>
                <w:color w:val="auto"/>
                <w:szCs w:val="21"/>
                <w:lang w:eastAsia="zh-CN"/>
              </w:rPr>
            </w:pPr>
          </w:p>
        </w:tc>
      </w:tr>
    </w:tbl>
    <w:p>
      <w:pPr>
        <w:spacing w:line="400" w:lineRule="exact"/>
        <w:ind w:firstLine="578" w:firstLineChars="241"/>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rPr>
          <w:rFonts w:hint="eastAsia"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pPr>
        <w:spacing w:line="440" w:lineRule="exact"/>
        <w:ind w:firstLine="360" w:firstLineChars="150"/>
        <w:rPr>
          <w:rFonts w:hint="eastAsia"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1"/>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hint="eastAsia" w:ascii="仿宋" w:hAnsi="仿宋" w:eastAsia="仿宋" w:cs="仿宋"/>
                <w:color w:val="auto"/>
              </w:rPr>
            </w:pPr>
          </w:p>
        </w:tc>
        <w:tc>
          <w:tcPr>
            <w:tcW w:w="6975" w:type="dxa"/>
            <w:gridSpan w:val="2"/>
            <w:vMerge w:val="continue"/>
            <w:tcBorders>
              <w:bottom w:val="single" w:color="auto" w:sz="4" w:space="0"/>
            </w:tcBorders>
          </w:tcPr>
          <w:p>
            <w:pPr>
              <w:rPr>
                <w:rFonts w:hint="eastAsia" w:ascii="仿宋" w:hAnsi="仿宋" w:eastAsia="仿宋" w:cs="仿宋"/>
                <w:color w:val="auto"/>
              </w:rPr>
            </w:pPr>
          </w:p>
        </w:tc>
        <w:tc>
          <w:tcPr>
            <w:tcW w:w="749" w:type="dxa"/>
            <w:vAlign w:val="center"/>
          </w:tcPr>
          <w:p>
            <w:pPr>
              <w:jc w:val="center"/>
              <w:rPr>
                <w:rFonts w:hint="eastAsia"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审</w:t>
            </w:r>
          </w:p>
          <w:p>
            <w:pPr>
              <w:jc w:val="center"/>
              <w:rPr>
                <w:rFonts w:hint="eastAsia" w:ascii="仿宋" w:hAnsi="仿宋" w:eastAsia="仿宋" w:cs="仿宋"/>
                <w:color w:val="auto"/>
                <w:szCs w:val="21"/>
              </w:rPr>
            </w:pPr>
            <w:r>
              <w:rPr>
                <w:rFonts w:hint="eastAsia" w:ascii="仿宋" w:hAnsi="仿宋" w:eastAsia="仿宋" w:cs="仿宋"/>
                <w:color w:val="auto"/>
                <w:szCs w:val="21"/>
              </w:rPr>
              <w:t>查</w:t>
            </w:r>
          </w:p>
          <w:p>
            <w:pPr>
              <w:jc w:val="center"/>
              <w:rPr>
                <w:rFonts w:hint="eastAsia" w:ascii="仿宋" w:hAnsi="仿宋" w:eastAsia="仿宋" w:cs="仿宋"/>
                <w:color w:val="auto"/>
                <w:szCs w:val="21"/>
              </w:rPr>
            </w:pPr>
            <w:r>
              <w:rPr>
                <w:rFonts w:hint="eastAsia" w:ascii="仿宋" w:hAnsi="仿宋" w:eastAsia="仿宋" w:cs="仿宋"/>
                <w:color w:val="auto"/>
                <w:szCs w:val="21"/>
              </w:rPr>
              <w:t>标</w:t>
            </w:r>
          </w:p>
          <w:p>
            <w:pPr>
              <w:jc w:val="center"/>
              <w:rPr>
                <w:rFonts w:hint="eastAsia"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hint="eastAsia" w:ascii="仿宋" w:hAnsi="仿宋" w:eastAsia="仿宋" w:cs="仿宋"/>
                <w:b/>
                <w:color w:val="auto"/>
                <w:szCs w:val="21"/>
                <w:lang w:eastAsia="zh-CN"/>
              </w:rPr>
            </w:pPr>
          </w:p>
        </w:tc>
        <w:tc>
          <w:tcPr>
            <w:tcW w:w="617" w:type="dxa"/>
            <w:tcBorders>
              <w:left w:val="single" w:color="auto" w:sz="4" w:space="0"/>
              <w:right w:val="single" w:color="auto" w:sz="4" w:space="0"/>
            </w:tcBorders>
          </w:tcPr>
          <w:p>
            <w:pPr>
              <w:jc w:val="center"/>
              <w:rPr>
                <w:rFonts w:hint="eastAsia" w:ascii="仿宋" w:hAnsi="仿宋" w:eastAsia="仿宋" w:cs="仿宋"/>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法定代表人身份证明及授权委托书有效，且符合招标文件规定的格式。</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hint="eastAsia" w:ascii="仿宋" w:hAnsi="仿宋" w:eastAsia="仿宋" w:cs="仿宋"/>
                <w:color w:val="auto"/>
              </w:rPr>
            </w:pPr>
            <w:r>
              <w:rPr>
                <w:rFonts w:hint="eastAsia" w:ascii="仿宋" w:hAnsi="仿宋" w:eastAsia="仿宋" w:cs="仿宋"/>
                <w:color w:val="auto"/>
                <w:lang w:bidi="ar"/>
              </w:rPr>
              <w:t>只有一个方案投标。</w:t>
            </w:r>
          </w:p>
        </w:tc>
        <w:tc>
          <w:tcPr>
            <w:tcW w:w="749" w:type="dxa"/>
            <w:tcBorders>
              <w:left w:val="single" w:color="auto" w:sz="4" w:space="0"/>
            </w:tcBorders>
          </w:tcPr>
          <w:p>
            <w:pPr>
              <w:rPr>
                <w:rFonts w:hint="eastAsia" w:ascii="仿宋" w:hAnsi="仿宋" w:eastAsia="仿宋" w:cs="仿宋"/>
                <w:color w:val="auto"/>
                <w:szCs w:val="21"/>
              </w:rPr>
            </w:pPr>
          </w:p>
        </w:tc>
        <w:tc>
          <w:tcPr>
            <w:tcW w:w="617" w:type="dxa"/>
            <w:tcBorders>
              <w:right w:val="single" w:color="auto" w:sz="4" w:space="0"/>
            </w:tcBorders>
          </w:tcPr>
          <w:p>
            <w:pP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rPr>
            </w:pPr>
          </w:p>
        </w:tc>
        <w:tc>
          <w:tcPr>
            <w:tcW w:w="597" w:type="dxa"/>
            <w:tcBorders>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投标文件</w:t>
            </w:r>
            <w:r>
              <w:rPr>
                <w:rFonts w:hint="eastAsia" w:ascii="仿宋" w:hAnsi="仿宋" w:eastAsia="仿宋" w:cs="仿宋"/>
                <w:color w:val="auto"/>
                <w:lang w:val="en-US" w:eastAsia="zh-CN" w:bidi="ar"/>
              </w:rPr>
              <w:t>签字、盖章</w:t>
            </w:r>
            <w:r>
              <w:rPr>
                <w:rFonts w:hint="eastAsia" w:ascii="仿宋" w:hAnsi="仿宋" w:eastAsia="仿宋" w:cs="仿宋"/>
                <w:color w:val="auto"/>
                <w:lang w:eastAsia="zh-CN" w:bidi="ar"/>
              </w:rPr>
              <w:t>齐全、无遗漏。</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bottom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对招标文件规定的招标内容全部作出响应。</w:t>
            </w:r>
          </w:p>
        </w:tc>
        <w:tc>
          <w:tcPr>
            <w:tcW w:w="749" w:type="dxa"/>
            <w:tcBorders>
              <w:left w:val="single" w:color="auto" w:sz="4" w:space="0"/>
              <w:bottom w:val="single" w:color="auto" w:sz="4" w:space="0"/>
            </w:tcBorders>
          </w:tcPr>
          <w:p>
            <w:pPr>
              <w:rPr>
                <w:rFonts w:hint="eastAsia" w:ascii="仿宋" w:hAnsi="仿宋" w:eastAsia="仿宋" w:cs="仿宋"/>
                <w:color w:val="auto"/>
                <w:szCs w:val="21"/>
                <w:lang w:eastAsia="zh-CN"/>
              </w:rPr>
            </w:pPr>
          </w:p>
        </w:tc>
        <w:tc>
          <w:tcPr>
            <w:tcW w:w="617" w:type="dxa"/>
            <w:tcBorders>
              <w:bottom w:val="single" w:color="auto" w:sz="4" w:space="0"/>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完成期限满足招标文件要求。</w:t>
            </w:r>
          </w:p>
        </w:tc>
        <w:tc>
          <w:tcPr>
            <w:tcW w:w="749" w:type="dxa"/>
            <w:tcBorders>
              <w:top w:val="single" w:color="auto" w:sz="4" w:space="0"/>
              <w:left w:val="single" w:color="auto" w:sz="4" w:space="0"/>
            </w:tcBorders>
          </w:tcPr>
          <w:p>
            <w:pPr>
              <w:rPr>
                <w:rFonts w:hint="eastAsia" w:ascii="仿宋" w:hAnsi="仿宋" w:eastAsia="仿宋" w:cs="仿宋"/>
                <w:color w:val="auto"/>
                <w:szCs w:val="21"/>
                <w:lang w:eastAsia="zh-CN"/>
              </w:rPr>
            </w:pPr>
          </w:p>
        </w:tc>
        <w:tc>
          <w:tcPr>
            <w:tcW w:w="617" w:type="dxa"/>
            <w:tcBorders>
              <w:top w:val="single" w:color="auto" w:sz="4" w:space="0"/>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售后服务满足招标文件要求。</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投标有效期满足招标文件要求。</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tcBorders>
            <w:vAlign w:val="center"/>
          </w:tcPr>
          <w:p>
            <w:pPr>
              <w:jc w:val="center"/>
              <w:rPr>
                <w:rFonts w:hint="eastAsia" w:ascii="仿宋" w:hAnsi="仿宋" w:eastAsia="仿宋" w:cs="仿宋"/>
                <w:b w:val="0"/>
                <w:bCs w:val="0"/>
                <w:color w:val="auto"/>
              </w:rPr>
            </w:pPr>
            <w:r>
              <w:rPr>
                <w:rFonts w:hint="eastAsia" w:ascii="仿宋" w:hAnsi="仿宋" w:eastAsia="仿宋" w:cs="仿宋"/>
                <w:b w:val="0"/>
                <w:bCs w:val="0"/>
                <w:color w:val="auto"/>
              </w:rPr>
              <w:t>10</w:t>
            </w:r>
          </w:p>
        </w:tc>
        <w:tc>
          <w:tcPr>
            <w:tcW w:w="6378" w:type="dxa"/>
            <w:tcBorders>
              <w:right w:val="single" w:color="auto" w:sz="4" w:space="0"/>
            </w:tcBorders>
            <w:vAlign w:val="center"/>
          </w:tcPr>
          <w:p>
            <w:pPr>
              <w:widowControl/>
              <w:textAlignment w:val="cente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bidi="ar"/>
              </w:rPr>
              <w:t>投标人详细地址、联系人、电话</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hint="eastAsia"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hint="eastAsia"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hint="eastAsia" w:ascii="仿宋" w:hAnsi="仿宋" w:eastAsia="仿宋" w:cs="仿宋"/>
                <w:color w:val="auto"/>
                <w:szCs w:val="21"/>
                <w:lang w:eastAsia="zh-CN"/>
              </w:rPr>
            </w:pPr>
          </w:p>
        </w:tc>
      </w:tr>
    </w:tbl>
    <w:p>
      <w:pPr>
        <w:rPr>
          <w:rFonts w:hint="eastAsia" w:ascii="仿宋" w:hAnsi="仿宋" w:eastAsia="仿宋" w:cs="仿宋"/>
          <w:color w:val="auto"/>
          <w:lang w:eastAsia="zh-CN"/>
        </w:rPr>
      </w:pPr>
    </w:p>
    <w:p>
      <w:pPr>
        <w:keepNext w:val="0"/>
        <w:keepLines w:val="0"/>
        <w:pageBreakBefore w:val="0"/>
        <w:widowControl w:val="0"/>
        <w:kinsoku/>
        <w:wordWrap/>
        <w:overflowPunct/>
        <w:topLinePunct w:val="0"/>
        <w:autoSpaceDE/>
        <w:autoSpaceDN/>
        <w:bidi w:val="0"/>
        <w:adjustRightInd/>
        <w:snapToGrid/>
        <w:spacing w:line="350" w:lineRule="exact"/>
        <w:ind w:firstLine="578" w:firstLineChars="241"/>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pPr>
        <w:keepNext w:val="0"/>
        <w:keepLines w:val="0"/>
        <w:pageBreakBefore w:val="0"/>
        <w:widowControl w:val="0"/>
        <w:kinsoku/>
        <w:wordWrap/>
        <w:overflowPunct/>
        <w:topLinePunct w:val="0"/>
        <w:autoSpaceDE/>
        <w:autoSpaceDN/>
        <w:bidi w:val="0"/>
        <w:adjustRightInd/>
        <w:snapToGrid/>
        <w:spacing w:line="350" w:lineRule="exact"/>
        <w:ind w:firstLine="578" w:firstLineChars="241"/>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7.4投标人可在现场20分钟内对评标委员会的评审结论提出异议，评标委员会根据采购文件及有关规定对投标人的异议进行复议</w:t>
      </w:r>
    </w:p>
    <w:p>
      <w:pPr>
        <w:keepNext w:val="0"/>
        <w:keepLines w:val="0"/>
        <w:pageBreakBefore w:val="0"/>
        <w:widowControl w:val="0"/>
        <w:kinsoku/>
        <w:wordWrap/>
        <w:overflowPunct/>
        <w:topLinePunct w:val="0"/>
        <w:autoSpaceDE/>
        <w:autoSpaceDN/>
        <w:bidi w:val="0"/>
        <w:adjustRightInd/>
        <w:snapToGrid/>
        <w:spacing w:line="350" w:lineRule="exact"/>
        <w:ind w:firstLine="600" w:firstLineChars="25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7.5只有通过初审的投标人才能进入下一步评标程序。</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keepNext w:val="0"/>
        <w:keepLines w:val="0"/>
        <w:pageBreakBefore w:val="0"/>
        <w:widowControl w:val="0"/>
        <w:kinsoku/>
        <w:wordWrap/>
        <w:overflowPunct/>
        <w:topLinePunct w:val="0"/>
        <w:autoSpaceDE/>
        <w:autoSpaceDN/>
        <w:bidi w:val="0"/>
        <w:adjustRightInd/>
        <w:snapToGrid/>
        <w:spacing w:before="156" w:beforeLines="50" w:line="350" w:lineRule="exact"/>
        <w:jc w:val="center"/>
        <w:textAlignment w:val="auto"/>
        <w:outlineLvl w:val="1"/>
        <w:rPr>
          <w:rFonts w:hint="eastAsia" w:ascii="仿宋" w:hAnsi="仿宋" w:eastAsia="仿宋" w:cs="仿宋"/>
          <w:b/>
          <w:color w:val="auto"/>
          <w:lang w:eastAsia="zh-CN"/>
        </w:rPr>
      </w:pPr>
      <w:bookmarkStart w:id="39" w:name="_Toc469495734"/>
      <w:bookmarkStart w:id="40" w:name="_Toc362983803"/>
      <w:r>
        <w:rPr>
          <w:rFonts w:hint="eastAsia" w:ascii="仿宋" w:hAnsi="仿宋" w:eastAsia="仿宋" w:cs="仿宋"/>
          <w:b/>
          <w:color w:val="auto"/>
          <w:sz w:val="28"/>
          <w:szCs w:val="28"/>
          <w:lang w:eastAsia="zh-CN"/>
        </w:rPr>
        <w:t xml:space="preserve">三  </w:t>
      </w:r>
      <w:r>
        <w:rPr>
          <w:rFonts w:hint="eastAsia" w:ascii="仿宋" w:hAnsi="仿宋" w:eastAsia="仿宋" w:cs="仿宋"/>
          <w:b/>
          <w:color w:val="auto"/>
          <w:lang w:eastAsia="zh-CN"/>
        </w:rPr>
        <w:t>投标文件的澄清和补正</w:t>
      </w:r>
      <w:bookmarkEnd w:id="39"/>
      <w:bookmarkEnd w:id="40"/>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kinsoku/>
        <w:wordWrap/>
        <w:overflowPunct/>
        <w:topLinePunct w:val="0"/>
        <w:autoSpaceDE/>
        <w:autoSpaceDN/>
        <w:bidi w:val="0"/>
        <w:adjustRightInd/>
        <w:snapToGrid/>
        <w:spacing w:line="350" w:lineRule="exact"/>
        <w:jc w:val="center"/>
        <w:textAlignment w:val="auto"/>
        <w:outlineLvl w:val="1"/>
        <w:rPr>
          <w:rFonts w:hint="eastAsia" w:ascii="仿宋" w:hAnsi="仿宋" w:eastAsia="仿宋" w:cs="仿宋"/>
          <w:b/>
          <w:color w:val="auto"/>
          <w:lang w:eastAsia="zh-CN"/>
        </w:rPr>
      </w:pPr>
      <w:bookmarkStart w:id="41" w:name="_Toc469495735"/>
      <w:r>
        <w:rPr>
          <w:rFonts w:hint="eastAsia" w:ascii="仿宋" w:hAnsi="仿宋" w:eastAsia="仿宋" w:cs="仿宋"/>
          <w:b/>
          <w:color w:val="auto"/>
          <w:lang w:eastAsia="zh-CN"/>
        </w:rPr>
        <w:t>四 比较与评价</w:t>
      </w:r>
      <w:bookmarkEnd w:id="41"/>
    </w:p>
    <w:p>
      <w:pPr>
        <w:keepNext w:val="0"/>
        <w:keepLines w:val="0"/>
        <w:pageBreakBefore w:val="0"/>
        <w:widowControl w:val="0"/>
        <w:tabs>
          <w:tab w:val="left" w:pos="720"/>
        </w:tabs>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bookmarkStart w:id="42" w:name="_Toc469495736"/>
      <w:bookmarkStart w:id="43" w:name="_Toc362983805"/>
      <w:r>
        <w:rPr>
          <w:rFonts w:hint="eastAsia" w:ascii="仿宋" w:hAnsi="仿宋" w:eastAsia="仿宋" w:cs="仿宋"/>
          <w:color w:val="auto"/>
          <w:szCs w:val="21"/>
          <w:lang w:eastAsia="zh-CN" w:bidi="ar-SA"/>
        </w:rPr>
        <w:t>10.1评标委员会按招标文件中规定的评标方法和标准，对资格性检查和符合性检查合格的投标文件进行商务和技术评估、综合比较与评价。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（2）衡量、对比的依据，应以招标文件、投标文件、提供的正式试验数据、质询澄清中的文字为准，口头回答和收集的资料只作为参考。</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（3）评分主要是为比较各投标人的价格、商务和技术综合排序。</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（6）对打分表中的每项条款，各评委应根据投标文件、澄清材料、招标文件要求，按满足的程度给投标人打分。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1)就投标人的投标文件对照整理出商务、技术评标因素对比表、偏差表，并在经过校核的基础上逐项打分。</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pPr>
        <w:keepNext w:val="0"/>
        <w:keepLines w:val="0"/>
        <w:pageBreakBefore w:val="0"/>
        <w:widowControl w:val="0"/>
        <w:kinsoku/>
        <w:wordWrap/>
        <w:overflowPunct/>
        <w:topLinePunct w:val="0"/>
        <w:autoSpaceDE/>
        <w:autoSpaceDN/>
        <w:bidi w:val="0"/>
        <w:adjustRightInd/>
        <w:snapToGrid/>
        <w:spacing w:line="35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3)最终汇总表中各投标人得分应为评委打分的算术平均值。</w:t>
      </w:r>
    </w:p>
    <w:p>
      <w:pPr>
        <w:keepNext w:val="0"/>
        <w:keepLines w:val="0"/>
        <w:pageBreakBefore w:val="0"/>
        <w:widowControl w:val="0"/>
        <w:kinsoku/>
        <w:wordWrap/>
        <w:overflowPunct/>
        <w:topLinePunct w:val="0"/>
        <w:autoSpaceDE/>
        <w:autoSpaceDN/>
        <w:bidi w:val="0"/>
        <w:adjustRightInd/>
        <w:snapToGrid/>
        <w:spacing w:line="350" w:lineRule="exact"/>
        <w:ind w:firstLine="240" w:firstLineChars="1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pPr>
        <w:pStyle w:val="6"/>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评分标准</w:t>
      </w:r>
    </w:p>
    <w:tbl>
      <w:tblPr>
        <w:tblStyle w:val="21"/>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539"/>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19" w:type="dxa"/>
            <w:vAlign w:val="center"/>
          </w:tcPr>
          <w:p>
            <w:pPr>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评分因素</w:t>
            </w:r>
          </w:p>
        </w:tc>
        <w:tc>
          <w:tcPr>
            <w:tcW w:w="1539" w:type="dxa"/>
            <w:vAlign w:val="center"/>
          </w:tcPr>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分值</w:t>
            </w:r>
          </w:p>
        </w:tc>
        <w:tc>
          <w:tcPr>
            <w:tcW w:w="6799" w:type="dxa"/>
            <w:vAlign w:val="center"/>
          </w:tcPr>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419" w:type="dxa"/>
            <w:vAlign w:val="center"/>
          </w:tcPr>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报价得分</w:t>
            </w:r>
          </w:p>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30</w:t>
            </w:r>
            <w:r>
              <w:rPr>
                <w:rFonts w:hint="eastAsia" w:ascii="仿宋" w:hAnsi="仿宋" w:eastAsia="仿宋" w:cs="仿宋"/>
                <w:color w:val="auto"/>
                <w:szCs w:val="21"/>
                <w:lang w:eastAsia="zh-CN" w:bidi="ar-SA"/>
              </w:rPr>
              <w:t>分）</w:t>
            </w:r>
          </w:p>
        </w:tc>
        <w:tc>
          <w:tcPr>
            <w:tcW w:w="1539" w:type="dxa"/>
            <w:vAlign w:val="center"/>
          </w:tcPr>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val="en-US" w:eastAsia="zh-CN" w:bidi="ar-SA"/>
              </w:rPr>
              <w:t>30</w:t>
            </w:r>
            <w:r>
              <w:rPr>
                <w:rFonts w:hint="eastAsia" w:ascii="仿宋" w:hAnsi="仿宋" w:eastAsia="仿宋" w:cs="仿宋"/>
                <w:color w:val="auto"/>
                <w:szCs w:val="21"/>
                <w:lang w:eastAsia="zh-CN" w:bidi="ar-SA"/>
              </w:rPr>
              <w:t>分</w:t>
            </w:r>
          </w:p>
        </w:tc>
        <w:tc>
          <w:tcPr>
            <w:tcW w:w="6799" w:type="dxa"/>
          </w:tcPr>
          <w:p>
            <w:pPr>
              <w:spacing w:line="440" w:lineRule="exact"/>
              <w:rPr>
                <w:rFonts w:hint="eastAsia" w:ascii="仿宋" w:hAnsi="仿宋" w:eastAsia="仿宋" w:cs="仿宋"/>
                <w:color w:val="auto"/>
                <w:szCs w:val="21"/>
                <w:lang w:eastAsia="zh-CN" w:bidi="ar-SA"/>
              </w:rPr>
            </w:pPr>
            <w:r>
              <w:rPr>
                <w:rFonts w:hint="eastAsia" w:ascii="仿宋" w:hAnsi="仿宋" w:eastAsia="仿宋" w:cs="仿宋"/>
                <w:b w:val="0"/>
                <w:bCs w:val="0"/>
                <w:color w:val="auto"/>
                <w:sz w:val="24"/>
                <w:szCs w:val="24"/>
                <w:highlight w:val="none"/>
                <w:lang w:eastAsia="zh-CN"/>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restart"/>
            <w:vAlign w:val="center"/>
          </w:tcPr>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商务技术部分</w:t>
            </w:r>
          </w:p>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70</w:t>
            </w:r>
            <w:r>
              <w:rPr>
                <w:rFonts w:hint="eastAsia" w:ascii="仿宋" w:hAnsi="仿宋" w:eastAsia="仿宋" w:cs="仿宋"/>
                <w:color w:val="auto"/>
                <w:szCs w:val="21"/>
                <w:lang w:eastAsia="zh-CN" w:bidi="ar-SA"/>
              </w:rPr>
              <w:t>分）</w:t>
            </w:r>
          </w:p>
          <w:p>
            <w:pPr>
              <w:spacing w:line="440" w:lineRule="exact"/>
              <w:ind w:firstLine="616" w:firstLineChars="257"/>
              <w:jc w:val="center"/>
              <w:rPr>
                <w:rFonts w:hint="eastAsia" w:ascii="仿宋" w:hAnsi="仿宋" w:eastAsia="仿宋" w:cs="仿宋"/>
                <w:color w:val="auto"/>
                <w:szCs w:val="21"/>
                <w:lang w:eastAsia="zh-CN" w:bidi="ar-SA"/>
              </w:rPr>
            </w:pPr>
          </w:p>
          <w:p>
            <w:pPr>
              <w:spacing w:line="440" w:lineRule="exact"/>
              <w:ind w:firstLine="616" w:firstLineChars="257"/>
              <w:jc w:val="center"/>
              <w:rPr>
                <w:rFonts w:hint="eastAsia" w:ascii="仿宋" w:hAnsi="仿宋" w:eastAsia="仿宋" w:cs="仿宋"/>
                <w:color w:val="auto"/>
                <w:szCs w:val="21"/>
                <w:lang w:eastAsia="zh-CN" w:bidi="ar-SA"/>
              </w:rPr>
            </w:pPr>
          </w:p>
        </w:tc>
        <w:tc>
          <w:tcPr>
            <w:tcW w:w="1539" w:type="dxa"/>
            <w:vAlign w:val="center"/>
          </w:tcPr>
          <w:p>
            <w:pPr>
              <w:spacing w:line="440" w:lineRule="exact"/>
              <w:jc w:val="center"/>
              <w:rPr>
                <w:rFonts w:hint="eastAsia" w:ascii="仿宋" w:hAnsi="仿宋" w:eastAsia="仿宋" w:cs="仿宋"/>
                <w:color w:val="auto"/>
                <w:szCs w:val="21"/>
                <w:lang w:val="zh-CN" w:eastAsia="zh-CN" w:bidi="ar-SA"/>
              </w:rPr>
            </w:pPr>
            <w:r>
              <w:rPr>
                <w:rFonts w:hint="eastAsia" w:ascii="仿宋" w:hAnsi="仿宋" w:eastAsia="仿宋" w:cs="仿宋"/>
                <w:color w:val="auto"/>
                <w:szCs w:val="21"/>
                <w:lang w:val="zh-CN" w:eastAsia="zh-CN" w:bidi="ar-SA"/>
              </w:rPr>
              <w:t>技术指标、参数响应情况</w:t>
            </w:r>
          </w:p>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35</w:t>
            </w:r>
            <w:r>
              <w:rPr>
                <w:rFonts w:hint="eastAsia" w:ascii="仿宋" w:hAnsi="仿宋" w:eastAsia="仿宋" w:cs="仿宋"/>
                <w:color w:val="auto"/>
                <w:szCs w:val="21"/>
                <w:lang w:eastAsia="zh-CN" w:bidi="ar-SA"/>
              </w:rPr>
              <w:t>分）</w:t>
            </w:r>
          </w:p>
        </w:tc>
        <w:tc>
          <w:tcPr>
            <w:tcW w:w="6799" w:type="dxa"/>
          </w:tcPr>
          <w:p>
            <w:pPr>
              <w:spacing w:line="440" w:lineRule="exact"/>
              <w:rPr>
                <w:rFonts w:hint="eastAsia" w:ascii="仿宋" w:hAnsi="仿宋" w:eastAsia="仿宋" w:cs="仿宋"/>
                <w:color w:val="auto"/>
                <w:szCs w:val="21"/>
                <w:lang w:eastAsia="zh-CN" w:bidi="ar-SA"/>
              </w:rPr>
            </w:pPr>
            <w:r>
              <w:rPr>
                <w:rFonts w:hint="eastAsia" w:ascii="仿宋" w:hAnsi="仿宋" w:eastAsia="仿宋" w:cs="仿宋"/>
                <w:b w:val="0"/>
                <w:bCs w:val="0"/>
                <w:color w:val="auto"/>
                <w:sz w:val="24"/>
                <w:szCs w:val="24"/>
                <w:highlight w:val="none"/>
                <w:lang w:eastAsia="zh-CN"/>
              </w:rPr>
              <w:t>以招标文件的技术参数要求为基准，提供详细技术偏离表。根据所投产品的配置与性能指标的响应程度打分：（参数是基本参数，不允许出现负偏离，如</w:t>
            </w:r>
            <w:r>
              <w:rPr>
                <w:rFonts w:hint="eastAsia" w:ascii="仿宋" w:hAnsi="仿宋" w:eastAsia="仿宋" w:cs="仿宋"/>
                <w:b w:val="0"/>
                <w:bCs w:val="0"/>
                <w:color w:val="auto"/>
                <w:sz w:val="24"/>
                <w:szCs w:val="24"/>
                <w:highlight w:val="none"/>
                <w:lang w:val="en-US" w:eastAsia="zh-CN"/>
              </w:rPr>
              <w:t>出现负偏离</w:t>
            </w:r>
            <w:r>
              <w:rPr>
                <w:rFonts w:hint="eastAsia" w:ascii="仿宋" w:hAnsi="仿宋" w:eastAsia="仿宋" w:cs="仿宋"/>
                <w:b w:val="0"/>
                <w:bCs w:val="0"/>
                <w:color w:val="auto"/>
                <w:sz w:val="24"/>
                <w:szCs w:val="24"/>
                <w:highlight w:val="none"/>
                <w:lang w:eastAsia="zh-CN"/>
              </w:rPr>
              <w:t>，则按废标处理)所投产品技术参数全部满足的得</w:t>
            </w:r>
            <w:r>
              <w:rPr>
                <w:rFonts w:hint="eastAsia" w:ascii="仿宋" w:hAnsi="仿宋" w:eastAsia="仿宋" w:cs="仿宋"/>
                <w:b w:val="0"/>
                <w:bCs w:val="0"/>
                <w:color w:val="auto"/>
                <w:sz w:val="24"/>
                <w:szCs w:val="24"/>
                <w:highlight w:val="none"/>
                <w:lang w:val="en-US" w:eastAsia="zh-CN"/>
              </w:rPr>
              <w:t>35</w:t>
            </w:r>
            <w:r>
              <w:rPr>
                <w:rFonts w:hint="eastAsia" w:ascii="仿宋" w:hAnsi="仿宋" w:eastAsia="仿宋" w:cs="仿宋"/>
                <w:b w:val="0"/>
                <w:bCs w:val="0"/>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continue"/>
            <w:vAlign w:val="center"/>
          </w:tcPr>
          <w:p>
            <w:pPr>
              <w:spacing w:line="440" w:lineRule="exact"/>
              <w:ind w:firstLine="616" w:firstLineChars="257"/>
              <w:jc w:val="center"/>
              <w:rPr>
                <w:rFonts w:hint="eastAsia" w:ascii="仿宋" w:hAnsi="仿宋" w:eastAsia="仿宋" w:cs="仿宋"/>
                <w:color w:val="auto"/>
                <w:szCs w:val="21"/>
                <w:lang w:eastAsia="zh-CN" w:bidi="ar-SA"/>
              </w:rPr>
            </w:pPr>
          </w:p>
        </w:tc>
        <w:tc>
          <w:tcPr>
            <w:tcW w:w="1539" w:type="dxa"/>
            <w:vAlign w:val="center"/>
          </w:tcPr>
          <w:p>
            <w:pPr>
              <w:spacing w:line="440" w:lineRule="exact"/>
              <w:jc w:val="center"/>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供货、安装、调试方案</w:t>
            </w:r>
          </w:p>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9</w:t>
            </w:r>
            <w:r>
              <w:rPr>
                <w:rFonts w:hint="eastAsia" w:ascii="仿宋" w:hAnsi="仿宋" w:eastAsia="仿宋" w:cs="仿宋"/>
                <w:color w:val="auto"/>
                <w:szCs w:val="21"/>
                <w:lang w:eastAsia="zh-CN" w:bidi="ar-SA"/>
              </w:rPr>
              <w:t>分）</w:t>
            </w:r>
          </w:p>
        </w:tc>
        <w:tc>
          <w:tcPr>
            <w:tcW w:w="6799" w:type="dxa"/>
          </w:tcPr>
          <w:p>
            <w:pPr>
              <w:spacing w:line="440" w:lineRule="exact"/>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供货、安装、调试方案计划详细有针对性、供货进度保证措施合理且切实可行，产品安装、调试的技术保证措施完善，方案整体</w:t>
            </w:r>
            <w:r>
              <w:rPr>
                <w:rFonts w:hint="eastAsia" w:ascii="仿宋" w:hAnsi="仿宋" w:eastAsia="仿宋" w:cs="仿宋"/>
                <w:color w:val="auto"/>
                <w:szCs w:val="21"/>
                <w:lang w:val="en-US" w:eastAsia="zh-CN" w:bidi="ar-SA"/>
              </w:rPr>
              <w:t>优的</w:t>
            </w:r>
            <w:r>
              <w:rPr>
                <w:rFonts w:hint="eastAsia" w:ascii="仿宋" w:hAnsi="仿宋" w:eastAsia="仿宋" w:cs="仿宋"/>
                <w:color w:val="auto"/>
                <w:szCs w:val="21"/>
                <w:lang w:eastAsia="zh-CN" w:bidi="ar-SA"/>
              </w:rPr>
              <w:t>得</w:t>
            </w:r>
            <w:r>
              <w:rPr>
                <w:rFonts w:hint="eastAsia" w:ascii="仿宋" w:hAnsi="仿宋" w:eastAsia="仿宋" w:cs="仿宋"/>
                <w:color w:val="auto"/>
                <w:szCs w:val="21"/>
                <w:lang w:val="en-US" w:eastAsia="zh-CN" w:bidi="ar-SA"/>
              </w:rPr>
              <w:t>9</w:t>
            </w:r>
            <w:r>
              <w:rPr>
                <w:rFonts w:hint="eastAsia" w:ascii="仿宋" w:hAnsi="仿宋" w:eastAsia="仿宋" w:cs="仿宋"/>
                <w:color w:val="auto"/>
                <w:szCs w:val="21"/>
                <w:lang w:eastAsia="zh-CN" w:bidi="ar-SA"/>
              </w:rPr>
              <w:t>分；方案计划详细、供货进度保证措施合理，方案整体较好的得</w:t>
            </w:r>
            <w:r>
              <w:rPr>
                <w:rFonts w:hint="eastAsia" w:ascii="仿宋" w:hAnsi="仿宋" w:eastAsia="仿宋" w:cs="仿宋"/>
                <w:color w:val="auto"/>
                <w:szCs w:val="21"/>
                <w:lang w:val="en-US" w:eastAsia="zh-CN" w:bidi="ar-SA"/>
              </w:rPr>
              <w:t>6</w:t>
            </w:r>
            <w:r>
              <w:rPr>
                <w:rFonts w:hint="eastAsia" w:ascii="仿宋" w:hAnsi="仿宋" w:eastAsia="仿宋" w:cs="仿宋"/>
                <w:color w:val="auto"/>
                <w:szCs w:val="21"/>
                <w:lang w:eastAsia="zh-CN" w:bidi="ar-SA"/>
              </w:rPr>
              <w:t xml:space="preserve">分；方案计划一般、供货进度保证措施一般的得 </w:t>
            </w:r>
            <w:r>
              <w:rPr>
                <w:rFonts w:hint="eastAsia" w:ascii="仿宋" w:hAnsi="仿宋" w:eastAsia="仿宋" w:cs="仿宋"/>
                <w:color w:val="auto"/>
                <w:szCs w:val="21"/>
                <w:lang w:val="en-US" w:eastAsia="zh-CN" w:bidi="ar-SA"/>
              </w:rPr>
              <w:t>3</w:t>
            </w:r>
            <w:r>
              <w:rPr>
                <w:rFonts w:hint="eastAsia" w:ascii="仿宋" w:hAnsi="仿宋" w:eastAsia="仿宋" w:cs="仿宋"/>
                <w:color w:val="auto"/>
                <w:szCs w:val="21"/>
                <w:lang w:eastAsia="zh-CN" w:bidi="ar-SA"/>
              </w:rPr>
              <w:t xml:space="preserve"> 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9" w:type="dxa"/>
            <w:vMerge w:val="continue"/>
            <w:vAlign w:val="center"/>
          </w:tcPr>
          <w:p>
            <w:pPr>
              <w:spacing w:line="440" w:lineRule="exact"/>
              <w:ind w:firstLine="616" w:firstLineChars="257"/>
              <w:jc w:val="center"/>
              <w:rPr>
                <w:rFonts w:hint="eastAsia" w:ascii="仿宋" w:hAnsi="仿宋" w:eastAsia="仿宋" w:cs="仿宋"/>
                <w:color w:val="auto"/>
                <w:szCs w:val="21"/>
                <w:lang w:eastAsia="zh-CN" w:bidi="ar-SA"/>
              </w:rPr>
            </w:pPr>
          </w:p>
        </w:tc>
        <w:tc>
          <w:tcPr>
            <w:tcW w:w="1539" w:type="dxa"/>
            <w:vAlign w:val="center"/>
          </w:tcPr>
          <w:p>
            <w:pPr>
              <w:spacing w:line="440" w:lineRule="exact"/>
              <w:jc w:val="both"/>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质保期</w:t>
            </w:r>
            <w:r>
              <w:rPr>
                <w:rFonts w:hint="eastAsia" w:ascii="仿宋" w:hAnsi="仿宋" w:eastAsia="仿宋" w:cs="仿宋"/>
                <w:b w:val="0"/>
                <w:color w:val="auto"/>
                <w:sz w:val="24"/>
                <w:szCs w:val="24"/>
                <w:highlight w:val="none"/>
                <w:lang w:eastAsia="zh-CN"/>
              </w:rPr>
              <w:t>及交货期（</w:t>
            </w:r>
            <w:r>
              <w:rPr>
                <w:rFonts w:hint="eastAsia" w:ascii="仿宋" w:hAnsi="仿宋" w:eastAsia="仿宋" w:cs="仿宋"/>
                <w:b w:val="0"/>
                <w:color w:val="auto"/>
                <w:sz w:val="24"/>
                <w:szCs w:val="24"/>
                <w:highlight w:val="none"/>
                <w:lang w:val="en-US" w:eastAsia="zh-CN"/>
              </w:rPr>
              <w:t>9分</w:t>
            </w:r>
            <w:r>
              <w:rPr>
                <w:rFonts w:hint="eastAsia" w:ascii="仿宋" w:hAnsi="仿宋" w:eastAsia="仿宋" w:cs="仿宋"/>
                <w:b w:val="0"/>
                <w:color w:val="auto"/>
                <w:sz w:val="24"/>
                <w:szCs w:val="24"/>
                <w:highlight w:val="none"/>
                <w:lang w:eastAsia="zh-CN"/>
              </w:rPr>
              <w:t>）</w:t>
            </w:r>
          </w:p>
        </w:tc>
        <w:tc>
          <w:tcPr>
            <w:tcW w:w="6799" w:type="dxa"/>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1、质保期满足招标文件基础上，每增加1年加1分，最多加3分。</w:t>
            </w:r>
          </w:p>
          <w:p>
            <w:pPr>
              <w:spacing w:line="4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2、供货期满足招标文件基础上，每提前5天的加2分，最多加6分。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419" w:type="dxa"/>
            <w:vMerge w:val="continue"/>
            <w:vAlign w:val="center"/>
          </w:tcPr>
          <w:p>
            <w:pPr>
              <w:spacing w:line="440" w:lineRule="exact"/>
              <w:ind w:firstLine="616" w:firstLineChars="257"/>
              <w:rPr>
                <w:rFonts w:hint="eastAsia" w:ascii="仿宋" w:hAnsi="仿宋" w:eastAsia="仿宋" w:cs="仿宋"/>
                <w:color w:val="auto"/>
                <w:szCs w:val="21"/>
                <w:lang w:eastAsia="zh-CN" w:bidi="ar-SA"/>
              </w:rPr>
            </w:pPr>
          </w:p>
        </w:tc>
        <w:tc>
          <w:tcPr>
            <w:tcW w:w="1539"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售后服务方案</w:t>
            </w:r>
          </w:p>
          <w:p>
            <w:pPr>
              <w:spacing w:line="440" w:lineRule="exact"/>
              <w:jc w:val="center"/>
              <w:rPr>
                <w:rFonts w:hint="eastAsia" w:ascii="仿宋" w:hAnsi="仿宋" w:eastAsia="仿宋" w:cs="仿宋"/>
                <w:color w:val="auto"/>
                <w:szCs w:val="21"/>
                <w:lang w:eastAsia="zh-CN" w:bidi="ar-SA"/>
              </w:rPr>
            </w:pPr>
            <w:r>
              <w:rPr>
                <w:rFonts w:hint="eastAsia" w:ascii="仿宋" w:hAnsi="仿宋" w:eastAsia="仿宋" w:cs="仿宋"/>
                <w:color w:val="auto"/>
                <w:kern w:val="2"/>
                <w:sz w:val="24"/>
                <w:szCs w:val="24"/>
                <w:highlight w:val="none"/>
                <w:lang w:val="en-US" w:eastAsia="zh-CN" w:bidi="ar-SA"/>
              </w:rPr>
              <w:t>（12分）</w:t>
            </w:r>
          </w:p>
        </w:tc>
        <w:tc>
          <w:tcPr>
            <w:tcW w:w="6799" w:type="dxa"/>
          </w:tcPr>
          <w:p>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各供应商应提供详细的售后服务方案、服务体系、服务范围以及故障解决方案、响应时间、应急处理方案、专业技术人员保障、售后服务电话等。评标委员会将根据各供应商提供的资料，从全面性、可操作性等进行打分。</w:t>
            </w:r>
          </w:p>
          <w:p>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1、总体售后服务方案计划及服务时效：优的得9分；良好的得6分；一般的得3分；未提供不得分。</w:t>
            </w:r>
          </w:p>
          <w:p>
            <w:pPr>
              <w:spacing w:line="440" w:lineRule="exact"/>
              <w:rPr>
                <w:rFonts w:hint="eastAsia" w:ascii="仿宋" w:hAnsi="仿宋" w:eastAsia="仿宋" w:cs="仿宋"/>
                <w:color w:val="auto"/>
                <w:lang w:eastAsia="zh-CN"/>
              </w:rPr>
            </w:pPr>
            <w:r>
              <w:rPr>
                <w:rFonts w:hint="eastAsia" w:ascii="仿宋" w:hAnsi="仿宋" w:eastAsia="仿宋" w:cs="仿宋"/>
                <w:b w:val="0"/>
                <w:bCs w:val="0"/>
                <w:color w:val="auto"/>
                <w:sz w:val="24"/>
                <w:szCs w:val="24"/>
                <w:highlight w:val="none"/>
                <w:lang w:val="en-US" w:eastAsia="zh-CN"/>
              </w:rPr>
              <w:t>2、有应急保障能力，并提供应急保障方案，应急保障措施完善、可行、针对性强的得3分，良好的得2分，一般的得1分，未提供不得分。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419" w:type="dxa"/>
            <w:vMerge w:val="continue"/>
            <w:vAlign w:val="center"/>
          </w:tcPr>
          <w:p>
            <w:pPr>
              <w:spacing w:line="440" w:lineRule="exact"/>
              <w:ind w:firstLine="616" w:firstLineChars="257"/>
              <w:rPr>
                <w:rFonts w:hint="eastAsia" w:ascii="仿宋" w:hAnsi="仿宋" w:eastAsia="仿宋" w:cs="仿宋"/>
                <w:color w:val="auto"/>
                <w:szCs w:val="21"/>
                <w:lang w:eastAsia="zh-CN" w:bidi="ar-SA"/>
              </w:rPr>
            </w:pPr>
          </w:p>
        </w:tc>
        <w:tc>
          <w:tcPr>
            <w:tcW w:w="1539" w:type="dxa"/>
            <w:vAlign w:val="center"/>
          </w:tcPr>
          <w:p>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培训方案</w:t>
            </w:r>
          </w:p>
          <w:p>
            <w:pPr>
              <w:spacing w:line="4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c>
          <w:tcPr>
            <w:tcW w:w="6799" w:type="dxa"/>
          </w:tcPr>
          <w:p>
            <w:pPr>
              <w:spacing w:line="440" w:lineRule="exac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培训方案及进度安排关键控制点设置合理，便于操作和控制；培训方案及进度安排分工明确，职责分工清晰，能够保证培训的高质量和按计划完成：优的得5分；良好的得3分；一般的得1分；未提供不得分。</w:t>
            </w:r>
          </w:p>
        </w:tc>
      </w:tr>
    </w:tbl>
    <w:p>
      <w:pPr>
        <w:spacing w:line="440" w:lineRule="exact"/>
        <w:ind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1"/>
        <w:tabs>
          <w:tab w:val="left" w:pos="1701"/>
        </w:tabs>
        <w:spacing w:line="440" w:lineRule="exact"/>
        <w:ind w:left="0"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pPr>
        <w:spacing w:line="440" w:lineRule="exact"/>
        <w:ind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满足招标文件技术要求且投标价格最低的投标报价为评标基准价，其价格分为满分。其他投标人的价格分别按照下列公式计算： 投标报价得分=（评标基准价/投标报价）×价格权重。</w:t>
      </w:r>
    </w:p>
    <w:p>
      <w:pPr>
        <w:spacing w:before="156" w:beforeLines="50" w:line="400" w:lineRule="exact"/>
        <w:jc w:val="center"/>
        <w:outlineLvl w:val="1"/>
        <w:rPr>
          <w:rFonts w:hint="eastAsia" w:ascii="仿宋" w:hAnsi="仿宋" w:eastAsia="仿宋" w:cs="仿宋"/>
          <w:b/>
          <w:color w:val="auto"/>
          <w:lang w:eastAsia="zh-CN"/>
        </w:rPr>
      </w:pPr>
      <w:r>
        <w:rPr>
          <w:rFonts w:hint="eastAsia" w:ascii="仿宋" w:hAnsi="仿宋" w:eastAsia="仿宋" w:cs="仿宋"/>
          <w:b/>
          <w:color w:val="auto"/>
          <w:lang w:eastAsia="zh-CN"/>
        </w:rPr>
        <w:t>五  推荐中标候选人</w:t>
      </w:r>
      <w:bookmarkEnd w:id="42"/>
      <w:bookmarkEnd w:id="43"/>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11.评标委员会推荐3名中标候选人，并标明排序。</w:t>
      </w:r>
    </w:p>
    <w:bookmarkEnd w:id="37"/>
    <w:p>
      <w:pPr>
        <w:snapToGrid w:val="0"/>
        <w:spacing w:line="40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pPr>
        <w:snapToGrid w:val="0"/>
        <w:spacing w:line="400" w:lineRule="exact"/>
        <w:rPr>
          <w:rFonts w:hint="eastAsia"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pPr>
        <w:snapToGrid w:val="0"/>
        <w:spacing w:line="400" w:lineRule="exact"/>
        <w:ind w:firstLine="480" w:firstLineChars="200"/>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所有投标人应在规定时间里完成投标文件的解密工作</w:t>
      </w:r>
      <w:r>
        <w:rPr>
          <w:rFonts w:hint="eastAsia" w:ascii="仿宋" w:hAnsi="仿宋" w:eastAsia="仿宋" w:cs="仿宋"/>
          <w:b/>
          <w:bCs/>
          <w:color w:val="auto"/>
          <w:szCs w:val="21"/>
          <w:lang w:eastAsia="zh-CN"/>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pPr>
        <w:snapToGrid w:val="0"/>
        <w:spacing w:line="4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12.2投标人有下列情形之一的,资格审查后其投标作无效投标处理：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(2)投标人为本项目提供招标代理服务的；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(3)投标人与在本项目代理机构存在相互任职或工作的；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(6)投标人超出营业范围投标的；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(11)投标人单位负责人为同一人或者存在控股、管理关系的不同单位的；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（12）投标人基本资格条件和特定资格条件中有一项及以上不符合要求的；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（13）投标人使用相同的MAC地址进行报名的；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（15）投标人使用相同IP地址报名的，一经发现，监管部门将进一步核实，查实后按串通投标处理；</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pPr>
        <w:snapToGrid w:val="0"/>
        <w:spacing w:line="4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12.3 投标人有下列情形之一的,符合性审查后其投标按无效投标处理：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(4)同一投标人提交两个以上不同的投标文件或者投标报价，但采购文件规定提交备选方案的除外；</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pPr>
        <w:widowControl/>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bidi="ar"/>
        </w:rPr>
        <w:t>未按照招标文件的规定提交投标保证金的；</w:t>
      </w:r>
    </w:p>
    <w:p>
      <w:pPr>
        <w:widowControl/>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bidi="ar"/>
        </w:rPr>
        <w:t>投标文件含有采购人不能接受的附加条件的;</w:t>
      </w:r>
    </w:p>
    <w:p>
      <w:pPr>
        <w:tabs>
          <w:tab w:val="left" w:pos="1123"/>
        </w:tabs>
        <w:snapToGrid w:val="0"/>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12.4 投标人有下列情形之一的, 详细评审后其投标按无效投标处理：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(2)投标人有串通投标、弄虚作假、行贿等违法行为；</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（4）在同一项目（或同一标段）中有多个投标人有效投标报价接近最高限价，且评标委员会认为报价出现异常的，可以宣布其投标无效；</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（5）报价明显低于其他投标人，且不能证明报价合理性的投标无效；</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pPr>
        <w:pageBreakBefore/>
        <w:spacing w:line="360" w:lineRule="auto"/>
        <w:jc w:val="center"/>
        <w:outlineLvl w:val="0"/>
        <w:rPr>
          <w:rFonts w:hint="eastAsia" w:ascii="仿宋" w:hAnsi="仿宋" w:eastAsia="仿宋" w:cs="仿宋"/>
          <w:b/>
          <w:color w:val="auto"/>
          <w:sz w:val="32"/>
          <w:szCs w:val="32"/>
          <w:lang w:eastAsia="zh-CN"/>
        </w:rPr>
        <w:sectPr>
          <w:footerReference r:id="rId6" w:type="default"/>
          <w:pgSz w:w="11906" w:h="16838"/>
          <w:pgMar w:top="1134" w:right="1080" w:bottom="1440" w:left="1080" w:header="851" w:footer="992" w:gutter="0"/>
          <w:pgNumType w:start="1"/>
          <w:cols w:space="720" w:num="1"/>
          <w:docGrid w:type="linesAndChars" w:linePitch="312" w:charSpace="0"/>
        </w:sectPr>
      </w:pPr>
      <w:bookmarkStart w:id="44" w:name="_Toc469495737"/>
      <w:bookmarkStart w:id="45" w:name="OLE_LINK4"/>
    </w:p>
    <w:bookmarkEnd w:id="38"/>
    <w:bookmarkEnd w:id="44"/>
    <w:p>
      <w:pPr>
        <w:pageBreakBefore/>
        <w:numPr>
          <w:ilvl w:val="0"/>
          <w:numId w:val="5"/>
        </w:numPr>
        <w:spacing w:line="440" w:lineRule="exact"/>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技术规格、数量及质量要求</w:t>
      </w:r>
    </w:p>
    <w:p>
      <w:pPr>
        <w:jc w:val="center"/>
        <w:rPr>
          <w:rFonts w:hint="eastAsia" w:ascii="仿宋" w:hAnsi="仿宋" w:eastAsia="仿宋" w:cs="仿宋"/>
          <w:color w:val="auto"/>
          <w:lang w:eastAsia="zh-CN"/>
        </w:rPr>
      </w:pPr>
    </w:p>
    <w:tbl>
      <w:tblPr>
        <w:tblStyle w:val="22"/>
        <w:tblW w:w="10535"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00"/>
        <w:gridCol w:w="7507"/>
        <w:gridCol w:w="713"/>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1" w:type="dxa"/>
            <w:vAlign w:val="center"/>
          </w:tcPr>
          <w:p>
            <w:pPr>
              <w:jc w:val="center"/>
              <w:rPr>
                <w:rFonts w:hint="eastAsia" w:ascii="仿宋" w:hAnsi="仿宋" w:eastAsia="仿宋" w:cs="仿宋"/>
                <w:color w:val="auto"/>
                <w:sz w:val="24"/>
                <w:szCs w:val="24"/>
                <w:vertAlign w:val="baseline"/>
                <w:lang w:eastAsia="zh-CN"/>
              </w:rPr>
            </w:pPr>
            <w:bookmarkStart w:id="46" w:name="_Toc267320052"/>
            <w:bookmarkStart w:id="47" w:name="_Toc340225294"/>
            <w:r>
              <w:rPr>
                <w:rFonts w:hint="eastAsia" w:ascii="仿宋" w:hAnsi="仿宋" w:eastAsia="仿宋" w:cs="仿宋"/>
                <w:color w:val="auto"/>
                <w:sz w:val="24"/>
                <w:szCs w:val="24"/>
                <w:vertAlign w:val="baseline"/>
                <w:lang w:eastAsia="zh-CN"/>
              </w:rPr>
              <w:t>序号</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名称</w:t>
            </w:r>
          </w:p>
        </w:tc>
        <w:tc>
          <w:tcPr>
            <w:tcW w:w="7507"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技术参数</w:t>
            </w:r>
          </w:p>
        </w:tc>
        <w:tc>
          <w:tcPr>
            <w:tcW w:w="71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数量</w:t>
            </w:r>
          </w:p>
        </w:tc>
        <w:tc>
          <w:tcPr>
            <w:tcW w:w="574"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便携式多导睡眠记录仪</w:t>
            </w:r>
          </w:p>
        </w:tc>
        <w:tc>
          <w:tcPr>
            <w:tcW w:w="7507" w:type="dxa"/>
            <w:vAlign w:val="center"/>
          </w:tcPr>
          <w:p>
            <w:pPr>
              <w:jc w:val="left"/>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一、产品特点：</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1)设备具有≥18导联监测参数：脑电、心电、眼电/下颌肌电、心率、口鼻气流（压力式）、气流鼾声、血氧饱和度、胸/腹式运动、脉搏、MIC鼾声、体位、PTT、压力滴定、脉搏波形、体动、腿动。</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vertAlign w:val="baseline"/>
                <w:lang w:eastAsia="zh-CN"/>
              </w:rPr>
              <w:t>内置16G存储卡，高速USB读取数据，可连续记录100个以上病例数据。</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3)内置4000mAh可充电锂电池供电，环保便捷。充满电后可持续记录时间不低于20小时。屏幕上有电量显示，并且有低电量提示功能；只要在开机时电池电量＞50%，设备即可确保电池电量能工作整个晚上，确保数据的完整性。</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4)</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vertAlign w:val="baseline"/>
                <w:lang w:eastAsia="zh-CN"/>
              </w:rPr>
              <w:t>2.8寸TFT彩色显示屏直观显示鼻气流、鼾声、血氧饱和度、脉搏、体位、体动、胸/腹运动等所有导联通道参数数据信号接收情况及数据动态，方便医护人员及用户随时观察设备运行情况，确定设备佩戴是否正确。</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5)</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vertAlign w:val="baseline"/>
                <w:lang w:eastAsia="zh-CN"/>
              </w:rPr>
              <w:t>内置高精度3D陀螺仪，用于监测用户胸/腹运动、体位、体动这几项参数，该技术与传统的外接胸腹带技术相比具有灵敏度高，抗干扰能力强，随时记录各种微小动作等特点。</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6)主机精致，体积小巧，一键式操作，设备佩戴简单方便。</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7)可支持任意品牌无创正压呼吸机进行压力滴定实验。</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8)支持无线实时数据观察和主机屏幕数据观察两种方式，患者可自由移动。</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9)采用一次性贴片式电极贴采集生物电，佩戴方便，信号质量好。</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10)智能电脑自动分析软件，可提供详细的、不同格式的多种总结报告单，如睡眠监测报告报告单、呼吸事件汇总表、血氧汇总表、综合趋势图、压力滴定报表，具备数据管理功能。</w:t>
            </w:r>
          </w:p>
          <w:p>
            <w:pPr>
              <w:jc w:val="left"/>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二、设备参数：</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主机：尺寸≥125*80*26（mm）</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重量：裸机≥130g（含锂电池190g）</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外壳材料：ABS塑料</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数据终端：尺寸≥80*50*20（mm）</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重量：≥30g</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外壳材料：ABS塑料</w:t>
            </w:r>
          </w:p>
          <w:p>
            <w:pPr>
              <w:jc w:val="left"/>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三、技术指标</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性能指标</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A/D采集:12位</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最高采样频率:</w:t>
            </w:r>
            <w:r>
              <w:rPr>
                <w:rFonts w:hint="eastAsia" w:ascii="仿宋" w:hAnsi="仿宋" w:eastAsia="仿宋" w:cs="仿宋"/>
                <w:color w:val="auto"/>
                <w:sz w:val="24"/>
                <w:szCs w:val="24"/>
                <w:vertAlign w:val="baseline"/>
                <w:lang w:eastAsia="zh-CN"/>
              </w:rPr>
              <w:tab/>
            </w:r>
            <w:r>
              <w:rPr>
                <w:rFonts w:hint="eastAsia" w:ascii="仿宋" w:hAnsi="仿宋" w:eastAsia="仿宋" w:cs="仿宋"/>
                <w:color w:val="auto"/>
                <w:sz w:val="24"/>
                <w:szCs w:val="24"/>
                <w:vertAlign w:val="baseline"/>
                <w:lang w:eastAsia="zh-CN"/>
              </w:rPr>
              <w:t>2048Hz</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存储容量:16G</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记录数据读出方式:</w:t>
            </w:r>
            <w:r>
              <w:rPr>
                <w:rFonts w:hint="eastAsia" w:ascii="仿宋" w:hAnsi="仿宋" w:eastAsia="仿宋" w:cs="仿宋"/>
                <w:color w:val="auto"/>
                <w:sz w:val="24"/>
                <w:szCs w:val="24"/>
                <w:vertAlign w:val="baseline"/>
                <w:lang w:eastAsia="zh-CN"/>
              </w:rPr>
              <w:tab/>
            </w:r>
            <w:r>
              <w:rPr>
                <w:rFonts w:hint="eastAsia" w:ascii="仿宋" w:hAnsi="仿宋" w:eastAsia="仿宋" w:cs="仿宋"/>
                <w:color w:val="auto"/>
                <w:sz w:val="24"/>
                <w:szCs w:val="24"/>
                <w:vertAlign w:val="baseline"/>
                <w:lang w:eastAsia="zh-CN"/>
              </w:rPr>
              <w:t>USB读取（内置SD卡）</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连续工作时间:单次充满电后可连续工作＞20H</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硬件参数指标</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1)EEG、EOG、EMG分别对应人体脑电/眼电/下颌肌电：</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a.输入阻抗：≥5MΩ；</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b.幅频特性：以10Hz为基准，1Hz～30Hz (≤－3.0dB～+0.4dB)；</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c.共模抑制比：≥80dB；</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d.内部噪声：折合到放大器输入端≤5μVp-p；</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e.耐极化电压：加±300mV的直流极化电压，显示幅度变化范围≤±5%。</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2)ECG对应人体心电：</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a.输入阻抗：≥5MΩ；</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b.幅频特性：以10Hz为基准，1Hz～25Hz(≤－3.0dB～+0.4dB)；</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c.时间常数：≥0.1s；</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d.共模抑制比：≥60dB；</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e.内部噪声：折合到放大器输入端≤30μVp-p；</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f.耐极化电压：加±300mV的直流极化电压，显示幅度变化范围≤±5%。</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3)血氧饱和度范围（%SpO2）:70%-100%；</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a.血氧饱和度:80%-100%，误差绝对值≤±2%；</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b.血氧饱和度:70%-79%，误差绝对值≤±3%。</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4)脉搏显示范围：30bpm - 240bpm；</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a.30bpm-100bpm，误差≤±2次/分；</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b.100bpm-240bpm，误差≤±2%。</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5)胸/腹部运动：采用3D陀螺仪技术监测胸/腹运动，能精准监测用户胸/腹运动变化的信号波形。</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6)呼吸气流：采用高灵敏度压力传感器，频率范围：5-60次/分；误差≤±2次/分。</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7)体位：能识别人体仰位，俯位，左侧位，右侧位和站立位5种体位信号。</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8)体动：能监测用户身体运动变化的信号波形。</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9)腿部运动：采用3D传感器，误差≤±2次/分，能观察人体腿部运动变化的信号波形。</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w:t>
            </w:r>
            <w:r>
              <w:rPr>
                <w:rFonts w:hint="eastAsia" w:ascii="仿宋" w:hAnsi="仿宋" w:eastAsia="仿宋" w:cs="仿宋"/>
                <w:color w:val="auto"/>
                <w:sz w:val="24"/>
                <w:szCs w:val="24"/>
                <w:highlight w:val="none"/>
                <w:vertAlign w:val="baseline"/>
                <w:lang w:eastAsia="zh-CN"/>
              </w:rPr>
              <w:t>★</w:t>
            </w:r>
            <w:r>
              <w:rPr>
                <w:rFonts w:hint="eastAsia" w:ascii="仿宋" w:hAnsi="仿宋" w:eastAsia="仿宋" w:cs="仿宋"/>
                <w:color w:val="auto"/>
                <w:sz w:val="24"/>
                <w:szCs w:val="24"/>
                <w:vertAlign w:val="baseline"/>
                <w:lang w:eastAsia="zh-CN"/>
              </w:rPr>
              <w:t>鼾声：能同时监测用户鼻气流鼾声（压力式）及MIC鼾声信号波形，双重鼾声监测，可有效进行鼾声数据对比。</w:t>
            </w:r>
          </w:p>
          <w:p>
            <w:pPr>
              <w:jc w:val="left"/>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四、软件性能指标</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1)睡眠软件符合最新的AASM标准，R&amp;K和AASM互相转换，具有全中文操作界面、全中文报告，并具有儿童、成人分析软件。</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2)软件具备在记录病人数据的同时可对数据进行实时自动或手动分析；软件具备自动数据分析和人工分析两种方式。</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3)高频信号（如：EEG，ECG，EMG，EOG）与低频信号（如血氧、口鼻气流、体位、腿动等）可以分别采用不同扫描速度同屏显示，便于医生直观的进行睡眠分析。</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4)信号波形曲线可进行整体放大、缩小、翻转、隐藏或显示操作，对局部波形可进行单独放大、测量分析。</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5)专业PSG多导睡眠采集分析软件包括：睡眠分期、血氧饱和度趋势、体位分析、腿动分析、脉率分析、PTT分析、呼吸气流分析、鼾声事件分析、氧降事件分析、呼吸事件、睡眠微结构分析、微觉醒事件分析、异态睡眠分析、Lorenz睡眠质量分析等。</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6)功能丰富的回放分析软件，以色标标记睡眠过程中的呼吸暂停、鼾声事件等各类异常波形。</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7)采用Word灵活的中英文报告格式，医生可根据需要进行任意编辑，可以产生整夜、分夜报告，得到诊断和治疗情况。</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8)数据采集和回顾时，可实时添加或改变灯光状态等事件，并可对干扰波形进行整页屏蔽。</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9)睡眠紊乱事件自动分析软件：呼吸事件、血氧饱和度、自发性微觉醒、运动相关性微觉醒、呼吸相关性微觉醒、PLM腿动、鼾声及其他自定义事件。</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10)具备AHI和RDI（包括AHI气流受限等不确定呼吸事件）指标。</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11)数据导联具有滤波增益调节功能。</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12)具备PTT（脉搏传输时间）功能反映睡眠呼吸事件发生时的血压变化，并能辅助呼吸事件判断。</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13)软件具备快速傅里叶变换直方图查看功能。</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14)具有自定义事件标记功能，可快速插入自定义事件，并且能够快速准确查找呼吸暂停、低通气、低血氧饱和度等异常事件。</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15)具备导联曲线分类展示，可显示所有导联波形或单独显示呼吸相关波形、生物电相关波形、气流变化相关波形，简化分析。</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电源：3.7V可充锂电池（内置）</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防电击类型：内部电源供电</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防电击程度：BF型应用部分</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充电适配器：DC5V 1A 符合安规GB9706.1-2007</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对有害进液的防护程度：普通设备</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熔断器：无</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运行模式：连续运行</w:t>
            </w:r>
          </w:p>
          <w:p>
            <w:pPr>
              <w:jc w:val="left"/>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五、运行条件</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环境温度：0℃～40℃</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相对湿度：30%～80%</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大气压力：500hPa～1060hPa</w:t>
            </w:r>
          </w:p>
          <w:p>
            <w:pPr>
              <w:jc w:val="left"/>
              <w:rPr>
                <w:rFonts w:hint="eastAsia" w:ascii="仿宋" w:hAnsi="仿宋" w:eastAsia="仿宋" w:cs="仿宋"/>
                <w:b/>
                <w:bCs/>
                <w:color w:val="auto"/>
                <w:sz w:val="24"/>
                <w:szCs w:val="24"/>
                <w:vertAlign w:val="baseline"/>
                <w:lang w:eastAsia="zh-CN"/>
              </w:rPr>
            </w:pPr>
            <w:r>
              <w:rPr>
                <w:rFonts w:hint="eastAsia" w:ascii="仿宋" w:hAnsi="仿宋" w:eastAsia="仿宋" w:cs="仿宋"/>
                <w:b/>
                <w:bCs/>
                <w:color w:val="auto"/>
                <w:sz w:val="24"/>
                <w:szCs w:val="24"/>
                <w:vertAlign w:val="baseline"/>
                <w:lang w:eastAsia="zh-CN"/>
              </w:rPr>
              <w:t>六、贮存和运输条件</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环境温度：－20 °C～＋55 °C</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相对湿度：10%～95%（无冷凝）</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大气压力：500hPa～1060hPa</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七、系统配置要求</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10GB以上的可用磁盘空间</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2GB以上内存</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2GHz以上主频的CPU</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WindowsXP、7、8、10及以上操作系统，支持32位和64位操作系统。</w:t>
            </w:r>
          </w:p>
        </w:tc>
        <w:tc>
          <w:tcPr>
            <w:tcW w:w="713"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1台</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全胸振荡排痰机</w:t>
            </w:r>
          </w:p>
        </w:tc>
        <w:tc>
          <w:tcPr>
            <w:tcW w:w="7507" w:type="dxa"/>
            <w:vAlign w:val="center"/>
          </w:tcPr>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1、适用范围：用于胸腔外部处置时进行气道清除排痰治疗，适用于分泌物排出困难或由粘液阻塞引起的肺膨胀不全患者，同时促进气道清除排痰或改善支气管引流。</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★2、主要构成：由主机（内置气动脉冲发生器）、导气软管、充气背心和手控器组成。</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3、结构形式：便携式兼备台式功能（可装配撑杆座）。</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4、显示方式：彩色液晶界面显示方式。</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★5、按键方式：一键飞梭的操作方式，所有功能的调节仅需通过对一个键施以旋转及按压动作即可全部完成。</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6、导气方式：采用2根导气软管同步向充气背心充、放气。</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★7、能装卸的全胸充气背心：背心由外套及气囊两部分组成，可以拆卸，外套可按普通衣物的方式随时清洗。</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 xml:space="preserve"> 8、压力范围：0.5kpa～3.2kpa，</w:t>
            </w:r>
            <w:r>
              <w:rPr>
                <w:rFonts w:hint="eastAsia" w:ascii="仿宋" w:hAnsi="仿宋" w:eastAsia="仿宋" w:cs="仿宋"/>
                <w:color w:val="auto"/>
                <w:sz w:val="24"/>
                <w:szCs w:val="24"/>
                <w:highlight w:val="none"/>
                <w:vertAlign w:val="baseline"/>
                <w:lang w:eastAsia="zh-CN"/>
              </w:rPr>
              <w:t>步距</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highlight w:val="none"/>
                <w:vertAlign w:val="baseline"/>
                <w:lang w:eastAsia="zh-CN"/>
              </w:rPr>
              <w:t>0.3kpa</w:t>
            </w:r>
            <w:r>
              <w:rPr>
                <w:rFonts w:hint="eastAsia" w:ascii="仿宋" w:hAnsi="仿宋" w:eastAsia="仿宋" w:cs="仿宋"/>
                <w:color w:val="auto"/>
                <w:sz w:val="24"/>
                <w:szCs w:val="24"/>
                <w:vertAlign w:val="baseline"/>
                <w:lang w:eastAsia="zh-CN"/>
              </w:rPr>
              <w:t>。</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★9、振动频率：5Hz～30Hz，</w:t>
            </w:r>
            <w:r>
              <w:rPr>
                <w:rFonts w:hint="eastAsia" w:ascii="仿宋" w:hAnsi="仿宋" w:eastAsia="仿宋" w:cs="仿宋"/>
                <w:color w:val="auto"/>
                <w:sz w:val="24"/>
                <w:szCs w:val="24"/>
                <w:highlight w:val="none"/>
                <w:vertAlign w:val="baseline"/>
                <w:lang w:eastAsia="zh-CN"/>
              </w:rPr>
              <w:t>歩距</w:t>
            </w: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highlight w:val="none"/>
                <w:vertAlign w:val="baseline"/>
                <w:lang w:eastAsia="zh-CN"/>
              </w:rPr>
              <w:t>1Hz</w:t>
            </w:r>
            <w:r>
              <w:rPr>
                <w:rFonts w:hint="eastAsia" w:ascii="仿宋" w:hAnsi="仿宋" w:eastAsia="仿宋" w:cs="仿宋"/>
                <w:color w:val="auto"/>
                <w:sz w:val="24"/>
                <w:szCs w:val="24"/>
                <w:vertAlign w:val="baseline"/>
                <w:lang w:eastAsia="zh-CN"/>
              </w:rPr>
              <w:t>，连续可调。</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10、手动模式：治疗中压力及频率可随时调节。</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★11、自动模式：按体型不同而分级定制，共有5种自动程序模式，压力及频率是固定值、不可调。</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★12、自定义模式：治疗前设定各时段的压力及频率，治疗中不可调。</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13、定时时间：自动模式、自定义模式分为5min、10min、15min和20min四档。</w:t>
            </w:r>
          </w:p>
          <w:p>
            <w:pPr>
              <w:jc w:val="both"/>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手动模式1min～99min连续可调，歩距1min</w:t>
            </w:r>
          </w:p>
          <w:p>
            <w:pPr>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14、设备标配的手控触发器有“加压”、 “启动”、“停止”三项功能,必要时可利用手控器进行快速停机。</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手术显微镜</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1.工作条件 ：交流220V±10  50±1Hz</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2.基本要求 :用于耳鼻喉科手术，整机原装进口，1个主刀镜1个助手镜，双人四目配置。</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3.光学镜头：高分辨率，复消色差光学物镜</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4.放大倍率：6:1</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5.放大范围：1.5~15倍 (配12.5倍目镜)，电动连续调节，并有手动变倍系统（应急状态下）</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6.★工作距离（焦距）：单一可变物镜，无需更换物镜，通过电动连续调焦，工作距离必须同时满足最小≤210mm，最大≥460mm.需要彩页资料证明。</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7.视野直径：16.5~180毫米（10倍目镜下），电动连续调节</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8.★前端保护镜：灭菌保护透镜，玻璃材质，可反复消毒使用，防止污染镜头</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9.光学系统旋转范围：540度，电动调节镜头平衡</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10.主刀镜：35~140°可调</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11.助手镜：助手镜360度可调。</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12.★主光源：内置180W氙气灯，备用光源：180W氙气灯，不接受LED光源照明。可快速切换到备用光源</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13.★照明光栅直径：自动连续可调，随变倍增加光栅自动缩小，避免避免灼伤患者的组织，避免无用光干扰术者，必须有彩页资料证明，否则视为负偏离</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14.★光强度保护：随变倍增加焦距减小时光强度自动保护，避免灼伤患者的组织，必须有彩页资料证明。</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15.系统平衡：悬浮式指控太空平衡支架系统调节，支架过头设计，无需升降立柱高度即可满足特殊体位的手术，如：正座位、颈椎、后颅窝操作等。</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16.多功能手柄：可控制变焦、变倍、光亮度等</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17.支架设计紧凑，流线型设计，节省空间，外观整齐大方，有过头设计，方便体位摆放，使操作者容易操作</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18.支架最大高度≥1918mm</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19.最大伸展范围：≥1692mm</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20.★可存储10组医生的资料，方便医生手术，需要提供彩页资料证明</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21.开放式的导航系统架构，带有计算机RS232接口，可接任何品牌导航</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低温等离子耳鼻喉科手术系统</w:t>
            </w:r>
          </w:p>
        </w:tc>
        <w:tc>
          <w:tcPr>
            <w:tcW w:w="7507" w:type="dxa"/>
            <w:vAlign w:val="center"/>
          </w:tcPr>
          <w:p>
            <w:pPr>
              <w:jc w:val="both"/>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一、名称：等离子手术设备（一套）</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1.CFDAⅢ类产品，知名品牌。</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2.临床适用范围：适用于外科手术时，对软组织进行消融、切割、凝固及止血。</w:t>
            </w:r>
          </w:p>
          <w:p>
            <w:pPr>
              <w:jc w:val="both"/>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二、性能指标及技术参数：</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1.主机安全类型：Ⅰ类、BF型应用部分。</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2.工作频率≥100KHz。</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3.主机运行模式：间歇加载连续运行（10s通/30s断）。</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4.主机具备切割消融模式1-9档可调，主机具备凝固止血模式1-9档可调。</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5.输出电压切割消融模式最大峰值电压可达700V，凝固止血模式最大峰值电压可达300V。</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6.当盐水浓度发生变化时，手术系统主机能正常激发，不发生损坏。</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7.电极手柄与电极杆之间连接牢固，应能承受≥20N拉力不脱落。</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8.刀头电极各极之间的绝缘电阻应不小于5MΩ，刀头电极各极之间的高频绝缘阻抗应不小于1KΩ。</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9.脚踏开关防水等级符合IPX8。</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10.在正常使用时，操作者持续接触的所有设备的控制杆、旋钮、手柄等类物件的可触及表面，模制材料、橡胶或木材不超过47.5度。</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11.在正常使用中，可能与患者短时接触的设备部件不超过42.1度。</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12.主机使用年限≥5年。</w:t>
            </w:r>
          </w:p>
          <w:p>
            <w:pPr>
              <w:jc w:val="both"/>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三、产品性能</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1．全触摸屏模式：≥8英寸全触摸屏操控，简便直观，界面简洁、切换自如。</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2．工作显示界面：具有数字式、图示式两种。</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3．双极或多极设计，不用负极板。</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4．主机和刀头均有芯片，插入不同的刀头主机自动输出相应的功率档位，无需手动调节。</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5．刀头直径大小可用于扁桃体、腺样体、CAUP、UPPP、OSAHS、慢性鼻窦炎、鼻颅底肿瘤、声带肿物、喉部肿物、舌根打孔、鼻甲消融、耳内镜等手术。</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6．具有生理盐水滴注泵，根据临床治疗需要滴注生理盐水。</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7．生理盐水滴注泵可自动随刀头工作打开，刀头停止工作停止。</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纤维鼻咽喉镜</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由目镜部、操作部、插入部（其中包括弯曲部)、头端部和导光插头部组成。</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主要技术指标：</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分辨率：不低于3.51LP/mm；</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目镜视度调节范围：不小于±3D；</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景深：2mm～60mm；</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视场角：≥120°；</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整机在压力为30kPa，3min，必须密封良好，不得漏水；</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头端部外径：不超过Φ3.8mm；</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插入部外径：不超过Φ4.0mm；</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弯角：上≥130°，下≥130°。</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641" w:type="dxa"/>
            <w:vAlign w:val="center"/>
          </w:tcPr>
          <w:p>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w:t>
            </w:r>
          </w:p>
          <w:p>
            <w:pPr>
              <w:jc w:val="center"/>
              <w:rPr>
                <w:rFonts w:hint="default" w:ascii="仿宋" w:hAnsi="仿宋" w:eastAsia="仿宋" w:cs="仿宋"/>
                <w:color w:val="auto"/>
                <w:sz w:val="24"/>
                <w:szCs w:val="24"/>
                <w:highlight w:val="none"/>
                <w:vertAlign w:val="baseline"/>
                <w:lang w:val="en-US" w:eastAsia="zh-CN"/>
              </w:rPr>
            </w:pPr>
          </w:p>
        </w:tc>
        <w:tc>
          <w:tcPr>
            <w:tcW w:w="1100" w:type="dxa"/>
            <w:vAlign w:val="center"/>
          </w:tcPr>
          <w:p>
            <w:pPr>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鼻窦电动手术刀</w:t>
            </w:r>
          </w:p>
        </w:tc>
        <w:tc>
          <w:tcPr>
            <w:tcW w:w="7507" w:type="dxa"/>
            <w:vAlign w:val="center"/>
          </w:tcPr>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1.微电脑主机</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电源电压:220V50/60Hz</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保险柱:220V2×3A(5×20mm)</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输入功率:200W</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2.脚踏控制器:防水型</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3.鼻吸切钻手机</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最高单向使用转速:7500r.p.m</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摆动最高使用转速:3500r.p.m</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转矩:108gf.cm(6000r.p.m)</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摆动换向频率:300次/分</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4.配套刀具使用速度:</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转动模式:900～7500r.p.m;摆动模设计:900～3500r.p.m(300次/分)</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5.注水系统</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流量:100～500ml/min五档</w:t>
            </w:r>
          </w:p>
          <w:p>
            <w:pPr>
              <w:jc w:val="both"/>
              <w:rPr>
                <w:rFonts w:hint="eastAsia"/>
                <w:color w:val="auto"/>
                <w:lang w:eastAsia="zh-CN"/>
              </w:rPr>
            </w:pPr>
            <w:r>
              <w:rPr>
                <w:rFonts w:hint="eastAsia" w:ascii="仿宋" w:hAnsi="仿宋" w:eastAsia="仿宋" w:cs="仿宋"/>
                <w:color w:val="auto"/>
                <w:sz w:val="24"/>
                <w:szCs w:val="24"/>
                <w:lang w:eastAsia="zh-CN"/>
              </w:rPr>
              <w:t>压力:30mmHg</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eastAsia" w:ascii="仿宋" w:hAnsi="仿宋" w:eastAsia="仿宋" w:cs="仿宋"/>
                <w:color w:val="auto"/>
                <w:sz w:val="24"/>
                <w:szCs w:val="24"/>
                <w:highlight w:val="yellow"/>
                <w:vertAlign w:val="baseline"/>
                <w:lang w:val="en-US" w:eastAsia="zh-CN"/>
              </w:rPr>
            </w:pPr>
            <w:r>
              <w:rPr>
                <w:rFonts w:hint="eastAsia" w:ascii="仿宋" w:hAnsi="仿宋" w:eastAsia="仿宋" w:cs="仿宋"/>
                <w:color w:val="auto"/>
                <w:sz w:val="24"/>
                <w:szCs w:val="24"/>
                <w:highlight w:val="none"/>
                <w:vertAlign w:val="baseline"/>
                <w:lang w:val="en-US" w:eastAsia="zh-CN"/>
              </w:rPr>
              <w:t>7</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b w:val="0"/>
                <w:bCs w:val="0"/>
                <w:color w:val="auto"/>
                <w:sz w:val="24"/>
                <w:szCs w:val="24"/>
                <w:lang w:eastAsia="zh-CN"/>
              </w:rPr>
              <w:t>耳科微动力手术电钻</w:t>
            </w:r>
          </w:p>
        </w:tc>
        <w:tc>
          <w:tcPr>
            <w:tcW w:w="7507" w:type="dxa"/>
            <w:vAlign w:val="center"/>
          </w:tcPr>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1、动力主机：</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（1）可满足耳科显微手术要求。</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（2）主机液晶屏显示转速、转向、注水量等参数。</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（3）能自动识别手柄的种类。</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（4）手动可调，控制转速及旋转方向。</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（5）有脚踏和手动两种方式控制手柄的运转。</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（6）可控制注水泵。</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2、高速耳科手柄：</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w:t>
            </w:r>
            <w:r>
              <w:rPr>
                <w:rFonts w:hint="eastAsia" w:ascii="仿宋" w:hAnsi="仿宋" w:eastAsia="仿宋" w:cs="仿宋"/>
                <w:color w:val="auto"/>
                <w:lang w:eastAsia="zh-CN"/>
              </w:rPr>
              <w:t>最高80000转每分钟的正、反转两种工作模式。</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w:t>
            </w:r>
            <w:r>
              <w:rPr>
                <w:rFonts w:hint="eastAsia" w:ascii="仿宋" w:hAnsi="仿宋" w:eastAsia="仿宋" w:cs="仿宋"/>
                <w:color w:val="auto"/>
                <w:lang w:eastAsia="zh-CN"/>
              </w:rPr>
              <w:t>水冷式设计，降低手柄的工作温度。</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w:t>
            </w:r>
            <w:r>
              <w:rPr>
                <w:rFonts w:hint="eastAsia" w:ascii="仿宋" w:hAnsi="仿宋" w:eastAsia="仿宋" w:cs="仿宋"/>
                <w:color w:val="auto"/>
                <w:lang w:eastAsia="zh-CN"/>
              </w:rPr>
              <w:t>符合人体工程学设计的钛合金手柄。</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4</w:t>
            </w:r>
            <w:r>
              <w:rPr>
                <w:rFonts w:hint="eastAsia" w:ascii="仿宋" w:hAnsi="仿宋" w:eastAsia="仿宋" w:cs="仿宋"/>
                <w:color w:val="auto"/>
                <w:lang w:val="en-US" w:eastAsia="zh-CN"/>
              </w:rPr>
              <w:t>.</w:t>
            </w:r>
            <w:r>
              <w:rPr>
                <w:rFonts w:hint="eastAsia" w:ascii="仿宋" w:hAnsi="仿宋" w:eastAsia="仿宋" w:cs="仿宋"/>
                <w:color w:val="auto"/>
                <w:lang w:eastAsia="zh-CN"/>
              </w:rPr>
              <w:t>易用的钻头锁扣装置：简单易用，快速掌握，可轻易的转换钻头</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5. 耳科钻头</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1)分切割和圆磨钻头（粗金刚砂、细金刚砂两种），钻头圆形，长度70mm（头部直径1-7mm）；</w:t>
            </w:r>
          </w:p>
          <w:p>
            <w:pPr>
              <w:pStyle w:val="28"/>
              <w:jc w:val="both"/>
              <w:rPr>
                <w:rFonts w:hint="eastAsia" w:ascii="仿宋" w:hAnsi="仿宋" w:eastAsia="仿宋" w:cs="仿宋"/>
                <w:color w:val="auto"/>
                <w:lang w:eastAsia="zh-CN"/>
              </w:rPr>
            </w:pPr>
            <w:r>
              <w:rPr>
                <w:rFonts w:hint="eastAsia" w:ascii="仿宋" w:hAnsi="仿宋" w:eastAsia="仿宋" w:cs="仿宋"/>
                <w:color w:val="auto"/>
                <w:lang w:eastAsia="zh-CN"/>
              </w:rPr>
              <w:t> 2)切削速度快，抗磨损寿命长；</w:t>
            </w:r>
          </w:p>
          <w:p>
            <w:pPr>
              <w:pStyle w:val="28"/>
              <w:jc w:val="both"/>
              <w:rPr>
                <w:rFonts w:hint="eastAsia" w:ascii="仿宋" w:hAnsi="仿宋" w:eastAsia="仿宋" w:cs="仿宋"/>
                <w:color w:val="auto"/>
                <w:sz w:val="24"/>
                <w:szCs w:val="24"/>
              </w:rPr>
            </w:pPr>
            <w:r>
              <w:rPr>
                <w:rFonts w:hint="eastAsia" w:ascii="仿宋" w:hAnsi="仿宋" w:eastAsia="仿宋" w:cs="仿宋"/>
                <w:color w:val="auto"/>
                <w:lang w:eastAsia="zh-CN"/>
              </w:rPr>
              <w:t>3)带尼龙保护鞘膜的弯钻头1根，角度20°，工作中仅钻头部分转动，保护鞘不转动，长度90-115mm。</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eastAsia" w:ascii="仿宋" w:hAnsi="仿宋" w:eastAsia="仿宋" w:cs="仿宋"/>
                <w:color w:val="auto"/>
                <w:sz w:val="24"/>
                <w:szCs w:val="24"/>
                <w:highlight w:val="yellow"/>
                <w:vertAlign w:val="baseline"/>
                <w:lang w:val="en-US" w:eastAsia="zh-CN"/>
              </w:rPr>
            </w:pPr>
            <w:r>
              <w:rPr>
                <w:rFonts w:hint="eastAsia" w:ascii="仿宋" w:hAnsi="仿宋" w:eastAsia="仿宋" w:cs="仿宋"/>
                <w:color w:val="auto"/>
                <w:sz w:val="24"/>
                <w:szCs w:val="24"/>
                <w:highlight w:val="none"/>
                <w:vertAlign w:val="baseline"/>
                <w:lang w:val="en-US" w:eastAsia="zh-CN"/>
              </w:rPr>
              <w:t>8</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听力检查屏蔽隔音室</w:t>
            </w:r>
          </w:p>
        </w:tc>
        <w:tc>
          <w:tcPr>
            <w:tcW w:w="7507"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1、超低噪音的LED吸顶灯，本底噪音小于25dB（A）</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2、超低噪音风机</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3、双层隔音消声墙面《现场拼装》</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4、电压：220+/-5V《含一个五孔插座》</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5、测听室照明亮度&gt;100LX</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6、A计权环境声压级：《室外≤55dB(A) 室内：≤30dB(A)》</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7、通风系统：有进去风系统，排风消声器，进风消声器各一套</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8、外观面：T1.2镀锌冷钢板静电喷涂贴面</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9、减震设备:双层橡胶减震垫《地台》</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10、观察窗：双层中空钢化隔音玻璃窗《800*600》</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11、内饰面:光触媒技术材料，金属微孔吸音铝板，</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12、电测听仪气导耳机，骨导耳机，应答开关屏蔽转接器</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13、电测听仪气导耳机，骨导耳机，应答开关屏蔽信号线</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14、电测听室内气导耳机，骨导耳机，应答开关专用固定装置</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15、室内地面:地面铺设方形吸音地毯《500*500灰色》</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16、室内耳机国定挂钩一个《六位型》</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17、1.22*2.44*0.16m复合板《高密度具备很好的隔音，阻音效果》</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18、开关:室外配置两用开关，用于控制LED吸顶灯以及控制排风系统。</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19、插座:室外配置五孔插座，用于听力计供电使用。</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20、隔音门:隔音门整体钢结构，门与测听室连接区使用用磁性密封条进行密封。</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内镜及手术器械</w:t>
            </w:r>
          </w:p>
        </w:tc>
        <w:tc>
          <w:tcPr>
            <w:tcW w:w="7507" w:type="dxa"/>
            <w:vAlign w:val="center"/>
          </w:tcPr>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鼻内镜</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0°，Φ4*170mm  广角HD</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根</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鼻内镜</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30°，Φ4*170mm  广角HD</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根</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鼻内镜</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70°，Φ4*170mm  广角HD</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根</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耳内镜</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xml:space="preserve">0°，Φ2.7*110mm  </w:t>
            </w:r>
            <w:r>
              <w:rPr>
                <w:rFonts w:hint="eastAsia" w:ascii="仿宋" w:hAnsi="仿宋" w:eastAsia="仿宋" w:cs="仿宋"/>
                <w:color w:val="auto"/>
                <w:sz w:val="24"/>
                <w:szCs w:val="24"/>
              </w:rPr>
              <w:tab/>
            </w:r>
            <w:r>
              <w:rPr>
                <w:rFonts w:hint="eastAsia" w:ascii="仿宋" w:hAnsi="仿宋" w:eastAsia="仿宋" w:cs="仿宋"/>
                <w:color w:val="auto"/>
                <w:sz w:val="24"/>
                <w:szCs w:val="24"/>
              </w:rPr>
              <w:t>2根</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鼻窦息肉钳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70°，直开口，Φ3*85mm（头3*3.2mm）</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鼻窦息肉钳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70°，横开口，Φ3*85mm（头3*3.2mm）</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上颌窦吸引管</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xml:space="preserve">Φ3*110mm </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1根</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上颌窦吸引管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Φ2.5*110mm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1根</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鼻窦黏膜刀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 xml:space="preserve">锐头，镰状，1.8*170mm </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鼻窦咬骨钳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中号头，4*125mm （头3.6*4.2mm）</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鼻中隔旋转刀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直形，4*200mm</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鼻探针</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大弯</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鼻黏膜刀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双头 ，170mm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鼻骨膜剥离器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弯，190mm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鼻剥离器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带吸引，Φ3.0mm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蝶窦咬骨钳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60°，3.5mm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蝶窦咬骨钳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90°，3.5mm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蝶窦口扩大钳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0°，Φ3.5*170mm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19</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耳剥离器</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头1mm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镫骨肌腱刀 头2mm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横切刀，锐</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1</w:t>
            </w:r>
            <w:r>
              <w:rPr>
                <w:rFonts w:hint="eastAsia" w:ascii="仿宋" w:hAnsi="仿宋" w:eastAsia="仿宋" w:cs="仿宋"/>
                <w:color w:val="auto"/>
                <w:sz w:val="24"/>
                <w:szCs w:val="24"/>
              </w:rPr>
              <w:t>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横切刀，钝</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开窗刀，直</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耳显微刀</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直切刀</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耳显微钩</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150mm，锐，45°</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耳显微钩</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150mm，锐，30°</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耳刮匙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圆扁头，小</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乳突牵开器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双关节，3*4，锐口</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29</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乳突牵开器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140mm，3*4，锐口</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r>
              <w:rPr>
                <w:rFonts w:hint="eastAsia" w:ascii="仿宋" w:hAnsi="仿宋" w:eastAsia="仿宋" w:cs="仿宋"/>
                <w:color w:val="auto"/>
                <w:sz w:val="24"/>
                <w:szCs w:val="24"/>
              </w:rPr>
              <w:tab/>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30</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五官科吸引管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Φ1.5mm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五官科吸引管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Φ2.0mm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五官科吸引管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Φ2.5mm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五官科吸引管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Φ3.0mm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直碗形口，70mm，头1.6*2.2mm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上弯碗形口，70mm，头1.6*2.2mm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36</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耳显微钳</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麦粒头，70mm，头1.6*2.2mm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2把</w:t>
            </w:r>
          </w:p>
          <w:p>
            <w:pPr>
              <w:jc w:val="both"/>
              <w:rPr>
                <w:rFonts w:hint="eastAsia" w:ascii="仿宋" w:hAnsi="仿宋" w:eastAsia="仿宋" w:cs="仿宋"/>
                <w:color w:val="auto"/>
                <w:sz w:val="24"/>
                <w:szCs w:val="24"/>
              </w:rPr>
            </w:pPr>
            <w:r>
              <w:rPr>
                <w:rFonts w:hint="eastAsia" w:ascii="仿宋" w:hAnsi="仿宋" w:eastAsia="仿宋" w:cs="仿宋"/>
                <w:color w:val="auto"/>
                <w:sz w:val="24"/>
                <w:szCs w:val="24"/>
              </w:rPr>
              <w:t>37</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耳显微剪</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直形，70mm，头1.6*2.2mm</w:t>
            </w:r>
            <w:r>
              <w:rPr>
                <w:rFonts w:hint="eastAsia" w:ascii="仿宋" w:hAnsi="仿宋" w:eastAsia="仿宋" w:cs="仿宋"/>
                <w:color w:val="auto"/>
                <w:sz w:val="24"/>
                <w:szCs w:val="24"/>
              </w:rPr>
              <w:tab/>
            </w:r>
            <w:r>
              <w:rPr>
                <w:rFonts w:hint="eastAsia" w:ascii="仿宋" w:hAnsi="仿宋" w:eastAsia="仿宋" w:cs="仿宋"/>
                <w:color w:val="auto"/>
                <w:sz w:val="24"/>
                <w:szCs w:val="24"/>
              </w:rPr>
              <w:t>1把</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rPr>
              <w:t>38</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锤骨头剪</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头长2mm，1.6*2.1*75mm</w:t>
            </w:r>
            <w:r>
              <w:rPr>
                <w:rFonts w:hint="eastAsia" w:ascii="仿宋" w:hAnsi="仿宋" w:eastAsia="仿宋" w:cs="仿宋"/>
                <w:color w:val="auto"/>
                <w:sz w:val="24"/>
                <w:szCs w:val="24"/>
              </w:rPr>
              <w:tab/>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1把</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电凝钩</w:t>
            </w:r>
          </w:p>
        </w:tc>
        <w:tc>
          <w:tcPr>
            <w:tcW w:w="7507" w:type="dxa"/>
            <w:vAlign w:val="center"/>
          </w:tcPr>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单极电凝钩头部采用YY/T 0294.1-2016中M号钢，单极电凝刀头部采用YY/T 0294.1-2016中C号钢，绝缘套管用PEEK制造。进入患者部分表面粗糙度Ra参数值的最大值为0.4μm。耐腐蚀性能不低于YY/T0149-2006中5.4b级的规定。</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规格Φ5，工作长度≥330mm。</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2把</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电凝连接线</w:t>
            </w:r>
          </w:p>
        </w:tc>
        <w:tc>
          <w:tcPr>
            <w:tcW w:w="7507" w:type="dxa"/>
            <w:vAlign w:val="center"/>
          </w:tcPr>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1.规格Φ6，线长3000mm，电缆线材质可高温灭菌。</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4根</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腹腔镜器械操作手柄</w:t>
            </w:r>
          </w:p>
        </w:tc>
        <w:tc>
          <w:tcPr>
            <w:tcW w:w="7507" w:type="dxa"/>
            <w:vAlign w:val="center"/>
          </w:tcPr>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塑料手柄（两拆）</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20把</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吸引器</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吸引器采用YY/T0294.1-2016中M号钢制造。吸引器内芯通常，无堵塞现象。器械进入人体部分表面粗糙度：抛光表面Ra参数值的最大值为0.2μm，表面Ra参数值的最大值为0.8μm，其余部分的最大值为1.6μm。器械的耐腐蚀性能不低于YY/T0149-2006 中 5.4b 级的规定。</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2.吸引管配Φ5和Φ10，工作长度330mm。</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推杆式吸引器阀体设有复位机构，使用中阀体卡滞时用力按压阀门盖“咔”一声即复位。</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10CM穿刺器</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1.穿刺器采用YY/T0294.1-2016中M号钢制造。</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器械进入人体部分表面粗糙度：抛光表面Ra参数值的最大值为0.2μm，表面Ra参数值的最大值为0.8μm，其余部分的最大值为1.6μm。</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阀门旋转应灵活，在关闭姿态下，经4kPa气压，应无明显渗漏；穿刺器的阻气阀应有良好阻气功能，经4kPa气压，冒出的气泡少于20个。</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耐腐蚀性能不低于YY/T0149-2006中5.4b级的规定。</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2.规格Ф10，工作长度95mm。</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3.翻盖穿刺器（带保护）。</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气腹管</w:t>
            </w:r>
          </w:p>
        </w:tc>
        <w:tc>
          <w:tcPr>
            <w:tcW w:w="7507" w:type="dxa"/>
            <w:vAlign w:val="center"/>
          </w:tcPr>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材质：硅胶，工作长度：3米。</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2根</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气腹针</w:t>
            </w:r>
          </w:p>
        </w:tc>
        <w:tc>
          <w:tcPr>
            <w:tcW w:w="7507" w:type="dxa"/>
            <w:vAlign w:val="center"/>
          </w:tcPr>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1.规格Φ2.2，工作长度120mm</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2、针尖应锋利，能顺利穿透2mm厚的硅胶膜。</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3、耐腐蚀性能不低于YY/T0149-2006中5.4b级的规定。</w:t>
            </w:r>
          </w:p>
          <w:p>
            <w:pPr>
              <w:jc w:val="left"/>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4、阀门旋转灵活，在关闭状态下经4kPa气压，无明显渗漏。</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气腹镜剪芯</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1.剪头采用ASTM F899-09种的630号钢制造，杆部与患者接触材料采用YY/T0294.1-2016中M号钢制造。硬度为478HV0.2-620HV0.2。</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2.耐腐蚀性能不低于YY/T0149-2006中5.4b级的规定。</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3.剪刀刃口锋利，可顺利剪下四层21支脱脂纱布。</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4.剪刀采用高硬度材料，寿命长，使用时手感轻。</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18</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电凝棒</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1.单极电凝棒头部采用YY/T 0294.1-2016中M号钢，单极电凝刀头部采用YY/T 0294.1-2016中C号钢，绝缘套管用PEEK制造。进入患者部分表面粗糙度Ra参数值的最大值为0.4μm。耐腐蚀性能不低于YY/T0149-2006中5.4b级的规定。</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2.规格Φ5工作长度330mm。</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2根</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19</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导光速螺口</w:t>
            </w:r>
          </w:p>
        </w:tc>
        <w:tc>
          <w:tcPr>
            <w:tcW w:w="7507" w:type="dxa"/>
            <w:vAlign w:val="center"/>
          </w:tcPr>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直径4mm，3米长，光纤丝。</w:t>
            </w:r>
          </w:p>
        </w:tc>
        <w:tc>
          <w:tcPr>
            <w:tcW w:w="713"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2根</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腹壁缝合钳</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1.腹壁缝合钳夹持性能：φ2mm外径的钳子夹持力应不小于5N。钳头采用ASTM F899-09种的630号钢制造，杆部与患者接触材料采用YY/T0294.1-2016中M号钢制造。硬度为300HV0.2-600HV0.2（或29.8HRC-55.2HRC）。器械进入人体部分表面粗糙度：抛光表面Ra参数值的最大值为0.2μm，亚光表面Ra参数值的最大值为0.8μm，其余部分的最大值为1.6μm。耐腐蚀性能不低于YY/T0149-2006中5.4b级的规定。</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2.规格Φ2.5，工作长度≥150mm。</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3.手柄为枪式。</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仿宋"/>
                <w:color w:val="auto"/>
                <w:sz w:val="24"/>
                <w:szCs w:val="24"/>
                <w:highlight w:val="none"/>
                <w:vertAlign w:val="baseline"/>
                <w:lang w:eastAsia="zh-CN"/>
              </w:rPr>
              <w:t>单动上开口。</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1把</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21</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宫腔检查镜</w:t>
            </w:r>
          </w:p>
        </w:tc>
        <w:tc>
          <w:tcPr>
            <w:tcW w:w="7507" w:type="dxa"/>
            <w:vAlign w:val="center"/>
          </w:tcPr>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eastAsia="zh-CN"/>
              </w:rPr>
              <w:t>一、</w:t>
            </w:r>
            <w:r>
              <w:rPr>
                <w:rFonts w:hint="eastAsia" w:ascii="仿宋" w:hAnsi="仿宋" w:eastAsia="仿宋" w:cs="仿宋"/>
                <w:b/>
                <w:bCs/>
                <w:color w:val="auto"/>
                <w:sz w:val="24"/>
                <w:szCs w:val="24"/>
                <w:highlight w:val="none"/>
                <w:vertAlign w:val="baseline"/>
                <w:lang w:val="en-US" w:eastAsia="zh-CN"/>
              </w:rPr>
              <w:t>宫</w:t>
            </w:r>
            <w:r>
              <w:rPr>
                <w:rFonts w:hint="eastAsia" w:ascii="仿宋" w:hAnsi="仿宋" w:eastAsia="仿宋" w:cs="仿宋"/>
                <w:b/>
                <w:bCs/>
                <w:color w:val="auto"/>
                <w:sz w:val="24"/>
                <w:szCs w:val="24"/>
                <w:highlight w:val="none"/>
                <w:vertAlign w:val="baseline"/>
                <w:lang w:eastAsia="zh-CN"/>
              </w:rPr>
              <w:t>腔镜</w:t>
            </w:r>
            <w:r>
              <w:rPr>
                <w:rFonts w:hint="eastAsia" w:ascii="仿宋" w:hAnsi="仿宋" w:eastAsia="仿宋" w:cs="仿宋"/>
                <w:b/>
                <w:bCs/>
                <w:color w:val="auto"/>
                <w:sz w:val="24"/>
                <w:szCs w:val="24"/>
                <w:highlight w:val="none"/>
                <w:vertAlign w:val="baseline"/>
                <w:lang w:val="en-US" w:eastAsia="zh-CN"/>
              </w:rPr>
              <w:t>镜头</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eastAsia="zh-CN"/>
              </w:rPr>
              <w:t>1、</w:t>
            </w:r>
            <w:r>
              <w:rPr>
                <w:rFonts w:hint="eastAsia" w:ascii="仿宋" w:hAnsi="仿宋" w:eastAsia="仿宋" w:cs="仿宋"/>
                <w:color w:val="auto"/>
                <w:sz w:val="24"/>
                <w:szCs w:val="24"/>
                <w:highlight w:val="none"/>
                <w:vertAlign w:val="baseline"/>
                <w:lang w:val="en-US" w:eastAsia="zh-CN"/>
              </w:rPr>
              <w:t>柱状晶体镜，镜柱有</w:t>
            </w:r>
            <w:r>
              <w:rPr>
                <w:rFonts w:hint="eastAsia" w:ascii="仿宋" w:hAnsi="仿宋" w:eastAsia="仿宋" w:cs="仿宋"/>
                <w:color w:val="auto"/>
                <w:sz w:val="24"/>
                <w:szCs w:val="24"/>
                <w:highlight w:val="none"/>
                <w:vertAlign w:val="baseline"/>
                <w:lang w:eastAsia="zh-CN"/>
              </w:rPr>
              <w:t>高透亮度、高效率光传导</w:t>
            </w:r>
            <w:r>
              <w:rPr>
                <w:rFonts w:hint="eastAsia" w:ascii="仿宋" w:hAnsi="仿宋" w:eastAsia="仿宋" w:cs="仿宋"/>
                <w:color w:val="auto"/>
                <w:sz w:val="24"/>
                <w:szCs w:val="24"/>
                <w:highlight w:val="none"/>
                <w:vertAlign w:val="baseline"/>
                <w:lang w:val="en-US" w:eastAsia="zh-CN"/>
              </w:rPr>
              <w:t>性能。</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2</w:t>
            </w:r>
            <w:r>
              <w:rPr>
                <w:rFonts w:hint="eastAsia" w:ascii="仿宋" w:hAnsi="仿宋" w:eastAsia="仿宋" w:cs="仿宋"/>
                <w:color w:val="auto"/>
                <w:sz w:val="24"/>
                <w:szCs w:val="24"/>
                <w:highlight w:val="none"/>
                <w:vertAlign w:val="baseline"/>
                <w:lang w:eastAsia="zh-CN"/>
              </w:rPr>
              <w:t>、视野角度：30度</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3</w:t>
            </w:r>
            <w:r>
              <w:rPr>
                <w:rFonts w:hint="eastAsia" w:ascii="仿宋" w:hAnsi="仿宋" w:eastAsia="仿宋" w:cs="仿宋"/>
                <w:color w:val="auto"/>
                <w:sz w:val="24"/>
                <w:szCs w:val="24"/>
                <w:highlight w:val="none"/>
                <w:vertAlign w:val="baseline"/>
                <w:lang w:eastAsia="zh-CN"/>
              </w:rPr>
              <w:t>、镜面：蓝宝石镜面</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w:t>
            </w:r>
            <w:r>
              <w:rPr>
                <w:rFonts w:hint="eastAsia" w:ascii="仿宋" w:hAnsi="仿宋" w:eastAsia="仿宋" w:cs="仿宋"/>
                <w:color w:val="auto"/>
                <w:sz w:val="24"/>
                <w:szCs w:val="24"/>
                <w:highlight w:val="none"/>
                <w:vertAlign w:val="baseline"/>
                <w:lang w:eastAsia="zh-CN"/>
              </w:rPr>
              <w:t>、直径：</w:t>
            </w:r>
            <w:r>
              <w:rPr>
                <w:rFonts w:hint="eastAsia" w:ascii="仿宋" w:hAnsi="仿宋" w:eastAsia="仿宋" w:cs="仿宋"/>
                <w:color w:val="auto"/>
                <w:sz w:val="24"/>
                <w:szCs w:val="24"/>
                <w:highlight w:val="none"/>
                <w:vertAlign w:val="baseline"/>
                <w:lang w:val="en-US" w:eastAsia="zh-CN"/>
              </w:rPr>
              <w:t>≦2.9</w:t>
            </w:r>
            <w:r>
              <w:rPr>
                <w:rFonts w:hint="eastAsia" w:ascii="仿宋" w:hAnsi="仿宋" w:eastAsia="仿宋" w:cs="仿宋"/>
                <w:color w:val="auto"/>
                <w:sz w:val="24"/>
                <w:szCs w:val="24"/>
                <w:highlight w:val="none"/>
                <w:vertAlign w:val="baseline"/>
                <w:lang w:eastAsia="zh-CN"/>
              </w:rPr>
              <w:t>mm</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5</w:t>
            </w:r>
            <w:r>
              <w:rPr>
                <w:rFonts w:hint="eastAsia" w:ascii="仿宋" w:hAnsi="仿宋" w:eastAsia="仿宋" w:cs="仿宋"/>
                <w:color w:val="auto"/>
                <w:sz w:val="24"/>
                <w:szCs w:val="24"/>
                <w:highlight w:val="none"/>
                <w:vertAlign w:val="baseline"/>
                <w:lang w:eastAsia="zh-CN"/>
              </w:rPr>
              <w:t>、消毒：高温高压、浸泡、气熏</w:t>
            </w:r>
          </w:p>
          <w:p>
            <w:pPr>
              <w:jc w:val="both"/>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二、宫腔检查镜镜鞘</w:t>
            </w:r>
          </w:p>
          <w:p>
            <w:pPr>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1，连续灌流鞘带灌流通道，外径≦4mm</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val="en-US" w:eastAsia="zh-CN"/>
              </w:rPr>
              <w:t>2，操作鞘，带通道用于5Fr半硬性手术器械，操作鞘规格外径≦4.8mm</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1套</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22</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肢体气压治疗仪</w:t>
            </w:r>
          </w:p>
        </w:tc>
        <w:tc>
          <w:tcPr>
            <w:tcW w:w="7507" w:type="dxa"/>
            <w:vAlign w:val="center"/>
          </w:tcPr>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1.设备用途：</w:t>
            </w:r>
            <w:r>
              <w:rPr>
                <w:rFonts w:hint="eastAsia" w:ascii="仿宋" w:hAnsi="仿宋" w:eastAsia="仿宋" w:cs="仿宋"/>
                <w:color w:val="auto"/>
                <w:sz w:val="24"/>
                <w:szCs w:val="24"/>
                <w:highlight w:val="none"/>
                <w:vertAlign w:val="baseline"/>
                <w:lang w:eastAsia="zh-CN"/>
              </w:rPr>
              <w:t>用于中老年、缺乏运动长期久站久坐、长期卧床的患者、术后康复的患者。</w:t>
            </w:r>
          </w:p>
          <w:p>
            <w:pPr>
              <w:jc w:val="both"/>
              <w:rPr>
                <w:rFonts w:hint="eastAsia" w:ascii="仿宋" w:hAnsi="仿宋" w:eastAsia="仿宋" w:cs="仿宋"/>
                <w:b/>
                <w:bCs/>
                <w:color w:val="auto"/>
                <w:sz w:val="24"/>
                <w:szCs w:val="24"/>
                <w:highlight w:val="none"/>
                <w:vertAlign w:val="baseline"/>
                <w:lang w:eastAsia="zh-CN"/>
              </w:rPr>
            </w:pPr>
            <w:r>
              <w:rPr>
                <w:rFonts w:hint="eastAsia" w:ascii="仿宋" w:hAnsi="仿宋" w:eastAsia="仿宋" w:cs="仿宋"/>
                <w:b/>
                <w:bCs/>
                <w:color w:val="auto"/>
                <w:sz w:val="24"/>
                <w:szCs w:val="24"/>
                <w:highlight w:val="none"/>
                <w:vertAlign w:val="baseline"/>
                <w:lang w:eastAsia="zh-CN"/>
              </w:rPr>
              <w:t>2.技术参数要求：</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(1)该设备深层释放下肢不适，安全透气、360°包裹，立体循环按压，操作简易。</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(2)该设备能一机多用，适合多种症状多年龄人群：改善静脉曲张、预防血栓；缓解肢体功能障碍；辅助防止长期卧床肌肉萎缩；运动后放松缓解肌肉疲劳酸痛。</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(3)脉冲-序列双模式（立体循环按压）：远心端到近心端依次充气/放气，合理发力，循环挤压，进而加快下肢静脉血流速度，增强网状内细胞吞噬能力，达到预防DVT目的。</w:t>
            </w:r>
          </w:p>
          <w:p>
            <w:pPr>
              <w:jc w:val="both"/>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(4)活化扩张血管、加速血液循环、提供供氧能力、吸收渗出液。</w:t>
            </w:r>
          </w:p>
          <w:p>
            <w:pPr>
              <w:jc w:val="both"/>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(5)内置Smart-press压力控制，可根据人体胖瘦和承受能力调节力度产生均匀、稳定的力度，且按摩速度符合人体血流速度，能够提升患者肢体舒适感。同时治疗仪通过施压对患者双下肢形成收缩、膨胀压力，进一步促进肢体血液循环，缓解血液高凝状态。</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3台</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23</w:t>
            </w:r>
          </w:p>
        </w:tc>
        <w:tc>
          <w:tcPr>
            <w:tcW w:w="1100" w:type="dxa"/>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全自动铅检测-微量元素分析仪</w:t>
            </w:r>
          </w:p>
        </w:tc>
        <w:tc>
          <w:tcPr>
            <w:tcW w:w="7507" w:type="dxa"/>
            <w:vAlign w:val="center"/>
          </w:tcPr>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检测方法原理：★二次微分电位溶出法，溶出伏安法</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适用范围：★同时检测铅、镉、锌、铜、钙、铁、镁、锰、8种元素微量元素（可扩硒、碘元素），一次性出检验报告。</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3</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检测标本：全血（静脉血、末梢血）、血清、头发、尿液</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4</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检测速度：60S同时出检测结果</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5</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样本容量：全血/末梢血20ul</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6</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血铅检测：血铅检测符合卫生部2006年颁布的临床操作规范</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7</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灵敏度：检测0.1PPb的痕量元素，灵敏度达10-10mol/L</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8</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电极系统：★五电极系统（进口玻碳电极、铂金参比电极）</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9</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测试系统：★全自动检测、20孔位自动寻位、自动进样、适合批量体检使用</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10</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自动功能：自动加样、自动校准、自动寻位，自动检测、自动分析结果，自动涌泉式清洗</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11</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测试环境：全封闭式测试系统、防止外界交叉污染</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12</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技术优势：★无纯汞及有毒气体(不使用纯汞、不使用乙炔等)</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13</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准确控制：★16孔位测试位、多孔位校准位、以减少试剂产生误差、提高检测效率与准确性</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14</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试剂用量：全血样品处理液0.5ml (8元素)，多元素或单元素测试液各3ml。</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15</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数据采集系统：电位、电流双通道12Bit 1000KHz/s高速采集多电机系统，双抗干扰技术</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16</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运算分析系统：元素峰动态识别自动锁定技术，双点双线自修复技术</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17</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电极保护：电极系统采用内核级自动保护装置，独有的电极保护技术，保障工作电极的稳定性和耐用性；防止检测人员误操作损伤电极。</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18</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打印报告单：多种固定报告单格式及用户自定义模式，可根据客户的需求选择报告单模式</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19</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分析环境：★占用空间小，无需乙炔等易燃易爆气体，无有质气化污染；</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不使用纯汞，不造成汞污染和人体危害，无安全隐患；</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20</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工作条件：温度：5℃-40℃  相对湿度≦80%</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21</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精密度：RSD≦5%</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22</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线性关系：r≧0.99</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23</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网络连接：通讯系统：480M高速USB端口通讯；与LIS系统无缝连接。</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24</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技术特点：全自动自动一体机；一台仪器可同时测定多种微量元素</w:t>
            </w:r>
          </w:p>
          <w:p>
            <w:pPr>
              <w:ind w:firstLine="243" w:firstLineChars="10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ab/>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元素峰动态识别自动锁定技术，具备的双点双线自修复技术</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ab/>
            </w:r>
            <w:r>
              <w:rPr>
                <w:rFonts w:hint="eastAsia" w:ascii="仿宋" w:hAnsi="仿宋" w:eastAsia="仿宋" w:cs="仿宋"/>
                <w:color w:val="auto"/>
                <w:sz w:val="24"/>
                <w:szCs w:val="24"/>
                <w:highlight w:val="none"/>
                <w:vertAlign w:val="baseline"/>
                <w:lang w:eastAsia="zh-CN"/>
              </w:rPr>
              <w:tab/>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lang w:eastAsia="zh-CN"/>
              </w:rPr>
              <w:t>仪器自带的恢复功能。保障突然断电人为操作故障时自动恢复，不影响重新检测</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val="en-US" w:eastAsia="zh-CN"/>
              </w:rPr>
              <w:t>25.配置：</w:t>
            </w:r>
            <w:r>
              <w:rPr>
                <w:rFonts w:hint="eastAsia" w:ascii="仿宋" w:hAnsi="仿宋" w:eastAsia="仿宋" w:cs="仿宋"/>
                <w:color w:val="auto"/>
                <w:sz w:val="24"/>
                <w:szCs w:val="24"/>
                <w:highlight w:val="none"/>
                <w:vertAlign w:val="baseline"/>
                <w:lang w:eastAsia="zh-CN"/>
              </w:rPr>
              <w:t>★全自动一体机器、内置Windows操作系统、内置10.4英寸液晶触摸显示器，主机系统：高速A/D、D/A转换；高精密数字定位；高稳定性传感器</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26</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溯源性：检验结果实时存储保存，存储信息永久保存方便查询，可随时调看、打印报告单。</w:t>
            </w:r>
          </w:p>
          <w:p>
            <w:pPr>
              <w:ind w:firstLine="972" w:firstLineChars="400"/>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数据亦可以Word/PDF等格式导出。</w:t>
            </w:r>
          </w:p>
          <w:p>
            <w:pPr>
              <w:jc w:val="left"/>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27</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质量保证：仪器和试剂均通过国家食品药品监督管理局认证。</w:t>
            </w:r>
          </w:p>
          <w:p>
            <w:pPr>
              <w:jc w:val="left"/>
              <w:rPr>
                <w:rFonts w:hint="eastAsia" w:ascii="仿宋" w:hAnsi="仿宋" w:eastAsia="仿宋" w:cs="仿宋"/>
                <w:color w:val="auto"/>
                <w:sz w:val="24"/>
                <w:szCs w:val="24"/>
                <w:highlight w:val="yellow"/>
                <w:vertAlign w:val="baseline"/>
                <w:lang w:eastAsia="zh-CN"/>
              </w:rPr>
            </w:pPr>
            <w:r>
              <w:rPr>
                <w:rFonts w:hint="eastAsia" w:ascii="仿宋" w:hAnsi="仿宋" w:eastAsia="仿宋" w:cs="仿宋"/>
                <w:color w:val="auto"/>
                <w:sz w:val="24"/>
                <w:szCs w:val="24"/>
                <w:highlight w:val="none"/>
                <w:vertAlign w:val="baseline"/>
                <w:lang w:eastAsia="zh-CN"/>
              </w:rPr>
              <w:t>28</w:t>
            </w: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color w:val="auto"/>
                <w:sz w:val="24"/>
                <w:szCs w:val="24"/>
                <w:highlight w:val="none"/>
                <w:vertAlign w:val="baseline"/>
                <w:lang w:eastAsia="zh-CN"/>
              </w:rPr>
              <w:t>质控品：★具有质控品注册证（提供证明文件）</w:t>
            </w:r>
          </w:p>
        </w:tc>
        <w:tc>
          <w:tcPr>
            <w:tcW w:w="713" w:type="dxa"/>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1台</w:t>
            </w:r>
          </w:p>
        </w:tc>
        <w:tc>
          <w:tcPr>
            <w:tcW w:w="574" w:type="dxa"/>
            <w:vAlign w:val="center"/>
          </w:tcPr>
          <w:p>
            <w:pPr>
              <w:jc w:val="center"/>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535" w:type="dxa"/>
            <w:gridSpan w:val="5"/>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0535" w:type="dxa"/>
            <w:gridSpan w:val="5"/>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w:t>
            </w:r>
            <w:r>
              <w:rPr>
                <w:rFonts w:hint="eastAsia" w:ascii="仿宋" w:hAnsi="仿宋" w:eastAsia="仿宋" w:cs="仿宋"/>
                <w:color w:val="auto"/>
                <w:sz w:val="24"/>
                <w:szCs w:val="24"/>
                <w:highlight w:val="none"/>
                <w:vertAlign w:val="baseline"/>
                <w:lang w:eastAsia="zh-CN"/>
              </w:rPr>
              <w:t>参数是基本参数，不允许出现负偏离，如</w:t>
            </w:r>
            <w:r>
              <w:rPr>
                <w:rFonts w:hint="eastAsia" w:ascii="仿宋" w:hAnsi="仿宋" w:eastAsia="仿宋" w:cs="仿宋"/>
                <w:color w:val="auto"/>
                <w:sz w:val="24"/>
                <w:szCs w:val="24"/>
                <w:highlight w:val="none"/>
                <w:vertAlign w:val="baseline"/>
                <w:lang w:val="en-US" w:eastAsia="zh-CN"/>
              </w:rPr>
              <w:t>出现负偏离</w:t>
            </w:r>
            <w:r>
              <w:rPr>
                <w:rFonts w:hint="eastAsia" w:ascii="仿宋" w:hAnsi="仿宋" w:eastAsia="仿宋" w:cs="仿宋"/>
                <w:color w:val="auto"/>
                <w:sz w:val="24"/>
                <w:szCs w:val="24"/>
                <w:highlight w:val="none"/>
                <w:vertAlign w:val="baseline"/>
                <w:lang w:eastAsia="zh-CN"/>
              </w:rPr>
              <w:t>，则按废标处</w:t>
            </w:r>
            <w:r>
              <w:rPr>
                <w:rFonts w:hint="eastAsia" w:ascii="仿宋" w:hAnsi="仿宋" w:eastAsia="仿宋" w:cs="仿宋"/>
                <w:color w:val="auto"/>
                <w:sz w:val="24"/>
                <w:szCs w:val="24"/>
                <w:highlight w:val="none"/>
                <w:vertAlign w:val="baseline"/>
                <w:lang w:val="en-US" w:eastAsia="zh-CN"/>
              </w:rPr>
              <w:t>理。</w:t>
            </w:r>
          </w:p>
        </w:tc>
      </w:tr>
    </w:tbl>
    <w:p>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商务要求：</w:t>
      </w:r>
    </w:p>
    <w:p>
      <w:pPr>
        <w:numPr>
          <w:ilvl w:val="0"/>
          <w:numId w:val="6"/>
        </w:num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b/>
          <w:bCs/>
          <w:color w:val="auto"/>
          <w:lang w:eastAsia="zh-CN"/>
        </w:rPr>
        <w:t>实施（供货）期 ：</w:t>
      </w:r>
      <w:r>
        <w:rPr>
          <w:rFonts w:hint="eastAsia" w:ascii="仿宋" w:hAnsi="仿宋" w:eastAsia="仿宋" w:cs="仿宋"/>
          <w:color w:val="auto"/>
          <w:lang w:eastAsia="zh-CN"/>
        </w:rPr>
        <w:t>自签订合同后</w:t>
      </w:r>
      <w:r>
        <w:rPr>
          <w:rFonts w:hint="eastAsia" w:ascii="仿宋" w:hAnsi="仿宋" w:eastAsia="仿宋" w:cs="仿宋"/>
          <w:color w:val="auto"/>
          <w:lang w:val="en-US" w:eastAsia="zh-CN"/>
        </w:rPr>
        <w:t>3</w:t>
      </w:r>
      <w:r>
        <w:rPr>
          <w:rFonts w:hint="eastAsia" w:ascii="仿宋" w:hAnsi="仿宋" w:eastAsia="仿宋" w:cs="仿宋"/>
          <w:color w:val="auto"/>
          <w:lang w:eastAsia="zh-CN"/>
        </w:rPr>
        <w:t>0天内完成供货。</w:t>
      </w:r>
    </w:p>
    <w:p>
      <w:pPr>
        <w:spacing w:line="360" w:lineRule="auto"/>
        <w:ind w:left="486" w:leftChars="200"/>
        <w:rPr>
          <w:rFonts w:hint="eastAsia" w:ascii="仿宋" w:hAnsi="仿宋" w:eastAsia="仿宋" w:cs="仿宋"/>
          <w:color w:val="auto"/>
          <w:lang w:eastAsia="zh-CN"/>
        </w:rPr>
      </w:pPr>
      <w:r>
        <w:rPr>
          <w:rFonts w:hint="eastAsia" w:ascii="仿宋" w:hAnsi="仿宋" w:eastAsia="仿宋" w:cs="仿宋"/>
          <w:b/>
          <w:bCs/>
          <w:color w:val="auto"/>
          <w:lang w:eastAsia="zh-CN"/>
        </w:rPr>
        <w:t>（二）实施（交货）地点</w:t>
      </w:r>
      <w:r>
        <w:rPr>
          <w:rFonts w:hint="eastAsia" w:ascii="仿宋" w:hAnsi="仿宋" w:eastAsia="仿宋" w:cs="仿宋"/>
          <w:color w:val="auto"/>
          <w:lang w:eastAsia="zh-CN"/>
        </w:rPr>
        <w:t xml:space="preserve"> ：甲方指定地点</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（三）报价要求</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（四）质保要求</w:t>
      </w:r>
    </w:p>
    <w:p>
      <w:pPr>
        <w:spacing w:line="360" w:lineRule="auto"/>
        <w:ind w:firstLine="729" w:firstLineChars="300"/>
        <w:rPr>
          <w:rFonts w:hint="eastAsia" w:ascii="仿宋" w:hAnsi="仿宋" w:eastAsia="仿宋" w:cs="仿宋"/>
          <w:color w:val="auto"/>
          <w:lang w:val="en-US" w:eastAsia="zh-CN"/>
        </w:rPr>
      </w:pPr>
      <w:r>
        <w:rPr>
          <w:rFonts w:hint="eastAsia" w:ascii="仿宋" w:hAnsi="仿宋" w:eastAsia="仿宋" w:cs="仿宋"/>
          <w:color w:val="auto"/>
          <w:lang w:val="en-US" w:eastAsia="zh-CN"/>
        </w:rPr>
        <w:t>1、本项目质保期2年。</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2、乙方应保证所提供的货物是全新、未使用过的原装合格正品，并完全符合国家标准和行业的相关标准。</w:t>
      </w:r>
    </w:p>
    <w:p>
      <w:pPr>
        <w:spacing w:line="360" w:lineRule="auto"/>
        <w:ind w:firstLine="243" w:firstLineChars="100"/>
        <w:rPr>
          <w:rFonts w:hint="eastAsia" w:ascii="仿宋" w:hAnsi="仿宋" w:eastAsia="仿宋" w:cs="仿宋"/>
          <w:b/>
          <w:bCs/>
          <w:color w:val="auto"/>
          <w:lang w:eastAsia="zh-CN"/>
        </w:rPr>
      </w:pPr>
      <w:r>
        <w:rPr>
          <w:rFonts w:hint="eastAsia" w:ascii="仿宋" w:hAnsi="仿宋" w:eastAsia="仿宋" w:cs="仿宋"/>
          <w:b/>
          <w:bCs/>
          <w:color w:val="auto"/>
          <w:lang w:eastAsia="zh-CN"/>
        </w:rPr>
        <w:t>（五）售后服务、理赔、质量技术及验收保证的承诺</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、售后服务</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1.1产品质量：在合同期内，甲方正常使用乙方所供产品而出现质量问题时，乙方负责。产品使用：甲方在使用乙方所供产品中出现问题需乙方解决时，乙方应无偿解决（退换货）。</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质保期内，设备出现故障，须在4小时内响应，</w:t>
      </w:r>
      <w:r>
        <w:rPr>
          <w:rFonts w:hint="eastAsia" w:ascii="仿宋" w:hAnsi="仿宋" w:eastAsia="仿宋" w:cs="仿宋"/>
          <w:color w:val="auto"/>
          <w:lang w:val="en-US" w:eastAsia="zh-CN"/>
        </w:rPr>
        <w:t>24</w:t>
      </w:r>
      <w:r>
        <w:rPr>
          <w:rFonts w:hint="eastAsia" w:ascii="仿宋" w:hAnsi="仿宋" w:eastAsia="仿宋" w:cs="仿宋"/>
          <w:color w:val="auto"/>
          <w:lang w:eastAsia="zh-CN"/>
        </w:rPr>
        <w:t>小时内到达现场，一般故障8小时内修复，较大故障</w:t>
      </w:r>
      <w:r>
        <w:rPr>
          <w:rFonts w:hint="eastAsia" w:ascii="仿宋" w:hAnsi="仿宋" w:eastAsia="仿宋" w:cs="仿宋"/>
          <w:color w:val="auto"/>
          <w:lang w:val="en-US" w:eastAsia="zh-CN"/>
        </w:rPr>
        <w:t>48</w:t>
      </w:r>
      <w:r>
        <w:rPr>
          <w:rFonts w:hint="eastAsia" w:ascii="仿宋" w:hAnsi="仿宋" w:eastAsia="仿宋" w:cs="仿宋"/>
          <w:color w:val="auto"/>
          <w:lang w:eastAsia="zh-CN"/>
        </w:rPr>
        <w:t>小时内解决问题。每年提供不少于4次回访。</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、交货时应提供以下技术或培训资料（如涉及）</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.1原产地证明书(由制造厂签发)；</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.2提供主机及配套设备的安装图纸及说明；</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.3提供主机及配套设备使用说明书、维护手册；</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.4备件手册、零件及易损件的图纸及相关资料；</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.5其它相关技术资料。</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3</w:t>
      </w:r>
      <w:r>
        <w:rPr>
          <w:rFonts w:hint="eastAsia" w:ascii="仿宋" w:hAnsi="仿宋" w:eastAsia="仿宋" w:cs="仿宋"/>
          <w:color w:val="auto"/>
          <w:lang w:eastAsia="zh-CN"/>
        </w:rPr>
        <w:t>、设备到场后，供应商需至少派1名工程师现场指导安装调试。</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、在质保期内，如果投标人的产品技术升级，投标人应及时通知采购人，如采购人有相应要求，投标人应对采购人购买的产品进行升级服务。</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、质保期过后，投标人应同样提供免费电话咨询服务，并应承诺提供该产品上门维护服务。</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（六）验收</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1、供应商提供的产品为全新未使用且符合相关法律法规要求的合格产品；</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2、供应商提供的产品型号、规格等特性需与投标文件、合同规定内容完全一致，且满足采购方提出的采购需求。</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3、货物验收时，供应商向采购人提供生产厂家出具的验收报告、合格证、厂家资格证件等相关文件。</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4、供应商提供的产品需经采购人验收小组验收，进行试验检测，按照技术要求逐项进行测试，测试结果应满足相关要求，试验通过并满足要求为验收合格。</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（七）付款方式</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以甲乙双方签定的合同为准。</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（八）知识产权</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bookmarkEnd w:id="45"/>
    <w:bookmarkEnd w:id="46"/>
    <w:bookmarkEnd w:id="47"/>
    <w:p>
      <w:pPr>
        <w:spacing w:line="360" w:lineRule="auto"/>
        <w:ind w:firstLine="486" w:firstLineChars="200"/>
        <w:rPr>
          <w:rFonts w:hint="eastAsia" w:ascii="仿宋" w:hAnsi="仿宋" w:eastAsia="仿宋" w:cs="仿宋"/>
          <w:b/>
          <w:bCs/>
          <w:color w:val="auto"/>
          <w:lang w:eastAsia="zh-CN"/>
        </w:rPr>
      </w:pPr>
      <w:bookmarkStart w:id="48" w:name="_Toc12239"/>
      <w:bookmarkStart w:id="49" w:name="_Toc20832"/>
      <w:bookmarkStart w:id="50" w:name="_Toc7598"/>
      <w:bookmarkStart w:id="51" w:name="_Toc439255252"/>
      <w:bookmarkStart w:id="52" w:name="_Toc267320054"/>
      <w:bookmarkStart w:id="53" w:name="_Toc12840_WPSOffice_Level1"/>
      <w:bookmarkStart w:id="54" w:name="_Toc469495740"/>
      <w:r>
        <w:rPr>
          <w:rFonts w:hint="eastAsia" w:ascii="仿宋" w:hAnsi="仿宋" w:eastAsia="仿宋" w:cs="仿宋"/>
          <w:b/>
          <w:bCs/>
          <w:color w:val="auto"/>
          <w:lang w:eastAsia="zh-CN"/>
        </w:rPr>
        <w:t>（九）其他</w:t>
      </w:r>
      <w:bookmarkEnd w:id="48"/>
      <w:bookmarkEnd w:id="49"/>
      <w:bookmarkEnd w:id="50"/>
    </w:p>
    <w:bookmarkEnd w:id="51"/>
    <w:bookmarkEnd w:id="52"/>
    <w:bookmarkEnd w:id="53"/>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1、投标人必须在投标文件中对以上条款和服务承诺明确列出，承诺内容必须达到本篇及招标文件其他条款的要求。</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2、中标人与采购人签订《协议》后，须与用户方签订《货物采购供应合同》（包括供货范围、需求数量、单价等），明确具体供货数量、供货时间、送达地点等内容。</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3、其他未尽事宜由供需双方在采购合同中详细约定。</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 若供应商不能按招标文件规定的交货期正常交货，采购方有权终止采购合同，并将相关情况上报给采购计划主管部门，取消其中标资格。</w:t>
      </w:r>
    </w:p>
    <w:p>
      <w:pPr>
        <w:spacing w:line="360" w:lineRule="auto"/>
        <w:ind w:firstLine="486" w:firstLineChars="200"/>
        <w:rPr>
          <w:rFonts w:hint="eastAsia" w:ascii="仿宋" w:hAnsi="仿宋" w:eastAsia="仿宋" w:cs="仿宋"/>
          <w:color w:val="auto"/>
          <w:kern w:val="2"/>
          <w:lang w:eastAsia="zh-CN" w:bidi="ar-SA"/>
        </w:rPr>
      </w:pPr>
      <w:r>
        <w:rPr>
          <w:rFonts w:hint="eastAsia" w:ascii="仿宋" w:hAnsi="仿宋" w:eastAsia="仿宋" w:cs="仿宋"/>
          <w:color w:val="auto"/>
          <w:lang w:eastAsia="zh-CN"/>
        </w:rPr>
        <w:t>5、</w:t>
      </w:r>
      <w:r>
        <w:rPr>
          <w:rFonts w:hint="eastAsia" w:ascii="仿宋" w:hAnsi="仿宋" w:eastAsia="仿宋" w:cs="仿宋"/>
          <w:color w:val="auto"/>
          <w:kern w:val="2"/>
          <w:lang w:eastAsia="zh-CN" w:bidi="ar-SA"/>
        </w:rPr>
        <w:t>其他未尽事宜由供需双方在采购合同中详细约定。</w:t>
      </w:r>
    </w:p>
    <w:bookmarkEnd w:id="54"/>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第五部分 合同条款及格式</w:t>
      </w:r>
      <w:bookmarkStart w:id="55" w:name="_Toc20669"/>
    </w:p>
    <w:p>
      <w:pPr>
        <w:spacing w:line="480" w:lineRule="exact"/>
        <w:jc w:val="center"/>
        <w:outlineLvl w:val="1"/>
        <w:rPr>
          <w:rFonts w:hint="eastAsia" w:ascii="仿宋" w:hAnsi="仿宋" w:eastAsia="仿宋" w:cs="仿宋"/>
          <w:color w:val="auto"/>
          <w:szCs w:val="21"/>
          <w:lang w:eastAsia="zh-CN"/>
        </w:rPr>
      </w:pPr>
      <w:r>
        <w:rPr>
          <w:rFonts w:hint="eastAsia" w:ascii="仿宋" w:hAnsi="仿宋" w:eastAsia="仿宋" w:cs="仿宋"/>
          <w:color w:val="auto"/>
          <w:szCs w:val="21"/>
          <w:lang w:eastAsia="zh-CN"/>
        </w:rPr>
        <w:t>（本合同为合同样稿，最终稿由供需双方协商后确定）</w:t>
      </w:r>
      <w:bookmarkEnd w:id="55"/>
    </w:p>
    <w:p>
      <w:pPr>
        <w:widowControl/>
        <w:numPr>
          <w:ilvl w:val="0"/>
          <w:numId w:val="7"/>
        </w:numPr>
        <w:spacing w:line="600" w:lineRule="exact"/>
        <w:jc w:val="center"/>
        <w:textAlignment w:val="baseline"/>
        <w:outlineLvl w:val="1"/>
        <w:rPr>
          <w:rFonts w:hint="eastAsia" w:ascii="仿宋" w:hAnsi="仿宋" w:eastAsia="仿宋" w:cs="仿宋"/>
          <w:color w:val="auto"/>
        </w:rPr>
      </w:pPr>
      <w:r>
        <w:rPr>
          <w:rFonts w:hint="eastAsia" w:ascii="仿宋" w:hAnsi="仿宋" w:eastAsia="仿宋" w:cs="仿宋"/>
          <w:b/>
          <w:color w:val="auto"/>
          <w:sz w:val="30"/>
          <w:szCs w:val="30"/>
          <w:lang w:eastAsia="zh-CN"/>
        </w:rPr>
        <w:t xml:space="preserve"> </w:t>
      </w:r>
      <w:bookmarkStart w:id="56" w:name="_Toc469495741"/>
      <w:r>
        <w:rPr>
          <w:rFonts w:hint="eastAsia" w:ascii="仿宋" w:hAnsi="仿宋" w:eastAsia="仿宋" w:cs="仿宋"/>
          <w:b/>
          <w:color w:val="auto"/>
          <w:sz w:val="30"/>
          <w:szCs w:val="30"/>
        </w:rPr>
        <w:t>合同协议书</w:t>
      </w:r>
      <w:bookmarkEnd w:id="56"/>
      <w:r>
        <w:rPr>
          <w:rFonts w:hint="eastAsia" w:ascii="仿宋" w:hAnsi="仿宋" w:eastAsia="仿宋" w:cs="仿宋"/>
          <w:b/>
          <w:color w:val="auto"/>
          <w:sz w:val="30"/>
          <w:szCs w:val="30"/>
          <w:lang w:eastAsia="zh-CN"/>
        </w:rPr>
        <w:t xml:space="preserve">      </w:t>
      </w:r>
      <w:r>
        <w:rPr>
          <w:rFonts w:hint="eastAsia" w:ascii="仿宋" w:hAnsi="仿宋" w:eastAsia="仿宋" w:cs="仿宋"/>
          <w:b/>
          <w:color w:val="auto"/>
          <w:sz w:val="32"/>
          <w:szCs w:val="32"/>
        </w:rPr>
        <w:t>合同名称</w:t>
      </w:r>
      <w:r>
        <w:rPr>
          <w:rFonts w:hint="eastAsia" w:ascii="仿宋" w:hAnsi="仿宋" w:eastAsia="仿宋" w:cs="仿宋"/>
          <w:b/>
          <w:color w:val="auto"/>
        </w:rPr>
        <w:t xml:space="preserve">  </w:t>
      </w:r>
    </w:p>
    <w:p>
      <w:pPr>
        <w:widowControl/>
        <w:spacing w:line="600" w:lineRule="exact"/>
        <w:jc w:val="both"/>
        <w:textAlignment w:val="baseline"/>
        <w:outlineLvl w:val="1"/>
        <w:rPr>
          <w:rFonts w:hint="eastAsia" w:ascii="仿宋" w:hAnsi="仿宋" w:eastAsia="仿宋" w:cs="仿宋"/>
          <w:color w:val="auto"/>
        </w:rPr>
      </w:pPr>
      <w:r>
        <w:rPr>
          <w:rFonts w:hint="eastAsia" w:ascii="仿宋" w:hAnsi="仿宋" w:eastAsia="仿宋" w:cs="仿宋"/>
          <w:color w:val="auto"/>
        </w:rPr>
        <w:t>编号</w:t>
      </w:r>
    </w:p>
    <w:p>
      <w:pPr>
        <w:spacing w:line="420" w:lineRule="exact"/>
        <w:ind w:firstLine="486" w:firstLineChars="200"/>
        <w:rPr>
          <w:rFonts w:hint="eastAsia" w:ascii="仿宋" w:hAnsi="仿宋" w:eastAsia="仿宋" w:cs="仿宋"/>
          <w:color w:val="auto"/>
        </w:rPr>
      </w:pPr>
      <w:bookmarkStart w:id="57" w:name="_Toc469495742"/>
      <w:bookmarkStart w:id="58" w:name="_Toc246996253"/>
      <w:bookmarkStart w:id="59" w:name="_Toc296602498"/>
      <w:bookmarkStart w:id="60" w:name="_Toc247085768"/>
      <w:bookmarkStart w:id="61" w:name="_Toc152042388"/>
      <w:bookmarkStart w:id="62" w:name="_Toc246996996"/>
      <w:bookmarkStart w:id="63" w:name="_Toc179632628"/>
      <w:bookmarkStart w:id="64" w:name="_Toc144974578"/>
      <w:bookmarkStart w:id="65" w:name="_Toc152045610"/>
      <w:r>
        <w:rPr>
          <w:rFonts w:hint="eastAsia" w:ascii="仿宋" w:hAnsi="仿宋" w:eastAsia="仿宋" w:cs="仿宋"/>
          <w:color w:val="auto"/>
        </w:rPr>
        <w:t>买    方：                                   卖    方：</w:t>
      </w:r>
    </w:p>
    <w:p>
      <w:pPr>
        <w:spacing w:line="420" w:lineRule="exact"/>
        <w:ind w:firstLine="486" w:firstLineChars="200"/>
        <w:rPr>
          <w:rFonts w:hint="eastAsia" w:ascii="仿宋" w:hAnsi="仿宋" w:eastAsia="仿宋" w:cs="仿宋"/>
          <w:color w:val="auto"/>
        </w:rPr>
      </w:pPr>
      <w:r>
        <w:rPr>
          <w:rFonts w:hint="eastAsia" w:ascii="仿宋" w:hAnsi="仿宋" w:eastAsia="仿宋" w:cs="仿宋"/>
          <w:color w:val="auto"/>
        </w:rPr>
        <w:t>电    话：                                   电    话：</w:t>
      </w:r>
    </w:p>
    <w:p>
      <w:pPr>
        <w:spacing w:line="420" w:lineRule="exact"/>
        <w:ind w:firstLine="486" w:firstLineChars="200"/>
        <w:rPr>
          <w:rFonts w:hint="eastAsia" w:ascii="仿宋" w:hAnsi="仿宋" w:eastAsia="仿宋" w:cs="仿宋"/>
          <w:color w:val="auto"/>
        </w:rPr>
      </w:pPr>
      <w:r>
        <w:rPr>
          <w:rFonts w:hint="eastAsia" w:ascii="仿宋" w:hAnsi="仿宋" w:eastAsia="仿宋" w:cs="仿宋"/>
          <w:color w:val="auto"/>
        </w:rPr>
        <w:t xml:space="preserve">住    所：                                   住    所：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u w:val="single"/>
          <w:lang w:eastAsia="zh-CN"/>
        </w:rPr>
        <w:t>（买方）</w:t>
      </w:r>
      <w:r>
        <w:rPr>
          <w:rFonts w:hint="eastAsia" w:ascii="仿宋" w:hAnsi="仿宋" w:eastAsia="仿宋" w:cs="仿宋"/>
          <w:color w:val="auto"/>
          <w:lang w:eastAsia="zh-CN"/>
        </w:rPr>
        <w:t>的</w:t>
      </w:r>
      <w:r>
        <w:rPr>
          <w:rFonts w:hint="eastAsia" w:ascii="仿宋" w:hAnsi="仿宋" w:eastAsia="仿宋" w:cs="仿宋"/>
          <w:color w:val="auto"/>
          <w:u w:val="single"/>
          <w:lang w:eastAsia="zh-CN"/>
        </w:rPr>
        <w:t>（项目名称）</w:t>
      </w:r>
      <w:r>
        <w:rPr>
          <w:rFonts w:hint="eastAsia" w:ascii="仿宋" w:hAnsi="仿宋" w:eastAsia="仿宋" w:cs="仿宋"/>
          <w:color w:val="auto"/>
          <w:lang w:eastAsia="zh-CN"/>
        </w:rPr>
        <w:t>中所需</w:t>
      </w:r>
      <w:r>
        <w:rPr>
          <w:rFonts w:hint="eastAsia" w:ascii="仿宋" w:hAnsi="仿宋" w:eastAsia="仿宋" w:cs="仿宋"/>
          <w:color w:val="auto"/>
          <w:u w:val="single"/>
          <w:lang w:eastAsia="zh-CN"/>
        </w:rPr>
        <w:t>（产品名称）</w:t>
      </w:r>
      <w:r>
        <w:rPr>
          <w:rFonts w:hint="eastAsia" w:ascii="仿宋" w:hAnsi="仿宋" w:eastAsia="仿宋" w:cs="仿宋"/>
          <w:color w:val="auto"/>
          <w:lang w:eastAsia="zh-CN"/>
        </w:rPr>
        <w:t xml:space="preserve"> 经公开招标，确定</w:t>
      </w:r>
      <w:r>
        <w:rPr>
          <w:rFonts w:hint="eastAsia" w:ascii="仿宋" w:hAnsi="仿宋" w:eastAsia="仿宋" w:cs="仿宋"/>
          <w:color w:val="auto"/>
          <w:u w:val="single"/>
          <w:lang w:eastAsia="zh-CN"/>
        </w:rPr>
        <w:t>（卖方）</w:t>
      </w:r>
      <w:r>
        <w:rPr>
          <w:rFonts w:hint="eastAsia" w:ascii="仿宋" w:hAnsi="仿宋" w:eastAsia="仿宋" w:cs="仿宋"/>
          <w:color w:val="auto"/>
          <w:lang w:eastAsia="zh-CN"/>
        </w:rPr>
        <w:t>为中标人。按照中华人民共和国合同法的规定，买卖双方同意按照下述的条款和条件，签署本合同。</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1、本合同文件</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下列每一文件均应作为合同的组成部分进行阅读和解释：</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（1）采购文件（2）投标文件（3）中标通知书</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（4）经双方确认进入合同的其它文件、补充条款或说明</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2、采购标的、数量、质量要求</w:t>
      </w:r>
      <w:bookmarkStart w:id="85" w:name="_GoBack"/>
      <w:bookmarkEnd w:id="85"/>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3、合同总价</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合同总价为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元人民币。</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color w:val="auto"/>
          <w:lang w:eastAsia="zh-CN"/>
        </w:rPr>
        <w:t>4、付款方式</w:t>
      </w:r>
      <w:r>
        <w:rPr>
          <w:rFonts w:hint="eastAsia" w:ascii="仿宋" w:hAnsi="仿宋" w:eastAsia="仿宋" w:cs="仿宋"/>
          <w:b/>
          <w:bCs/>
          <w:color w:val="auto"/>
          <w:lang w:eastAsia="zh-CN"/>
        </w:rPr>
        <w:t>：以甲乙双方签定的合同为准。</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5、合同供货（服务）期限及地点和方式</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6、验收要求及违约责任</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7、违约责任及解决争议方法</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8、合同的生效</w:t>
      </w:r>
    </w:p>
    <w:p>
      <w:pPr>
        <w:pStyle w:val="9"/>
        <w:spacing w:after="0" w:line="42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合同经双方授权代表签署，买卖双方加盖印章之后生效。</w:t>
      </w:r>
    </w:p>
    <w:p>
      <w:pPr>
        <w:pStyle w:val="9"/>
        <w:spacing w:after="0" w:line="42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本合同一式     份，双方各执     份。</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买  方：                            卖  方：</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名  称：（盖章）                    名  称：（盖章）</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法定代表人（或委托代理人签章）：    法定代表人（或委托代理人签章）：</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地    址：                          地    址：</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邮政编码：                          邮政编码：</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电    话：                          电    话：</w:t>
      </w:r>
    </w:p>
    <w:p>
      <w:pPr>
        <w:pStyle w:val="9"/>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开户银行：                          开户银行：</w:t>
      </w:r>
    </w:p>
    <w:p>
      <w:pPr>
        <w:pStyle w:val="9"/>
        <w:spacing w:after="0" w:line="360" w:lineRule="exact"/>
        <w:ind w:left="0" w:leftChars="0" w:firstLine="486" w:firstLineChars="200"/>
        <w:rPr>
          <w:rFonts w:hint="eastAsia" w:ascii="仿宋" w:hAnsi="仿宋" w:eastAsia="仿宋" w:cs="仿宋"/>
          <w:b/>
          <w:color w:val="auto"/>
          <w:sz w:val="30"/>
          <w:szCs w:val="30"/>
          <w:lang w:eastAsia="zh-CN"/>
        </w:rPr>
      </w:pPr>
      <w:r>
        <w:rPr>
          <w:rFonts w:hint="eastAsia" w:ascii="仿宋" w:hAnsi="仿宋" w:eastAsia="仿宋" w:cs="仿宋"/>
          <w:color w:val="auto"/>
          <w:u w:color="000000"/>
          <w:lang w:eastAsia="zh-CN"/>
        </w:rPr>
        <w:t>帐    号：                          帐    号：</w:t>
      </w:r>
    </w:p>
    <w:p>
      <w:pPr>
        <w:pStyle w:val="9"/>
        <w:spacing w:after="0" w:line="420" w:lineRule="exact"/>
        <w:ind w:left="0" w:leftChars="0" w:firstLine="606" w:firstLineChars="200"/>
        <w:jc w:val="center"/>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二  合同条款</w:t>
      </w:r>
      <w:bookmarkEnd w:id="57"/>
      <w:bookmarkEnd w:id="58"/>
      <w:bookmarkEnd w:id="59"/>
      <w:bookmarkEnd w:id="60"/>
      <w:bookmarkEnd w:id="61"/>
      <w:bookmarkEnd w:id="62"/>
      <w:bookmarkEnd w:id="63"/>
      <w:bookmarkEnd w:id="64"/>
      <w:bookmarkEnd w:id="65"/>
    </w:p>
    <w:p>
      <w:pPr>
        <w:spacing w:line="440" w:lineRule="exact"/>
        <w:rPr>
          <w:rFonts w:hint="eastAsia" w:ascii="仿宋" w:hAnsi="仿宋" w:eastAsia="仿宋" w:cs="仿宋"/>
          <w:b/>
          <w:color w:val="auto"/>
          <w:szCs w:val="21"/>
        </w:rPr>
      </w:pPr>
      <w:r>
        <w:rPr>
          <w:rFonts w:hint="eastAsia" w:ascii="仿宋" w:hAnsi="仿宋" w:eastAsia="仿宋" w:cs="仿宋"/>
          <w:b/>
          <w:color w:val="auto"/>
          <w:szCs w:val="21"/>
        </w:rPr>
        <w:t>一.合同文件</w:t>
      </w:r>
    </w:p>
    <w:p>
      <w:pPr>
        <w:spacing w:line="440" w:lineRule="exact"/>
        <w:rPr>
          <w:rFonts w:hint="eastAsia" w:ascii="仿宋" w:hAnsi="仿宋" w:eastAsia="仿宋" w:cs="仿宋"/>
          <w:color w:val="auto"/>
          <w:szCs w:val="21"/>
        </w:rPr>
      </w:pPr>
      <w:r>
        <w:rPr>
          <w:rFonts w:hint="eastAsia" w:ascii="仿宋" w:hAnsi="仿宋" w:eastAsia="仿宋" w:cs="仿宋"/>
          <w:color w:val="auto"/>
          <w:szCs w:val="21"/>
        </w:rPr>
        <w:t>1、合同文件适用法律</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适用于合同文件的法律是中华人民共和国现行法律、法规及招标人所在地的地方性法规。</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2、合同文件组成和解释顺序</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(1)合同文件的组成和解释顺序如下：</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&lt;1&gt;合同的主要条款；</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&lt;2&gt;合同的一般性条款；</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&lt;3&gt;洽商、变更等明确双方权利义务的纪要、协议；</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&lt;4&gt;中标通知书、投标文件和采购文件；</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&lt;5&gt;有关图纸、标准、规范和其它有关技术资料、技术要求。</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&lt;6&gt;合同的主要条款的效力优于合同的一般性条款的效力。</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3、合同文件使用文字</w:t>
      </w:r>
    </w:p>
    <w:p>
      <w:pPr>
        <w:pStyle w:val="6"/>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(1)合同文件使用中文书写、解释和说明。</w:t>
      </w:r>
    </w:p>
    <w:p>
      <w:pPr>
        <w:pStyle w:val="6"/>
        <w:overflowPunct w:val="0"/>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二.标的物的一般条款</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4、完整物权</w:t>
      </w:r>
    </w:p>
    <w:p>
      <w:pPr>
        <w:tabs>
          <w:tab w:val="left" w:pos="660"/>
        </w:tabs>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对于出卖的标的物，卖方应当拥有完整物权，并且卖方负有保证第三人不得向买方主张任何权利（包括知识产权）的义务。</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5、质量保证</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rPr>
          <w:rFonts w:hint="eastAsia" w:ascii="仿宋" w:hAnsi="仿宋" w:eastAsia="仿宋" w:cs="仿宋"/>
          <w:color w:val="auto"/>
          <w:sz w:val="21"/>
          <w:szCs w:val="21"/>
          <w:u w:color="000000"/>
          <w:lang w:eastAsia="zh-CN"/>
        </w:rPr>
      </w:pPr>
      <w:r>
        <w:rPr>
          <w:rFonts w:hint="eastAsia" w:ascii="仿宋" w:hAnsi="仿宋" w:eastAsia="仿宋" w:cs="仿宋"/>
          <w:color w:val="auto"/>
          <w:szCs w:val="24"/>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仿宋" w:hAnsi="仿宋" w:eastAsia="仿宋" w:cs="仿宋"/>
          <w:color w:val="auto"/>
          <w:sz w:val="21"/>
          <w:szCs w:val="21"/>
          <w:u w:color="000000"/>
          <w:lang w:eastAsia="zh-CN"/>
        </w:rPr>
        <w:t>外）。</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6、包装</w:t>
      </w:r>
    </w:p>
    <w:p>
      <w:pPr>
        <w:pStyle w:val="6"/>
        <w:tabs>
          <w:tab w:val="left" w:pos="900"/>
        </w:tabs>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7、伴随服务</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(1)卖方除应履行按期按量交付合格标的物的义务之外，还应提供下列服务：</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&lt;1&gt;标的物的现场安装或指导安装、启动、调试、监督（如果必须安装、调试的话）；</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&lt;2&gt;提供标的物组装和一般维修所必须的工具；</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&lt;3&gt;在合同规定的期限内对所提供标的物实行运行监督、维修服务的前提条件是该服务并不能免除卖方在质量保证期内所承担的义务；</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&lt;4&gt;对买方技术人员的技术指导或培训。</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(2)除合同另有规定之外，伴随服务的费用均已含在合同价款中，买方不再另行进行支付。</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三.标的物的交付、检验和验收</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8、标的物的交付</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(1)标的物的所有权自标的物交付时转移。</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(2)卖方应当按照约定的期限和约定的地点交付符合采购文件要求的标的物。</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(3)卖方应当按照约定或者交易习惯向招标人交付提取标的物单证以外的有关单证和资料。</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9、检验和验收</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(2)买方根据合同规定的内容和验收标准进行验收，经检验无误后出具验收合格证明，该证明作为最终付款所需文件的组成部分。</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(3)验收期限自标的物交付之日起三十天内。特殊情况需延长的，双方应在合同条款中约定。</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四.对标的物提出异议的时间和办法</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10、对标的物提出异议的时间和办法 </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(1)买方在验收过程中，应当于双方约定的检验期间内将标的物的数量或质量不符合约定的情形及处理方式以书面形式通知卖方。</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(2)如买方在验收期满后既不出具验收合格证明又未提出书面异议的视为卖方所交标的物符合合同规定。</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(3)卖方应在收到买方书面异议后七天内负责处理问题，否则将视为默认买方提出的异议和处理意见。</w:t>
      </w:r>
    </w:p>
    <w:p>
      <w:pPr>
        <w:spacing w:line="440" w:lineRule="exact"/>
        <w:rPr>
          <w:rFonts w:hint="eastAsia" w:ascii="仿宋" w:hAnsi="仿宋" w:eastAsia="仿宋" w:cs="仿宋"/>
          <w:b/>
          <w:color w:val="auto"/>
        </w:rPr>
      </w:pPr>
      <w:r>
        <w:rPr>
          <w:rFonts w:hint="eastAsia" w:ascii="仿宋" w:hAnsi="仿宋" w:eastAsia="仿宋" w:cs="仿宋"/>
          <w:b/>
          <w:color w:val="auto"/>
        </w:rPr>
        <w:t>五.合同价款和支付</w:t>
      </w:r>
    </w:p>
    <w:p>
      <w:pPr>
        <w:spacing w:line="440" w:lineRule="exact"/>
        <w:rPr>
          <w:rFonts w:hint="eastAsia" w:ascii="仿宋" w:hAnsi="仿宋" w:eastAsia="仿宋" w:cs="仿宋"/>
          <w:color w:val="auto"/>
        </w:rPr>
      </w:pPr>
      <w:r>
        <w:rPr>
          <w:rFonts w:hint="eastAsia" w:ascii="仿宋" w:hAnsi="仿宋" w:eastAsia="仿宋" w:cs="仿宋"/>
          <w:color w:val="auto"/>
        </w:rPr>
        <w:t>11、合同价款和支付</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(1)本合同的结算货币为人民币，单位元。</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(2)卖方应按照双方签订的合同规定交货并在合同主要条款规定的期限内持下列单据结算货款：</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&lt;1&gt;合格的销售发票；</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&lt;2&gt;买方盖章签收后的送货回单和验收合格证明。</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(3)买方应按合同主要条款规定的期限和方式付款。</w:t>
      </w:r>
    </w:p>
    <w:p>
      <w:pPr>
        <w:pStyle w:val="6"/>
        <w:tabs>
          <w:tab w:val="left" w:pos="540"/>
        </w:tabs>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(4)根据现行税法对买方征收的与本合同有关的一切税费均由买方承担；根据现行税法对卖方征收的与本合同有关的一切税费均由卖方承担。</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六.违约责任</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12、违约责任</w:t>
      </w:r>
    </w:p>
    <w:p>
      <w:pPr>
        <w:pStyle w:val="6"/>
        <w:spacing w:line="440" w:lineRule="exact"/>
        <w:ind w:firstLine="486" w:firstLineChars="200"/>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合同一方不履行合同义务或者履行合同义务不符合约定的，应当承担继续履行、采取补救措施或者赔偿损失等违约责任。</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13、买方违约责任</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(1)在合同生效后，买方要求退货的，应向卖方偿付合同总价款的5%，作为违约金，违约金不足以补偿损失的，卖方有权要求甲方补足。</w:t>
      </w:r>
    </w:p>
    <w:p>
      <w:pPr>
        <w:pStyle w:val="6"/>
        <w:overflowPunct w:val="0"/>
        <w:spacing w:line="440" w:lineRule="exact"/>
        <w:ind w:right="-386" w:rightChars="-159"/>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(2)买方逾期付款的应按照逾期付款金额的每天万分之四支付逾期付款违约金。</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(3)买方违反合同规定，拒绝接收卖方交付的符合采购文件要求的合格标的物，应当承担卖方由此造成的损失。</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14、卖方违约责任</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(1)卖方不能交货（逾期超过五天视为不能交货），或交货不合格从而影响买方按期正常使用的，应向买方偿付合同总价款5%的违约金，违约金不足以补偿损失的，买方有权要求卖方补足。</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15、不可抗力</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(1)因水灾、火灾、地震、战争等不可抗力不能履行合同的，根据不可抗力的影响，部分或者全部免除责任。但合同一方迟延履行后发生不可抗力的，不能免除责任。</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(2)合同一方因不可抗力不能履行合同的，应当及时通知对方，以减轻可能给对方造成的损失，并应当在合理期限内提供证明。</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七.索赔</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16、索赔</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(1)买方有权根据当地产品质量检验机构或其它有权威部门出具的检验证书向卖方提出索赔。</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(2)在本合同规定的检验期和质量保证期内，如果卖方对买方提出的索赔或差异有责任，则卖方应按买方同意的下列一种或多种方式解决索赔事宜：</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&lt;2&gt;根据标的物的低劣程度、损坏程度以及甲方遭受损失的数额，经双方协商确定降低标的物的价格；</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(4)买方提出索赔的书面材料应报当地政府采购管理部门备案。卖方同意的索赔方案应报当地政府采购管理部门审核。</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八.履约保证金</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17、履约保证金</w:t>
      </w:r>
    </w:p>
    <w:p>
      <w:pPr>
        <w:pStyle w:val="6"/>
        <w:overflowPunct w:val="0"/>
        <w:spacing w:line="440" w:lineRule="exact"/>
        <w:ind w:firstLine="607" w:firstLineChars="250"/>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(1)卖方应在本合同签订时，按采购文件的约定提供相应的履约保证金，保证金的有效期应不低于合同有效期。</w:t>
      </w:r>
    </w:p>
    <w:p>
      <w:pPr>
        <w:pStyle w:val="6"/>
        <w:overflowPunct w:val="0"/>
        <w:spacing w:line="440" w:lineRule="exact"/>
        <w:ind w:right="-386" w:rightChars="-159"/>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(2)如果卖方未能履行合同规定的任何义务，买方有权从履约保证金中取得补偿。</w:t>
      </w:r>
    </w:p>
    <w:p>
      <w:pPr>
        <w:pStyle w:val="6"/>
        <w:overflowPunct w:val="0"/>
        <w:spacing w:line="440" w:lineRule="exact"/>
        <w:ind w:right="-1010" w:rightChars="-416"/>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(3)履约保证金（无息）将在卖方履行完合同义务，买方支付合同价款的五天内</w:t>
      </w:r>
    </w:p>
    <w:p>
      <w:pPr>
        <w:pStyle w:val="6"/>
        <w:overflowPunct w:val="0"/>
        <w:spacing w:line="440" w:lineRule="exact"/>
        <w:ind w:right="-1010" w:rightChars="-416" w:firstLine="0"/>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退回。</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九.合同的解除和转让</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18、合同的解除</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(1)买方和卖方协商一致，可以解除合同。</w:t>
      </w:r>
    </w:p>
    <w:p>
      <w:pPr>
        <w:pStyle w:val="6"/>
        <w:spacing w:line="440" w:lineRule="exact"/>
        <w:rPr>
          <w:rFonts w:hint="eastAsia" w:ascii="仿宋" w:hAnsi="仿宋" w:eastAsia="仿宋" w:cs="仿宋"/>
          <w:color w:val="auto"/>
          <w:szCs w:val="24"/>
          <w:u w:color="000000"/>
        </w:rPr>
      </w:pPr>
      <w:r>
        <w:rPr>
          <w:rFonts w:hint="eastAsia" w:ascii="仿宋" w:hAnsi="仿宋" w:eastAsia="仿宋" w:cs="仿宋"/>
          <w:color w:val="auto"/>
          <w:szCs w:val="24"/>
          <w:u w:color="000000"/>
        </w:rPr>
        <w:t>(2)有下列情形之一，合同一方可以解除合同：</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&lt;1&gt;因不可抗力致使不能实现合同目的，未受不可抗力影响的一方有权解除合同；</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&lt;2&gt;因合同一方违约导致合同不能履行，另一方有权解除合同。</w:t>
      </w:r>
    </w:p>
    <w:p>
      <w:pPr>
        <w:pStyle w:val="6"/>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(3)有权解除合同的一方，应当在违约事实或不可抗力发生之后三十天内书面通知对方以主张解除合同，合同在书面通知到达对方时解除。</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19、合同的转让</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合同的部分和全部都不得转让。</w:t>
      </w:r>
    </w:p>
    <w:p>
      <w:pPr>
        <w:spacing w:line="440" w:lineRule="exact"/>
        <w:rPr>
          <w:rFonts w:hint="eastAsia" w:ascii="仿宋" w:hAnsi="仿宋" w:eastAsia="仿宋" w:cs="仿宋"/>
          <w:b/>
          <w:color w:val="auto"/>
        </w:rPr>
      </w:pPr>
      <w:r>
        <w:rPr>
          <w:rFonts w:hint="eastAsia" w:ascii="仿宋" w:hAnsi="仿宋" w:eastAsia="仿宋" w:cs="仿宋"/>
          <w:b/>
          <w:color w:val="auto"/>
        </w:rPr>
        <w:t>十.合同的生效</w:t>
      </w:r>
    </w:p>
    <w:p>
      <w:pPr>
        <w:spacing w:line="440" w:lineRule="exact"/>
        <w:rPr>
          <w:rFonts w:hint="eastAsia" w:ascii="仿宋" w:hAnsi="仿宋" w:eastAsia="仿宋" w:cs="仿宋"/>
          <w:color w:val="auto"/>
        </w:rPr>
      </w:pPr>
      <w:r>
        <w:rPr>
          <w:rFonts w:hint="eastAsia" w:ascii="仿宋" w:hAnsi="仿宋" w:eastAsia="仿宋" w:cs="仿宋"/>
          <w:color w:val="auto"/>
        </w:rPr>
        <w:t>20</w:t>
      </w:r>
      <w:r>
        <w:rPr>
          <w:rFonts w:hint="eastAsia" w:ascii="仿宋" w:hAnsi="仿宋" w:eastAsia="仿宋" w:cs="仿宋"/>
          <w:color w:val="auto"/>
          <w:lang w:eastAsia="zh-CN"/>
        </w:rPr>
        <w:t>、</w:t>
      </w:r>
      <w:r>
        <w:rPr>
          <w:rFonts w:hint="eastAsia" w:ascii="仿宋" w:hAnsi="仿宋" w:eastAsia="仿宋" w:cs="仿宋"/>
          <w:color w:val="auto"/>
        </w:rPr>
        <w:t>合同的生效</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本合同在双方签字盖章并在招标人收到中标人提交的履约保证金后，经招标采购管理部门备案后生效。</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十一. 争议解决</w:t>
      </w:r>
    </w:p>
    <w:p>
      <w:pPr>
        <w:spacing w:line="440" w:lineRule="exact"/>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21、争议解决</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 xml:space="preserve"> 买卖双方因合同发生争议，进行调解，协商不成，可选择：</w:t>
      </w:r>
    </w:p>
    <w:p>
      <w:pPr>
        <w:pStyle w:val="6"/>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(1)双方同时申请仲裁；</w:t>
      </w:r>
    </w:p>
    <w:p>
      <w:pPr>
        <w:pStyle w:val="6"/>
        <w:tabs>
          <w:tab w:val="left" w:pos="900"/>
        </w:tabs>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(2)向买方所在地人民法院提起诉讼。</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十二 .附则</w:t>
      </w:r>
    </w:p>
    <w:p>
      <w:pPr>
        <w:spacing w:line="440" w:lineRule="exact"/>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22、合同份数。</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lang w:eastAsia="zh-CN"/>
        </w:rPr>
        <w:tab/>
      </w:r>
      <w:r>
        <w:rPr>
          <w:rFonts w:hint="eastAsia" w:ascii="仿宋" w:hAnsi="仿宋" w:eastAsia="仿宋" w:cs="仿宋"/>
          <w:color w:val="auto"/>
          <w:lang w:eastAsia="zh-CN"/>
        </w:rPr>
        <w:t xml:space="preserve"> 本合同一式陆份，买卖双方各执二份，招标代理机构一份，招标采购管理部门一份。</w:t>
      </w:r>
    </w:p>
    <w:p>
      <w:pPr>
        <w:spacing w:line="440" w:lineRule="exact"/>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23、未尽事宜</w:t>
      </w:r>
    </w:p>
    <w:p>
      <w:pPr>
        <w:spacing w:line="440" w:lineRule="exact"/>
        <w:ind w:firstLine="607" w:firstLineChars="250"/>
        <w:rPr>
          <w:rFonts w:hint="eastAsia" w:ascii="仿宋" w:hAnsi="仿宋" w:eastAsia="仿宋" w:cs="仿宋"/>
          <w:color w:val="auto"/>
          <w:szCs w:val="21"/>
          <w:lang w:eastAsia="zh-CN"/>
        </w:rPr>
      </w:pPr>
      <w:r>
        <w:rPr>
          <w:rFonts w:hint="eastAsia" w:ascii="仿宋" w:hAnsi="仿宋" w:eastAsia="仿宋" w:cs="仿宋"/>
          <w:color w:val="auto"/>
          <w:lang w:eastAsia="zh-CN"/>
        </w:rPr>
        <w:t>本合同未尽事宜应按《中华人民共和国政府采购法》、《中华人民共和国合同法》、《中华人民共和国产品质量法》之规定解释。</w:t>
      </w:r>
    </w:p>
    <w:p>
      <w:pPr>
        <w:pStyle w:val="8"/>
        <w:numPr>
          <w:ilvl w:val="0"/>
          <w:numId w:val="0"/>
        </w:numPr>
        <w:rPr>
          <w:rFonts w:hint="eastAsia" w:ascii="仿宋" w:hAnsi="仿宋" w:eastAsia="仿宋" w:cs="仿宋"/>
          <w:color w:val="auto"/>
          <w:sz w:val="24"/>
          <w:lang w:eastAsia="zh-CN"/>
        </w:rPr>
      </w:pPr>
    </w:p>
    <w:p>
      <w:pPr>
        <w:rPr>
          <w:rFonts w:hint="eastAsia" w:ascii="仿宋" w:hAnsi="仿宋" w:eastAsia="仿宋" w:cs="仿宋"/>
          <w:b/>
          <w:bCs/>
          <w:color w:val="auto"/>
          <w:lang w:eastAsia="zh-CN"/>
        </w:rPr>
      </w:pPr>
    </w:p>
    <w:p>
      <w:pPr>
        <w:rPr>
          <w:rFonts w:hint="eastAsia" w:ascii="仿宋" w:hAnsi="仿宋" w:eastAsia="仿宋" w:cs="仿宋"/>
          <w:color w:val="auto"/>
          <w:lang w:eastAsia="zh-CN"/>
        </w:rPr>
      </w:pPr>
    </w:p>
    <w:p>
      <w:pPr>
        <w:pStyle w:val="32"/>
        <w:keepNext/>
        <w:keepLines/>
        <w:spacing w:before="0" w:after="1160"/>
        <w:rPr>
          <w:rFonts w:hint="eastAsia"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lang w:eastAsia="zh-CN"/>
        </w:rPr>
      </w:pPr>
      <w:bookmarkStart w:id="66" w:name="bookmark196"/>
      <w:r>
        <w:rPr>
          <w:rFonts w:hint="eastAsia" w:ascii="仿宋" w:hAnsi="仿宋" w:eastAsia="仿宋" w:cs="仿宋"/>
          <w:b/>
          <w:bCs/>
          <w:color w:val="auto"/>
          <w:sz w:val="28"/>
          <w:szCs w:val="28"/>
          <w:bdr w:val="single" w:color="auto" w:sz="4" w:space="0"/>
          <w:lang w:eastAsia="zh-CN"/>
        </w:rPr>
        <w:t>正/副 本</w:t>
      </w:r>
    </w:p>
    <w:p>
      <w:pPr>
        <w:adjustRightInd w:val="0"/>
        <w:snapToGrid w:val="0"/>
        <w:spacing w:line="360" w:lineRule="auto"/>
        <w:jc w:val="center"/>
        <w:rPr>
          <w:rFonts w:hint="eastAsia" w:ascii="仿宋" w:hAnsi="仿宋" w:eastAsia="仿宋" w:cs="仿宋"/>
          <w:b/>
          <w:caps/>
          <w:color w:val="auto"/>
          <w:lang w:eastAsia="zh-CN"/>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pPr>
        <w:adjustRightInd w:val="0"/>
        <w:snapToGrid w:val="0"/>
        <w:spacing w:line="360" w:lineRule="auto"/>
        <w:jc w:val="both"/>
        <w:rPr>
          <w:rFonts w:hint="eastAsia" w:ascii="仿宋" w:hAnsi="仿宋" w:eastAsia="仿宋" w:cs="仿宋"/>
          <w:bCs/>
          <w:color w:val="auto"/>
          <w:sz w:val="32"/>
          <w:szCs w:val="32"/>
          <w:lang w:eastAsia="zh-CN"/>
        </w:rPr>
      </w:pPr>
    </w:p>
    <w:p>
      <w:pPr>
        <w:adjustRightInd w:val="0"/>
        <w:snapToGrid w:val="0"/>
        <w:spacing w:line="360" w:lineRule="auto"/>
        <w:jc w:val="center"/>
        <w:rPr>
          <w:rFonts w:hint="eastAsia" w:ascii="仿宋" w:hAnsi="仿宋" w:eastAsia="仿宋" w:cs="仿宋"/>
          <w:bCs/>
          <w:color w:val="auto"/>
          <w:sz w:val="32"/>
          <w:szCs w:val="32"/>
          <w:lang w:eastAsia="zh-CN"/>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hint="eastAsia" w:ascii="仿宋" w:hAnsi="仿宋" w:eastAsia="仿宋" w:cs="仿宋"/>
          <w:bCs/>
          <w:color w:val="auto"/>
          <w:sz w:val="32"/>
          <w:szCs w:val="32"/>
          <w:lang w:eastAsia="zh-CN"/>
        </w:rPr>
      </w:pPr>
    </w:p>
    <w:p>
      <w:pPr>
        <w:adjustRightInd w:val="0"/>
        <w:snapToGrid w:val="0"/>
        <w:spacing w:line="360" w:lineRule="auto"/>
        <w:jc w:val="both"/>
        <w:rPr>
          <w:rFonts w:hint="eastAsia" w:ascii="仿宋" w:hAnsi="仿宋" w:eastAsia="仿宋" w:cs="仿宋"/>
          <w:bCs/>
          <w:color w:val="auto"/>
          <w:sz w:val="32"/>
          <w:szCs w:val="32"/>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pPr>
        <w:adjustRightInd w:val="0"/>
        <w:snapToGrid w:val="0"/>
        <w:spacing w:line="360" w:lineRule="auto"/>
        <w:jc w:val="center"/>
        <w:rPr>
          <w:rFonts w:hint="eastAsia" w:ascii="仿宋" w:hAnsi="仿宋" w:eastAsia="仿宋" w:cs="仿宋"/>
          <w:b/>
          <w:caps/>
          <w:color w:val="auto"/>
          <w:sz w:val="28"/>
          <w:szCs w:val="28"/>
          <w:lang w:eastAsia="zh-CN"/>
        </w:rPr>
      </w:pPr>
    </w:p>
    <w:p>
      <w:pPr>
        <w:adjustRightInd w:val="0"/>
        <w:snapToGrid w:val="0"/>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pPr>
        <w:pStyle w:val="34"/>
        <w:spacing w:after="340" w:line="240" w:lineRule="auto"/>
        <w:ind w:firstLine="0"/>
        <w:rPr>
          <w:rFonts w:hint="eastAsia" w:ascii="仿宋" w:hAnsi="仿宋" w:eastAsia="仿宋" w:cs="仿宋"/>
          <w:color w:val="auto"/>
        </w:rPr>
      </w:pPr>
    </w:p>
    <w:bookmarkEnd w:id="66"/>
    <w:p>
      <w:pPr>
        <w:pStyle w:val="4"/>
        <w:spacing w:line="240" w:lineRule="atLeast"/>
        <w:rPr>
          <w:rFonts w:hint="eastAsia" w:ascii="仿宋" w:hAnsi="仿宋" w:eastAsia="仿宋" w:cs="仿宋"/>
          <w:bCs/>
          <w:color w:val="auto"/>
          <w:sz w:val="24"/>
          <w:lang w:eastAsia="zh-CN"/>
        </w:rPr>
      </w:pPr>
      <w:bookmarkStart w:id="67" w:name="_Toc515647803"/>
      <w:bookmarkStart w:id="68" w:name="_Toc18694"/>
      <w:bookmarkStart w:id="69" w:name="_Toc18974"/>
      <w:bookmarkStart w:id="70" w:name="_Toc8919"/>
    </w:p>
    <w:p>
      <w:pPr>
        <w:pStyle w:val="4"/>
        <w:spacing w:line="240" w:lineRule="atLeast"/>
        <w:rPr>
          <w:rFonts w:hint="eastAsia"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67"/>
      <w:bookmarkEnd w:id="68"/>
      <w:bookmarkEnd w:id="69"/>
      <w:bookmarkEnd w:id="70"/>
    </w:p>
    <w:p>
      <w:pPr>
        <w:spacing w:line="240" w:lineRule="atLeast"/>
        <w:ind w:left="717" w:hanging="716" w:hangingChars="295"/>
        <w:jc w:val="center"/>
        <w:rPr>
          <w:rFonts w:hint="eastAsia" w:ascii="仿宋" w:hAnsi="仿宋" w:eastAsia="仿宋" w:cs="仿宋"/>
          <w:color w:val="auto"/>
          <w:lang w:eastAsia="zh-CN"/>
        </w:rPr>
      </w:pP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2、法定代表人资格证明书；</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4、投标保证金收据或投标担保函；</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5、</w:t>
      </w:r>
      <w:r>
        <w:rPr>
          <w:rFonts w:hint="eastAsia" w:ascii="仿宋" w:hAnsi="仿宋" w:eastAsia="仿宋" w:cs="仿宋"/>
          <w:color w:val="auto"/>
          <w:sz w:val="24"/>
          <w:szCs w:val="24"/>
          <w:lang w:eastAsia="zh-CN"/>
        </w:rPr>
        <w:t>投标企业须提供投标人（被授权在职人员）近期</w:t>
      </w:r>
      <w:r>
        <w:rPr>
          <w:rFonts w:hint="eastAsia" w:ascii="仿宋" w:hAnsi="仿宋" w:eastAsia="仿宋" w:cs="仿宋"/>
          <w:color w:val="auto"/>
          <w:sz w:val="24"/>
          <w:szCs w:val="24"/>
          <w:lang w:val="en-US" w:eastAsia="zh-CN"/>
        </w:rPr>
        <w:t>3个月</w:t>
      </w:r>
      <w:r>
        <w:rPr>
          <w:rFonts w:hint="eastAsia" w:ascii="仿宋" w:hAnsi="仿宋" w:eastAsia="仿宋" w:cs="仿宋"/>
          <w:color w:val="auto"/>
          <w:sz w:val="24"/>
          <w:szCs w:val="24"/>
          <w:lang w:eastAsia="zh-CN"/>
        </w:rPr>
        <w:t>有效的社保证明</w:t>
      </w:r>
      <w:r>
        <w:rPr>
          <w:rFonts w:hint="eastAsia" w:ascii="仿宋" w:hAnsi="仿宋" w:eastAsia="仿宋" w:cs="仿宋"/>
          <w:color w:val="auto"/>
          <w:lang w:eastAsia="zh-CN"/>
        </w:rPr>
        <w:t>;</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6、</w:t>
      </w: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7、参加政府采购活动前3年内在经营活动中没有重大违法记录的书面声明;</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8、未被“信用中国”（www.creditchina.gov.cn）、中国政府采购网（www.ccgp.gov.cn）列入失信被执行人、税收违法黑名单、政府采购严重违法失信行为记录名单；</w:t>
      </w:r>
    </w:p>
    <w:p>
      <w:pPr>
        <w:tabs>
          <w:tab w:val="left" w:pos="5580"/>
        </w:tabs>
        <w:spacing w:line="500" w:lineRule="atLeast"/>
        <w:ind w:left="1" w:firstLine="571" w:firstLineChars="235"/>
        <w:rPr>
          <w:rFonts w:hint="default" w:ascii="仿宋" w:hAnsi="仿宋" w:eastAsia="仿宋" w:cs="仿宋"/>
          <w:color w:val="auto"/>
          <w:lang w:val="en-US" w:eastAsia="zh-CN"/>
        </w:rPr>
      </w:pPr>
      <w:r>
        <w:rPr>
          <w:rFonts w:hint="eastAsia" w:ascii="仿宋" w:hAnsi="仿宋" w:eastAsia="仿宋" w:cs="仿宋"/>
          <w:color w:val="auto"/>
          <w:lang w:val="en-US" w:eastAsia="zh-CN"/>
        </w:rPr>
        <w:t>9、</w:t>
      </w:r>
      <w:r>
        <w:rPr>
          <w:rFonts w:hint="eastAsia" w:ascii="仿宋" w:hAnsi="仿宋" w:eastAsia="仿宋" w:cs="仿宋"/>
          <w:color w:val="auto"/>
          <w:sz w:val="24"/>
          <w:szCs w:val="24"/>
          <w:lang w:val="en-US" w:eastAsia="zh-CN" w:bidi="en-US"/>
        </w:rPr>
        <w:t>投标产品为进口设备的投标企业须提供生产厂家针对本项目的授权。（授权内容需明确项目名称、被授权公司名称、授权期限及授权厂家的公章）</w:t>
      </w:r>
    </w:p>
    <w:p>
      <w:pPr>
        <w:tabs>
          <w:tab w:val="left" w:pos="5580"/>
        </w:tabs>
        <w:spacing w:line="500" w:lineRule="atLeast"/>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、投标人须知资料表要求的其他资格证明文件;</w:t>
      </w:r>
    </w:p>
    <w:p>
      <w:pPr>
        <w:pStyle w:val="8"/>
        <w:numPr>
          <w:ilvl w:val="0"/>
          <w:numId w:val="0"/>
        </w:numPr>
        <w:kinsoku w:val="0"/>
        <w:overflowPunct w:val="0"/>
        <w:spacing w:before="130" w:line="355" w:lineRule="auto"/>
        <w:ind w:left="480" w:right="7"/>
        <w:jc w:val="center"/>
        <w:rPr>
          <w:rFonts w:hint="eastAsia" w:ascii="仿宋" w:hAnsi="仿宋" w:eastAsia="仿宋" w:cs="仿宋"/>
          <w:b/>
          <w:bCs/>
          <w:color w:val="auto"/>
          <w:sz w:val="36"/>
          <w:szCs w:val="36"/>
          <w:lang w:eastAsia="zh-CN"/>
        </w:rPr>
      </w:pPr>
    </w:p>
    <w:p>
      <w:pPr>
        <w:pStyle w:val="8"/>
        <w:numPr>
          <w:ilvl w:val="0"/>
          <w:numId w:val="0"/>
        </w:numPr>
        <w:kinsoku w:val="0"/>
        <w:overflowPunct w:val="0"/>
        <w:spacing w:before="130" w:line="355" w:lineRule="auto"/>
        <w:ind w:left="480" w:right="7"/>
        <w:jc w:val="center"/>
        <w:rPr>
          <w:rFonts w:hint="eastAsia" w:ascii="仿宋" w:hAnsi="仿宋" w:eastAsia="仿宋" w:cs="仿宋"/>
          <w:b/>
          <w:bCs/>
          <w:color w:val="auto"/>
          <w:sz w:val="36"/>
          <w:szCs w:val="36"/>
          <w:lang w:eastAsia="zh-CN"/>
        </w:rPr>
      </w:pPr>
    </w:p>
    <w:p>
      <w:pPr>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right="126"/>
        <w:jc w:val="both"/>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71" w:name="_Toc515647805"/>
      <w:bookmarkStart w:id="72" w:name="_Toc17577"/>
      <w:bookmarkStart w:id="73" w:name="_Toc29899"/>
      <w:bookmarkStart w:id="74" w:name="_Toc4844"/>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71"/>
      <w:bookmarkStart w:id="75" w:name="_Toc515647806"/>
      <w:r>
        <w:rPr>
          <w:rFonts w:hint="eastAsia" w:ascii="仿宋" w:hAnsi="仿宋" w:eastAsia="仿宋" w:cs="仿宋"/>
          <w:b/>
          <w:bCs/>
          <w:color w:val="auto"/>
          <w:sz w:val="36"/>
          <w:szCs w:val="36"/>
          <w:lang w:eastAsia="zh-CN"/>
        </w:rPr>
        <w:t>或自然人的身份证明</w:t>
      </w:r>
      <w:bookmarkEnd w:id="72"/>
      <w:bookmarkEnd w:id="73"/>
      <w:bookmarkEnd w:id="74"/>
      <w:bookmarkEnd w:id="75"/>
    </w:p>
    <w:p>
      <w:pPr>
        <w:pStyle w:val="10"/>
        <w:tabs>
          <w:tab w:val="left" w:pos="5580"/>
        </w:tabs>
        <w:spacing w:line="400" w:lineRule="exact"/>
        <w:ind w:left="1164" w:leftChars="257" w:hanging="540"/>
        <w:jc w:val="center"/>
        <w:rPr>
          <w:rFonts w:hint="eastAsia" w:ascii="仿宋" w:hAnsi="仿宋" w:eastAsia="仿宋" w:cs="仿宋"/>
          <w:b/>
          <w:color w:val="auto"/>
          <w:lang w:eastAsia="zh-CN"/>
        </w:rPr>
      </w:pPr>
    </w:p>
    <w:p>
      <w:pPr>
        <w:pStyle w:val="10"/>
        <w:tabs>
          <w:tab w:val="left" w:pos="5580"/>
        </w:tabs>
        <w:spacing w:line="400" w:lineRule="exact"/>
        <w:ind w:left="1164" w:leftChars="257" w:hanging="540"/>
        <w:rPr>
          <w:rFonts w:hint="eastAsia" w:ascii="仿宋" w:hAnsi="仿宋" w:eastAsia="仿宋" w:cs="仿宋"/>
          <w:b/>
          <w:color w:val="auto"/>
          <w:lang w:eastAsia="zh-CN"/>
        </w:rPr>
      </w:pPr>
    </w:p>
    <w:p>
      <w:pPr>
        <w:pStyle w:val="10"/>
        <w:tabs>
          <w:tab w:val="left" w:pos="5580"/>
        </w:tabs>
        <w:spacing w:line="400" w:lineRule="exact"/>
        <w:ind w:left="1164" w:leftChars="257" w:hanging="540"/>
        <w:rPr>
          <w:rFonts w:hint="eastAsia" w:ascii="仿宋" w:hAnsi="仿宋" w:eastAsia="仿宋" w:cs="仿宋"/>
          <w:b/>
          <w:color w:val="auto"/>
          <w:lang w:eastAsia="zh-CN"/>
        </w:rPr>
      </w:pPr>
    </w:p>
    <w:p>
      <w:pPr>
        <w:pStyle w:val="10"/>
        <w:tabs>
          <w:tab w:val="left" w:pos="5580"/>
        </w:tabs>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pPr>
        <w:pStyle w:val="10"/>
        <w:tabs>
          <w:tab w:val="left" w:pos="5580"/>
        </w:tabs>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      2.投标人为自然人的，应提供身份证明的复印件。</w:t>
      </w:r>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right="126"/>
        <w:jc w:val="both"/>
        <w:rPr>
          <w:rFonts w:hint="eastAsia" w:ascii="仿宋" w:hAnsi="仿宋" w:eastAsia="仿宋" w:cs="仿宋"/>
          <w:b/>
          <w:bCs/>
          <w:color w:val="auto"/>
          <w:sz w:val="36"/>
          <w:szCs w:val="36"/>
          <w:lang w:eastAsia="zh-CN"/>
        </w:rPr>
      </w:pPr>
    </w:p>
    <w:p>
      <w:pPr>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27"/>
        <w:rPr>
          <w:rFonts w:hint="eastAsia" w:ascii="仿宋" w:hAnsi="仿宋" w:eastAsia="仿宋" w:cs="仿宋"/>
          <w:b/>
          <w:bCs/>
          <w:color w:val="auto"/>
          <w:sz w:val="36"/>
          <w:szCs w:val="36"/>
          <w:lang w:eastAsia="zh-CN"/>
        </w:rPr>
      </w:pPr>
    </w:p>
    <w:p>
      <w:pPr>
        <w:pStyle w:val="8"/>
        <w:numPr>
          <w:ilvl w:val="0"/>
          <w:numId w:val="0"/>
        </w:numPr>
        <w:kinsoku w:val="0"/>
        <w:overflowPunct w:val="0"/>
        <w:spacing w:before="34" w:line="440" w:lineRule="exact"/>
        <w:ind w:left="480" w:right="126"/>
        <w:jc w:val="center"/>
        <w:rPr>
          <w:rFonts w:hint="eastAsia"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pPr>
        <w:spacing w:line="420" w:lineRule="exact"/>
        <w:ind w:firstLine="972" w:firstLineChars="400"/>
        <w:rPr>
          <w:rFonts w:hint="eastAsia" w:ascii="仿宋" w:hAnsi="仿宋" w:eastAsia="仿宋" w:cs="仿宋"/>
          <w:color w:val="auto"/>
        </w:rPr>
      </w:pPr>
      <w:r>
        <w:rPr>
          <w:rFonts w:hint="eastAsia" w:ascii="仿宋" w:hAnsi="仿宋" w:eastAsia="仿宋" w:cs="仿宋"/>
          <w:color w:val="auto"/>
        </w:rPr>
        <w:t>特此证明。</w:t>
      </w:r>
    </w:p>
    <w:p>
      <w:pPr>
        <w:pStyle w:val="8"/>
        <w:numPr>
          <w:ilvl w:val="0"/>
          <w:numId w:val="0"/>
        </w:numPr>
        <w:kinsoku w:val="0"/>
        <w:overflowPunct w:val="0"/>
        <w:rPr>
          <w:rFonts w:hint="eastAsia" w:ascii="仿宋" w:hAnsi="仿宋" w:eastAsia="仿宋" w:cs="仿宋"/>
          <w:color w:val="auto"/>
          <w:sz w:val="20"/>
          <w:szCs w:val="20"/>
        </w:rPr>
      </w:pPr>
    </w:p>
    <w:p>
      <w:pPr>
        <w:pStyle w:val="8"/>
        <w:numPr>
          <w:ilvl w:val="0"/>
          <w:numId w:val="0"/>
        </w:numPr>
        <w:kinsoku w:val="0"/>
        <w:overflowPunct w:val="0"/>
        <w:spacing w:before="7"/>
        <w:rPr>
          <w:rFonts w:hint="eastAsia" w:ascii="仿宋" w:hAnsi="仿宋" w:eastAsia="仿宋" w:cs="仿宋"/>
          <w:color w:val="auto"/>
          <w:sz w:val="25"/>
          <w:szCs w:val="25"/>
        </w:rPr>
      </w:pPr>
    </w:p>
    <w:p>
      <w:pPr>
        <w:pStyle w:val="8"/>
        <w:numPr>
          <w:ilvl w:val="0"/>
          <w:numId w:val="0"/>
        </w:numPr>
        <w:kinsoku w:val="0"/>
        <w:overflowPunct w:val="0"/>
        <w:spacing w:line="200" w:lineRule="atLeast"/>
        <w:rPr>
          <w:rFonts w:hint="eastAsia" w:ascii="仿宋" w:hAnsi="仿宋" w:eastAsia="仿宋" w:cs="仿宋"/>
          <w:color w:val="auto"/>
          <w:sz w:val="20"/>
          <w:szCs w:val="20"/>
        </w:rPr>
      </w:pPr>
      <w:r>
        <w:rPr>
          <w:rFonts w:hint="eastAsia" w:ascii="仿宋" w:hAnsi="仿宋" w:eastAsia="仿宋" w:cs="仿宋"/>
          <w:color w:val="auto"/>
          <w:sz w:val="20"/>
          <w:szCs w:val="20"/>
          <w:lang w:eastAsia="zh-CN" w:bidi="ar-SA"/>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8"/>
                                <w:numPr>
                                  <w:ilvl w:val="0"/>
                                  <w:numId w:val="0"/>
                                </w:numPr>
                                <w:kinsoku w:val="0"/>
                                <w:overflowPunct w:val="0"/>
                                <w:spacing w:before="13"/>
                                <w:rPr>
                                  <w:sz w:val="28"/>
                                  <w:szCs w:val="28"/>
                                </w:rPr>
                              </w:pPr>
                            </w:p>
                            <w:p>
                              <w:pPr>
                                <w:pStyle w:val="8"/>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8"/>
                                <w:numPr>
                                  <w:ilvl w:val="0"/>
                                  <w:numId w:val="0"/>
                                </w:numPr>
                                <w:kinsoku w:val="0"/>
                                <w:overflowPunct w:val="0"/>
                                <w:spacing w:before="13"/>
                                <w:rPr>
                                  <w:sz w:val="28"/>
                                  <w:szCs w:val="28"/>
                                </w:rPr>
                              </w:pPr>
                            </w:p>
                            <w:p>
                              <w:pPr>
                                <w:pStyle w:val="8"/>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8"/>
                          <w:numPr>
                            <w:ilvl w:val="0"/>
                            <w:numId w:val="0"/>
                          </w:numPr>
                          <w:kinsoku w:val="0"/>
                          <w:overflowPunct w:val="0"/>
                          <w:spacing w:before="13"/>
                          <w:rPr>
                            <w:sz w:val="28"/>
                            <w:szCs w:val="28"/>
                          </w:rPr>
                        </w:pPr>
                      </w:p>
                      <w:p>
                        <w:pPr>
                          <w:pStyle w:val="8"/>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spacing w:before="13"/>
                          <w:rPr>
                            <w:sz w:val="28"/>
                            <w:szCs w:val="28"/>
                          </w:rPr>
                        </w:pPr>
                      </w:p>
                      <w:p>
                        <w:pPr>
                          <w:pStyle w:val="8"/>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auto"/>
        </w:rPr>
      </w:pPr>
    </w:p>
    <w:p>
      <w:pPr>
        <w:pStyle w:val="8"/>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pPr>
        <w:pStyle w:val="8"/>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投标单位名称：                       （公章）</w:t>
      </w:r>
    </w:p>
    <w:p>
      <w:pPr>
        <w:pStyle w:val="8"/>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bidi="en-US"/>
        </w:rPr>
        <w:t xml:space="preserve">法定代表人（签字或盖章）：           </w:t>
      </w:r>
      <w:r>
        <w:rPr>
          <w:rFonts w:hint="eastAsia" w:ascii="仿宋" w:hAnsi="仿宋" w:eastAsia="仿宋" w:cs="仿宋"/>
          <w:color w:val="auto"/>
          <w:lang w:eastAsia="zh-CN"/>
        </w:rPr>
        <w:t xml:space="preserve">      </w:t>
      </w:r>
    </w:p>
    <w:p>
      <w:pPr>
        <w:pStyle w:val="8"/>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pPr>
        <w:pStyle w:val="8"/>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    日  期：   年  月  日</w:t>
      </w:r>
    </w:p>
    <w:p>
      <w:pPr>
        <w:pStyle w:val="8"/>
        <w:numPr>
          <w:ilvl w:val="0"/>
          <w:numId w:val="0"/>
        </w:numPr>
        <w:kinsoku w:val="0"/>
        <w:overflowPunct w:val="0"/>
        <w:spacing w:before="34" w:line="357" w:lineRule="auto"/>
        <w:ind w:left="480" w:right="126"/>
        <w:jc w:val="center"/>
        <w:rPr>
          <w:rFonts w:hint="eastAsia"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pPr>
        <w:spacing w:line="42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致：采购人名称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（投标人地址）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（投标人名称）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pPr>
        <w:pStyle w:val="8"/>
        <w:tabs>
          <w:tab w:val="left" w:pos="780"/>
        </w:tabs>
        <w:kinsoku w:val="0"/>
        <w:overflowPunct w:val="0"/>
        <w:adjustRightInd w:val="0"/>
        <w:snapToGrid w:val="0"/>
        <w:spacing w:before="12"/>
        <w:rPr>
          <w:rFonts w:hint="eastAsia" w:ascii="仿宋" w:hAnsi="仿宋" w:eastAsia="仿宋" w:cs="仿宋"/>
          <w:color w:val="auto"/>
          <w:sz w:val="4"/>
          <w:szCs w:val="4"/>
          <w:lang w:eastAsia="zh-CN"/>
        </w:rPr>
      </w:pPr>
    </w:p>
    <w:p>
      <w:pPr>
        <w:pStyle w:val="8"/>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8"/>
                                <w:numPr>
                                  <w:ilvl w:val="0"/>
                                  <w:numId w:val="0"/>
                                </w:numPr>
                                <w:kinsoku w:val="0"/>
                                <w:overflowPunct w:val="0"/>
                                <w:spacing w:before="12"/>
                                <w:rPr>
                                  <w:sz w:val="28"/>
                                  <w:szCs w:val="28"/>
                                </w:rPr>
                              </w:pPr>
                            </w:p>
                            <w:p>
                              <w:pPr>
                                <w:pStyle w:val="8"/>
                                <w:numPr>
                                  <w:ilvl w:val="0"/>
                                  <w:numId w:val="0"/>
                                </w:numPr>
                                <w:kinsoku w:val="0"/>
                                <w:overflowPunct w:val="0"/>
                                <w:jc w:val="center"/>
                              </w:pPr>
                            </w:p>
                            <w:p>
                              <w:pPr>
                                <w:pStyle w:val="8"/>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8"/>
                          <w:numPr>
                            <w:ilvl w:val="0"/>
                            <w:numId w:val="0"/>
                          </w:numPr>
                          <w:kinsoku w:val="0"/>
                          <w:overflowPunct w:val="0"/>
                          <w:spacing w:before="12"/>
                          <w:rPr>
                            <w:sz w:val="28"/>
                            <w:szCs w:val="28"/>
                          </w:rPr>
                        </w:pPr>
                      </w:p>
                      <w:p>
                        <w:pPr>
                          <w:pStyle w:val="8"/>
                          <w:numPr>
                            <w:ilvl w:val="0"/>
                            <w:numId w:val="0"/>
                          </w:numPr>
                          <w:kinsoku w:val="0"/>
                          <w:overflowPunct w:val="0"/>
                          <w:jc w:val="center"/>
                        </w:pPr>
                      </w:p>
                      <w:p>
                        <w:pPr>
                          <w:pStyle w:val="8"/>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授权人身份证复印件（反面）</w:t>
                        </w:r>
                      </w:p>
                    </w:txbxContent>
                  </v:textbox>
                </v:shape>
                <w10:wrap type="none"/>
                <w10:anchorlock/>
              </v:group>
            </w:pict>
          </mc:Fallback>
        </mc:AlternateContent>
      </w:r>
    </w:p>
    <w:p>
      <w:pPr>
        <w:pStyle w:val="8"/>
        <w:numPr>
          <w:ilvl w:val="0"/>
          <w:numId w:val="0"/>
        </w:numPr>
        <w:kinsoku w:val="0"/>
        <w:overflowPunct w:val="0"/>
        <w:adjustRightInd w:val="0"/>
        <w:snapToGrid w:val="0"/>
        <w:spacing w:line="200" w:lineRule="atLeast"/>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8"/>
                          <w:numPr>
                            <w:ilvl w:val="0"/>
                            <w:numId w:val="0"/>
                          </w:numPr>
                          <w:kinsoku w:val="0"/>
                          <w:overflowPunct w:val="0"/>
                        </w:pPr>
                      </w:p>
                      <w:p>
                        <w:pPr>
                          <w:pStyle w:val="8"/>
                          <w:numPr>
                            <w:ilvl w:val="0"/>
                            <w:numId w:val="0"/>
                          </w:numPr>
                          <w:kinsoku w:val="0"/>
                          <w:overflowPunct w:val="0"/>
                        </w:pPr>
                      </w:p>
                      <w:p>
                        <w:pPr>
                          <w:pStyle w:val="8"/>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被授权代表身份证复印件（反面）</w:t>
                        </w:r>
                      </w:p>
                    </w:txbxContent>
                  </v:textbox>
                </v:shape>
                <w10:wrap type="none"/>
                <w10:anchorlock/>
              </v:group>
            </w:pict>
          </mc:Fallback>
        </mc:AlternateContent>
      </w:r>
    </w:p>
    <w:p>
      <w:pPr>
        <w:pStyle w:val="8"/>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被授权代表（签章）：          投标人法定代表人（签章）：</w:t>
      </w:r>
    </w:p>
    <w:p>
      <w:pPr>
        <w:pStyle w:val="8"/>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pPr>
        <w:pStyle w:val="8"/>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hint="eastAsia"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pPr>
        <w:pStyle w:val="27"/>
        <w:rPr>
          <w:rFonts w:hint="eastAsia" w:ascii="仿宋" w:hAnsi="仿宋" w:eastAsia="仿宋" w:cs="仿宋"/>
          <w:b/>
          <w:bCs/>
          <w:color w:val="auto"/>
          <w:sz w:val="36"/>
          <w:szCs w:val="36"/>
          <w:lang w:eastAsia="zh-CN"/>
        </w:rPr>
      </w:pPr>
      <w:r>
        <w:rPr>
          <w:rFonts w:hint="eastAsia" w:ascii="仿宋" w:hAnsi="仿宋" w:eastAsia="仿宋" w:cs="仿宋"/>
          <w:color w:val="auto"/>
          <w:lang w:eastAsia="zh-CN"/>
        </w:rPr>
        <w:br w:type="page"/>
      </w:r>
    </w:p>
    <w:p>
      <w:pPr>
        <w:pStyle w:val="4"/>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76" w:name="_Toc6008"/>
      <w:bookmarkStart w:id="77" w:name="_Toc515647812"/>
      <w:bookmarkStart w:id="78" w:name="_Toc1137"/>
      <w:r>
        <w:rPr>
          <w:rFonts w:hint="eastAsia" w:ascii="仿宋" w:hAnsi="仿宋" w:eastAsia="仿宋" w:cs="仿宋"/>
          <w:color w:val="auto"/>
          <w:sz w:val="24"/>
          <w:lang w:eastAsia="zh-CN"/>
        </w:rPr>
        <w:t>在经营活动中没有重大违法记录的书面声明</w:t>
      </w:r>
      <w:bookmarkEnd w:id="76"/>
      <w:bookmarkEnd w:id="77"/>
      <w:bookmarkEnd w:id="78"/>
    </w:p>
    <w:p>
      <w:pPr>
        <w:pStyle w:val="10"/>
        <w:tabs>
          <w:tab w:val="left" w:pos="5580"/>
        </w:tabs>
        <w:spacing w:line="240" w:lineRule="atLeast"/>
        <w:ind w:left="1164" w:leftChars="257" w:hanging="540"/>
        <w:jc w:val="center"/>
        <w:rPr>
          <w:rFonts w:hint="eastAsia" w:ascii="仿宋" w:hAnsi="仿宋" w:eastAsia="仿宋" w:cs="仿宋"/>
          <w:b/>
          <w:color w:val="auto"/>
          <w:lang w:eastAsia="zh-CN"/>
        </w:rPr>
      </w:pPr>
    </w:p>
    <w:p>
      <w:pPr>
        <w:pStyle w:val="10"/>
        <w:tabs>
          <w:tab w:val="left" w:pos="5580"/>
        </w:tabs>
        <w:spacing w:line="240" w:lineRule="atLeast"/>
        <w:ind w:left="1164" w:leftChars="257" w:hanging="540"/>
        <w:rPr>
          <w:rFonts w:hint="eastAsia" w:ascii="仿宋" w:hAnsi="仿宋" w:eastAsia="仿宋" w:cs="仿宋"/>
          <w:color w:val="auto"/>
          <w:lang w:eastAsia="zh-CN"/>
        </w:rPr>
      </w:pPr>
    </w:p>
    <w:p>
      <w:pPr>
        <w:pStyle w:val="10"/>
        <w:tabs>
          <w:tab w:val="left" w:pos="5580"/>
        </w:tabs>
        <w:spacing w:line="240" w:lineRule="atLeast"/>
        <w:ind w:left="1164" w:leftChars="257" w:hanging="540"/>
        <w:rPr>
          <w:rFonts w:hint="eastAsia" w:ascii="仿宋" w:hAnsi="仿宋" w:eastAsia="仿宋" w:cs="仿宋"/>
          <w:color w:val="auto"/>
          <w:lang w:eastAsia="zh-CN"/>
        </w:rPr>
      </w:pPr>
    </w:p>
    <w:p>
      <w:pPr>
        <w:pStyle w:val="10"/>
        <w:tabs>
          <w:tab w:val="left" w:pos="5580"/>
        </w:tabs>
        <w:spacing w:line="360" w:lineRule="auto"/>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说明：1.投标人应按照相关法规规定如实作出说明。</w:t>
      </w:r>
    </w:p>
    <w:p>
      <w:pPr>
        <w:pStyle w:val="10"/>
        <w:tabs>
          <w:tab w:val="left" w:pos="5580"/>
        </w:tabs>
        <w:spacing w:line="360" w:lineRule="auto"/>
        <w:ind w:left="746" w:leftChars="307" w:firstLine="607" w:firstLineChars="250"/>
        <w:rPr>
          <w:rFonts w:hint="eastAsia" w:ascii="仿宋" w:hAnsi="仿宋" w:eastAsia="仿宋" w:cs="仿宋"/>
          <w:color w:val="auto"/>
          <w:lang w:eastAsia="zh-CN"/>
        </w:rPr>
      </w:pPr>
      <w:r>
        <w:rPr>
          <w:rFonts w:hint="eastAsia" w:ascii="仿宋" w:hAnsi="仿宋" w:eastAsia="仿宋" w:cs="仿宋"/>
          <w:color w:val="auto"/>
          <w:lang w:eastAsia="zh-CN"/>
        </w:rPr>
        <w:t>2．按照招标文件的规定加盖单位章（自然人投标的无需盖章，需要签字）。</w:t>
      </w:r>
    </w:p>
    <w:p>
      <w:pPr>
        <w:pStyle w:val="10"/>
        <w:tabs>
          <w:tab w:val="left" w:pos="5580"/>
        </w:tabs>
        <w:spacing w:line="360" w:lineRule="auto"/>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pStyle w:val="5"/>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5"/>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5"/>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5"/>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5"/>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5"/>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4"/>
        <w:spacing w:line="240" w:lineRule="atLeast"/>
        <w:rPr>
          <w:rFonts w:hint="eastAsia" w:ascii="仿宋" w:hAnsi="仿宋" w:eastAsia="仿宋" w:cs="仿宋"/>
          <w:bCs/>
          <w:color w:val="auto"/>
          <w:sz w:val="36"/>
          <w:szCs w:val="36"/>
          <w:lang w:eastAsia="zh-CN"/>
        </w:rPr>
      </w:pPr>
    </w:p>
    <w:p>
      <w:pPr>
        <w:pStyle w:val="4"/>
        <w:spacing w:line="240" w:lineRule="atLeast"/>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pPr>
        <w:ind w:firstLine="486" w:firstLineChars="200"/>
        <w:rPr>
          <w:rFonts w:hint="eastAsia" w:ascii="仿宋" w:hAnsi="仿宋" w:eastAsia="仿宋" w:cs="仿宋"/>
          <w:color w:val="auto"/>
          <w:lang w:eastAsia="zh-CN"/>
        </w:rPr>
      </w:pPr>
      <w:bookmarkStart w:id="79" w:name="_Toc494296991"/>
      <w:bookmarkStart w:id="80" w:name="_Toc494296665"/>
    </w:p>
    <w:bookmarkEnd w:id="79"/>
    <w:bookmarkEnd w:id="80"/>
    <w:p>
      <w:pPr>
        <w:pStyle w:val="6"/>
        <w:rPr>
          <w:rFonts w:hint="eastAsia" w:ascii="仿宋" w:hAnsi="仿宋" w:eastAsia="仿宋" w:cs="仿宋"/>
          <w:color w:val="auto"/>
          <w:lang w:eastAsia="zh-CN"/>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投标保证金收据</w:t>
            </w:r>
          </w:p>
        </w:tc>
      </w:tr>
    </w:tbl>
    <w:p>
      <w:pPr>
        <w:pStyle w:val="6"/>
        <w:rPr>
          <w:rFonts w:hint="eastAsia" w:ascii="仿宋" w:hAnsi="仿宋" w:eastAsia="仿宋" w:cs="仿宋"/>
          <w:color w:val="auto"/>
        </w:rPr>
      </w:pPr>
    </w:p>
    <w:p>
      <w:pPr>
        <w:spacing w:line="240" w:lineRule="atLeast"/>
        <w:ind w:left="1164" w:leftChars="257" w:hanging="540"/>
        <w:jc w:val="center"/>
        <w:rPr>
          <w:rFonts w:hint="eastAsia" w:ascii="仿宋" w:hAnsi="仿宋" w:eastAsia="仿宋" w:cs="仿宋"/>
          <w:color w:val="auto"/>
        </w:rPr>
      </w:pPr>
    </w:p>
    <w:p>
      <w:pPr>
        <w:rPr>
          <w:rFonts w:hint="eastAsia" w:ascii="仿宋" w:hAnsi="仿宋" w:eastAsia="仿宋" w:cs="仿宋"/>
          <w:color w:val="auto"/>
          <w:sz w:val="28"/>
          <w:szCs w:val="28"/>
        </w:rPr>
      </w:pPr>
    </w:p>
    <w:tbl>
      <w:tblPr>
        <w:tblStyle w:val="21"/>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打款凭证</w:t>
            </w:r>
          </w:p>
        </w:tc>
      </w:tr>
    </w:tbl>
    <w:p>
      <w:pPr>
        <w:pStyle w:val="6"/>
        <w:rPr>
          <w:rFonts w:hint="eastAsia" w:ascii="仿宋" w:hAnsi="仿宋" w:eastAsia="仿宋" w:cs="仿宋"/>
          <w:color w:val="auto"/>
        </w:rPr>
      </w:pPr>
    </w:p>
    <w:p>
      <w:pPr>
        <w:pStyle w:val="6"/>
        <w:rPr>
          <w:rFonts w:hint="eastAsia" w:ascii="仿宋" w:hAnsi="仿宋" w:eastAsia="仿宋" w:cs="仿宋"/>
          <w:color w:val="auto"/>
        </w:rPr>
      </w:pPr>
    </w:p>
    <w:p>
      <w:pPr>
        <w:pStyle w:val="6"/>
        <w:rPr>
          <w:rFonts w:hint="eastAsia" w:ascii="仿宋" w:hAnsi="仿宋" w:eastAsia="仿宋" w:cs="仿宋"/>
          <w:color w:val="auto"/>
        </w:rPr>
      </w:pPr>
    </w:p>
    <w:p>
      <w:pPr>
        <w:pStyle w:val="6"/>
        <w:rPr>
          <w:rFonts w:hint="eastAsia" w:ascii="仿宋" w:hAnsi="仿宋" w:eastAsia="仿宋" w:cs="仿宋"/>
          <w:color w:val="auto"/>
        </w:rPr>
      </w:pPr>
    </w:p>
    <w:p>
      <w:pPr>
        <w:pStyle w:val="6"/>
        <w:rPr>
          <w:rFonts w:hint="eastAsia" w:ascii="仿宋" w:hAnsi="仿宋" w:eastAsia="仿宋" w:cs="仿宋"/>
          <w:color w:val="auto"/>
        </w:rPr>
      </w:pPr>
    </w:p>
    <w:p>
      <w:pPr>
        <w:pStyle w:val="6"/>
        <w:rPr>
          <w:rFonts w:hint="eastAsia" w:ascii="仿宋" w:hAnsi="仿宋" w:eastAsia="仿宋" w:cs="仿宋"/>
          <w:color w:val="auto"/>
        </w:rPr>
      </w:pPr>
    </w:p>
    <w:p>
      <w:pPr>
        <w:rPr>
          <w:rFonts w:hint="eastAsia" w:ascii="仿宋" w:hAnsi="仿宋" w:eastAsia="仿宋" w:cs="仿宋"/>
          <w:color w:val="auto"/>
        </w:rPr>
      </w:pPr>
    </w:p>
    <w:p>
      <w:pPr>
        <w:pStyle w:val="5"/>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both"/>
        <w:rPr>
          <w:rFonts w:hint="eastAsia" w:ascii="仿宋" w:hAnsi="仿宋" w:eastAsia="仿宋" w:cs="仿宋"/>
          <w:color w:val="auto"/>
          <w:sz w:val="28"/>
          <w:szCs w:val="28"/>
        </w:rPr>
      </w:pPr>
    </w:p>
    <w:p>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编号：</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（以下简称“投标人”）拟参加编号为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一、保证责任的情形及保证金额</w:t>
      </w:r>
    </w:p>
    <w:p>
      <w:pPr>
        <w:spacing w:line="360" w:lineRule="auto"/>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（一）在投标人出现下列情形之一时，我方承担保证责任：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1．中标后投标人无正当理由不与采购人或者采购代理机构签订《政府采购合同》；</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2．询价通知书规定的投标人应当缴纳保证金的其他情形。</w:t>
      </w:r>
    </w:p>
    <w:p>
      <w:pPr>
        <w:spacing w:line="360" w:lineRule="auto"/>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二、保证的方式及保证期间</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我方保证的方式为：连带责任保证。</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三、承担保证责任的程序</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个工作日内进行审查，符合应承担保证责任情形的，我方应按照你方的要求代投标人向你方支付投标保证金。</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四、保证责任的终止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五、免责条款</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1．依照法律规定或你方与投标人的另行约定，全部或者部分免除投标人投标保证金义务时，我方亦免除相应的保证责任。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2．因你方原因致使投标人发生本保函第一条第（一）款约定情形的，我方不承担保证责任。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3．因不可抗力造成投标人发生本保函第一条约定情形的，我方不承担保证责任。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六、争议的解决</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七、保函的生效</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pPr>
        <w:spacing w:line="360" w:lineRule="auto"/>
        <w:ind w:firstLine="6439" w:firstLineChars="2650"/>
        <w:rPr>
          <w:rFonts w:hint="eastAsia" w:ascii="仿宋" w:hAnsi="仿宋" w:eastAsia="仿宋" w:cs="仿宋"/>
          <w:color w:val="auto"/>
          <w:lang w:eastAsia="zh-CN"/>
        </w:rPr>
      </w:pPr>
    </w:p>
    <w:p>
      <w:pPr>
        <w:spacing w:line="360" w:lineRule="auto"/>
        <w:ind w:firstLine="6439" w:firstLineChars="2650"/>
        <w:rPr>
          <w:rFonts w:hint="eastAsia" w:ascii="仿宋" w:hAnsi="仿宋" w:eastAsia="仿宋" w:cs="仿宋"/>
          <w:color w:val="auto"/>
          <w:lang w:eastAsia="zh-CN"/>
        </w:rPr>
      </w:pPr>
    </w:p>
    <w:p>
      <w:pPr>
        <w:spacing w:line="360" w:lineRule="auto"/>
        <w:ind w:firstLine="6439" w:firstLineChars="2650"/>
        <w:rPr>
          <w:rFonts w:hint="eastAsia" w:ascii="仿宋" w:hAnsi="仿宋" w:eastAsia="仿宋" w:cs="仿宋"/>
          <w:color w:val="auto"/>
          <w:lang w:eastAsia="zh-CN"/>
        </w:rPr>
      </w:pPr>
      <w:r>
        <w:rPr>
          <w:rFonts w:hint="eastAsia" w:ascii="仿宋" w:hAnsi="仿宋" w:eastAsia="仿宋" w:cs="仿宋"/>
          <w:color w:val="auto"/>
          <w:lang w:eastAsia="zh-CN"/>
        </w:rPr>
        <w:t>保证人：（公章）</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6318" w:firstLineChars="2600"/>
        <w:rPr>
          <w:rFonts w:hint="eastAsia" w:ascii="仿宋" w:hAnsi="仿宋" w:eastAsia="仿宋" w:cs="仿宋"/>
          <w:color w:val="auto"/>
          <w:lang w:eastAsia="zh-CN"/>
        </w:rPr>
        <w:sectPr>
          <w:headerReference r:id="rId7" w:type="default"/>
          <w:footerReference r:id="rId8" w:type="default"/>
          <w:pgSz w:w="11905" w:h="16838"/>
          <w:pgMar w:top="1440" w:right="1417" w:bottom="1440" w:left="1417" w:header="850" w:footer="992" w:gutter="0"/>
          <w:cols w:space="0" w:num="1"/>
          <w:docGrid w:type="linesAndChars" w:linePitch="325" w:charSpace="635"/>
        </w:sectPr>
      </w:pPr>
      <w:r>
        <w:rPr>
          <w:rFonts w:hint="eastAsia" w:ascii="仿宋" w:hAnsi="仿宋" w:eastAsia="仿宋" w:cs="仿宋"/>
          <w:color w:val="auto"/>
          <w:lang w:eastAsia="zh-CN"/>
        </w:rPr>
        <w:t>年     月      日</w:t>
      </w:r>
    </w:p>
    <w:p>
      <w:pPr>
        <w:spacing w:line="400" w:lineRule="exact"/>
        <w:rPr>
          <w:rFonts w:hint="eastAsia" w:ascii="仿宋" w:hAnsi="仿宋" w:eastAsia="仿宋" w:cs="仿宋"/>
          <w:b/>
          <w:bCs/>
          <w:color w:val="auto"/>
          <w:lang w:eastAsia="zh-CN"/>
        </w:rPr>
      </w:pPr>
      <w:r>
        <w:rPr>
          <w:rFonts w:hint="eastAsia" w:ascii="仿宋" w:hAnsi="仿宋" w:eastAsia="仿宋" w:cs="仿宋"/>
          <w:b/>
          <w:bCs/>
          <w:color w:val="auto"/>
          <w:lang w:eastAsia="zh-CN"/>
        </w:rPr>
        <w:t>6、投标企业须提供有效的《医疗器械生产许可证》或《医疗器械经营许可证》</w:t>
      </w:r>
    </w:p>
    <w:p>
      <w:pPr>
        <w:spacing w:line="400" w:lineRule="exact"/>
        <w:ind w:firstLine="243" w:firstLineChars="100"/>
        <w:rPr>
          <w:rFonts w:hint="eastAsia" w:ascii="仿宋" w:hAnsi="仿宋" w:eastAsia="仿宋" w:cs="仿宋"/>
          <w:b/>
          <w:bCs/>
          <w:color w:val="auto"/>
          <w:lang w:eastAsia="zh-CN"/>
        </w:rPr>
      </w:pPr>
    </w:p>
    <w:p>
      <w:pPr>
        <w:spacing w:line="400" w:lineRule="exact"/>
        <w:ind w:firstLine="243" w:firstLineChars="100"/>
        <w:rPr>
          <w:rFonts w:hint="eastAsia"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spacing w:line="400" w:lineRule="exact"/>
        <w:rPr>
          <w:rFonts w:hint="eastAsia" w:ascii="仿宋" w:hAnsi="仿宋" w:eastAsia="仿宋" w:cs="仿宋"/>
          <w:b/>
          <w:bCs/>
          <w:color w:val="auto"/>
          <w:lang w:eastAsia="zh-CN"/>
        </w:rPr>
      </w:pPr>
    </w:p>
    <w:p>
      <w:pPr>
        <w:spacing w:line="400" w:lineRule="exact"/>
        <w:ind w:firstLine="486" w:firstLineChars="200"/>
        <w:rPr>
          <w:rFonts w:hint="eastAsia" w:ascii="仿宋" w:hAnsi="仿宋" w:eastAsia="仿宋" w:cs="仿宋"/>
          <w:b/>
          <w:bCs/>
          <w:color w:val="auto"/>
          <w:lang w:eastAsia="zh-CN"/>
        </w:rPr>
      </w:pPr>
    </w:p>
    <w:p>
      <w:pPr>
        <w:spacing w:line="400" w:lineRule="exact"/>
        <w:rPr>
          <w:rFonts w:hint="eastAsia" w:ascii="仿宋" w:hAnsi="仿宋" w:eastAsia="仿宋" w:cs="仿宋"/>
          <w:b/>
          <w:bCs/>
          <w:color w:val="auto"/>
          <w:lang w:eastAsia="zh-CN"/>
        </w:rPr>
      </w:pPr>
      <w:r>
        <w:rPr>
          <w:rFonts w:hint="eastAsia" w:ascii="仿宋" w:hAnsi="仿宋" w:eastAsia="仿宋" w:cs="仿宋"/>
          <w:b/>
          <w:bCs/>
          <w:color w:val="auto"/>
          <w:lang w:eastAsia="zh-CN"/>
        </w:rPr>
        <w:t>7、投标企业须提供投标人（被授权在职人员）近期</w:t>
      </w:r>
      <w:r>
        <w:rPr>
          <w:rFonts w:hint="eastAsia" w:ascii="仿宋" w:hAnsi="仿宋" w:eastAsia="仿宋" w:cs="仿宋"/>
          <w:b/>
          <w:bCs/>
          <w:color w:val="auto"/>
          <w:lang w:val="en-US" w:eastAsia="zh-CN"/>
        </w:rPr>
        <w:t>3个月</w:t>
      </w:r>
      <w:r>
        <w:rPr>
          <w:rFonts w:hint="eastAsia" w:ascii="仿宋" w:hAnsi="仿宋" w:eastAsia="仿宋" w:cs="仿宋"/>
          <w:b/>
          <w:bCs/>
          <w:color w:val="auto"/>
          <w:lang w:eastAsia="zh-CN"/>
        </w:rPr>
        <w:t>有效的社保证明</w:t>
      </w: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pStyle w:val="27"/>
        <w:ind w:firstLine="0"/>
        <w:rPr>
          <w:rFonts w:hint="eastAsia" w:ascii="仿宋" w:hAnsi="仿宋" w:eastAsia="仿宋" w:cs="仿宋"/>
          <w:color w:val="auto"/>
          <w:lang w:eastAsia="zh-CN"/>
        </w:rPr>
      </w:pPr>
    </w:p>
    <w:p>
      <w:pPr>
        <w:pStyle w:val="27"/>
        <w:rPr>
          <w:rFonts w:hint="eastAsia" w:ascii="仿宋" w:hAnsi="仿宋" w:eastAsia="仿宋" w:cs="仿宋"/>
          <w:color w:val="auto"/>
          <w:lang w:eastAsia="zh-CN"/>
        </w:rPr>
      </w:pPr>
    </w:p>
    <w:p>
      <w:pPr>
        <w:pStyle w:val="27"/>
        <w:rPr>
          <w:rFonts w:hint="eastAsia" w:ascii="仿宋" w:hAnsi="仿宋" w:eastAsia="仿宋" w:cs="仿宋"/>
          <w:color w:val="auto"/>
          <w:lang w:eastAsia="zh-CN"/>
        </w:rPr>
      </w:pPr>
    </w:p>
    <w:p>
      <w:pPr>
        <w:pStyle w:val="27"/>
        <w:ind w:firstLine="243" w:firstLineChars="100"/>
        <w:rPr>
          <w:rFonts w:hint="eastAsia" w:ascii="仿宋" w:hAnsi="仿宋" w:eastAsia="仿宋" w:cs="仿宋"/>
          <w:b/>
          <w:bCs/>
          <w:color w:val="auto"/>
          <w:lang w:eastAsia="zh-CN"/>
        </w:rPr>
      </w:pPr>
      <w:r>
        <w:rPr>
          <w:rFonts w:hint="eastAsia" w:ascii="仿宋" w:hAnsi="仿宋" w:eastAsia="仿宋" w:cs="仿宋"/>
          <w:b/>
          <w:bCs/>
          <w:color w:val="auto"/>
          <w:lang w:eastAsia="zh-CN"/>
        </w:rPr>
        <w:t>8、未被“信用中国”（www.creditchina.gov.cn）、中国政府采购网（www.ccgp.gov.cn）列入失信被执行人、税收违法黑名单、政府采购严重违法失信行为记录名单；</w:t>
      </w:r>
    </w:p>
    <w:p>
      <w:pPr>
        <w:pStyle w:val="27"/>
        <w:rPr>
          <w:rFonts w:hint="eastAsia" w:ascii="仿宋" w:hAnsi="仿宋" w:eastAsia="仿宋" w:cs="仿宋"/>
          <w:b/>
          <w:bCs/>
          <w:color w:val="auto"/>
          <w:lang w:eastAsia="zh-CN"/>
        </w:rPr>
      </w:pPr>
    </w:p>
    <w:p>
      <w:pPr>
        <w:rPr>
          <w:rFonts w:hint="eastAsia" w:ascii="仿宋" w:hAnsi="仿宋" w:eastAsia="仿宋" w:cs="仿宋"/>
          <w:color w:val="auto"/>
          <w:lang w:eastAsia="zh-CN"/>
        </w:rPr>
      </w:pP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9、</w:t>
      </w:r>
      <w:r>
        <w:rPr>
          <w:rFonts w:hint="eastAsia" w:ascii="仿宋" w:hAnsi="仿宋" w:eastAsia="仿宋" w:cs="仿宋"/>
          <w:color w:val="auto"/>
          <w:sz w:val="24"/>
          <w:szCs w:val="24"/>
          <w:lang w:val="en-US" w:eastAsia="zh-CN" w:bidi="en-US"/>
        </w:rPr>
        <w:t>投标产品为进口设备的投标企业须提供生产厂家针对本项目的授权。（授权内容需明确项目名称、被授权公司名称、授权期限及授权厂家的公章）</w:t>
      </w:r>
    </w:p>
    <w:p>
      <w:pPr>
        <w:spacing w:line="400" w:lineRule="exact"/>
        <w:ind w:firstLine="486" w:firstLineChars="200"/>
        <w:rPr>
          <w:rFonts w:hint="eastAsia" w:ascii="仿宋" w:hAnsi="仿宋" w:eastAsia="仿宋" w:cs="仿宋"/>
          <w:b/>
          <w:bCs/>
          <w:color w:val="auto"/>
          <w:lang w:val="en-US" w:eastAsia="zh-CN"/>
        </w:rPr>
      </w:pP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10</w:t>
      </w:r>
      <w:r>
        <w:rPr>
          <w:rFonts w:hint="eastAsia" w:ascii="仿宋" w:hAnsi="仿宋" w:eastAsia="仿宋" w:cs="仿宋"/>
          <w:b/>
          <w:bCs/>
          <w:color w:val="auto"/>
          <w:lang w:eastAsia="zh-CN"/>
        </w:rPr>
        <w:t>、投标人须知资料表要求的其他资格证明文件</w:t>
      </w:r>
    </w:p>
    <w:p>
      <w:pPr>
        <w:pStyle w:val="5"/>
        <w:rPr>
          <w:rFonts w:hint="eastAsia" w:ascii="仿宋" w:hAnsi="仿宋" w:eastAsia="仿宋" w:cs="仿宋"/>
          <w:color w:val="auto"/>
          <w:lang w:eastAsia="zh-CN"/>
        </w:rPr>
      </w:pPr>
    </w:p>
    <w:p>
      <w:pPr>
        <w:rPr>
          <w:rFonts w:hint="eastAsia" w:ascii="仿宋" w:hAnsi="仿宋" w:eastAsia="仿宋" w:cs="仿宋"/>
          <w:b/>
          <w:bCs/>
          <w:color w:val="auto"/>
          <w:lang w:eastAsia="zh-CN"/>
        </w:rPr>
      </w:pPr>
    </w:p>
    <w:p>
      <w:pPr>
        <w:pStyle w:val="5"/>
        <w:rPr>
          <w:rFonts w:hint="eastAsia" w:ascii="仿宋" w:hAnsi="仿宋" w:eastAsia="仿宋" w:cs="仿宋"/>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pStyle w:val="10"/>
        <w:tabs>
          <w:tab w:val="left" w:pos="5580"/>
        </w:tabs>
        <w:spacing w:line="240" w:lineRule="atLeast"/>
        <w:ind w:firstLine="486" w:firstLineChars="200"/>
        <w:rPr>
          <w:rFonts w:hint="eastAsia" w:ascii="仿宋" w:hAnsi="仿宋" w:eastAsia="仿宋" w:cs="仿宋"/>
          <w:color w:val="auto"/>
          <w:lang w:eastAsia="zh-CN"/>
        </w:rPr>
      </w:pPr>
    </w:p>
    <w:p>
      <w:pPr>
        <w:pStyle w:val="11"/>
        <w:ind w:left="2917"/>
        <w:rPr>
          <w:rFonts w:hint="eastAsia" w:ascii="仿宋" w:hAnsi="仿宋" w:eastAsia="仿宋" w:cs="仿宋"/>
          <w:color w:val="auto"/>
          <w:lang w:eastAsia="zh-CN"/>
        </w:rPr>
      </w:pPr>
    </w:p>
    <w:p>
      <w:pPr>
        <w:pStyle w:val="3"/>
        <w:spacing w:before="40" w:after="40" w:line="579" w:lineRule="auto"/>
        <w:rPr>
          <w:rFonts w:hint="eastAsia" w:ascii="仿宋" w:hAnsi="仿宋" w:eastAsia="仿宋" w:cs="仿宋"/>
          <w:color w:val="auto"/>
          <w:sz w:val="32"/>
          <w:szCs w:val="32"/>
          <w:lang w:eastAsia="zh-CN"/>
        </w:rPr>
      </w:pPr>
      <w:bookmarkStart w:id="81" w:name="_Toc11180"/>
      <w:bookmarkStart w:id="82" w:name="_Toc515647816"/>
      <w:bookmarkStart w:id="83" w:name="_Toc5695"/>
      <w:bookmarkStart w:id="84" w:name="_Toc22967"/>
    </w:p>
    <w:p>
      <w:pPr>
        <w:pStyle w:val="3"/>
        <w:spacing w:before="40" w:after="40" w:line="579" w:lineRule="auto"/>
        <w:rPr>
          <w:rFonts w:hint="eastAsia" w:ascii="仿宋" w:hAnsi="仿宋" w:eastAsia="仿宋" w:cs="仿宋"/>
          <w:color w:val="auto"/>
          <w:sz w:val="32"/>
          <w:szCs w:val="32"/>
          <w:lang w:eastAsia="zh-CN"/>
        </w:rPr>
      </w:pPr>
    </w:p>
    <w:p>
      <w:pPr>
        <w:pStyle w:val="3"/>
        <w:spacing w:before="40" w:after="40" w:line="579" w:lineRule="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1"/>
      <w:bookmarkEnd w:id="82"/>
      <w:bookmarkEnd w:id="83"/>
      <w:bookmarkEnd w:id="84"/>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1、投标函</w:t>
      </w:r>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2、开标一览表</w:t>
      </w:r>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3、货物说明一览表</w:t>
      </w:r>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4、投标分项报价表</w:t>
      </w:r>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5、技术规格偏离表</w:t>
      </w:r>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6、商务条款偏离表</w:t>
      </w:r>
    </w:p>
    <w:p>
      <w:pPr>
        <w:pStyle w:val="10"/>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7、投标人基本情况表</w:t>
      </w:r>
    </w:p>
    <w:p>
      <w:pPr>
        <w:pStyle w:val="10"/>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8、近三年（20</w:t>
      </w:r>
      <w:r>
        <w:rPr>
          <w:rFonts w:hint="eastAsia" w:ascii="仿宋" w:hAnsi="仿宋" w:eastAsia="仿宋" w:cs="仿宋"/>
          <w:color w:val="auto"/>
          <w:lang w:val="en-US" w:eastAsia="zh-CN"/>
        </w:rPr>
        <w:t>20</w:t>
      </w:r>
      <w:r>
        <w:rPr>
          <w:rFonts w:hint="eastAsia" w:ascii="仿宋" w:hAnsi="仿宋" w:eastAsia="仿宋" w:cs="仿宋"/>
          <w:color w:val="auto"/>
          <w:lang w:eastAsia="zh-CN"/>
        </w:rPr>
        <w:t>年1月1日至今）类似项目业绩表</w:t>
      </w:r>
    </w:p>
    <w:p>
      <w:pPr>
        <w:pStyle w:val="10"/>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9、中小企业声明函(工程、服务)</w:t>
      </w:r>
    </w:p>
    <w:p>
      <w:pPr>
        <w:pStyle w:val="10"/>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10、《残疾人福利性单位声明函》</w:t>
      </w:r>
    </w:p>
    <w:p>
      <w:pPr>
        <w:pStyle w:val="10"/>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11、评分标准和细则中技术部分证明材料</w:t>
      </w:r>
    </w:p>
    <w:p>
      <w:pPr>
        <w:pStyle w:val="10"/>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12、评分标准和细则中技术部分证明材料（格式自拟）</w:t>
      </w:r>
    </w:p>
    <w:p>
      <w:pPr>
        <w:pStyle w:val="10"/>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13、投标人认为有必要提供的其他证明材料（格式自拟）</w:t>
      </w:r>
    </w:p>
    <w:p>
      <w:pPr>
        <w:pStyle w:val="10"/>
        <w:tabs>
          <w:tab w:val="left" w:pos="5580"/>
        </w:tabs>
        <w:spacing w:line="400" w:lineRule="exact"/>
        <w:ind w:left="648" w:leftChars="267"/>
        <w:rPr>
          <w:rFonts w:hint="eastAsia" w:ascii="仿宋" w:hAnsi="仿宋" w:eastAsia="仿宋" w:cs="仿宋"/>
          <w:color w:val="auto"/>
          <w:sz w:val="21"/>
          <w:szCs w:val="21"/>
          <w:lang w:eastAsia="zh-CN"/>
        </w:rPr>
      </w:pPr>
      <w:r>
        <w:rPr>
          <w:rFonts w:hint="eastAsia" w:ascii="仿宋" w:hAnsi="仿宋" w:eastAsia="仿宋" w:cs="仿宋"/>
          <w:color w:val="auto"/>
          <w:lang w:eastAsia="zh-CN"/>
        </w:rPr>
        <w:br w:type="page"/>
      </w:r>
    </w:p>
    <w:p>
      <w:pPr>
        <w:pStyle w:val="8"/>
        <w:numPr>
          <w:ilvl w:val="0"/>
          <w:numId w:val="0"/>
        </w:numPr>
        <w:kinsoku w:val="0"/>
        <w:overflowPunct w:val="0"/>
        <w:spacing w:before="130" w:line="355" w:lineRule="auto"/>
        <w:ind w:left="480" w:right="7"/>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pPr>
        <w:spacing w:line="440" w:lineRule="exact"/>
        <w:rPr>
          <w:rFonts w:hint="eastAsia"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招标文件的全部内容。</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u w:val="single"/>
          <w:lang w:eastAsia="zh-CN"/>
        </w:rPr>
        <w:t xml:space="preserve">      (投标人名称)      </w:t>
      </w:r>
      <w:r>
        <w:rPr>
          <w:rFonts w:hint="eastAsia" w:ascii="仿宋" w:hAnsi="仿宋" w:eastAsia="仿宋" w:cs="仿宋"/>
          <w:color w:val="auto"/>
          <w:lang w:eastAsia="zh-CN"/>
        </w:rPr>
        <w:t>作为投标人正式授权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（九）我方与其他投标人不存在单位负责人为同一人或者存在直接控股、管理关系。</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ind w:right="480"/>
        <w:jc w:val="right"/>
        <w:rPr>
          <w:rFonts w:hint="eastAsia" w:ascii="仿宋" w:hAnsi="仿宋" w:eastAsia="仿宋" w:cs="仿宋"/>
          <w:color w:val="auto"/>
          <w:lang w:eastAsia="zh-CN"/>
        </w:rPr>
      </w:pPr>
      <w:r>
        <w:rPr>
          <w:rFonts w:hint="eastAsia" w:ascii="仿宋" w:hAnsi="仿宋" w:eastAsia="仿宋" w:cs="仿宋"/>
          <w:color w:val="auto"/>
          <w:lang w:eastAsia="zh-CN"/>
        </w:rPr>
        <w:t>投标人：</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pPr>
        <w:wordWrap w:val="0"/>
        <w:spacing w:line="440" w:lineRule="exact"/>
        <w:ind w:firstLine="486" w:firstLineChars="200"/>
        <w:jc w:val="right"/>
        <w:rPr>
          <w:rFonts w:hint="eastAsia"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pPr>
        <w:wordWrap w:val="0"/>
        <w:spacing w:line="440" w:lineRule="exact"/>
        <w:ind w:firstLine="486" w:firstLineChars="200"/>
        <w:jc w:val="right"/>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pStyle w:val="27"/>
        <w:rPr>
          <w:rFonts w:hint="eastAsia" w:ascii="仿宋" w:hAnsi="仿宋" w:eastAsia="仿宋" w:cs="仿宋"/>
          <w:color w:val="auto"/>
          <w:lang w:eastAsia="zh-CN"/>
        </w:rPr>
      </w:pPr>
      <w:r>
        <w:rPr>
          <w:rFonts w:hint="eastAsia" w:ascii="仿宋" w:hAnsi="仿宋" w:eastAsia="仿宋" w:cs="仿宋"/>
          <w:color w:val="auto"/>
          <w:lang w:eastAsia="zh-CN"/>
        </w:rPr>
        <w:br w:type="page"/>
      </w:r>
    </w:p>
    <w:p>
      <w:pPr>
        <w:pStyle w:val="6"/>
        <w:tabs>
          <w:tab w:val="left" w:pos="5580"/>
        </w:tabs>
        <w:spacing w:line="240" w:lineRule="atLeast"/>
        <w:ind w:firstLine="3364" w:firstLineChars="927"/>
        <w:jc w:val="both"/>
        <w:rPr>
          <w:rFonts w:hint="eastAsia"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pPr>
        <w:adjustRightInd w:val="0"/>
        <w:snapToGrid w:val="0"/>
        <w:spacing w:line="500" w:lineRule="exact"/>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hint="eastAsia"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1"/>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pPr>
              <w:jc w:val="cente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投标报价</w:t>
            </w:r>
          </w:p>
          <w:p>
            <w:pPr>
              <w:jc w:val="center"/>
              <w:rPr>
                <w:rFonts w:hint="eastAsia"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trPr>
        <w:tc>
          <w:tcPr>
            <w:tcW w:w="1621" w:type="dxa"/>
            <w:vMerge w:val="continue"/>
            <w:vAlign w:val="center"/>
          </w:tcPr>
          <w:p>
            <w:pPr>
              <w:jc w:val="center"/>
              <w:rPr>
                <w:rFonts w:hint="eastAsia"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hint="eastAsia" w:ascii="仿宋" w:hAnsi="仿宋" w:eastAsia="仿宋" w:cs="仿宋"/>
                <w:color w:val="auto"/>
                <w:szCs w:val="21"/>
              </w:rPr>
            </w:pPr>
          </w:p>
        </w:tc>
      </w:tr>
    </w:tbl>
    <w:p>
      <w:pPr>
        <w:spacing w:line="500" w:lineRule="exact"/>
        <w:ind w:firstLine="475" w:firstLineChars="196"/>
        <w:rPr>
          <w:rFonts w:hint="eastAsia"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5" w:firstLineChars="196"/>
        <w:rPr>
          <w:rFonts w:hint="eastAsia" w:ascii="仿宋" w:hAnsi="仿宋" w:eastAsia="仿宋" w:cs="仿宋"/>
          <w:color w:val="auto"/>
          <w:szCs w:val="21"/>
          <w:lang w:eastAsia="zh-CN"/>
        </w:rPr>
      </w:pPr>
      <w:r>
        <w:rPr>
          <w:rFonts w:hint="eastAsia" w:ascii="仿宋" w:hAnsi="仿宋" w:eastAsia="仿宋" w:cs="仿宋"/>
          <w:color w:val="auto"/>
          <w:szCs w:val="21"/>
          <w:lang w:eastAsia="zh-CN"/>
        </w:rPr>
        <w:t>1.为方便开标唱标，投标人应将开标一览表单独密封，并在信封上标明“开标一览表”字样，然后在递交投标文件时单独递交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4"/>
        <w:spacing w:line="240" w:lineRule="atLeast"/>
        <w:rPr>
          <w:rFonts w:hint="eastAsia" w:ascii="仿宋" w:hAnsi="仿宋" w:eastAsia="仿宋" w:cs="仿宋"/>
          <w:bCs/>
          <w:color w:val="auto"/>
          <w:sz w:val="24"/>
          <w:lang w:eastAsia="zh-CN"/>
        </w:rPr>
      </w:pPr>
    </w:p>
    <w:p>
      <w:pPr>
        <w:pStyle w:val="4"/>
        <w:spacing w:line="240" w:lineRule="atLeast"/>
        <w:rPr>
          <w:rFonts w:hint="eastAsia" w:ascii="仿宋" w:hAnsi="仿宋" w:eastAsia="仿宋" w:cs="仿宋"/>
          <w:bCs/>
          <w:color w:val="auto"/>
          <w:sz w:val="24"/>
          <w:lang w:eastAsia="zh-CN"/>
        </w:rPr>
      </w:pPr>
    </w:p>
    <w:p>
      <w:pPr>
        <w:pStyle w:val="32"/>
        <w:keepNext/>
        <w:keepLines/>
        <w:spacing w:before="0" w:after="220"/>
        <w:rPr>
          <w:rFonts w:hint="eastAsia" w:ascii="仿宋" w:hAnsi="仿宋" w:eastAsia="仿宋" w:cs="仿宋"/>
          <w:color w:val="auto"/>
          <w:lang w:val="en-US" w:eastAsia="zh-CN"/>
        </w:rPr>
      </w:pPr>
      <w:r>
        <w:rPr>
          <w:rFonts w:hint="eastAsia" w:ascii="仿宋" w:hAnsi="仿宋" w:eastAsia="仿宋" w:cs="仿宋"/>
          <w:color w:val="auto"/>
          <w:lang w:val="en-US" w:eastAsia="zh-CN"/>
        </w:rPr>
        <w:t>3、货物说明一览表</w:t>
      </w:r>
    </w:p>
    <w:p>
      <w:pPr>
        <w:pStyle w:val="10"/>
        <w:spacing w:line="240" w:lineRule="atLeast"/>
        <w:ind w:left="1164" w:leftChars="257" w:hanging="540"/>
        <w:rPr>
          <w:rFonts w:hint="eastAsia" w:ascii="仿宋" w:hAnsi="仿宋" w:eastAsia="仿宋" w:cs="仿宋"/>
          <w:color w:val="auto"/>
          <w:lang w:eastAsia="zh-CN"/>
        </w:rPr>
      </w:pPr>
    </w:p>
    <w:p>
      <w:pPr>
        <w:pStyle w:val="10"/>
        <w:spacing w:line="240" w:lineRule="atLeas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项目名称:                           </w:t>
      </w:r>
    </w:p>
    <w:p>
      <w:pPr>
        <w:pStyle w:val="10"/>
        <w:spacing w:line="240" w:lineRule="atLeas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招标编号:                       包号:                      </w:t>
      </w:r>
    </w:p>
    <w:p>
      <w:pPr>
        <w:pStyle w:val="10"/>
        <w:spacing w:line="240" w:lineRule="atLeast"/>
        <w:ind w:left="1164" w:leftChars="257" w:hanging="540"/>
        <w:rPr>
          <w:rFonts w:hint="eastAsia" w:ascii="仿宋" w:hAnsi="仿宋" w:eastAsia="仿宋" w:cs="仿宋"/>
          <w:color w:val="auto"/>
          <w:lang w:eastAsia="zh-CN"/>
        </w:rPr>
      </w:pPr>
    </w:p>
    <w:tbl>
      <w:tblPr>
        <w:tblStyle w:val="21"/>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388"/>
        <w:gridCol w:w="1250"/>
        <w:gridCol w:w="1425"/>
        <w:gridCol w:w="903"/>
        <w:gridCol w:w="1284"/>
        <w:gridCol w:w="161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1"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388"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1250"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品牌型号</w:t>
            </w:r>
          </w:p>
        </w:tc>
        <w:tc>
          <w:tcPr>
            <w:tcW w:w="1425"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规格要求</w:t>
            </w:r>
          </w:p>
        </w:tc>
        <w:tc>
          <w:tcPr>
            <w:tcW w:w="903"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1284"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交货期</w:t>
            </w:r>
          </w:p>
        </w:tc>
        <w:tc>
          <w:tcPr>
            <w:tcW w:w="1613"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1050"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81" w:type="dxa"/>
          </w:tcPr>
          <w:p>
            <w:pPr>
              <w:pStyle w:val="10"/>
              <w:spacing w:line="240" w:lineRule="atLeast"/>
              <w:ind w:left="1164" w:leftChars="257" w:hanging="540"/>
              <w:rPr>
                <w:rFonts w:hint="eastAsia" w:ascii="仿宋" w:hAnsi="仿宋" w:eastAsia="仿宋" w:cs="仿宋"/>
                <w:color w:val="auto"/>
                <w:lang w:eastAsia="zh-CN"/>
              </w:rPr>
            </w:pPr>
          </w:p>
        </w:tc>
        <w:tc>
          <w:tcPr>
            <w:tcW w:w="1388" w:type="dxa"/>
          </w:tcPr>
          <w:p>
            <w:pPr>
              <w:pStyle w:val="10"/>
              <w:spacing w:line="240" w:lineRule="atLeast"/>
              <w:ind w:left="1164" w:leftChars="257" w:hanging="540"/>
              <w:rPr>
                <w:rFonts w:hint="eastAsia" w:ascii="仿宋" w:hAnsi="仿宋" w:eastAsia="仿宋" w:cs="仿宋"/>
                <w:color w:val="auto"/>
                <w:lang w:eastAsia="zh-CN"/>
              </w:rPr>
            </w:pPr>
          </w:p>
        </w:tc>
        <w:tc>
          <w:tcPr>
            <w:tcW w:w="1250" w:type="dxa"/>
          </w:tcPr>
          <w:p>
            <w:pPr>
              <w:pStyle w:val="10"/>
              <w:spacing w:line="240" w:lineRule="atLeast"/>
              <w:ind w:left="1164" w:leftChars="257" w:hanging="540"/>
              <w:rPr>
                <w:rFonts w:hint="eastAsia" w:ascii="仿宋" w:hAnsi="仿宋" w:eastAsia="仿宋" w:cs="仿宋"/>
                <w:color w:val="auto"/>
                <w:lang w:eastAsia="zh-CN"/>
              </w:rPr>
            </w:pPr>
          </w:p>
        </w:tc>
        <w:tc>
          <w:tcPr>
            <w:tcW w:w="1425" w:type="dxa"/>
          </w:tcPr>
          <w:p>
            <w:pPr>
              <w:pStyle w:val="10"/>
              <w:spacing w:line="240" w:lineRule="atLeast"/>
              <w:ind w:left="1164" w:leftChars="257" w:hanging="540"/>
              <w:rPr>
                <w:rFonts w:hint="eastAsia" w:ascii="仿宋" w:hAnsi="仿宋" w:eastAsia="仿宋" w:cs="仿宋"/>
                <w:color w:val="auto"/>
                <w:lang w:eastAsia="zh-CN"/>
              </w:rPr>
            </w:pPr>
          </w:p>
        </w:tc>
        <w:tc>
          <w:tcPr>
            <w:tcW w:w="903" w:type="dxa"/>
          </w:tcPr>
          <w:p>
            <w:pPr>
              <w:pStyle w:val="10"/>
              <w:spacing w:line="240" w:lineRule="atLeast"/>
              <w:ind w:left="1164" w:leftChars="257" w:hanging="540"/>
              <w:rPr>
                <w:rFonts w:hint="eastAsia" w:ascii="仿宋" w:hAnsi="仿宋" w:eastAsia="仿宋" w:cs="仿宋"/>
                <w:color w:val="auto"/>
                <w:lang w:eastAsia="zh-CN"/>
              </w:rPr>
            </w:pPr>
          </w:p>
        </w:tc>
        <w:tc>
          <w:tcPr>
            <w:tcW w:w="1284" w:type="dxa"/>
          </w:tcPr>
          <w:p>
            <w:pPr>
              <w:pStyle w:val="10"/>
              <w:spacing w:line="240" w:lineRule="atLeast"/>
              <w:ind w:left="1164" w:leftChars="257" w:hanging="540"/>
              <w:rPr>
                <w:rFonts w:hint="eastAsia" w:ascii="仿宋" w:hAnsi="仿宋" w:eastAsia="仿宋" w:cs="仿宋"/>
                <w:color w:val="auto"/>
                <w:lang w:eastAsia="zh-CN"/>
              </w:rPr>
            </w:pPr>
          </w:p>
        </w:tc>
        <w:tc>
          <w:tcPr>
            <w:tcW w:w="1613" w:type="dxa"/>
          </w:tcPr>
          <w:p>
            <w:pPr>
              <w:pStyle w:val="10"/>
              <w:spacing w:line="240" w:lineRule="atLeast"/>
              <w:ind w:left="1164" w:leftChars="257" w:hanging="540"/>
              <w:rPr>
                <w:rFonts w:hint="eastAsia" w:ascii="仿宋" w:hAnsi="仿宋" w:eastAsia="仿宋" w:cs="仿宋"/>
                <w:color w:val="auto"/>
                <w:lang w:eastAsia="zh-CN"/>
              </w:rPr>
            </w:pPr>
          </w:p>
        </w:tc>
        <w:tc>
          <w:tcPr>
            <w:tcW w:w="1050" w:type="dxa"/>
          </w:tcPr>
          <w:p>
            <w:pPr>
              <w:pStyle w:val="10"/>
              <w:spacing w:line="240" w:lineRule="atLeast"/>
              <w:ind w:left="1164" w:leftChars="257" w:hanging="540"/>
              <w:rPr>
                <w:rFonts w:hint="eastAsia" w:ascii="仿宋" w:hAnsi="仿宋" w:eastAsia="仿宋" w:cs="仿宋"/>
                <w:color w:val="auto"/>
                <w:lang w:eastAsia="zh-CN"/>
              </w:rPr>
            </w:pPr>
          </w:p>
        </w:tc>
      </w:tr>
    </w:tbl>
    <w:p>
      <w:pPr>
        <w:pStyle w:val="10"/>
        <w:spacing w:line="240" w:lineRule="atLeast"/>
        <w:ind w:left="1164" w:leftChars="257" w:hanging="540"/>
        <w:rPr>
          <w:rFonts w:hint="eastAsia" w:ascii="仿宋" w:hAnsi="仿宋" w:eastAsia="仿宋" w:cs="仿宋"/>
          <w:color w:val="auto"/>
        </w:rPr>
      </w:pPr>
    </w:p>
    <w:p>
      <w:pPr>
        <w:pStyle w:val="10"/>
        <w:spacing w:line="240" w:lineRule="atLeast"/>
        <w:ind w:left="1348" w:leftChars="555" w:firstLine="1397" w:firstLineChars="575"/>
        <w:rPr>
          <w:rFonts w:hint="eastAsia" w:ascii="仿宋" w:hAnsi="仿宋" w:eastAsia="仿宋" w:cs="仿宋"/>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p>
    <w:p>
      <w:pPr>
        <w:pStyle w:val="10"/>
        <w:tabs>
          <w:tab w:val="left" w:pos="5370"/>
        </w:tabs>
        <w:spacing w:line="240" w:lineRule="atLeast"/>
        <w:ind w:left="1164" w:leftChars="257" w:hanging="540"/>
        <w:rPr>
          <w:rFonts w:hint="eastAsia" w:ascii="仿宋" w:hAnsi="仿宋" w:eastAsia="仿宋" w:cs="仿宋"/>
          <w:color w:val="auto"/>
          <w:lang w:eastAsia="zh-CN"/>
        </w:rPr>
      </w:pPr>
    </w:p>
    <w:p>
      <w:pPr>
        <w:pStyle w:val="10"/>
        <w:tabs>
          <w:tab w:val="left" w:pos="5370"/>
        </w:tabs>
        <w:spacing w:line="240" w:lineRule="atLeast"/>
        <w:ind w:left="1348" w:leftChars="555" w:firstLine="1397" w:firstLineChars="575"/>
        <w:rPr>
          <w:rFonts w:hint="eastAsia" w:ascii="仿宋" w:hAnsi="仿宋" w:eastAsia="仿宋" w:cs="仿宋"/>
          <w:color w:val="auto"/>
          <w:u w:val="single"/>
          <w:lang w:eastAsia="zh-CN"/>
        </w:rPr>
      </w:pPr>
      <w:r>
        <w:rPr>
          <w:rFonts w:hint="eastAsia" w:ascii="仿宋" w:hAnsi="仿宋" w:eastAsia="仿宋" w:cs="仿宋"/>
          <w:color w:val="auto"/>
          <w:lang w:eastAsia="zh-CN"/>
        </w:rPr>
        <w:t>投标人(盖单位章):</w:t>
      </w:r>
      <w:r>
        <w:rPr>
          <w:rFonts w:hint="eastAsia" w:ascii="仿宋" w:hAnsi="仿宋" w:eastAsia="仿宋" w:cs="仿宋"/>
          <w:color w:val="auto"/>
          <w:u w:val="single"/>
          <w:lang w:eastAsia="zh-CN"/>
        </w:rPr>
        <w:tab/>
      </w:r>
    </w:p>
    <w:p>
      <w:pPr>
        <w:pStyle w:val="10"/>
        <w:spacing w:line="240" w:lineRule="atLeast"/>
        <w:ind w:left="1164" w:leftChars="257" w:hanging="540"/>
        <w:rPr>
          <w:rFonts w:hint="eastAsia" w:ascii="仿宋" w:hAnsi="仿宋" w:eastAsia="仿宋" w:cs="仿宋"/>
          <w:color w:val="auto"/>
          <w:lang w:eastAsia="zh-CN"/>
        </w:rPr>
      </w:pPr>
    </w:p>
    <w:p>
      <w:pPr>
        <w:pStyle w:val="10"/>
        <w:spacing w:line="240" w:lineRule="atLeast"/>
        <w:ind w:left="1348" w:leftChars="555" w:firstLine="1154" w:firstLineChars="475"/>
        <w:rPr>
          <w:rFonts w:hint="eastAsia" w:ascii="仿宋" w:hAnsi="仿宋" w:eastAsia="仿宋" w:cs="仿宋"/>
          <w:color w:val="auto"/>
          <w:lang w:eastAsia="zh-CN"/>
        </w:rPr>
      </w:pPr>
      <w:r>
        <w:rPr>
          <w:rFonts w:hint="eastAsia" w:ascii="仿宋" w:hAnsi="仿宋" w:eastAsia="仿宋" w:cs="仿宋"/>
          <w:color w:val="auto"/>
          <w:lang w:eastAsia="zh-CN"/>
        </w:rPr>
        <w:t>注: 各项货物详细技术性能应另页描述。</w:t>
      </w:r>
    </w:p>
    <w:p>
      <w:pPr>
        <w:pStyle w:val="10"/>
        <w:spacing w:line="240" w:lineRule="atLeast"/>
        <w:ind w:left="1164" w:leftChars="257" w:hanging="540"/>
        <w:jc w:val="center"/>
        <w:rPr>
          <w:rFonts w:hint="eastAsia" w:ascii="仿宋" w:hAnsi="仿宋" w:eastAsia="仿宋" w:cs="仿宋"/>
          <w:color w:val="auto"/>
          <w:lang w:eastAsia="zh-CN"/>
        </w:rPr>
      </w:pPr>
    </w:p>
    <w:p>
      <w:pPr>
        <w:pStyle w:val="10"/>
        <w:spacing w:line="240" w:lineRule="atLeast"/>
        <w:ind w:left="1164" w:leftChars="257" w:hanging="540"/>
        <w:jc w:val="center"/>
        <w:rPr>
          <w:rFonts w:hint="eastAsia" w:ascii="仿宋" w:hAnsi="仿宋" w:eastAsia="仿宋" w:cs="仿宋"/>
          <w:color w:val="auto"/>
          <w:lang w:eastAsia="zh-CN"/>
        </w:rPr>
        <w:sectPr>
          <w:footerReference r:id="rId9" w:type="default"/>
          <w:pgSz w:w="11905" w:h="16838"/>
          <w:pgMar w:top="1440" w:right="1797" w:bottom="1440" w:left="1797" w:header="850" w:footer="992" w:gutter="0"/>
          <w:cols w:space="720" w:num="1"/>
          <w:docGrid w:type="linesAndChars" w:linePitch="325" w:charSpace="635"/>
        </w:sectPr>
      </w:pPr>
    </w:p>
    <w:p>
      <w:pPr>
        <w:pStyle w:val="32"/>
        <w:keepNext/>
        <w:keepLines/>
        <w:spacing w:before="0" w:after="220"/>
        <w:rPr>
          <w:rFonts w:hint="eastAsia"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、投标分项报价表</w:t>
      </w:r>
    </w:p>
    <w:p>
      <w:pPr>
        <w:pStyle w:val="32"/>
        <w:keepNext/>
        <w:keepLines/>
        <w:spacing w:before="0" w:after="220"/>
        <w:jc w:val="both"/>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pStyle w:val="32"/>
        <w:keepNext/>
        <w:keepLines/>
        <w:spacing w:before="0" w:after="220"/>
        <w:jc w:val="both"/>
        <w:rPr>
          <w:rFonts w:hint="eastAsia"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pPr>
        <w:pStyle w:val="10"/>
        <w:spacing w:line="240" w:lineRule="atLeast"/>
        <w:ind w:left="1157" w:leftChars="257" w:hanging="540"/>
        <w:jc w:val="center"/>
        <w:rPr>
          <w:rFonts w:hint="eastAsia"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1"/>
        <w:tblW w:w="83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412"/>
        <w:gridCol w:w="1350"/>
        <w:gridCol w:w="1211"/>
        <w:gridCol w:w="664"/>
        <w:gridCol w:w="664"/>
        <w:gridCol w:w="819"/>
        <w:gridCol w:w="818"/>
        <w:gridCol w:w="8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型号</w:t>
            </w: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rPr>
              <w:t>规格</w:t>
            </w:r>
            <w:r>
              <w:rPr>
                <w:rFonts w:hint="eastAsia" w:ascii="仿宋" w:hAnsi="仿宋" w:eastAsia="仿宋" w:cs="仿宋"/>
                <w:color w:val="auto"/>
                <w:szCs w:val="21"/>
                <w:lang w:eastAsia="zh-CN"/>
              </w:rPr>
              <w:t>要求</w:t>
            </w: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w:t>
            </w:r>
          </w:p>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价</w:t>
            </w: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总价</w:t>
            </w: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bl>
    <w:p>
      <w:pPr>
        <w:pStyle w:val="36"/>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pPr>
        <w:pStyle w:val="36"/>
        <w:tabs>
          <w:tab w:val="left" w:pos="378"/>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pPr>
        <w:pStyle w:val="36"/>
        <w:tabs>
          <w:tab w:val="left" w:pos="490"/>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pPr>
        <w:pStyle w:val="36"/>
        <w:tabs>
          <w:tab w:val="left" w:pos="493"/>
        </w:tabs>
        <w:spacing w:line="317" w:lineRule="exact"/>
        <w:ind w:left="24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pPr>
        <w:pStyle w:val="36"/>
        <w:tabs>
          <w:tab w:val="left" w:pos="493"/>
        </w:tabs>
        <w:spacing w:line="317" w:lineRule="exact"/>
        <w:ind w:left="176"/>
        <w:rPr>
          <w:rFonts w:hint="eastAsia" w:ascii="仿宋" w:hAnsi="仿宋" w:eastAsia="仿宋" w:cs="仿宋"/>
          <w:color w:val="auto"/>
          <w:sz w:val="20"/>
          <w:szCs w:val="20"/>
        </w:rPr>
      </w:pPr>
    </w:p>
    <w:p>
      <w:pPr>
        <w:pStyle w:val="36"/>
        <w:tabs>
          <w:tab w:val="left" w:pos="493"/>
        </w:tabs>
        <w:spacing w:line="317" w:lineRule="exact"/>
        <w:ind w:left="176"/>
        <w:rPr>
          <w:rFonts w:hint="eastAsia" w:ascii="仿宋" w:hAnsi="仿宋" w:eastAsia="仿宋" w:cs="仿宋"/>
          <w:color w:val="auto"/>
          <w:sz w:val="20"/>
          <w:szCs w:val="20"/>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8"/>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8"/>
        <w:numPr>
          <w:ilvl w:val="0"/>
          <w:numId w:val="0"/>
        </w:numPr>
        <w:kinsoku w:val="0"/>
        <w:overflowPunct w:val="0"/>
        <w:spacing w:before="34" w:line="357" w:lineRule="auto"/>
        <w:ind w:left="480" w:right="126"/>
        <w:jc w:val="center"/>
        <w:rPr>
          <w:rFonts w:hint="eastAsia" w:ascii="仿宋" w:hAnsi="仿宋" w:eastAsia="仿宋" w:cs="仿宋"/>
          <w:b/>
          <w:bCs/>
          <w:color w:val="auto"/>
          <w:sz w:val="36"/>
          <w:szCs w:val="36"/>
          <w:lang w:eastAsia="zh-CN"/>
        </w:rPr>
      </w:pPr>
    </w:p>
    <w:p>
      <w:pPr>
        <w:spacing w:line="360" w:lineRule="auto"/>
        <w:jc w:val="center"/>
        <w:rPr>
          <w:rFonts w:hint="eastAsia" w:ascii="仿宋" w:hAnsi="仿宋" w:eastAsia="仿宋" w:cs="仿宋"/>
          <w:b/>
          <w:color w:val="auto"/>
          <w:sz w:val="36"/>
          <w:szCs w:val="36"/>
          <w:lang w:eastAsia="zh-CN"/>
        </w:rPr>
      </w:pPr>
    </w:p>
    <w:p>
      <w:pPr>
        <w:spacing w:line="360" w:lineRule="auto"/>
        <w:jc w:val="center"/>
        <w:rPr>
          <w:rFonts w:hint="eastAsia"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2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cs="仿宋"/>
                <w:bCs/>
                <w:color w:val="auto"/>
              </w:rPr>
            </w:pPr>
            <w:r>
              <w:rPr>
                <w:rFonts w:hint="eastAsia" w:ascii="仿宋" w:hAnsi="仿宋" w:eastAsia="仿宋" w:cs="仿宋"/>
                <w:bCs/>
                <w:color w:val="auto"/>
              </w:rPr>
              <w:t>序号</w:t>
            </w:r>
          </w:p>
        </w:tc>
        <w:tc>
          <w:tcPr>
            <w:tcW w:w="1357" w:type="dxa"/>
            <w:vAlign w:val="center"/>
          </w:tcPr>
          <w:p>
            <w:pPr>
              <w:jc w:val="center"/>
              <w:rPr>
                <w:rFonts w:hint="eastAsia" w:ascii="仿宋" w:hAnsi="仿宋" w:eastAsia="仿宋" w:cs="仿宋"/>
                <w:bCs/>
                <w:color w:val="auto"/>
              </w:rPr>
            </w:pPr>
            <w:r>
              <w:rPr>
                <w:rFonts w:hint="eastAsia" w:ascii="仿宋" w:hAnsi="仿宋" w:eastAsia="仿宋" w:cs="仿宋"/>
                <w:bCs/>
                <w:color w:val="auto"/>
              </w:rPr>
              <w:t>货物名称</w:t>
            </w:r>
          </w:p>
        </w:tc>
        <w:tc>
          <w:tcPr>
            <w:tcW w:w="1326" w:type="dxa"/>
            <w:vAlign w:val="center"/>
          </w:tcPr>
          <w:p>
            <w:pPr>
              <w:jc w:val="center"/>
              <w:rPr>
                <w:rFonts w:hint="eastAsia" w:ascii="仿宋" w:hAnsi="仿宋" w:eastAsia="仿宋" w:cs="仿宋"/>
                <w:bCs/>
                <w:color w:val="auto"/>
              </w:rPr>
            </w:pPr>
            <w:r>
              <w:rPr>
                <w:rFonts w:hint="eastAsia" w:ascii="仿宋" w:hAnsi="仿宋" w:eastAsia="仿宋" w:cs="仿宋"/>
                <w:bCs/>
                <w:color w:val="auto"/>
              </w:rPr>
              <w:t>招标文件条目号</w:t>
            </w:r>
          </w:p>
        </w:tc>
        <w:tc>
          <w:tcPr>
            <w:tcW w:w="1326" w:type="dxa"/>
            <w:vAlign w:val="center"/>
          </w:tcPr>
          <w:p>
            <w:pPr>
              <w:jc w:val="center"/>
              <w:rPr>
                <w:rFonts w:hint="eastAsia" w:ascii="仿宋" w:hAnsi="仿宋" w:eastAsia="仿宋" w:cs="仿宋"/>
                <w:bCs/>
                <w:color w:val="auto"/>
              </w:rPr>
            </w:pPr>
            <w:r>
              <w:rPr>
                <w:rFonts w:hint="eastAsia" w:ascii="仿宋" w:hAnsi="仿宋" w:eastAsia="仿宋" w:cs="仿宋"/>
                <w:bCs/>
                <w:color w:val="auto"/>
              </w:rPr>
              <w:t>招标文件要求规格</w:t>
            </w:r>
          </w:p>
        </w:tc>
        <w:tc>
          <w:tcPr>
            <w:tcW w:w="1326" w:type="dxa"/>
            <w:vAlign w:val="center"/>
          </w:tcPr>
          <w:p>
            <w:pPr>
              <w:jc w:val="center"/>
              <w:rPr>
                <w:rFonts w:hint="eastAsia" w:ascii="仿宋" w:hAnsi="仿宋" w:eastAsia="仿宋" w:cs="仿宋"/>
                <w:bCs/>
                <w:color w:val="auto"/>
              </w:rPr>
            </w:pPr>
            <w:r>
              <w:rPr>
                <w:rFonts w:hint="eastAsia" w:ascii="仿宋" w:hAnsi="仿宋" w:eastAsia="仿宋" w:cs="仿宋"/>
                <w:bCs/>
                <w:color w:val="auto"/>
              </w:rPr>
              <w:t>投标规格</w:t>
            </w:r>
          </w:p>
        </w:tc>
        <w:tc>
          <w:tcPr>
            <w:tcW w:w="1327" w:type="dxa"/>
            <w:vAlign w:val="center"/>
          </w:tcPr>
          <w:p>
            <w:pPr>
              <w:jc w:val="center"/>
              <w:rPr>
                <w:rFonts w:hint="eastAsia" w:ascii="仿宋" w:hAnsi="仿宋" w:eastAsia="仿宋" w:cs="仿宋"/>
                <w:bCs/>
                <w:color w:val="auto"/>
              </w:rPr>
            </w:pPr>
            <w:r>
              <w:rPr>
                <w:rFonts w:hint="eastAsia" w:ascii="仿宋" w:hAnsi="仿宋" w:eastAsia="仿宋" w:cs="仿宋"/>
                <w:bCs/>
                <w:color w:val="auto"/>
              </w:rPr>
              <w:t>偏离</w:t>
            </w:r>
          </w:p>
        </w:tc>
        <w:tc>
          <w:tcPr>
            <w:tcW w:w="1327" w:type="dxa"/>
            <w:vAlign w:val="center"/>
          </w:tcPr>
          <w:p>
            <w:pPr>
              <w:jc w:val="center"/>
              <w:rPr>
                <w:rFonts w:hint="eastAsia" w:ascii="仿宋" w:hAnsi="仿宋" w:eastAsia="仿宋" w:cs="仿宋"/>
                <w:bCs/>
                <w:color w:val="auto"/>
              </w:rPr>
            </w:pPr>
            <w:r>
              <w:rPr>
                <w:rFonts w:hint="eastAsia" w:ascii="仿宋" w:hAnsi="仿宋" w:eastAsia="仿宋" w:cs="仿宋"/>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rPr>
            </w:pPr>
          </w:p>
        </w:tc>
        <w:tc>
          <w:tcPr>
            <w:tcW w:w="1357" w:type="dxa"/>
          </w:tcPr>
          <w:p>
            <w:pPr>
              <w:jc w:val="center"/>
              <w:rPr>
                <w:rFonts w:hint="eastAsia" w:ascii="仿宋" w:hAnsi="仿宋" w:eastAsia="仿宋" w:cs="仿宋"/>
                <w:b/>
                <w:bCs/>
                <w:color w:val="auto"/>
              </w:rPr>
            </w:pPr>
          </w:p>
        </w:tc>
        <w:tc>
          <w:tcPr>
            <w:tcW w:w="1326" w:type="dxa"/>
          </w:tcPr>
          <w:p>
            <w:pPr>
              <w:jc w:val="center"/>
              <w:rPr>
                <w:rFonts w:hint="eastAsia" w:ascii="仿宋" w:hAnsi="仿宋" w:eastAsia="仿宋" w:cs="仿宋"/>
                <w:b/>
                <w:bCs/>
                <w:color w:val="auto"/>
              </w:rPr>
            </w:pPr>
          </w:p>
        </w:tc>
        <w:tc>
          <w:tcPr>
            <w:tcW w:w="1326" w:type="dxa"/>
          </w:tcPr>
          <w:p>
            <w:pPr>
              <w:jc w:val="center"/>
              <w:rPr>
                <w:rFonts w:hint="eastAsia" w:ascii="仿宋" w:hAnsi="仿宋" w:eastAsia="仿宋" w:cs="仿宋"/>
                <w:b/>
                <w:bCs/>
                <w:color w:val="auto"/>
              </w:rPr>
            </w:pPr>
          </w:p>
        </w:tc>
        <w:tc>
          <w:tcPr>
            <w:tcW w:w="1326" w:type="dxa"/>
          </w:tcPr>
          <w:p>
            <w:pPr>
              <w:jc w:val="center"/>
              <w:rPr>
                <w:rFonts w:hint="eastAsia" w:ascii="仿宋" w:hAnsi="仿宋" w:eastAsia="仿宋" w:cs="仿宋"/>
                <w:b/>
                <w:bCs/>
                <w:color w:val="auto"/>
              </w:rPr>
            </w:pPr>
          </w:p>
        </w:tc>
        <w:tc>
          <w:tcPr>
            <w:tcW w:w="1327" w:type="dxa"/>
          </w:tcPr>
          <w:p>
            <w:pPr>
              <w:jc w:val="center"/>
              <w:rPr>
                <w:rFonts w:hint="eastAsia"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bl>
    <w:p>
      <w:pPr>
        <w:spacing w:line="360" w:lineRule="auto"/>
        <w:ind w:firstLine="475" w:firstLineChars="198"/>
        <w:rPr>
          <w:rFonts w:hint="eastAsia" w:ascii="仿宋" w:hAnsi="仿宋" w:eastAsia="仿宋" w:cs="仿宋"/>
          <w:color w:val="auto"/>
          <w:lang w:eastAsia="zh-CN"/>
        </w:rPr>
      </w:pPr>
      <w:r>
        <w:rPr>
          <w:rFonts w:hint="eastAsia" w:ascii="仿宋" w:hAnsi="仿宋" w:eastAsia="仿宋" w:cs="仿宋"/>
          <w:color w:val="auto"/>
          <w:lang w:eastAsia="zh-CN"/>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hint="eastAsia" w:ascii="仿宋" w:hAnsi="仿宋" w:eastAsia="仿宋" w:cs="仿宋"/>
          <w:color w:val="auto"/>
          <w:lang w:eastAsia="zh-CN"/>
        </w:rPr>
      </w:pPr>
    </w:p>
    <w:p>
      <w:pPr>
        <w:pStyle w:val="10"/>
        <w:tabs>
          <w:tab w:val="left" w:pos="5580"/>
        </w:tabs>
        <w:spacing w:line="360" w:lineRule="auto"/>
        <w:ind w:firstLine="3120" w:firstLineChars="1300"/>
        <w:rPr>
          <w:rFonts w:hint="eastAsia" w:ascii="仿宋" w:hAnsi="仿宋" w:eastAsia="仿宋" w:cs="仿宋"/>
          <w:color w:val="auto"/>
          <w:lang w:eastAsia="zh-CN"/>
        </w:rPr>
      </w:pPr>
      <w:r>
        <w:rPr>
          <w:rFonts w:hint="eastAsia" w:ascii="仿宋" w:hAnsi="仿宋" w:eastAsia="仿宋" w:cs="仿宋"/>
          <w:color w:val="auto"/>
          <w:lang w:eastAsia="zh-CN"/>
        </w:rPr>
        <w:t>投标人（盖章）：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pStyle w:val="10"/>
        <w:tabs>
          <w:tab w:val="left" w:pos="5580"/>
        </w:tabs>
        <w:spacing w:line="360" w:lineRule="auto"/>
        <w:ind w:firstLine="3120" w:firstLineChars="1300"/>
        <w:rPr>
          <w:rFonts w:hint="eastAsia"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pPr>
        <w:spacing w:line="360" w:lineRule="auto"/>
        <w:ind w:firstLine="3120" w:firstLineChars="1300"/>
        <w:rPr>
          <w:rFonts w:hint="eastAsia" w:ascii="仿宋" w:hAnsi="仿宋" w:eastAsia="仿宋" w:cs="仿宋"/>
          <w:color w:val="auto"/>
          <w:lang w:eastAsia="zh-CN"/>
        </w:rPr>
      </w:pPr>
      <w:r>
        <w:rPr>
          <w:rFonts w:hint="eastAsia" w:ascii="仿宋" w:hAnsi="仿宋" w:eastAsia="仿宋" w:cs="仿宋"/>
          <w:color w:val="auto"/>
          <w:lang w:eastAsia="zh-CN"/>
        </w:rPr>
        <w:t>日期：       年   月   日</w:t>
      </w:r>
    </w:p>
    <w:p>
      <w:pPr>
        <w:pStyle w:val="5"/>
        <w:rPr>
          <w:rFonts w:hint="eastAsia" w:ascii="仿宋" w:hAnsi="仿宋" w:eastAsia="仿宋" w:cs="仿宋"/>
          <w:color w:val="auto"/>
          <w:sz w:val="36"/>
          <w:szCs w:val="36"/>
          <w:lang w:eastAsia="zh-CN"/>
        </w:rPr>
      </w:pPr>
    </w:p>
    <w:p>
      <w:pPr>
        <w:rPr>
          <w:rFonts w:hint="eastAsia" w:ascii="仿宋" w:hAnsi="仿宋" w:eastAsia="仿宋" w:cs="仿宋"/>
          <w:color w:val="auto"/>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序号</w:t>
            </w:r>
          </w:p>
        </w:tc>
        <w:tc>
          <w:tcPr>
            <w:tcW w:w="2154" w:type="dxa"/>
          </w:tcPr>
          <w:p>
            <w:pPr>
              <w:pStyle w:val="10"/>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招标文件条款号</w:t>
            </w:r>
          </w:p>
        </w:tc>
        <w:tc>
          <w:tcPr>
            <w:tcW w:w="2477" w:type="dxa"/>
          </w:tcPr>
          <w:p>
            <w:pPr>
              <w:pStyle w:val="10"/>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招标文件的商务条款</w:t>
            </w:r>
          </w:p>
        </w:tc>
        <w:tc>
          <w:tcPr>
            <w:tcW w:w="2454" w:type="dxa"/>
          </w:tcPr>
          <w:p>
            <w:pPr>
              <w:pStyle w:val="10"/>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pPr>
              <w:pStyle w:val="10"/>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bl>
    <w:p>
      <w:pPr>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w:t>
      </w: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lang w:eastAsia="zh-CN"/>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lang w:eastAsia="zh-CN"/>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33"/>
        <w:spacing w:after="0"/>
        <w:ind w:firstLine="420"/>
        <w:jc w:val="center"/>
        <w:rPr>
          <w:rFonts w:hint="eastAsia"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3"/>
        <w:spacing w:after="0"/>
        <w:ind w:firstLine="420"/>
        <w:jc w:val="center"/>
        <w:rPr>
          <w:rFonts w:hint="eastAsia" w:ascii="仿宋" w:hAnsi="仿宋" w:eastAsia="仿宋" w:cs="仿宋"/>
          <w:color w:val="auto"/>
          <w:sz w:val="36"/>
          <w:szCs w:val="36"/>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jc w:val="center"/>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7、投标人基本情况表</w:t>
      </w:r>
    </w:p>
    <w:p>
      <w:pPr>
        <w:pStyle w:val="8"/>
        <w:numPr>
          <w:ilvl w:val="0"/>
          <w:numId w:val="0"/>
        </w:numPr>
        <w:kinsoku w:val="0"/>
        <w:overflowPunct w:val="0"/>
        <w:spacing w:before="5"/>
        <w:rPr>
          <w:rFonts w:hint="eastAsia" w:ascii="仿宋" w:hAnsi="仿宋" w:eastAsia="仿宋" w:cs="仿宋"/>
          <w:b/>
          <w:bCs/>
          <w:color w:val="auto"/>
          <w:sz w:val="6"/>
          <w:szCs w:val="6"/>
          <w:lang w:eastAsia="zh-CN"/>
        </w:rPr>
      </w:pPr>
    </w:p>
    <w:tbl>
      <w:tblPr>
        <w:tblStyle w:val="21"/>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7"/>
              <w:kinsoku w:val="0"/>
              <w:overflowPunct w:val="0"/>
              <w:spacing w:before="4"/>
              <w:rPr>
                <w:rFonts w:hint="eastAsia" w:ascii="仿宋" w:hAnsi="仿宋" w:eastAsia="仿宋" w:cs="仿宋"/>
                <w:b/>
                <w:bCs/>
                <w:color w:val="auto"/>
                <w:sz w:val="20"/>
                <w:szCs w:val="20"/>
              </w:rPr>
            </w:pPr>
          </w:p>
          <w:p>
            <w:pPr>
              <w:pStyle w:val="37"/>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4"/>
              <w:rPr>
                <w:rFonts w:hint="eastAsia" w:ascii="仿宋" w:hAnsi="仿宋" w:eastAsia="仿宋" w:cs="仿宋"/>
                <w:b/>
                <w:bCs/>
                <w:color w:val="auto"/>
                <w:sz w:val="20"/>
                <w:szCs w:val="20"/>
              </w:rPr>
            </w:pPr>
          </w:p>
          <w:p>
            <w:pPr>
              <w:pStyle w:val="37"/>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7"/>
              <w:kinsoku w:val="0"/>
              <w:overflowPunct w:val="0"/>
              <w:rPr>
                <w:rFonts w:hint="eastAsia" w:ascii="仿宋" w:hAnsi="仿宋" w:eastAsia="仿宋" w:cs="仿宋"/>
                <w:b/>
                <w:bCs/>
                <w:color w:val="auto"/>
              </w:rPr>
            </w:pPr>
          </w:p>
          <w:p>
            <w:pPr>
              <w:pStyle w:val="37"/>
              <w:kinsoku w:val="0"/>
              <w:overflowPunct w:val="0"/>
              <w:rPr>
                <w:rFonts w:hint="eastAsia" w:ascii="仿宋" w:hAnsi="仿宋" w:eastAsia="仿宋" w:cs="仿宋"/>
                <w:b/>
                <w:bCs/>
                <w:color w:val="auto"/>
              </w:rPr>
            </w:pPr>
          </w:p>
          <w:p>
            <w:pPr>
              <w:pStyle w:val="37"/>
              <w:kinsoku w:val="0"/>
              <w:overflowPunct w:val="0"/>
              <w:rPr>
                <w:rFonts w:hint="eastAsia" w:ascii="仿宋" w:hAnsi="仿宋" w:eastAsia="仿宋" w:cs="仿宋"/>
                <w:b/>
                <w:bCs/>
                <w:color w:val="auto"/>
              </w:rPr>
            </w:pPr>
          </w:p>
          <w:p>
            <w:pPr>
              <w:pStyle w:val="37"/>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jc w:val="center"/>
              <w:rPr>
                <w:rFonts w:hint="eastAsia" w:ascii="仿宋" w:hAnsi="仿宋" w:eastAsia="仿宋" w:cs="仿宋"/>
                <w:color w:val="auto"/>
                <w:lang w:eastAsia="zh-CN"/>
              </w:rPr>
            </w:pPr>
            <w:r>
              <w:rPr>
                <w:rFonts w:hint="eastAsia" w:ascii="仿宋" w:hAnsi="仿宋" w:eastAsia="仿宋" w:cs="仿宋"/>
                <w:color w:val="auto"/>
                <w:lang w:eastAsia="zh-CN"/>
              </w:rPr>
              <w:t>单位行政和技术负责人</w:t>
            </w:r>
          </w:p>
        </w:tc>
      </w:tr>
      <w:tr>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jc w:val="center"/>
              <w:rPr>
                <w:rFonts w:hint="eastAsia"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7"/>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7"/>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
              <w:rPr>
                <w:rFonts w:hint="eastAsia" w:ascii="仿宋" w:hAnsi="仿宋" w:eastAsia="仿宋" w:cs="仿宋"/>
                <w:b/>
                <w:bCs/>
                <w:color w:val="auto"/>
                <w:sz w:val="23"/>
                <w:szCs w:val="23"/>
              </w:rPr>
            </w:pPr>
          </w:p>
          <w:p>
            <w:pPr>
              <w:pStyle w:val="37"/>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bl>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8"/>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pPr>
        <w:pStyle w:val="8"/>
        <w:numPr>
          <w:ilvl w:val="0"/>
          <w:numId w:val="0"/>
        </w:numPr>
        <w:kinsoku w:val="0"/>
        <w:overflowPunct w:val="0"/>
        <w:spacing w:before="34" w:line="357" w:lineRule="auto"/>
        <w:ind w:left="480" w:right="126"/>
        <w:jc w:val="center"/>
        <w:rPr>
          <w:rFonts w:hint="eastAsia" w:ascii="仿宋" w:hAnsi="仿宋" w:eastAsia="仿宋" w:cs="仿宋"/>
          <w:b/>
          <w:bCs/>
          <w:color w:val="auto"/>
          <w:w w:val="90"/>
          <w:lang w:eastAsia="zh-CN"/>
        </w:rPr>
      </w:pPr>
      <w:r>
        <w:rPr>
          <w:rFonts w:hint="eastAsia" w:ascii="仿宋" w:hAnsi="仿宋" w:eastAsia="仿宋" w:cs="仿宋"/>
          <w:b/>
          <w:bCs/>
          <w:color w:val="auto"/>
          <w:w w:val="90"/>
          <w:sz w:val="36"/>
          <w:szCs w:val="36"/>
          <w:lang w:eastAsia="zh-CN"/>
        </w:rPr>
        <w:t>8、近三年（20</w:t>
      </w:r>
      <w:r>
        <w:rPr>
          <w:rFonts w:hint="eastAsia" w:ascii="仿宋" w:hAnsi="仿宋" w:eastAsia="仿宋" w:cs="仿宋"/>
          <w:b/>
          <w:bCs/>
          <w:color w:val="auto"/>
          <w:w w:val="90"/>
          <w:sz w:val="36"/>
          <w:szCs w:val="36"/>
          <w:lang w:val="en-US" w:eastAsia="zh-CN"/>
        </w:rPr>
        <w:t>20</w:t>
      </w:r>
      <w:r>
        <w:rPr>
          <w:rFonts w:hint="eastAsia" w:ascii="仿宋" w:hAnsi="仿宋" w:eastAsia="仿宋" w:cs="仿宋"/>
          <w:b/>
          <w:bCs/>
          <w:color w:val="auto"/>
          <w:w w:val="90"/>
          <w:sz w:val="36"/>
          <w:szCs w:val="36"/>
          <w:lang w:eastAsia="zh-CN"/>
        </w:rPr>
        <w:t>年1月1日至今）类似项目业绩表</w:t>
      </w:r>
    </w:p>
    <w:p>
      <w:pPr>
        <w:pStyle w:val="8"/>
        <w:numPr>
          <w:ilvl w:val="0"/>
          <w:numId w:val="0"/>
        </w:numPr>
        <w:kinsoku w:val="0"/>
        <w:overflowPunct w:val="0"/>
        <w:rPr>
          <w:rFonts w:hint="eastAsia" w:ascii="仿宋" w:hAnsi="仿宋" w:eastAsia="仿宋" w:cs="仿宋"/>
          <w:b/>
          <w:bCs/>
          <w:color w:val="auto"/>
          <w:sz w:val="20"/>
          <w:szCs w:val="20"/>
          <w:lang w:eastAsia="zh-CN"/>
        </w:rPr>
      </w:pPr>
    </w:p>
    <w:tbl>
      <w:tblPr>
        <w:tblStyle w:val="21"/>
        <w:tblW w:w="8731" w:type="dxa"/>
        <w:jc w:val="center"/>
        <w:tblLayout w:type="fixed"/>
        <w:tblCellMar>
          <w:top w:w="0" w:type="dxa"/>
          <w:left w:w="10" w:type="dxa"/>
          <w:bottom w:w="0" w:type="dxa"/>
          <w:right w:w="10" w:type="dxa"/>
        </w:tblCellMar>
      </w:tblPr>
      <w:tblGrid>
        <w:gridCol w:w="2002"/>
        <w:gridCol w:w="6729"/>
      </w:tblGrid>
      <w:tr>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pPr>
              <w:pStyle w:val="35"/>
              <w:spacing w:line="240" w:lineRule="auto"/>
              <w:ind w:firstLine="0"/>
              <w:jc w:val="center"/>
              <w:rPr>
                <w:rFonts w:hint="eastAsia" w:ascii="仿宋" w:hAnsi="仿宋" w:eastAsia="仿宋" w:cs="仿宋"/>
                <w:color w:val="auto"/>
              </w:rPr>
            </w:pPr>
            <w:r>
              <w:rPr>
                <w:rFonts w:hint="eastAsia" w:ascii="仿宋" w:hAnsi="仿宋" w:eastAsia="仿宋" w:cs="仿宋"/>
                <w:color w:val="auto"/>
              </w:rPr>
              <w:t>项目名称</w:t>
            </w:r>
          </w:p>
        </w:tc>
        <w:tc>
          <w:tcPr>
            <w:tcW w:w="6729"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5"/>
              <w:spacing w:before="120" w:line="240" w:lineRule="auto"/>
              <w:ind w:firstLine="220"/>
              <w:rPr>
                <w:rFonts w:hint="eastAsia" w:ascii="仿宋" w:hAnsi="仿宋" w:eastAsia="仿宋" w:cs="仿宋"/>
                <w:color w:val="auto"/>
              </w:rPr>
            </w:pPr>
            <w:r>
              <w:rPr>
                <w:rFonts w:hint="eastAsia" w:ascii="仿宋" w:hAnsi="仿宋" w:eastAsia="仿宋" w:cs="仿宋"/>
                <w:color w:val="auto"/>
              </w:rPr>
              <w:t>项目单位名称</w:t>
            </w:r>
          </w:p>
        </w:tc>
        <w:tc>
          <w:tcPr>
            <w:tcW w:w="6729"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pPr>
              <w:pStyle w:val="35"/>
              <w:spacing w:line="320" w:lineRule="exact"/>
              <w:ind w:firstLine="0"/>
              <w:jc w:val="center"/>
              <w:rPr>
                <w:rFonts w:hint="eastAsia" w:ascii="仿宋" w:hAnsi="仿宋" w:eastAsia="仿宋" w:cs="仿宋"/>
                <w:color w:val="auto"/>
              </w:rPr>
            </w:pPr>
            <w:r>
              <w:rPr>
                <w:rFonts w:hint="eastAsia" w:ascii="仿宋" w:hAnsi="仿宋" w:eastAsia="仿宋" w:cs="仿宋"/>
                <w:color w:val="auto"/>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lang w:eastAsia="zh-CN"/>
              </w:rPr>
            </w:pPr>
          </w:p>
        </w:tc>
      </w:tr>
      <w:tr>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pPr>
              <w:pStyle w:val="35"/>
              <w:spacing w:line="240" w:lineRule="auto"/>
              <w:ind w:firstLine="0"/>
              <w:jc w:val="center"/>
              <w:rPr>
                <w:rFonts w:hint="eastAsia" w:ascii="仿宋" w:hAnsi="仿宋" w:eastAsia="仿宋" w:cs="仿宋"/>
                <w:color w:val="auto"/>
              </w:rPr>
            </w:pPr>
            <w:r>
              <w:rPr>
                <w:rFonts w:hint="eastAsia" w:ascii="仿宋" w:hAnsi="仿宋" w:eastAsia="仿宋" w:cs="仿宋"/>
                <w:color w:val="auto"/>
              </w:rPr>
              <w:t>合同金额</w:t>
            </w:r>
          </w:p>
        </w:tc>
        <w:tc>
          <w:tcPr>
            <w:tcW w:w="6729"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pPr>
              <w:pStyle w:val="35"/>
              <w:spacing w:line="306" w:lineRule="exact"/>
              <w:ind w:firstLine="0"/>
              <w:jc w:val="center"/>
              <w:rPr>
                <w:rFonts w:hint="eastAsia" w:ascii="仿宋" w:hAnsi="仿宋" w:eastAsia="仿宋" w:cs="仿宋"/>
                <w:color w:val="auto"/>
              </w:rPr>
            </w:pPr>
            <w:r>
              <w:rPr>
                <w:rFonts w:hint="eastAsia" w:ascii="仿宋" w:hAnsi="仿宋" w:eastAsia="仿宋" w:cs="仿宋"/>
                <w:color w:val="auto"/>
              </w:rPr>
              <w:t>项目负责人姓名</w:t>
            </w:r>
          </w:p>
        </w:tc>
        <w:tc>
          <w:tcPr>
            <w:tcW w:w="6729"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pPr>
              <w:pStyle w:val="35"/>
              <w:spacing w:before="120" w:line="240" w:lineRule="auto"/>
              <w:ind w:firstLine="220"/>
              <w:rPr>
                <w:rFonts w:hint="eastAsia" w:ascii="仿宋" w:hAnsi="仿宋" w:eastAsia="仿宋" w:cs="仿宋"/>
                <w:color w:val="auto"/>
              </w:rPr>
            </w:pPr>
            <w:r>
              <w:rPr>
                <w:rFonts w:hint="eastAsia" w:ascii="仿宋" w:hAnsi="仿宋" w:eastAsia="仿宋" w:cs="仿宋"/>
                <w:color w:val="auto"/>
              </w:rPr>
              <w:t>项目实施时间</w:t>
            </w:r>
          </w:p>
        </w:tc>
        <w:tc>
          <w:tcPr>
            <w:tcW w:w="6729"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rPr>
            </w:pPr>
          </w:p>
        </w:tc>
      </w:tr>
      <w:tr>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pPr>
              <w:pStyle w:val="35"/>
              <w:spacing w:line="240" w:lineRule="auto"/>
              <w:ind w:firstLine="220"/>
              <w:rPr>
                <w:rFonts w:hint="eastAsia" w:ascii="仿宋" w:hAnsi="仿宋" w:eastAsia="仿宋" w:cs="仿宋"/>
                <w:color w:val="auto"/>
              </w:rPr>
            </w:pPr>
            <w:r>
              <w:rPr>
                <w:rFonts w:hint="eastAsia" w:ascii="仿宋" w:hAnsi="仿宋" w:eastAsia="仿宋" w:cs="仿宋"/>
                <w:color w:val="auto"/>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auto"/>
                <w:sz w:val="10"/>
                <w:szCs w:val="10"/>
              </w:rPr>
            </w:pPr>
          </w:p>
        </w:tc>
      </w:tr>
    </w:tbl>
    <w:p>
      <w:pPr>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注：每个业绩须单独附表，并附上合同或中标通知书相关证明材料，否则专家在评审时将不予采信。</w:t>
      </w: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投标人：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8"/>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w:t>
      </w:r>
      <w:r>
        <w:rPr>
          <w:rFonts w:hint="eastAsia" w:ascii="仿宋" w:hAnsi="仿宋" w:eastAsia="仿宋" w:cs="仿宋"/>
          <w:color w:val="auto"/>
          <w:w w:val="95"/>
          <w:sz w:val="24"/>
          <w:lang w:eastAsia="zh-CN"/>
        </w:rPr>
        <w:t>签章）</w:t>
      </w:r>
    </w:p>
    <w:p>
      <w:pPr>
        <w:pStyle w:val="8"/>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33"/>
        <w:spacing w:after="580"/>
        <w:ind w:firstLine="360"/>
        <w:rPr>
          <w:rFonts w:hint="eastAsia" w:ascii="仿宋" w:hAnsi="仿宋" w:eastAsia="仿宋" w:cs="仿宋"/>
          <w:color w:val="auto"/>
        </w:rPr>
      </w:pPr>
    </w:p>
    <w:p>
      <w:pPr>
        <w:spacing w:line="360" w:lineRule="auto"/>
        <w:jc w:val="center"/>
        <w:rPr>
          <w:rFonts w:hint="eastAsia" w:ascii="仿宋" w:hAnsi="仿宋" w:eastAsia="仿宋" w:cs="仿宋"/>
          <w:bCs/>
          <w:color w:val="auto"/>
          <w:sz w:val="36"/>
          <w:szCs w:val="36"/>
          <w:lang w:eastAsia="zh-CN"/>
        </w:rPr>
      </w:pPr>
    </w:p>
    <w:p>
      <w:pPr>
        <w:spacing w:line="360" w:lineRule="auto"/>
        <w:jc w:val="center"/>
        <w:rPr>
          <w:rFonts w:hint="eastAsia" w:ascii="仿宋" w:hAnsi="仿宋" w:eastAsia="仿宋" w:cs="仿宋"/>
          <w:bCs/>
          <w:color w:val="auto"/>
          <w:sz w:val="36"/>
          <w:szCs w:val="36"/>
          <w:lang w:eastAsia="zh-CN"/>
        </w:rPr>
      </w:pPr>
    </w:p>
    <w:p>
      <w:pPr>
        <w:spacing w:line="360" w:lineRule="auto"/>
        <w:jc w:val="center"/>
        <w:rPr>
          <w:rFonts w:hint="eastAsia" w:ascii="仿宋" w:hAnsi="仿宋" w:eastAsia="仿宋" w:cs="仿宋"/>
          <w:bCs/>
          <w:color w:val="auto"/>
          <w:sz w:val="36"/>
          <w:szCs w:val="36"/>
          <w:lang w:eastAsia="zh-CN"/>
        </w:rPr>
      </w:pPr>
    </w:p>
    <w:p>
      <w:pPr>
        <w:spacing w:line="360" w:lineRule="auto"/>
        <w:jc w:val="center"/>
        <w:rPr>
          <w:rFonts w:hint="eastAsia" w:ascii="仿宋" w:hAnsi="仿宋" w:eastAsia="仿宋" w:cs="仿宋"/>
          <w:bCs/>
          <w:color w:val="auto"/>
          <w:sz w:val="36"/>
          <w:szCs w:val="36"/>
          <w:lang w:eastAsia="zh-CN"/>
        </w:rPr>
      </w:pPr>
    </w:p>
    <w:p>
      <w:pPr>
        <w:spacing w:line="360" w:lineRule="auto"/>
        <w:jc w:val="center"/>
        <w:rPr>
          <w:rFonts w:hint="eastAsia" w:ascii="仿宋" w:hAnsi="仿宋" w:eastAsia="仿宋" w:cs="仿宋"/>
          <w:bCs/>
          <w:color w:val="auto"/>
          <w:sz w:val="36"/>
          <w:szCs w:val="36"/>
          <w:lang w:eastAsia="zh-CN"/>
        </w:rPr>
      </w:pPr>
    </w:p>
    <w:p>
      <w:pPr>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6"/>
          <w:szCs w:val="36"/>
          <w:lang w:eastAsia="zh-CN"/>
        </w:rPr>
        <w:t>9、中小企业声明函(货物)</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8"/>
        </w:num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（采购文件中明确的所属行业） 行业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（采购文件中明确的所属行业）行业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lang w:eastAsia="zh-CN"/>
        </w:rPr>
      </w:pP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80" w:firstLineChars="200"/>
        <w:rPr>
          <w:rFonts w:hint="eastAsia" w:ascii="仿宋" w:hAnsi="仿宋" w:eastAsia="仿宋" w:cs="仿宋"/>
          <w:color w:val="auto"/>
          <w:lang w:eastAsia="zh-CN"/>
        </w:rPr>
      </w:pPr>
    </w:p>
    <w:p>
      <w:pPr>
        <w:spacing w:line="360" w:lineRule="auto"/>
        <w:ind w:firstLine="4560" w:firstLineChars="1900"/>
        <w:rPr>
          <w:rFonts w:hint="eastAsia"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                                               日期：</w:t>
      </w: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pStyle w:val="16"/>
        <w:rPr>
          <w:rFonts w:hint="eastAsia" w:ascii="仿宋" w:hAnsi="仿宋" w:eastAsia="仿宋" w:cs="仿宋"/>
          <w:color w:val="auto"/>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pStyle w:val="27"/>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注：从业人员、营业收入、资产总额填报上一年度数据，无上一年度数据的新成立企业可不填报。</w:t>
      </w: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tabs>
          <w:tab w:val="left" w:pos="3600"/>
        </w:tabs>
        <w:adjustRightInd w:val="0"/>
        <w:snapToGrid w:val="0"/>
        <w:spacing w:line="440" w:lineRule="exact"/>
        <w:jc w:val="center"/>
        <w:rPr>
          <w:rFonts w:hint="eastAsia" w:ascii="仿宋" w:hAnsi="仿宋" w:eastAsia="仿宋" w:cs="仿宋"/>
          <w:b/>
          <w:bCs/>
          <w:color w:val="auto"/>
          <w:spacing w:val="6"/>
          <w:sz w:val="36"/>
          <w:szCs w:val="36"/>
          <w:lang w:eastAsia="zh-CN"/>
        </w:rPr>
      </w:pPr>
      <w:r>
        <w:rPr>
          <w:rFonts w:hint="eastAsia" w:ascii="仿宋" w:hAnsi="仿宋" w:eastAsia="仿宋" w:cs="仿宋"/>
          <w:color w:val="auto"/>
          <w:sz w:val="36"/>
          <w:szCs w:val="36"/>
          <w:lang w:eastAsia="zh-CN"/>
        </w:rPr>
        <w:t>10、</w:t>
      </w:r>
      <w:r>
        <w:rPr>
          <w:rFonts w:hint="eastAsia" w:ascii="仿宋" w:hAnsi="仿宋" w:eastAsia="仿宋" w:cs="仿宋"/>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pPr>
        <w:widowControl/>
        <w:adjustRightInd w:val="0"/>
        <w:snapToGrid w:val="0"/>
        <w:spacing w:line="440" w:lineRule="exact"/>
        <w:ind w:firstLine="5544" w:firstLineChars="2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pPr>
        <w:pStyle w:val="4"/>
        <w:numPr>
          <w:ilvl w:val="1"/>
          <w:numId w:val="0"/>
        </w:numPr>
        <w:spacing w:line="240" w:lineRule="atLeast"/>
        <w:jc w:val="left"/>
        <w:rPr>
          <w:rFonts w:hint="eastAsia" w:ascii="仿宋" w:hAnsi="仿宋" w:eastAsia="仿宋" w:cs="仿宋"/>
          <w:bCs/>
          <w:color w:val="auto"/>
          <w:sz w:val="24"/>
          <w:lang w:eastAsia="zh-CN"/>
        </w:rPr>
      </w:pPr>
    </w:p>
    <w:p>
      <w:pPr>
        <w:pStyle w:val="4"/>
        <w:numPr>
          <w:ilvl w:val="1"/>
          <w:numId w:val="0"/>
        </w:numPr>
        <w:spacing w:line="240" w:lineRule="atLeast"/>
        <w:jc w:val="left"/>
        <w:rPr>
          <w:rFonts w:hint="eastAsia" w:ascii="仿宋" w:hAnsi="仿宋" w:eastAsia="仿宋" w:cs="仿宋"/>
          <w:bCs/>
          <w:color w:val="auto"/>
          <w:sz w:val="24"/>
          <w:lang w:eastAsia="zh-CN"/>
        </w:rPr>
      </w:pPr>
    </w:p>
    <w:p>
      <w:pPr>
        <w:pStyle w:val="4"/>
        <w:numPr>
          <w:ilvl w:val="1"/>
          <w:numId w:val="0"/>
        </w:numPr>
        <w:spacing w:line="240" w:lineRule="atLeast"/>
        <w:jc w:val="left"/>
        <w:rPr>
          <w:rFonts w:hint="eastAsia" w:ascii="仿宋" w:hAnsi="仿宋" w:eastAsia="仿宋" w:cs="仿宋"/>
          <w:bCs/>
          <w:color w:val="auto"/>
          <w:sz w:val="24"/>
          <w:lang w:eastAsia="zh-CN"/>
        </w:rPr>
      </w:pPr>
    </w:p>
    <w:p>
      <w:pPr>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27"/>
        <w:rPr>
          <w:rFonts w:hint="eastAsia" w:ascii="仿宋" w:hAnsi="仿宋" w:eastAsia="仿宋" w:cs="仿宋"/>
          <w:b/>
          <w:bCs/>
          <w:color w:val="auto"/>
          <w:lang w:eastAsia="zh-CN"/>
        </w:rPr>
      </w:pPr>
    </w:p>
    <w:p>
      <w:pPr>
        <w:pStyle w:val="4"/>
        <w:numPr>
          <w:ilvl w:val="1"/>
          <w:numId w:val="0"/>
        </w:numPr>
        <w:spacing w:line="240" w:lineRule="atLeast"/>
        <w:jc w:val="left"/>
        <w:rPr>
          <w:rFonts w:hint="eastAsia" w:ascii="仿宋" w:hAnsi="仿宋" w:eastAsia="仿宋" w:cs="仿宋"/>
          <w:bCs/>
          <w:color w:val="auto"/>
          <w:sz w:val="24"/>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11、评分标准和细则中技术部分证明材料（格式自拟</w:t>
      </w:r>
      <w:r>
        <w:rPr>
          <w:rFonts w:hint="eastAsia" w:ascii="仿宋" w:hAnsi="仿宋" w:eastAsia="仿宋" w:cs="仿宋"/>
          <w:color w:val="auto"/>
          <w:sz w:val="36"/>
          <w:szCs w:val="36"/>
          <w:lang w:eastAsia="zh-CN"/>
        </w:rPr>
        <w:t>）</w:t>
      </w:r>
    </w:p>
    <w:p>
      <w:pPr>
        <w:pStyle w:val="4"/>
        <w:numPr>
          <w:ilvl w:val="1"/>
          <w:numId w:val="0"/>
        </w:numPr>
        <w:spacing w:line="240" w:lineRule="atLeast"/>
        <w:ind w:left="617" w:leftChars="257"/>
        <w:rPr>
          <w:rFonts w:hint="eastAsia" w:ascii="仿宋" w:hAnsi="仿宋" w:eastAsia="仿宋" w:cs="仿宋"/>
          <w:color w:val="auto"/>
          <w:sz w:val="24"/>
          <w:lang w:eastAsia="zh-CN"/>
        </w:rPr>
      </w:pPr>
    </w:p>
    <w:p>
      <w:pPr>
        <w:spacing w:line="44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w:t>
      </w:r>
      <w:r>
        <w:rPr>
          <w:rFonts w:hint="eastAsia" w:ascii="仿宋" w:hAnsi="仿宋" w:eastAsia="仿宋" w:cs="仿宋"/>
          <w:color w:val="auto"/>
          <w:szCs w:val="21"/>
          <w:lang w:val="zh-CN" w:eastAsia="zh-CN" w:bidi="ar-SA"/>
        </w:rPr>
        <w:t>技术指标、参数响应情况</w:t>
      </w:r>
      <w:r>
        <w:rPr>
          <w:rFonts w:hint="eastAsia" w:ascii="仿宋" w:hAnsi="仿宋" w:eastAsia="仿宋" w:cs="仿宋"/>
          <w:color w:val="auto"/>
          <w:szCs w:val="21"/>
          <w:lang w:eastAsia="zh-CN" w:bidi="ar-SA"/>
        </w:rPr>
        <w:t>等</w:t>
      </w:r>
      <w:r>
        <w:rPr>
          <w:rFonts w:hint="eastAsia" w:ascii="仿宋" w:hAnsi="仿宋" w:eastAsia="仿宋" w:cs="仿宋"/>
          <w:color w:val="auto"/>
          <w:lang w:eastAsia="zh-CN"/>
        </w:rPr>
        <w:t>）。</w:t>
      </w:r>
    </w:p>
    <w:p>
      <w:pPr>
        <w:pStyle w:val="10"/>
        <w:tabs>
          <w:tab w:val="left" w:pos="5580"/>
        </w:tabs>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5"/>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hint="eastAsia" w:ascii="仿宋" w:hAnsi="仿宋" w:eastAsia="仿宋" w:cs="仿宋"/>
          <w:color w:val="auto"/>
          <w:lang w:eastAsia="zh-CN"/>
        </w:rPr>
      </w:pPr>
    </w:p>
    <w:p>
      <w:pPr>
        <w:pStyle w:val="4"/>
        <w:numPr>
          <w:ilvl w:val="1"/>
          <w:numId w:val="0"/>
        </w:numPr>
        <w:spacing w:line="240" w:lineRule="atLeast"/>
        <w:ind w:left="617" w:leftChars="257"/>
        <w:rPr>
          <w:rFonts w:hint="eastAsia" w:ascii="仿宋" w:hAnsi="仿宋" w:eastAsia="仿宋" w:cs="仿宋"/>
          <w:color w:val="auto"/>
          <w:sz w:val="24"/>
          <w:lang w:eastAsia="zh-CN"/>
        </w:rPr>
      </w:pPr>
    </w:p>
    <w:p>
      <w:pPr>
        <w:tabs>
          <w:tab w:val="left" w:pos="3600"/>
        </w:tabs>
        <w:adjustRightInd w:val="0"/>
        <w:snapToGrid w:val="0"/>
        <w:spacing w:line="440" w:lineRule="exact"/>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12、评分标准和细则中商务部分证明材料（格式自拟）</w:t>
      </w:r>
    </w:p>
    <w:p>
      <w:pPr>
        <w:pStyle w:val="10"/>
        <w:tabs>
          <w:tab w:val="left" w:pos="5580"/>
        </w:tabs>
        <w:spacing w:line="240" w:lineRule="atLeast"/>
        <w:rPr>
          <w:rFonts w:hint="eastAsia" w:ascii="仿宋" w:hAnsi="仿宋" w:eastAsia="仿宋" w:cs="仿宋"/>
          <w:color w:val="auto"/>
          <w:lang w:eastAsia="zh-CN"/>
        </w:rPr>
      </w:pPr>
    </w:p>
    <w:p>
      <w:pPr>
        <w:spacing w:line="44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w:t>
      </w:r>
      <w:r>
        <w:rPr>
          <w:rFonts w:hint="eastAsia" w:ascii="仿宋" w:hAnsi="仿宋" w:eastAsia="仿宋" w:cs="仿宋"/>
          <w:color w:val="auto"/>
          <w:szCs w:val="21"/>
          <w:lang w:eastAsia="zh-CN" w:bidi="ar-SA"/>
        </w:rPr>
        <w:t>供货、安装、调试方案；</w:t>
      </w:r>
      <w:r>
        <w:rPr>
          <w:rFonts w:hint="eastAsia" w:ascii="仿宋" w:hAnsi="仿宋" w:eastAsia="仿宋" w:cs="仿宋"/>
          <w:color w:val="auto"/>
          <w:lang w:eastAsia="zh-CN"/>
        </w:rPr>
        <w:t>质保期及交货期；</w:t>
      </w:r>
      <w:r>
        <w:rPr>
          <w:rFonts w:hint="eastAsia" w:ascii="仿宋" w:hAnsi="仿宋" w:eastAsia="仿宋" w:cs="仿宋"/>
          <w:color w:val="auto"/>
          <w:lang w:val="en-US" w:eastAsia="zh-CN"/>
        </w:rPr>
        <w:t>售后服务；培训方案</w:t>
      </w:r>
      <w:r>
        <w:rPr>
          <w:rFonts w:hint="eastAsia" w:ascii="仿宋" w:hAnsi="仿宋" w:eastAsia="仿宋" w:cs="仿宋"/>
          <w:color w:val="auto"/>
          <w:lang w:eastAsia="zh-CN"/>
        </w:rPr>
        <w:t>等）。</w:t>
      </w:r>
    </w:p>
    <w:p>
      <w:pPr>
        <w:pStyle w:val="10"/>
        <w:tabs>
          <w:tab w:val="left" w:pos="5580"/>
        </w:tabs>
        <w:spacing w:line="240" w:lineRule="atLeast"/>
        <w:ind w:firstLine="720" w:firstLineChars="300"/>
        <w:rPr>
          <w:rFonts w:hint="eastAsia"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4"/>
        <w:numPr>
          <w:ilvl w:val="1"/>
          <w:numId w:val="0"/>
        </w:numPr>
        <w:spacing w:line="240" w:lineRule="atLeast"/>
        <w:jc w:val="left"/>
        <w:rPr>
          <w:rFonts w:hint="eastAsia"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4"/>
        <w:numPr>
          <w:ilvl w:val="1"/>
          <w:numId w:val="0"/>
        </w:numPr>
        <w:spacing w:line="240" w:lineRule="atLeast"/>
        <w:jc w:val="left"/>
        <w:rPr>
          <w:rFonts w:hint="eastAsia" w:ascii="仿宋" w:hAnsi="仿宋" w:eastAsia="仿宋" w:cs="仿宋"/>
          <w:bCs/>
          <w:color w:val="auto"/>
          <w:sz w:val="24"/>
          <w:lang w:eastAsia="zh-CN"/>
        </w:rPr>
      </w:pPr>
    </w:p>
    <w:p>
      <w:pPr>
        <w:pStyle w:val="4"/>
        <w:numPr>
          <w:ilvl w:val="1"/>
          <w:numId w:val="0"/>
        </w:numPr>
        <w:spacing w:line="240" w:lineRule="atLeast"/>
        <w:jc w:val="left"/>
        <w:rPr>
          <w:rFonts w:hint="eastAsia" w:ascii="仿宋" w:hAnsi="仿宋" w:eastAsia="仿宋" w:cs="仿宋"/>
          <w:bCs/>
          <w:color w:val="auto"/>
          <w:sz w:val="24"/>
          <w:lang w:eastAsia="zh-CN"/>
        </w:rPr>
      </w:pPr>
    </w:p>
    <w:p>
      <w:pPr>
        <w:rPr>
          <w:rFonts w:hint="eastAsia" w:ascii="仿宋" w:hAnsi="仿宋" w:eastAsia="仿宋" w:cs="仿宋"/>
          <w:color w:val="auto"/>
          <w:lang w:eastAsia="zh-CN"/>
        </w:rPr>
      </w:pPr>
    </w:p>
    <w:p>
      <w:pPr>
        <w:pStyle w:val="4"/>
        <w:numPr>
          <w:ilvl w:val="1"/>
          <w:numId w:val="0"/>
        </w:numPr>
        <w:spacing w:line="240" w:lineRule="atLeast"/>
        <w:jc w:val="left"/>
        <w:rPr>
          <w:rFonts w:hint="eastAsia" w:ascii="仿宋" w:hAnsi="仿宋" w:eastAsia="仿宋" w:cs="仿宋"/>
          <w:bCs/>
          <w:color w:val="auto"/>
          <w:sz w:val="24"/>
          <w:lang w:eastAsia="zh-CN"/>
        </w:rPr>
      </w:pPr>
    </w:p>
    <w:p>
      <w:pPr>
        <w:pStyle w:val="4"/>
        <w:numPr>
          <w:ilvl w:val="1"/>
          <w:numId w:val="0"/>
        </w:numPr>
        <w:spacing w:line="240" w:lineRule="atLeast"/>
        <w:jc w:val="left"/>
        <w:rPr>
          <w:rFonts w:hint="eastAsia" w:ascii="仿宋" w:hAnsi="仿宋" w:eastAsia="仿宋" w:cs="仿宋"/>
          <w:bCs/>
          <w:color w:val="auto"/>
          <w:sz w:val="24"/>
          <w:lang w:eastAsia="zh-CN"/>
        </w:rPr>
      </w:pPr>
    </w:p>
    <w:p>
      <w:pPr>
        <w:tabs>
          <w:tab w:val="left" w:pos="3600"/>
        </w:tabs>
        <w:adjustRightInd w:val="0"/>
        <w:snapToGrid w:val="0"/>
        <w:spacing w:line="440" w:lineRule="exact"/>
        <w:jc w:val="center"/>
        <w:rPr>
          <w:rFonts w:hint="eastAsia" w:ascii="仿宋" w:hAnsi="仿宋" w:eastAsia="仿宋" w:cs="仿宋"/>
          <w:b/>
          <w:bCs/>
          <w:color w:val="auto"/>
          <w:w w:val="90"/>
          <w:sz w:val="36"/>
          <w:szCs w:val="36"/>
          <w:lang w:eastAsia="zh-CN"/>
        </w:rPr>
      </w:pPr>
      <w:r>
        <w:rPr>
          <w:rFonts w:hint="eastAsia" w:ascii="仿宋" w:hAnsi="仿宋" w:eastAsia="仿宋" w:cs="仿宋"/>
          <w:b/>
          <w:bCs/>
          <w:color w:val="auto"/>
          <w:sz w:val="36"/>
          <w:szCs w:val="36"/>
          <w:lang w:eastAsia="zh-CN"/>
        </w:rPr>
        <w:t>13、</w:t>
      </w:r>
      <w:r>
        <w:rPr>
          <w:rFonts w:hint="eastAsia" w:ascii="仿宋" w:hAnsi="仿宋" w:eastAsia="仿宋" w:cs="仿宋"/>
          <w:b/>
          <w:bCs/>
          <w:color w:val="auto"/>
          <w:w w:val="90"/>
          <w:sz w:val="36"/>
          <w:szCs w:val="36"/>
          <w:lang w:eastAsia="zh-CN"/>
        </w:rPr>
        <w:t>投标人认为有必要提供的其他证明材料（格式自拟）</w:t>
      </w:r>
    </w:p>
    <w:p>
      <w:pPr>
        <w:pStyle w:val="10"/>
        <w:tabs>
          <w:tab w:val="left" w:pos="5580"/>
        </w:tabs>
        <w:spacing w:line="240" w:lineRule="atLeast"/>
        <w:ind w:firstLine="480" w:firstLineChars="200"/>
        <w:rPr>
          <w:rFonts w:hint="eastAsia" w:ascii="仿宋" w:hAnsi="仿宋" w:eastAsia="仿宋" w:cs="仿宋"/>
          <w:color w:val="auto"/>
          <w:lang w:eastAsia="zh-CN"/>
        </w:rPr>
      </w:pPr>
    </w:p>
    <w:p>
      <w:pPr>
        <w:pStyle w:val="10"/>
        <w:tabs>
          <w:tab w:val="left" w:pos="5580"/>
        </w:tabs>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pPr>
        <w:pStyle w:val="11"/>
        <w:ind w:left="2880"/>
        <w:rPr>
          <w:rFonts w:hint="eastAsia" w:ascii="仿宋" w:hAnsi="仿宋" w:eastAsia="仿宋" w:cs="仿宋"/>
          <w:color w:val="auto"/>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14"/>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44</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pPr>
                      <w:pStyle w:val="14"/>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sz w:val="13"/>
        <w:szCs w:val="13"/>
      </w:rPr>
      <w:t xml:space="preserve"> </w:t>
    </w:r>
    <w:r>
      <w:rPr>
        <w:rFonts w:hint="eastAsia"/>
      </w:rPr>
      <w:t xml:space="preserve">  </w:t>
    </w:r>
  </w:p>
  <w:p>
    <w:pPr>
      <w:pStyle w:val="14"/>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both"/>
    </w:pPr>
    <w:r>
      <w:rPr>
        <w:sz w:val="24"/>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4"/>
      <w:autoSpaceDE w:val="0"/>
      <w:autoSpaceDN w:val="0"/>
      <w:adjustRightInd w:val="0"/>
      <w:ind w:left="7200" w:hanging="7200" w:hangingChars="4000"/>
      <w:jc w:val="both"/>
    </w:pPr>
  </w:p>
  <w:p>
    <w:pPr>
      <w:pStyle w:val="14"/>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6B3C9"/>
    <w:multiLevelType w:val="singleLevel"/>
    <w:tmpl w:val="A606B3C9"/>
    <w:lvl w:ilvl="0" w:tentative="0">
      <w:start w:val="1"/>
      <w:numFmt w:val="chineseCounting"/>
      <w:suff w:val="nothing"/>
      <w:lvlText w:val="（%1）"/>
      <w:lvlJc w:val="left"/>
      <w:rPr>
        <w:rFonts w:hint="eastAsia"/>
        <w:color w:val="auto"/>
      </w:rPr>
    </w:lvl>
  </w:abstractNum>
  <w:abstractNum w:abstractNumId="1">
    <w:nsid w:val="CF0DAD01"/>
    <w:multiLevelType w:val="singleLevel"/>
    <w:tmpl w:val="CF0DAD01"/>
    <w:lvl w:ilvl="0" w:tentative="0">
      <w:start w:val="1"/>
      <w:numFmt w:val="decimal"/>
      <w:suff w:val="space"/>
      <w:lvlText w:val="%1."/>
      <w:lvlJc w:val="left"/>
    </w:lvl>
  </w:abstractNum>
  <w:abstractNum w:abstractNumId="2">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54DC3422"/>
    <w:multiLevelType w:val="singleLevel"/>
    <w:tmpl w:val="54DC3422"/>
    <w:lvl w:ilvl="0" w:tentative="0">
      <w:start w:val="4"/>
      <w:numFmt w:val="chineseCounting"/>
      <w:suff w:val="space"/>
      <w:lvlText w:val="第%1部分"/>
      <w:lvlJc w:val="left"/>
      <w:rPr>
        <w:rFonts w:hint="eastAsia"/>
      </w:r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6"/>
  </w:num>
  <w:num w:numId="3">
    <w:abstractNumId w:val="4"/>
  </w:num>
  <w:num w:numId="4">
    <w:abstractNumId w:val="7"/>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195D6C"/>
    <w:rsid w:val="004259D8"/>
    <w:rsid w:val="00461E17"/>
    <w:rsid w:val="00471CA4"/>
    <w:rsid w:val="005D4E0B"/>
    <w:rsid w:val="00643BE3"/>
    <w:rsid w:val="0076445C"/>
    <w:rsid w:val="008D1783"/>
    <w:rsid w:val="00AA277B"/>
    <w:rsid w:val="00AB0B74"/>
    <w:rsid w:val="00D03DFD"/>
    <w:rsid w:val="00E56748"/>
    <w:rsid w:val="00ED05CA"/>
    <w:rsid w:val="00F70359"/>
    <w:rsid w:val="01154EDD"/>
    <w:rsid w:val="0123584C"/>
    <w:rsid w:val="014631E4"/>
    <w:rsid w:val="014F6266"/>
    <w:rsid w:val="01E44B68"/>
    <w:rsid w:val="02D037B2"/>
    <w:rsid w:val="03120DC1"/>
    <w:rsid w:val="03152839"/>
    <w:rsid w:val="032F673F"/>
    <w:rsid w:val="035508BA"/>
    <w:rsid w:val="03A45663"/>
    <w:rsid w:val="042A106A"/>
    <w:rsid w:val="051E7B81"/>
    <w:rsid w:val="0591547A"/>
    <w:rsid w:val="05CE725F"/>
    <w:rsid w:val="05CF5FA2"/>
    <w:rsid w:val="05D26519"/>
    <w:rsid w:val="06141E47"/>
    <w:rsid w:val="062E44A1"/>
    <w:rsid w:val="06385AA9"/>
    <w:rsid w:val="063B7194"/>
    <w:rsid w:val="068957BB"/>
    <w:rsid w:val="06A20D46"/>
    <w:rsid w:val="072C60C0"/>
    <w:rsid w:val="073826E5"/>
    <w:rsid w:val="074F6B51"/>
    <w:rsid w:val="075C5614"/>
    <w:rsid w:val="08253C96"/>
    <w:rsid w:val="08323FEC"/>
    <w:rsid w:val="085D5AE7"/>
    <w:rsid w:val="086504F8"/>
    <w:rsid w:val="088F3EF3"/>
    <w:rsid w:val="0895221A"/>
    <w:rsid w:val="091D420B"/>
    <w:rsid w:val="09231976"/>
    <w:rsid w:val="093F2ABC"/>
    <w:rsid w:val="095073FA"/>
    <w:rsid w:val="09B17236"/>
    <w:rsid w:val="09E55D95"/>
    <w:rsid w:val="0A007485"/>
    <w:rsid w:val="0A226110"/>
    <w:rsid w:val="0A36187F"/>
    <w:rsid w:val="0A622E54"/>
    <w:rsid w:val="0A982D0F"/>
    <w:rsid w:val="0AEC1713"/>
    <w:rsid w:val="0B213EE8"/>
    <w:rsid w:val="0B2F3756"/>
    <w:rsid w:val="0B641CFB"/>
    <w:rsid w:val="0B9E39F1"/>
    <w:rsid w:val="0BF26C44"/>
    <w:rsid w:val="0C1429D4"/>
    <w:rsid w:val="0C4A0131"/>
    <w:rsid w:val="0D244AA7"/>
    <w:rsid w:val="0D5159CF"/>
    <w:rsid w:val="0D533015"/>
    <w:rsid w:val="0D7C6C32"/>
    <w:rsid w:val="0D9378B6"/>
    <w:rsid w:val="0E3E1813"/>
    <w:rsid w:val="0E431528"/>
    <w:rsid w:val="0F543075"/>
    <w:rsid w:val="0F977B31"/>
    <w:rsid w:val="0FA22205"/>
    <w:rsid w:val="0FF5327D"/>
    <w:rsid w:val="10015291"/>
    <w:rsid w:val="10685029"/>
    <w:rsid w:val="114227C7"/>
    <w:rsid w:val="117874EE"/>
    <w:rsid w:val="11B05885"/>
    <w:rsid w:val="11E7231F"/>
    <w:rsid w:val="12326DC2"/>
    <w:rsid w:val="12482ADA"/>
    <w:rsid w:val="12891287"/>
    <w:rsid w:val="130308CA"/>
    <w:rsid w:val="1312560D"/>
    <w:rsid w:val="132C218A"/>
    <w:rsid w:val="13F84D28"/>
    <w:rsid w:val="142B46CE"/>
    <w:rsid w:val="144736DD"/>
    <w:rsid w:val="14602089"/>
    <w:rsid w:val="14953EB8"/>
    <w:rsid w:val="14CD6092"/>
    <w:rsid w:val="1525173B"/>
    <w:rsid w:val="153C6A85"/>
    <w:rsid w:val="154F3251"/>
    <w:rsid w:val="1571672E"/>
    <w:rsid w:val="15B81A5A"/>
    <w:rsid w:val="15E839EB"/>
    <w:rsid w:val="16010E59"/>
    <w:rsid w:val="160B091E"/>
    <w:rsid w:val="167B61DA"/>
    <w:rsid w:val="16A00673"/>
    <w:rsid w:val="16E979B2"/>
    <w:rsid w:val="171F0B4E"/>
    <w:rsid w:val="172577D0"/>
    <w:rsid w:val="17881C02"/>
    <w:rsid w:val="17A04D65"/>
    <w:rsid w:val="17E9701D"/>
    <w:rsid w:val="17EB3771"/>
    <w:rsid w:val="18A50244"/>
    <w:rsid w:val="18C878BE"/>
    <w:rsid w:val="18FE29CF"/>
    <w:rsid w:val="1910625E"/>
    <w:rsid w:val="192129EA"/>
    <w:rsid w:val="192C57CF"/>
    <w:rsid w:val="19791440"/>
    <w:rsid w:val="198D3D53"/>
    <w:rsid w:val="199D28B8"/>
    <w:rsid w:val="19D24BCD"/>
    <w:rsid w:val="19E24369"/>
    <w:rsid w:val="1A385A6D"/>
    <w:rsid w:val="1A6A7BF0"/>
    <w:rsid w:val="1AA14F3E"/>
    <w:rsid w:val="1ACD57BB"/>
    <w:rsid w:val="1B204099"/>
    <w:rsid w:val="1B3867B7"/>
    <w:rsid w:val="1B526E30"/>
    <w:rsid w:val="1B5A42F2"/>
    <w:rsid w:val="1BA46EB4"/>
    <w:rsid w:val="1BBE2683"/>
    <w:rsid w:val="1BE65325"/>
    <w:rsid w:val="1BF54431"/>
    <w:rsid w:val="1C770BAC"/>
    <w:rsid w:val="1C8812E8"/>
    <w:rsid w:val="1CA435DE"/>
    <w:rsid w:val="1CBF4223"/>
    <w:rsid w:val="1CC048D1"/>
    <w:rsid w:val="1CD5385E"/>
    <w:rsid w:val="1CFF3DC8"/>
    <w:rsid w:val="1D28001A"/>
    <w:rsid w:val="1D2B3667"/>
    <w:rsid w:val="1DA50291"/>
    <w:rsid w:val="1E6813A9"/>
    <w:rsid w:val="1E8C282B"/>
    <w:rsid w:val="1EBA712C"/>
    <w:rsid w:val="1ECE4F82"/>
    <w:rsid w:val="1EE5064C"/>
    <w:rsid w:val="1F210791"/>
    <w:rsid w:val="1F5B26D6"/>
    <w:rsid w:val="1F6007D8"/>
    <w:rsid w:val="1F881244"/>
    <w:rsid w:val="1F8C0183"/>
    <w:rsid w:val="1FB748C5"/>
    <w:rsid w:val="1FC906B3"/>
    <w:rsid w:val="203828DD"/>
    <w:rsid w:val="20746CEC"/>
    <w:rsid w:val="20D67D8D"/>
    <w:rsid w:val="21745FB0"/>
    <w:rsid w:val="218454A5"/>
    <w:rsid w:val="21917C95"/>
    <w:rsid w:val="21F7470F"/>
    <w:rsid w:val="22965E6B"/>
    <w:rsid w:val="22AE28BF"/>
    <w:rsid w:val="22E74AD1"/>
    <w:rsid w:val="22F917C9"/>
    <w:rsid w:val="231538BC"/>
    <w:rsid w:val="23226B91"/>
    <w:rsid w:val="23463622"/>
    <w:rsid w:val="23874BA3"/>
    <w:rsid w:val="24092AE4"/>
    <w:rsid w:val="245B2E54"/>
    <w:rsid w:val="25002F8D"/>
    <w:rsid w:val="25546BA5"/>
    <w:rsid w:val="25550156"/>
    <w:rsid w:val="25A16092"/>
    <w:rsid w:val="262B2929"/>
    <w:rsid w:val="26461511"/>
    <w:rsid w:val="267D2FA7"/>
    <w:rsid w:val="268955ED"/>
    <w:rsid w:val="26D37563"/>
    <w:rsid w:val="26D64D76"/>
    <w:rsid w:val="26FB2A9E"/>
    <w:rsid w:val="274B4345"/>
    <w:rsid w:val="2759752E"/>
    <w:rsid w:val="27641FEC"/>
    <w:rsid w:val="27977E98"/>
    <w:rsid w:val="283D072F"/>
    <w:rsid w:val="286B44D3"/>
    <w:rsid w:val="291C049E"/>
    <w:rsid w:val="291F0973"/>
    <w:rsid w:val="292F219B"/>
    <w:rsid w:val="29384AB9"/>
    <w:rsid w:val="294E1863"/>
    <w:rsid w:val="29BF63C5"/>
    <w:rsid w:val="29F20F87"/>
    <w:rsid w:val="2A015314"/>
    <w:rsid w:val="2A2953D2"/>
    <w:rsid w:val="2A6F2C28"/>
    <w:rsid w:val="2AB303AA"/>
    <w:rsid w:val="2ADC5AFD"/>
    <w:rsid w:val="2AE56C24"/>
    <w:rsid w:val="2AF23A16"/>
    <w:rsid w:val="2AF552B4"/>
    <w:rsid w:val="2AF9470D"/>
    <w:rsid w:val="2B2A724C"/>
    <w:rsid w:val="2B762634"/>
    <w:rsid w:val="2BA32F62"/>
    <w:rsid w:val="2CB76CC5"/>
    <w:rsid w:val="2D1B0C53"/>
    <w:rsid w:val="2D261D28"/>
    <w:rsid w:val="2D380A40"/>
    <w:rsid w:val="2D7E66F1"/>
    <w:rsid w:val="2DF1140A"/>
    <w:rsid w:val="2E1B0C2F"/>
    <w:rsid w:val="2E2D19AE"/>
    <w:rsid w:val="2E764B34"/>
    <w:rsid w:val="2ED60A24"/>
    <w:rsid w:val="2F265E4E"/>
    <w:rsid w:val="2F880DEC"/>
    <w:rsid w:val="2FA50B1C"/>
    <w:rsid w:val="2FAD33C2"/>
    <w:rsid w:val="2FEF6776"/>
    <w:rsid w:val="30033C04"/>
    <w:rsid w:val="303B5E5F"/>
    <w:rsid w:val="31411AB3"/>
    <w:rsid w:val="31C54436"/>
    <w:rsid w:val="31DE4CF4"/>
    <w:rsid w:val="32387E25"/>
    <w:rsid w:val="329A6E6D"/>
    <w:rsid w:val="33413DF6"/>
    <w:rsid w:val="33533BFF"/>
    <w:rsid w:val="335C76C1"/>
    <w:rsid w:val="3464452F"/>
    <w:rsid w:val="34AC63E7"/>
    <w:rsid w:val="34F903B8"/>
    <w:rsid w:val="351A6043"/>
    <w:rsid w:val="35427B0F"/>
    <w:rsid w:val="368816D2"/>
    <w:rsid w:val="36A4475E"/>
    <w:rsid w:val="36AA5E0A"/>
    <w:rsid w:val="371C74DF"/>
    <w:rsid w:val="374455F9"/>
    <w:rsid w:val="37520F41"/>
    <w:rsid w:val="3762161D"/>
    <w:rsid w:val="378679C0"/>
    <w:rsid w:val="37A12630"/>
    <w:rsid w:val="37D44BCF"/>
    <w:rsid w:val="38083993"/>
    <w:rsid w:val="383A69FC"/>
    <w:rsid w:val="38BD4DB8"/>
    <w:rsid w:val="38BE5C49"/>
    <w:rsid w:val="38C4598A"/>
    <w:rsid w:val="38C56C0D"/>
    <w:rsid w:val="38DE52AC"/>
    <w:rsid w:val="38F512A1"/>
    <w:rsid w:val="38FF49EE"/>
    <w:rsid w:val="39331DC9"/>
    <w:rsid w:val="39754C2B"/>
    <w:rsid w:val="39A16D33"/>
    <w:rsid w:val="39A77BA6"/>
    <w:rsid w:val="39FA3D41"/>
    <w:rsid w:val="3A1273C6"/>
    <w:rsid w:val="3A5E26FE"/>
    <w:rsid w:val="3A5E2E76"/>
    <w:rsid w:val="3AE06945"/>
    <w:rsid w:val="3AF47336"/>
    <w:rsid w:val="3BDE19D1"/>
    <w:rsid w:val="3CA827C1"/>
    <w:rsid w:val="3CAD59EE"/>
    <w:rsid w:val="3CDA4418"/>
    <w:rsid w:val="3CFB2BB6"/>
    <w:rsid w:val="3D227D2F"/>
    <w:rsid w:val="3D38095E"/>
    <w:rsid w:val="3D723DD3"/>
    <w:rsid w:val="3D751F42"/>
    <w:rsid w:val="3DA87F4F"/>
    <w:rsid w:val="3E4172A8"/>
    <w:rsid w:val="3EB92D70"/>
    <w:rsid w:val="3F6A3151"/>
    <w:rsid w:val="3F874C1D"/>
    <w:rsid w:val="403F2E01"/>
    <w:rsid w:val="408E72C3"/>
    <w:rsid w:val="408E7BCF"/>
    <w:rsid w:val="40AB15B8"/>
    <w:rsid w:val="40B26236"/>
    <w:rsid w:val="416359C8"/>
    <w:rsid w:val="41681350"/>
    <w:rsid w:val="416F668A"/>
    <w:rsid w:val="419378A9"/>
    <w:rsid w:val="419F6662"/>
    <w:rsid w:val="41A72D03"/>
    <w:rsid w:val="41BC55E0"/>
    <w:rsid w:val="41E920D2"/>
    <w:rsid w:val="420B7389"/>
    <w:rsid w:val="423563C7"/>
    <w:rsid w:val="424E37D0"/>
    <w:rsid w:val="42C57370"/>
    <w:rsid w:val="430832B2"/>
    <w:rsid w:val="43144276"/>
    <w:rsid w:val="43264088"/>
    <w:rsid w:val="43333AFF"/>
    <w:rsid w:val="434966C0"/>
    <w:rsid w:val="43603D96"/>
    <w:rsid w:val="437C4518"/>
    <w:rsid w:val="43900453"/>
    <w:rsid w:val="43CE514A"/>
    <w:rsid w:val="43F26816"/>
    <w:rsid w:val="44456BD5"/>
    <w:rsid w:val="445769C9"/>
    <w:rsid w:val="44637696"/>
    <w:rsid w:val="44740DA7"/>
    <w:rsid w:val="44D31AB8"/>
    <w:rsid w:val="45111167"/>
    <w:rsid w:val="4517597F"/>
    <w:rsid w:val="45442C68"/>
    <w:rsid w:val="454815E5"/>
    <w:rsid w:val="457C2033"/>
    <w:rsid w:val="45837C34"/>
    <w:rsid w:val="466A125B"/>
    <w:rsid w:val="46A95479"/>
    <w:rsid w:val="46B856BC"/>
    <w:rsid w:val="46D24D0E"/>
    <w:rsid w:val="46F77B89"/>
    <w:rsid w:val="47264D1B"/>
    <w:rsid w:val="4743767B"/>
    <w:rsid w:val="47F15329"/>
    <w:rsid w:val="48193AC8"/>
    <w:rsid w:val="4865177B"/>
    <w:rsid w:val="487B3318"/>
    <w:rsid w:val="48B93029"/>
    <w:rsid w:val="493D6A1C"/>
    <w:rsid w:val="49726A4B"/>
    <w:rsid w:val="49B54BA8"/>
    <w:rsid w:val="4A2319E6"/>
    <w:rsid w:val="4A36378E"/>
    <w:rsid w:val="4A711501"/>
    <w:rsid w:val="4AAF0341"/>
    <w:rsid w:val="4ADE5F63"/>
    <w:rsid w:val="4AE253FD"/>
    <w:rsid w:val="4B105AC6"/>
    <w:rsid w:val="4BB73B85"/>
    <w:rsid w:val="4BC132D4"/>
    <w:rsid w:val="4BF478AD"/>
    <w:rsid w:val="4C17384D"/>
    <w:rsid w:val="4C257A37"/>
    <w:rsid w:val="4C64712B"/>
    <w:rsid w:val="4C760354"/>
    <w:rsid w:val="4D4D34C1"/>
    <w:rsid w:val="4D7F6F33"/>
    <w:rsid w:val="4DF50B78"/>
    <w:rsid w:val="4E6938E7"/>
    <w:rsid w:val="4E6A5759"/>
    <w:rsid w:val="4E701DC0"/>
    <w:rsid w:val="4F006719"/>
    <w:rsid w:val="4F2E489B"/>
    <w:rsid w:val="4F406C74"/>
    <w:rsid w:val="4F5166AD"/>
    <w:rsid w:val="4F5D25FD"/>
    <w:rsid w:val="4FB41D44"/>
    <w:rsid w:val="4FB93303"/>
    <w:rsid w:val="4FBC32D6"/>
    <w:rsid w:val="50BF6E81"/>
    <w:rsid w:val="50FF0870"/>
    <w:rsid w:val="513D513B"/>
    <w:rsid w:val="513F080C"/>
    <w:rsid w:val="51422751"/>
    <w:rsid w:val="518E2B89"/>
    <w:rsid w:val="52654DCD"/>
    <w:rsid w:val="5306542C"/>
    <w:rsid w:val="533662E6"/>
    <w:rsid w:val="53390376"/>
    <w:rsid w:val="536A7120"/>
    <w:rsid w:val="540A24A6"/>
    <w:rsid w:val="541D6439"/>
    <w:rsid w:val="549E4143"/>
    <w:rsid w:val="54A35BFD"/>
    <w:rsid w:val="550F6DEF"/>
    <w:rsid w:val="553813F1"/>
    <w:rsid w:val="55614818"/>
    <w:rsid w:val="55821076"/>
    <w:rsid w:val="56493792"/>
    <w:rsid w:val="56777341"/>
    <w:rsid w:val="56D402F0"/>
    <w:rsid w:val="572F4B71"/>
    <w:rsid w:val="575329D5"/>
    <w:rsid w:val="594015B1"/>
    <w:rsid w:val="595A0DC1"/>
    <w:rsid w:val="596D4A2C"/>
    <w:rsid w:val="59842CE8"/>
    <w:rsid w:val="599B0EFC"/>
    <w:rsid w:val="59AA5338"/>
    <w:rsid w:val="59BD150F"/>
    <w:rsid w:val="5A130C2C"/>
    <w:rsid w:val="5A39563D"/>
    <w:rsid w:val="5AD2798E"/>
    <w:rsid w:val="5AE0581C"/>
    <w:rsid w:val="5AFF16B3"/>
    <w:rsid w:val="5B31213F"/>
    <w:rsid w:val="5B5F738D"/>
    <w:rsid w:val="5B981442"/>
    <w:rsid w:val="5B9D4A19"/>
    <w:rsid w:val="5BA54009"/>
    <w:rsid w:val="5BE43388"/>
    <w:rsid w:val="5C5A4C31"/>
    <w:rsid w:val="5C5D2B35"/>
    <w:rsid w:val="5CD53D28"/>
    <w:rsid w:val="5CED248F"/>
    <w:rsid w:val="5D0460DC"/>
    <w:rsid w:val="5D2366CB"/>
    <w:rsid w:val="5D3331A6"/>
    <w:rsid w:val="5D63417B"/>
    <w:rsid w:val="5DE1497B"/>
    <w:rsid w:val="5E0A2DD7"/>
    <w:rsid w:val="5E135BA1"/>
    <w:rsid w:val="5E1D1079"/>
    <w:rsid w:val="5E6D59C3"/>
    <w:rsid w:val="5EDA6373"/>
    <w:rsid w:val="5EF46D8B"/>
    <w:rsid w:val="5F5A15AE"/>
    <w:rsid w:val="5F9C1BC7"/>
    <w:rsid w:val="601F4136"/>
    <w:rsid w:val="6022031E"/>
    <w:rsid w:val="60873EC4"/>
    <w:rsid w:val="60AA69DE"/>
    <w:rsid w:val="61183C2B"/>
    <w:rsid w:val="612754C0"/>
    <w:rsid w:val="617D1400"/>
    <w:rsid w:val="61903A3C"/>
    <w:rsid w:val="61C24BFD"/>
    <w:rsid w:val="61FE26C5"/>
    <w:rsid w:val="634A483E"/>
    <w:rsid w:val="63C51B85"/>
    <w:rsid w:val="642B45E0"/>
    <w:rsid w:val="64604EAC"/>
    <w:rsid w:val="64740A1C"/>
    <w:rsid w:val="64D7429C"/>
    <w:rsid w:val="65264206"/>
    <w:rsid w:val="654E2A02"/>
    <w:rsid w:val="65A77066"/>
    <w:rsid w:val="65D200F0"/>
    <w:rsid w:val="65F73581"/>
    <w:rsid w:val="66457796"/>
    <w:rsid w:val="66A5387A"/>
    <w:rsid w:val="66C2621A"/>
    <w:rsid w:val="66E27AFC"/>
    <w:rsid w:val="67656B1B"/>
    <w:rsid w:val="679542C8"/>
    <w:rsid w:val="67AE419D"/>
    <w:rsid w:val="67B22635"/>
    <w:rsid w:val="67BE74C9"/>
    <w:rsid w:val="682275BA"/>
    <w:rsid w:val="683769EB"/>
    <w:rsid w:val="684F37DE"/>
    <w:rsid w:val="685F19E3"/>
    <w:rsid w:val="685F3791"/>
    <w:rsid w:val="68E22B52"/>
    <w:rsid w:val="68EB131E"/>
    <w:rsid w:val="69182A19"/>
    <w:rsid w:val="693C4BB4"/>
    <w:rsid w:val="694B64F7"/>
    <w:rsid w:val="698C50B9"/>
    <w:rsid w:val="69D47128"/>
    <w:rsid w:val="69F07ED0"/>
    <w:rsid w:val="69FE3890"/>
    <w:rsid w:val="6A060074"/>
    <w:rsid w:val="6A10379F"/>
    <w:rsid w:val="6A7A0A2B"/>
    <w:rsid w:val="6A7F636D"/>
    <w:rsid w:val="6AA10091"/>
    <w:rsid w:val="6AA95198"/>
    <w:rsid w:val="6ADE7537"/>
    <w:rsid w:val="6B221B0E"/>
    <w:rsid w:val="6B426B13"/>
    <w:rsid w:val="6B9419A4"/>
    <w:rsid w:val="6B9E7E87"/>
    <w:rsid w:val="6BC4672D"/>
    <w:rsid w:val="6C3A4520"/>
    <w:rsid w:val="6C505B66"/>
    <w:rsid w:val="6C6204DD"/>
    <w:rsid w:val="6C7543E1"/>
    <w:rsid w:val="6C7D42B4"/>
    <w:rsid w:val="6C8A3E98"/>
    <w:rsid w:val="6C963B87"/>
    <w:rsid w:val="6CA96079"/>
    <w:rsid w:val="6CAC1F8A"/>
    <w:rsid w:val="6CAD0F6F"/>
    <w:rsid w:val="6CC81EA4"/>
    <w:rsid w:val="6CDA5ADC"/>
    <w:rsid w:val="6D014FA3"/>
    <w:rsid w:val="6D37776E"/>
    <w:rsid w:val="6D591E45"/>
    <w:rsid w:val="6D744327"/>
    <w:rsid w:val="6DD644F6"/>
    <w:rsid w:val="6DE82D5F"/>
    <w:rsid w:val="6E535B46"/>
    <w:rsid w:val="6F317A5A"/>
    <w:rsid w:val="6F645BC1"/>
    <w:rsid w:val="6F8D5088"/>
    <w:rsid w:val="6FFC5967"/>
    <w:rsid w:val="70021CEB"/>
    <w:rsid w:val="702275C0"/>
    <w:rsid w:val="703412AA"/>
    <w:rsid w:val="704838FD"/>
    <w:rsid w:val="707F6878"/>
    <w:rsid w:val="709119F6"/>
    <w:rsid w:val="70AF7F0C"/>
    <w:rsid w:val="70BB79D3"/>
    <w:rsid w:val="70D16063"/>
    <w:rsid w:val="713D64DC"/>
    <w:rsid w:val="719A2852"/>
    <w:rsid w:val="71F7318A"/>
    <w:rsid w:val="721A3870"/>
    <w:rsid w:val="72873F22"/>
    <w:rsid w:val="728E35F1"/>
    <w:rsid w:val="729B67D1"/>
    <w:rsid w:val="72DB435C"/>
    <w:rsid w:val="739641CD"/>
    <w:rsid w:val="73F76C73"/>
    <w:rsid w:val="741B7106"/>
    <w:rsid w:val="74A43D00"/>
    <w:rsid w:val="74EC7015"/>
    <w:rsid w:val="75134281"/>
    <w:rsid w:val="753541F8"/>
    <w:rsid w:val="75824D9D"/>
    <w:rsid w:val="75AB1C93"/>
    <w:rsid w:val="75FE45EA"/>
    <w:rsid w:val="760037D6"/>
    <w:rsid w:val="761B163F"/>
    <w:rsid w:val="761F3505"/>
    <w:rsid w:val="762229CE"/>
    <w:rsid w:val="76810114"/>
    <w:rsid w:val="76E41762"/>
    <w:rsid w:val="76E46ECE"/>
    <w:rsid w:val="7717316E"/>
    <w:rsid w:val="77603777"/>
    <w:rsid w:val="77901BB9"/>
    <w:rsid w:val="77AB5706"/>
    <w:rsid w:val="77C7479C"/>
    <w:rsid w:val="788E3223"/>
    <w:rsid w:val="78E06AB0"/>
    <w:rsid w:val="798E0318"/>
    <w:rsid w:val="79AF62F8"/>
    <w:rsid w:val="7A1F0FD2"/>
    <w:rsid w:val="7A326EC1"/>
    <w:rsid w:val="7AD93877"/>
    <w:rsid w:val="7B3F5288"/>
    <w:rsid w:val="7B4C4318"/>
    <w:rsid w:val="7B7D06A6"/>
    <w:rsid w:val="7BFC0690"/>
    <w:rsid w:val="7C1D50F5"/>
    <w:rsid w:val="7C350056"/>
    <w:rsid w:val="7C6106D5"/>
    <w:rsid w:val="7C6151AF"/>
    <w:rsid w:val="7CB2339D"/>
    <w:rsid w:val="7CC540BD"/>
    <w:rsid w:val="7CC578A6"/>
    <w:rsid w:val="7D423759"/>
    <w:rsid w:val="7D695F1A"/>
    <w:rsid w:val="7DD956AA"/>
    <w:rsid w:val="7E2D5B39"/>
    <w:rsid w:val="7E42351F"/>
    <w:rsid w:val="7E590F57"/>
    <w:rsid w:val="7ED160D1"/>
    <w:rsid w:val="7EDB5E10"/>
    <w:rsid w:val="7F1D54A8"/>
    <w:rsid w:val="7F3E661A"/>
    <w:rsid w:val="7FD9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6">
    <w:name w:val="Normal Indent"/>
    <w:basedOn w:val="1"/>
    <w:next w:val="1"/>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szCs w:val="20"/>
      <w:u w:color="000000"/>
    </w:rPr>
  </w:style>
  <w:style w:type="paragraph" w:styleId="11">
    <w:name w:val="index 7"/>
    <w:basedOn w:val="1"/>
    <w:next w:val="1"/>
    <w:qFormat/>
    <w:uiPriority w:val="0"/>
    <w:pPr>
      <w:ind w:left="1200" w:leftChars="1200"/>
    </w:pPr>
    <w:rPr>
      <w:color w:val="auto"/>
      <w:kern w:val="2"/>
    </w:rPr>
  </w:style>
  <w:style w:type="paragraph" w:styleId="12">
    <w:name w:val="Date"/>
    <w:basedOn w:val="1"/>
    <w:next w:val="1"/>
    <w:qFormat/>
    <w:uiPriority w:val="0"/>
    <w:rPr>
      <w:rFonts w:ascii="Arial" w:hAnsi="Arial" w:eastAsia="仿宋_GB2312"/>
      <w:sz w:val="32"/>
      <w:szCs w:val="20"/>
      <w:u w:color="000000"/>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semiHidden/>
    <w:unhideWhenUsed/>
    <w:qFormat/>
    <w:uiPriority w:val="99"/>
    <w:pPr>
      <w:snapToGrid w:val="0"/>
    </w:pPr>
    <w:rPr>
      <w:sz w:val="18"/>
      <w:szCs w:val="18"/>
    </w:rPr>
  </w:style>
  <w:style w:type="paragraph" w:styleId="17">
    <w:name w:val="toc 2"/>
    <w:basedOn w:val="1"/>
    <w:next w:val="1"/>
    <w:qFormat/>
    <w:uiPriority w:val="39"/>
    <w:pPr>
      <w:ind w:left="200" w:leftChars="200"/>
    </w:pPr>
  </w:style>
  <w:style w:type="paragraph" w:styleId="18">
    <w:name w:val="Body Text 2"/>
    <w:basedOn w:val="1"/>
    <w:qFormat/>
    <w:uiPriority w:val="0"/>
    <w:pPr>
      <w:tabs>
        <w:tab w:val="left" w:pos="0"/>
      </w:tabs>
      <w:spacing w:line="400" w:lineRule="atLeast"/>
    </w:pPr>
    <w:rPr>
      <w:rFonts w:ascii="Arial" w:hAnsi="Arial"/>
    </w:rPr>
  </w:style>
  <w:style w:type="paragraph" w:styleId="19">
    <w:name w:val="Normal (Web)"/>
    <w:basedOn w:val="1"/>
    <w:qFormat/>
    <w:uiPriority w:val="99"/>
    <w:pPr>
      <w:widowControl/>
    </w:pPr>
    <w:rPr>
      <w:rFonts w:ascii="宋体" w:hAnsi="宋体" w:eastAsia="宋体" w:cs="宋体"/>
    </w:rPr>
  </w:style>
  <w:style w:type="paragraph" w:styleId="20">
    <w:name w:val="Body Text First Indent 2"/>
    <w:basedOn w:val="9"/>
    <w:next w:val="1"/>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Hyperlink"/>
    <w:qFormat/>
    <w:uiPriority w:val="99"/>
    <w:rPr>
      <w:color w:val="0000FF"/>
      <w:u w:val="single"/>
    </w:rPr>
  </w:style>
  <w:style w:type="character" w:styleId="26">
    <w:name w:val="footnote reference"/>
    <w:basedOn w:val="23"/>
    <w:semiHidden/>
    <w:unhideWhenUsed/>
    <w:qFormat/>
    <w:uiPriority w:val="99"/>
    <w:rPr>
      <w:vertAlign w:val="superscript"/>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Default"/>
    <w:next w:val="29"/>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大标题"/>
    <w:basedOn w:val="1"/>
    <w:next w:val="20"/>
    <w:qFormat/>
    <w:uiPriority w:val="0"/>
    <w:pPr>
      <w:jc w:val="center"/>
    </w:pPr>
    <w:rPr>
      <w:rFonts w:ascii="Arial" w:hAnsi="Arial" w:eastAsia="宋体" w:cs="Times New Roman"/>
      <w:b/>
      <w:sz w:val="28"/>
      <w:szCs w:val="24"/>
    </w:rPr>
  </w:style>
  <w:style w:type="paragraph" w:customStyle="1" w:styleId="30">
    <w:name w:val="文档正文"/>
    <w:basedOn w:val="6"/>
    <w:qFormat/>
    <w:uiPriority w:val="0"/>
    <w:pPr>
      <w:spacing w:line="360" w:lineRule="auto"/>
    </w:pPr>
    <w:rPr>
      <w:rFonts w:hAnsi="宋体"/>
      <w:b/>
      <w:bCs/>
    </w:rPr>
  </w:style>
  <w:style w:type="paragraph" w:customStyle="1" w:styleId="31">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2">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3">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4">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5">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6">
    <w:name w:val="Table caption|1"/>
    <w:basedOn w:val="1"/>
    <w:qFormat/>
    <w:uiPriority w:val="0"/>
    <w:rPr>
      <w:rFonts w:ascii="宋体" w:hAnsi="宋体" w:eastAsia="宋体" w:cs="宋体"/>
      <w:sz w:val="22"/>
      <w:szCs w:val="22"/>
      <w:lang w:val="zh-TW" w:eastAsia="zh-TW" w:bidi="zh-TW"/>
    </w:rPr>
  </w:style>
  <w:style w:type="paragraph" w:customStyle="1" w:styleId="37">
    <w:name w:val="Table Paragraph"/>
    <w:basedOn w:val="1"/>
    <w:qFormat/>
    <w:uiPriority w:val="1"/>
    <w:pPr>
      <w:autoSpaceDE w:val="0"/>
      <w:autoSpaceDN w:val="0"/>
      <w:adjustRightInd w:val="0"/>
    </w:pPr>
    <w:rPr>
      <w:rFonts w:eastAsia="宋体"/>
    </w:rPr>
  </w:style>
  <w:style w:type="paragraph" w:customStyle="1" w:styleId="38">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9">
    <w:name w:val="图例"/>
    <w:basedOn w:val="1"/>
    <w:qFormat/>
    <w:uiPriority w:val="0"/>
    <w:pPr>
      <w:spacing w:before="120" w:after="120" w:line="360" w:lineRule="auto"/>
      <w:jc w:val="center"/>
    </w:pPr>
    <w:rPr>
      <w:rFonts w:eastAsia="仿宋_GB2312"/>
      <w:b/>
    </w:rPr>
  </w:style>
  <w:style w:type="paragraph" w:customStyle="1" w:styleId="40">
    <w:name w:val="WPS Plain"/>
    <w:qFormat/>
    <w:uiPriority w:val="0"/>
    <w:rPr>
      <w:rFonts w:ascii="Times New Roman" w:hAnsi="Times New Roman" w:eastAsia="宋体" w:cs="Times New Roman"/>
      <w:lang w:val="en-US" w:eastAsia="zh-CN" w:bidi="ar-SA"/>
    </w:rPr>
  </w:style>
  <w:style w:type="paragraph" w:customStyle="1" w:styleId="41">
    <w:name w:val="样式 左侧:  0 厘米 悬挂缩进: 2.5 字符"/>
    <w:basedOn w:val="1"/>
    <w:qFormat/>
    <w:uiPriority w:val="0"/>
    <w:pPr>
      <w:ind w:left="525" w:hanging="525" w:hangingChars="250"/>
    </w:pPr>
    <w:rPr>
      <w:szCs w:val="20"/>
    </w:rPr>
  </w:style>
  <w:style w:type="character" w:customStyle="1" w:styleId="42">
    <w:name w:val="font11"/>
    <w:basedOn w:val="23"/>
    <w:qFormat/>
    <w:uiPriority w:val="0"/>
    <w:rPr>
      <w:rFonts w:ascii="Calibri" w:hAnsi="Calibri" w:cs="Calibri"/>
      <w:color w:val="000000"/>
      <w:sz w:val="20"/>
      <w:szCs w:val="20"/>
      <w:u w:val="none"/>
    </w:rPr>
  </w:style>
  <w:style w:type="paragraph" w:styleId="43">
    <w:name w:val="List Paragraph"/>
    <w:basedOn w:val="1"/>
    <w:qFormat/>
    <w:uiPriority w:val="0"/>
    <w:pPr>
      <w:widowControl/>
      <w:ind w:firstLine="420" w:firstLineChars="200"/>
    </w:pPr>
  </w:style>
  <w:style w:type="paragraph" w:customStyle="1" w:styleId="44">
    <w:name w:val="列出段落1"/>
    <w:basedOn w:val="1"/>
    <w:qFormat/>
    <w:uiPriority w:val="34"/>
    <w:pPr>
      <w:ind w:firstLine="420" w:firstLineChars="200"/>
    </w:p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87</Pages>
  <Words>49278</Words>
  <Characters>53383</Characters>
  <Lines>424</Lines>
  <Paragraphs>119</Paragraphs>
  <TotalTime>29</TotalTime>
  <ScaleCrop>false</ScaleCrop>
  <LinksUpToDate>false</LinksUpToDate>
  <CharactersWithSpaces>57032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2023-07-10T05:51:00Z</cp:lastPrinted>
  <dcterms:modified xsi:type="dcterms:W3CDTF">2023-07-13T10:37:08Z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94C51C96D3E7441A86BCA96E7DAD6431</vt:lpwstr>
  </property>
</Properties>
</file>