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克州数字教育基座及标准化考场建设项目</w:t>
      </w:r>
    </w:p>
    <w:p>
      <w:pPr>
        <w:keepNext w:val="0"/>
        <w:keepLines w:val="0"/>
        <w:pageBreakBefore w:val="0"/>
        <w:widowControl w:val="0"/>
        <w:kinsoku/>
        <w:wordWrap/>
        <w:overflowPunct/>
        <w:topLinePunct w:val="0"/>
        <w:autoSpaceDE/>
        <w:autoSpaceDN/>
        <w:bidi w:val="0"/>
        <w:adjustRightInd/>
        <w:snapToGrid/>
        <w:spacing w:line="760" w:lineRule="exact"/>
        <w:ind w:firstLine="2200" w:firstLineChars="500"/>
        <w:jc w:val="left"/>
        <w:textAlignment w:val="auto"/>
        <w:rPr>
          <w:rFonts w:hint="default" w:ascii="仿宋" w:hAnsi="仿宋" w:eastAsia="仿宋" w:cs="仿宋"/>
          <w:b/>
          <w:color w:val="FF0000"/>
          <w:kern w:val="0"/>
          <w:sz w:val="44"/>
          <w:szCs w:val="44"/>
          <w:lang w:val="en-US"/>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KZZB-2024089</w:t>
      </w:r>
    </w:p>
    <w:p>
      <w:pPr>
        <w:pStyle w:val="10"/>
        <w:rPr>
          <w:rFonts w:hint="eastAsia" w:ascii="仿宋" w:hAnsi="仿宋" w:eastAsia="仿宋" w:cs="仿宋"/>
          <w:color w:val="000000" w:themeColor="text1"/>
          <w14:textFill>
            <w14:solidFill>
              <w14:schemeClr w14:val="tx1"/>
            </w14:solidFill>
          </w14:textFill>
        </w:rPr>
      </w:pPr>
    </w:p>
    <w:p>
      <w:pPr>
        <w:pStyle w:val="10"/>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10"/>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1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eastAsia="zh-CN"/>
          <w14:textFill>
            <w14:solidFill>
              <w14:schemeClr w14:val="tx1"/>
            </w14:solidFill>
          </w14:textFill>
        </w:rPr>
        <w:t>克孜勒苏柯尔克孜自治州教育局</w:t>
      </w:r>
      <w:r>
        <w:rPr>
          <w:rFonts w:hint="eastAsia" w:ascii="仿宋" w:hAnsi="仿宋" w:eastAsia="仿宋" w:cs="仿宋"/>
          <w:color w:val="000000" w:themeColor="text1"/>
          <w:sz w:val="36"/>
          <w:szCs w:val="36"/>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人：李先生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 18167692018</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w:t>
      </w:r>
      <w:r>
        <w:rPr>
          <w:rFonts w:hint="eastAsia" w:ascii="仿宋" w:hAnsi="仿宋" w:eastAsia="仿宋" w:cs="仿宋"/>
          <w:color w:val="000000" w:themeColor="text1"/>
          <w:sz w:val="36"/>
          <w:szCs w:val="36"/>
          <w:lang w:val="en-US" w:eastAsia="zh-CN"/>
          <w14:textFill>
            <w14:solidFill>
              <w14:schemeClr w14:val="tx1"/>
            </w14:solidFill>
          </w14:textFill>
        </w:rPr>
        <w:t>山西弘策项目管理有限公司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王先生</w:t>
      </w:r>
    </w:p>
    <w:p>
      <w:pPr>
        <w:ind w:firstLine="360" w:firstLineChars="100"/>
        <w:jc w:val="both"/>
        <w:rPr>
          <w:rFonts w:hint="default" w:ascii="仿宋" w:hAnsi="仿宋" w:eastAsia="仿宋" w:cs="仿宋"/>
          <w:b/>
          <w:color w:val="000000" w:themeColor="text1"/>
          <w:sz w:val="36"/>
          <w:szCs w:val="36"/>
          <w:lang w:val="en-US"/>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联系电话:18809085988</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eastAsia="zh-CN"/>
                <w14:textFill>
                  <w14:solidFill>
                    <w14:schemeClr w14:val="tx1"/>
                  </w14:solidFill>
                </w14:textFill>
              </w:rPr>
              <w:t>克孜勒苏柯尔克孜自治州教育局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eastAsia="zh-CN"/>
                <w14:textFill>
                  <w14:solidFill>
                    <w14:schemeClr w14:val="tx1"/>
                  </w14:solidFill>
                </w14:textFill>
              </w:rPr>
              <w:t>克州数字教育基座及标准化考场建设项目</w:t>
            </w:r>
          </w:p>
          <w:p>
            <w:pPr>
              <w:pStyle w:val="7"/>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val="en-US" w:eastAsia="zh-CN"/>
                <w14:textFill>
                  <w14:solidFill>
                    <w14:schemeClr w14:val="tx1"/>
                  </w14:solidFill>
                </w14:textFill>
              </w:rPr>
              <w:t>山西弘策项目管理有限公司</w:t>
            </w:r>
            <w:r>
              <w:rPr>
                <w:rFonts w:hint="eastAsia" w:ascii="仿宋" w:hAnsi="仿宋" w:eastAsia="仿宋" w:cs="仿宋"/>
                <w:color w:val="000000" w:themeColor="text1"/>
                <w:sz w:val="32"/>
                <w:szCs w:val="32"/>
                <w:lang w:eastAsia="zh-CN"/>
                <w14:textFill>
                  <w14:solidFill>
                    <w14:schemeClr w14:val="tx1"/>
                  </w14:solidFill>
                </w14:textFill>
              </w:rPr>
              <w:t>（盖章）</w:t>
            </w:r>
          </w:p>
          <w:p>
            <w:pPr>
              <w:pStyle w:val="7"/>
              <w:jc w:val="center"/>
              <w:rPr>
                <w:rFonts w:hint="eastAsia" w:ascii="仿宋" w:hAnsi="仿宋" w:eastAsia="仿宋" w:cs="仿宋"/>
                <w:color w:val="000000" w:themeColor="text1"/>
                <w14:textFill>
                  <w14:solidFill>
                    <w14:schemeClr w14:val="tx1"/>
                  </w14:solidFill>
                </w14:textFill>
              </w:rPr>
            </w:pPr>
          </w:p>
          <w:p>
            <w:pPr>
              <w:pStyle w:val="7"/>
              <w:jc w:val="center"/>
              <w:rPr>
                <w:rFonts w:hint="eastAsia" w:ascii="仿宋" w:hAnsi="仿宋" w:eastAsia="仿宋" w:cs="仿宋"/>
                <w:color w:val="000000" w:themeColor="text1"/>
                <w14:textFill>
                  <w14:solidFill>
                    <w14:schemeClr w14:val="tx1"/>
                  </w14:solidFill>
                </w14:textFill>
              </w:rPr>
            </w:pPr>
          </w:p>
          <w:p>
            <w:pPr>
              <w:pStyle w:val="7"/>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24</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月</w:t>
            </w:r>
          </w:p>
          <w:p>
            <w:pPr>
              <w:pStyle w:val="7"/>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5"/>
        <w:rPr>
          <w:rFonts w:hint="eastAsia"/>
          <w:color w:val="000000" w:themeColor="text1"/>
          <w14:textFill>
            <w14:solidFill>
              <w14:schemeClr w14:val="tx1"/>
            </w14:solidFill>
          </w14:textFill>
        </w:rPr>
      </w:pPr>
    </w:p>
    <w:p>
      <w:pPr>
        <w:rPr>
          <w:rFonts w:hint="eastAsia" w:ascii="仿宋" w:hAnsi="仿宋" w:eastAsia="仿宋" w:cs="仿宋"/>
          <w:color w:val="000000" w:themeColor="text1"/>
          <w:lang w:val="zh-CN"/>
          <w14:textFill>
            <w14:solidFill>
              <w14:schemeClr w14:val="tx1"/>
            </w14:solidFill>
          </w14:textFill>
        </w:rPr>
      </w:pPr>
    </w:p>
    <w:p>
      <w:pPr>
        <w:pStyle w:val="27"/>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27"/>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31"/>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9"/>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3"/>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33"/>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克州数字教育基座及标准化考场建设项目</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 xml:space="preserve">   </w:t>
      </w:r>
    </w:p>
    <w:tbl>
      <w:tblPr>
        <w:tblStyle w:val="21"/>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u w:val="single"/>
                <w:lang w:val="en-US" w:eastAsia="zh-CN"/>
              </w:rPr>
              <w:t>克州数字教育基座及标准化考场建设项目</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 xml:space="preserve">，在线申请获取采购文件（登录政府采购云平台 → 项目采购 → 获取采购文件 → 申请，审核通过后可下载招标文件，如有操作性问题，可与政采云在线客服进行咨询，咨询电话：400-881-7190）获取招标文件，并于 </w:t>
            </w:r>
            <w:r>
              <w:rPr>
                <w:rFonts w:hint="eastAsia" w:ascii="仿宋" w:hAnsi="仿宋" w:eastAsia="仿宋" w:cs="仿宋"/>
                <w:color w:val="FF0000"/>
                <w:u w:val="single"/>
                <w:lang w:eastAsia="zh-CN"/>
              </w:rPr>
              <w:t>202</w:t>
            </w:r>
            <w:r>
              <w:rPr>
                <w:rFonts w:hint="eastAsia" w:ascii="仿宋" w:hAnsi="仿宋" w:eastAsia="仿宋" w:cs="仿宋"/>
                <w:color w:val="FF0000"/>
                <w:u w:val="single"/>
                <w:lang w:val="en-US" w:eastAsia="zh-CN"/>
              </w:rPr>
              <w:t>4</w:t>
            </w:r>
            <w:r>
              <w:rPr>
                <w:rFonts w:hint="eastAsia" w:ascii="仿宋" w:hAnsi="仿宋" w:eastAsia="仿宋" w:cs="仿宋"/>
                <w:color w:val="FF0000"/>
                <w:u w:val="single"/>
                <w:lang w:eastAsia="zh-CN"/>
              </w:rPr>
              <w:t>年</w:t>
            </w:r>
            <w:r>
              <w:rPr>
                <w:rFonts w:hint="eastAsia" w:ascii="仿宋" w:hAnsi="仿宋" w:eastAsia="仿宋" w:cs="仿宋"/>
                <w:color w:val="FF0000"/>
                <w:u w:val="single"/>
                <w:lang w:val="en-US" w:eastAsia="zh-CN"/>
              </w:rPr>
              <w:t xml:space="preserve"> 6 </w:t>
            </w:r>
            <w:r>
              <w:rPr>
                <w:rFonts w:hint="eastAsia" w:ascii="仿宋" w:hAnsi="仿宋" w:eastAsia="仿宋" w:cs="仿宋"/>
                <w:color w:val="FF0000"/>
                <w:u w:val="single"/>
                <w:lang w:eastAsia="zh-CN"/>
              </w:rPr>
              <w:t>月</w:t>
            </w:r>
            <w:r>
              <w:rPr>
                <w:rFonts w:hint="eastAsia" w:ascii="仿宋" w:hAnsi="仿宋" w:eastAsia="仿宋" w:cs="仿宋"/>
                <w:color w:val="FF0000"/>
                <w:u w:val="single"/>
                <w:lang w:val="en-US" w:eastAsia="zh-CN"/>
              </w:rPr>
              <w:t xml:space="preserve"> 14 </w:t>
            </w:r>
            <w:r>
              <w:rPr>
                <w:rFonts w:hint="eastAsia" w:ascii="仿宋" w:hAnsi="仿宋" w:eastAsia="仿宋" w:cs="仿宋"/>
                <w:color w:val="FF0000"/>
                <w:u w:val="single"/>
                <w:lang w:eastAsia="zh-CN"/>
              </w:rPr>
              <w:t>日 1</w:t>
            </w:r>
            <w:r>
              <w:rPr>
                <w:rFonts w:hint="eastAsia" w:ascii="仿宋" w:hAnsi="仿宋" w:eastAsia="仿宋" w:cs="仿宋"/>
                <w:color w:val="FF0000"/>
                <w:u w:val="single"/>
                <w:lang w:val="en-US" w:eastAsia="zh-CN"/>
              </w:rPr>
              <w:t>0</w:t>
            </w:r>
            <w:r>
              <w:rPr>
                <w:rFonts w:hint="eastAsia" w:ascii="仿宋" w:hAnsi="仿宋" w:eastAsia="仿宋" w:cs="仿宋"/>
                <w:color w:val="FF0000"/>
                <w:u w:val="single"/>
                <w:lang w:eastAsia="zh-CN"/>
              </w:rPr>
              <w:t>:</w:t>
            </w:r>
            <w:r>
              <w:rPr>
                <w:rFonts w:hint="eastAsia" w:ascii="仿宋" w:hAnsi="仿宋" w:eastAsia="仿宋" w:cs="仿宋"/>
                <w:color w:val="FF0000"/>
                <w:u w:val="single"/>
                <w:lang w:val="en-US" w:eastAsia="zh-CN"/>
              </w:rPr>
              <w:t>3</w:t>
            </w:r>
            <w:r>
              <w:rPr>
                <w:rFonts w:hint="eastAsia" w:ascii="仿宋" w:hAnsi="仿宋" w:eastAsia="仿宋" w:cs="仿宋"/>
                <w:color w:val="FF0000"/>
                <w:u w:val="single"/>
                <w:lang w:eastAsia="zh-CN"/>
              </w:rPr>
              <w:t>0</w:t>
            </w:r>
            <w:r>
              <w:rPr>
                <w:rFonts w:hint="eastAsia" w:ascii="仿宋" w:hAnsi="仿宋" w:eastAsia="仿宋" w:cs="仿宋"/>
                <w:color w:val="auto"/>
                <w:u w:val="single"/>
                <w:lang w:eastAsia="zh-CN"/>
              </w:rPr>
              <w:t>（北京时间）</w:t>
            </w:r>
            <w:r>
              <w:rPr>
                <w:rFonts w:hint="eastAsia" w:ascii="仿宋" w:hAnsi="仿宋" w:eastAsia="仿宋" w:cs="仿宋"/>
                <w:color w:val="auto"/>
                <w:lang w:eastAsia="zh-CN"/>
              </w:rPr>
              <w:t>前（上传）电子投标文件。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FF0000"/>
          <w:lang w:val="en-US" w:eastAsia="zh-CN"/>
        </w:rPr>
      </w:pPr>
      <w:r>
        <w:rPr>
          <w:rFonts w:hint="eastAsia" w:ascii="仿宋" w:hAnsi="仿宋" w:eastAsia="仿宋" w:cs="仿宋"/>
          <w:color w:val="auto"/>
        </w:rPr>
        <w:t>项目编号：</w:t>
      </w:r>
      <w:r>
        <w:rPr>
          <w:rFonts w:hint="eastAsia" w:ascii="仿宋" w:hAnsi="仿宋" w:eastAsia="仿宋" w:cs="仿宋"/>
          <w:color w:val="FF0000"/>
          <w:lang w:val="en-US" w:eastAsia="zh-CN"/>
        </w:rPr>
        <w:t>KZZB-2024089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克州数字教育基座及标准化考场建设项目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10000000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10000000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tbl>
      <w:tblPr>
        <w:tblStyle w:val="21"/>
        <w:tblpPr w:leftFromText="180" w:rightFromText="180" w:vertAnchor="text" w:horzAnchor="page" w:tblpX="1700"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20"/>
        <w:gridCol w:w="630"/>
        <w:gridCol w:w="950"/>
        <w:gridCol w:w="540"/>
        <w:gridCol w:w="368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07" w:type="dxa"/>
            <w:noWrap w:val="0"/>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标项名称</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预算金额（元）</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单位</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简要规格描述</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克州数字教育基座及标准化考场建设项目</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不限</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lang w:val="en-US" w:eastAsia="zh-CN"/>
              </w:rPr>
              <w:t>10000000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批</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设全州中小学数字教育基座，提供基础数据管理、存储，方便群众访问，为招生提供网上报名审核录取，搭建常态化网络阅卷平台。完善“三个课堂”系统，为学校提供直播、互动平台、建设app软件，指挥中心（驾驶舱）。建设3个考场监控调度系统，为3个学校180个考场提供考高清SIP转发管理三合一平台，标考网络流媒体存储平台（64路）。建设3个考点视频指挥系统，为考点提供巡查指挥终端。</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具体</w:t>
            </w:r>
            <w:r>
              <w:rPr>
                <w:rFonts w:hint="eastAsia" w:ascii="仿宋" w:hAnsi="仿宋" w:eastAsia="仿宋" w:cs="仿宋"/>
                <w:color w:val="auto"/>
                <w:sz w:val="24"/>
                <w:szCs w:val="24"/>
                <w:vertAlign w:val="baseline"/>
                <w:lang w:val="en-US" w:eastAsia="zh-CN"/>
              </w:rPr>
              <w:t>内容详见采购文件及参数要求附件</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90天。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（1）有效的三证合一营业执照副本（经营范围包括采购货物的生产或销售）；</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（2）法定代表人投标需提供法定代表人资格证明书，委托代理人投标需提供法定代表人授权委托书；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（4）投标单位（供应商）针对本次采购项目《反商业贿赂承诺书》，《采购活动前三年内无重大违规记录承诺书》的书面声明。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FF0000"/>
          <w:sz w:val="24"/>
          <w:szCs w:val="24"/>
          <w:u w:val="single"/>
        </w:rPr>
        <w:t>202</w:t>
      </w:r>
      <w:r>
        <w:rPr>
          <w:rFonts w:hint="eastAsia" w:ascii="仿宋" w:hAnsi="仿宋" w:eastAsia="仿宋" w:cs="仿宋"/>
          <w:color w:val="FF0000"/>
          <w:sz w:val="24"/>
          <w:szCs w:val="24"/>
          <w:u w:val="single"/>
          <w:lang w:val="en-US" w:eastAsia="zh-CN"/>
        </w:rPr>
        <w:t>4</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5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24 </w:t>
      </w:r>
      <w:r>
        <w:rPr>
          <w:rFonts w:hint="eastAsia" w:ascii="仿宋" w:hAnsi="仿宋" w:eastAsia="仿宋" w:cs="仿宋"/>
          <w:color w:val="FF0000"/>
          <w:sz w:val="24"/>
          <w:szCs w:val="24"/>
        </w:rPr>
        <w:t>日至</w:t>
      </w:r>
      <w:r>
        <w:rPr>
          <w:rFonts w:hint="eastAsia" w:ascii="仿宋" w:hAnsi="仿宋" w:eastAsia="仿宋" w:cs="仿宋"/>
          <w:color w:val="FF0000"/>
          <w:sz w:val="24"/>
          <w:szCs w:val="24"/>
          <w:u w:val="single"/>
        </w:rPr>
        <w:t>202</w:t>
      </w:r>
      <w:r>
        <w:rPr>
          <w:rFonts w:hint="eastAsia" w:ascii="仿宋" w:hAnsi="仿宋" w:eastAsia="仿宋" w:cs="仿宋"/>
          <w:color w:val="FF0000"/>
          <w:sz w:val="24"/>
          <w:szCs w:val="24"/>
          <w:u w:val="single"/>
          <w:lang w:val="en-US" w:eastAsia="zh-CN"/>
        </w:rPr>
        <w:t>4</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5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31 </w:t>
      </w:r>
      <w:r>
        <w:rPr>
          <w:rFonts w:hint="eastAsia" w:ascii="仿宋" w:hAnsi="仿宋" w:eastAsia="仿宋" w:cs="仿宋"/>
          <w:color w:val="FF0000"/>
          <w:sz w:val="24"/>
          <w:szCs w:val="24"/>
        </w:rPr>
        <w:t>日</w:t>
      </w:r>
      <w:r>
        <w:rPr>
          <w:rFonts w:hint="eastAsia" w:ascii="仿宋" w:hAnsi="仿宋" w:eastAsia="仿宋" w:cs="仿宋"/>
          <w:color w:val="auto"/>
          <w:sz w:val="24"/>
          <w:szCs w:val="24"/>
        </w:rPr>
        <w:t>，每</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上午10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00分</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20时00分</w:t>
      </w:r>
      <w:r>
        <w:rPr>
          <w:rFonts w:hint="eastAsia" w:ascii="仿宋" w:hAnsi="仿宋" w:eastAsia="仿宋" w:cs="仿宋"/>
          <w:color w:val="auto"/>
          <w:sz w:val="24"/>
          <w:szCs w:val="24"/>
        </w:rPr>
        <w:t>（北京时间）</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地点：供应商登陆政采云平台http://www.zcygov.cn/，在线申请获取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，如有操作性问题，可与政采云在线客服进行咨询，咨询电话：400-881-7190）。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方式：（1）线上获取（登录政府采购云平台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）。本次招标不提供纸质版</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。（2）供应商获取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FF0000"/>
          <w:kern w:val="2"/>
          <w:sz w:val="24"/>
          <w:szCs w:val="24"/>
          <w:u w:val="single"/>
          <w:lang w:val="en-US" w:eastAsia="zh-CN" w:bidi="ar-SA"/>
        </w:rPr>
        <w:t>2024</w:t>
      </w:r>
      <w:r>
        <w:rPr>
          <w:rFonts w:hint="eastAsia" w:ascii="仿宋" w:hAnsi="仿宋" w:eastAsia="仿宋" w:cs="仿宋"/>
          <w:b w:val="0"/>
          <w:color w:val="FF0000"/>
          <w:kern w:val="2"/>
          <w:sz w:val="24"/>
          <w:szCs w:val="24"/>
          <w:lang w:val="en-US" w:eastAsia="zh-CN" w:bidi="ar-SA"/>
        </w:rPr>
        <w:t>年 6 月 14 日 10：30</w:t>
      </w:r>
      <w:r>
        <w:rPr>
          <w:rFonts w:hint="eastAsia" w:ascii="仿宋" w:hAnsi="仿宋" w:eastAsia="仿宋" w:cs="仿宋"/>
          <w:b w:val="0"/>
          <w:color w:val="auto"/>
          <w:kern w:val="2"/>
          <w:sz w:val="24"/>
          <w:szCs w:val="24"/>
          <w:lang w:val="en-US" w:eastAsia="zh-CN" w:bidi="ar-SA"/>
        </w:rPr>
        <w:t xml:space="preserve">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FF0000"/>
          <w:kern w:val="2"/>
          <w:sz w:val="24"/>
          <w:szCs w:val="24"/>
          <w:u w:val="single"/>
          <w:lang w:val="en-US" w:eastAsia="zh-CN" w:bidi="ar-SA"/>
        </w:rPr>
        <w:t>2024</w:t>
      </w:r>
      <w:r>
        <w:rPr>
          <w:rFonts w:hint="eastAsia" w:ascii="仿宋" w:hAnsi="仿宋" w:eastAsia="仿宋" w:cs="仿宋"/>
          <w:b w:val="0"/>
          <w:color w:val="FF0000"/>
          <w:kern w:val="2"/>
          <w:sz w:val="24"/>
          <w:szCs w:val="24"/>
          <w:lang w:val="en-US" w:eastAsia="zh-CN" w:bidi="ar-SA"/>
        </w:rPr>
        <w:t>年 6 月 14 日 10：30 （</w:t>
      </w:r>
      <w:r>
        <w:rPr>
          <w:rFonts w:hint="eastAsia" w:ascii="仿宋" w:hAnsi="仿宋" w:eastAsia="仿宋" w:cs="仿宋"/>
          <w:b w:val="0"/>
          <w:color w:val="auto"/>
          <w:kern w:val="2"/>
          <w:sz w:val="24"/>
          <w:szCs w:val="24"/>
          <w:lang w:val="en-US" w:eastAsia="zh-CN" w:bidi="ar-SA"/>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2.本项目实行网上投标，采用加密电子投标文件(供应商须使用CA加密设备通过政采云电子投标客户端制作投标文件)。若供应商参与投</w:t>
      </w:r>
      <w:r>
        <w:rPr>
          <w:rFonts w:hint="eastAsia" w:ascii="仿宋" w:hAnsi="仿宋" w:eastAsia="仿宋" w:cs="仿宋"/>
          <w:b/>
          <w:bCs/>
          <w:color w:val="auto"/>
          <w:kern w:val="2"/>
          <w:sz w:val="24"/>
          <w:szCs w:val="24"/>
          <w:lang w:val="en-US" w:eastAsia="zh-CN" w:bidi="ar-SA"/>
        </w:rPr>
        <w:t>标，自</w:t>
      </w:r>
      <w:r>
        <w:rPr>
          <w:rFonts w:hint="eastAsia" w:ascii="仿宋" w:hAnsi="仿宋" w:eastAsia="仿宋" w:cs="仿宋"/>
          <w:b w:val="0"/>
          <w:color w:val="auto"/>
          <w:kern w:val="2"/>
          <w:sz w:val="24"/>
          <w:szCs w:val="24"/>
          <w:lang w:val="en-US" w:eastAsia="zh-CN" w:bidi="ar-SA"/>
        </w:rPr>
        <w:t>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3.各供应商在开标前应确保成为新疆维吾尔自治区政府采购网正式注册入库供应商</w:t>
      </w:r>
      <w:r>
        <w:rPr>
          <w:rFonts w:hint="eastAsia" w:ascii="宋体" w:hAnsi="宋体" w:eastAsia="宋体" w:cs="宋体"/>
          <w:i w:val="0"/>
          <w:iCs w:val="0"/>
          <w:caps w:val="0"/>
          <w:color w:val="auto"/>
          <w:spacing w:val="0"/>
          <w:sz w:val="21"/>
          <w:szCs w:val="21"/>
        </w:rPr>
        <w:t>（已在政采云平台其他省份入驻的供应商无需重复注册）</w:t>
      </w:r>
      <w:r>
        <w:rPr>
          <w:rFonts w:hint="eastAsia" w:ascii="仿宋" w:hAnsi="仿宋" w:eastAsia="仿宋" w:cs="仿宋"/>
          <w:b w:val="0"/>
          <w:color w:val="auto"/>
          <w:kern w:val="2"/>
          <w:sz w:val="24"/>
          <w:szCs w:val="24"/>
          <w:lang w:val="en-US" w:eastAsia="zh-CN" w:bidi="ar-SA"/>
        </w:rPr>
        <w:t>，并完成CA数字证书申领。因未注册入库、未办理CA数字证书等原因造成无法投标或投标失败等后果由供应商自行承担。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7.为了保证开评标顺利进行，政采云线上开标功能完全实现，供应商开标所使用的电脑设备须具有视频及语音功能。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称：克孜勒苏柯尔克孜自治州教育局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地址：克孜勒苏柯尔克孜自治州阿图什市光明路32号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项目联系人：李先生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w:t>
      </w:r>
      <w:bookmarkStart w:id="0" w:name="_Toc28359009"/>
      <w:bookmarkStart w:id="1" w:name="_Toc28359086"/>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18167692018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称：山西弘策项目管理有限公司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址：新疆克州阿图什市松克乡牙克瓦克村友谊北路143-2号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项目联系人：王先生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项目联系方式：18809085988</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ind w:firstLine="3600" w:firstLineChars="1500"/>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pPr>
    </w:p>
    <w:p>
      <w:pPr>
        <w:ind w:firstLine="3600" w:firstLineChars="1500"/>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pPr>
    </w:p>
    <w:p>
      <w:pPr>
        <w:pStyle w:val="15"/>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pPr>
    </w:p>
    <w:p>
      <w:pPr>
        <w:pStyle w:val="15"/>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pPr>
    </w:p>
    <w:p>
      <w:pPr>
        <w:pStyle w:val="15"/>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pPr>
    </w:p>
    <w:p>
      <w:pPr>
        <w:ind w:firstLine="3600" w:firstLineChars="1500"/>
        <w:rPr>
          <w:rFonts w:hint="default" w:ascii="仿宋" w:hAnsi="仿宋" w:eastAsia="仿宋" w:cs="仿宋"/>
          <w:b/>
          <w:bCs/>
          <w:color w:val="000000" w:themeColor="text1"/>
          <w:spacing w:val="0"/>
          <w:w w:val="100"/>
          <w:position w:val="0"/>
          <w:sz w:val="24"/>
          <w:szCs w:val="24"/>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24"/>
          <w:szCs w:val="24"/>
          <w:lang w:val="en-US" w:eastAsia="zh-CN"/>
          <w14:textFill>
            <w14:solidFill>
              <w14:schemeClr w14:val="tx1"/>
            </w14:solidFill>
          </w14:textFill>
        </w:rPr>
        <w:t>第二部分  投标人须知</w:t>
      </w:r>
    </w:p>
    <w:p>
      <w:pPr>
        <w:pStyle w:val="34"/>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0"/>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项目名称：克州数字教育基座及标准化考场建设项目</w:t>
            </w:r>
          </w:p>
          <w:p>
            <w:pPr>
              <w:shd w:val="clear" w:color="auto" w:fill="auto"/>
              <w:spacing w:line="360" w:lineRule="auto"/>
              <w:jc w:val="left"/>
              <w:rPr>
                <w:rFonts w:hint="default"/>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项目编号：KZZB-2024089</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建设全州中小学数字教育基座，提供基础数据管理、存储，方便群众访问，为招生提供网上报名审核录取，搭建常态化网络阅卷平台。完善“三个课堂”系统，为学校提供直播、互动平台、建设app软件，指挥中心（驾驶舱）。建设3个考场监控调度系统，为3个学校180个考场提供考高清SIP转发管理三合一平台，标考网络流媒体存储平台（64路）。建设3个考点视频指挥系统，为考点提供巡查指挥终端。</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供货期：90天</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克孜勒苏柯尔克孜自治州教育局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联系人：李先生       电  话：18167692018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称：山西弘策项目管理有限公司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址：新疆克州阿图什市松克乡牙克瓦克村友谊北路143-2号</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联系人：王先生      电  话：18809085988</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已签订合同为准。</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default"/>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4、投标单位（供应商）针对本次采购项目《反商业贿赂承诺书》，《采购活动前三年内无重大违规记录承诺书》的书面声明。</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债券资金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FF0000"/>
                <w:sz w:val="21"/>
                <w:szCs w:val="21"/>
                <w:lang w:val="en-US" w:eastAsia="zh-CN"/>
              </w:rPr>
              <w:t>2024年 6 月 14 日上午10时30分</w:t>
            </w:r>
            <w:r>
              <w:rPr>
                <w:rFonts w:hint="eastAsia" w:ascii="仿宋" w:hAnsi="仿宋" w:eastAsia="仿宋" w:cs="仿宋"/>
                <w:b w:val="0"/>
                <w:bCs w:val="0"/>
                <w:color w:val="auto"/>
                <w:sz w:val="21"/>
                <w:szCs w:val="21"/>
                <w:lang w:val="en-US" w:eastAsia="zh-CN"/>
              </w:rPr>
              <w:t>（北京时间）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投标保证金要求：</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投标保证金的金额：150000元（大写：壹拾伍万元整）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投标保证金交纳要求：</w:t>
            </w:r>
          </w:p>
          <w:p>
            <w:pPr>
              <w:numPr>
                <w:ilvl w:val="0"/>
                <w:numId w:val="4"/>
              </w:num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投标保证金以电汇、网银形式提交的，应在投标截止前以总公司的基本账户一次性汇入指定账户（以到账时间为准）， 不接受现金及任何个人汇款。汇款凭证作为该项目投标保证金的缴纳依据。</w:t>
            </w:r>
          </w:p>
          <w:p>
            <w:pPr>
              <w:numPr>
                <w:ilvl w:val="0"/>
                <w:numId w:val="4"/>
              </w:numPr>
              <w:spacing w:line="360" w:lineRule="auto"/>
              <w:ind w:left="0" w:leftChars="0" w:firstLine="0" w:firstLineChars="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其他特殊情况处理：有效投标保证金成功交纳后，截止开标时间，投标企业无正当理由不参加该项目投标且不递交弃标函，投标保证金不予退还。</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户名：克孜勒苏柯尔克孜自治州政务服务和公共资源交易中心</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账号：30456301040005069</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行名：中国农业银行阿图什市天山分理处</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行号：103893045636</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联系人：张女士</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电话：0908-4220265    18199721001</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（备注：必须写清楚xx公司xx项目保证金）</w:t>
            </w:r>
          </w:p>
          <w:p>
            <w:pPr>
              <w:numPr>
                <w:ilvl w:val="0"/>
                <w:numId w:val="5"/>
              </w:num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申请退还投标保证金资料（招投标结束中标结果公示后）：</w:t>
            </w:r>
          </w:p>
          <w:p>
            <w:pPr>
              <w:numPr>
                <w:ilvl w:val="0"/>
                <w:numId w:val="6"/>
              </w:num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投标企业：待开标完成后，未中标企业 3 个工作日内政资 中心将收取的项目投标保证金按投标企业基本户退回。</w:t>
            </w:r>
          </w:p>
          <w:p>
            <w:pPr>
              <w:numPr>
                <w:ilvl w:val="0"/>
                <w:numId w:val="6"/>
              </w:num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中标企业：需提供已签订合同复印件一份，复印件每页需 加盖企业鲜章（并携带合同原件，由中心工作人员核对后退 还）。</w:t>
            </w:r>
          </w:p>
          <w:p>
            <w:pPr>
              <w:numPr>
                <w:ilvl w:val="0"/>
                <w:numId w:val="5"/>
              </w:numPr>
              <w:spacing w:line="360" w:lineRule="auto"/>
              <w:ind w:left="0" w:leftChars="0" w:firstLine="0" w:firstLineChars="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其他特殊情况处理：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1、按照招标文件要求规定：投标企业无正当理由不参加该项 目投标且在规定开标时间前不递交弃标函，投标保证金不予退还。 </w:t>
            </w: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w:t>
            </w:r>
            <w:r>
              <w:rPr>
                <w:rFonts w:hint="eastAsia" w:ascii="仿宋" w:hAnsi="仿宋" w:eastAsia="仿宋" w:cs="仿宋"/>
                <w:b w:val="0"/>
                <w:bCs w:val="0"/>
                <w:color w:val="FF0000"/>
                <w:sz w:val="21"/>
                <w:szCs w:val="21"/>
                <w:u w:val="none"/>
                <w:lang w:val="en-US" w:eastAsia="zh-CN"/>
              </w:rPr>
              <w:t>2024年 5 月 24 日至2024年 5 月 31 日，每日上午10时00分至20时00分（北京时间）。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w:t>
            </w:r>
            <w:r>
              <w:rPr>
                <w:rFonts w:hint="eastAsia" w:ascii="仿宋" w:hAnsi="仿宋" w:eastAsia="仿宋" w:cs="仿宋"/>
                <w:b w:val="0"/>
                <w:bCs w:val="0"/>
                <w:color w:val="auto"/>
                <w:sz w:val="21"/>
                <w:szCs w:val="21"/>
                <w:lang w:val="en-US" w:eastAsia="zh-CN"/>
              </w:rPr>
              <w:t>加密标书（“.jmbs”格式），一份备份标书文件（“.bfbs”格式）。</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3、待开标结束后，中标企业请于</w:t>
            </w:r>
            <w:r>
              <w:rPr>
                <w:rFonts w:hint="eastAsia" w:ascii="仿宋" w:hAnsi="仿宋" w:eastAsia="仿宋" w:cs="仿宋"/>
                <w:b w:val="0"/>
                <w:bCs w:val="0"/>
                <w:color w:val="FF0000"/>
                <w:sz w:val="21"/>
                <w:szCs w:val="21"/>
                <w:u w:val="single"/>
                <w:lang w:val="en-US" w:eastAsia="zh-CN"/>
              </w:rPr>
              <w:t>2024年 6 月 20 日19:30</w:t>
            </w:r>
            <w:r>
              <w:rPr>
                <w:rFonts w:hint="eastAsia" w:ascii="仿宋" w:hAnsi="仿宋" w:eastAsia="仿宋" w:cs="仿宋"/>
                <w:b w:val="0"/>
                <w:bCs w:val="0"/>
                <w:color w:val="auto"/>
                <w:sz w:val="21"/>
                <w:szCs w:val="21"/>
                <w:u w:val="none"/>
                <w:lang w:val="en-US" w:eastAsia="zh-CN"/>
              </w:rPr>
              <w:t>（北京时间）</w:t>
            </w:r>
            <w:r>
              <w:rPr>
                <w:rFonts w:hint="eastAsia" w:ascii="仿宋" w:hAnsi="仿宋" w:eastAsia="仿宋" w:cs="仿宋"/>
                <w:b w:val="0"/>
                <w:bCs w:val="0"/>
                <w:color w:val="auto"/>
                <w:sz w:val="21"/>
                <w:szCs w:val="21"/>
                <w:lang w:val="en-US" w:eastAsia="zh-CN"/>
              </w:rPr>
              <w:t>前提供纸质投标文件叁份并承诺与电子投标文件内容一致的承诺书至</w:t>
            </w:r>
            <w:r>
              <w:rPr>
                <w:rFonts w:hint="eastAsia" w:ascii="仿宋" w:hAnsi="仿宋" w:eastAsia="仿宋" w:cs="仿宋"/>
                <w:b w:val="0"/>
                <w:bCs w:val="0"/>
                <w:color w:val="auto"/>
                <w:sz w:val="21"/>
                <w:szCs w:val="21"/>
                <w:u w:val="single"/>
                <w:lang w:val="en-US" w:eastAsia="zh-CN"/>
              </w:rPr>
              <w:t>山西弘策项目管理有限公司</w:t>
            </w:r>
            <w:r>
              <w:rPr>
                <w:rFonts w:hint="eastAsia" w:ascii="仿宋" w:hAnsi="仿宋" w:eastAsia="仿宋" w:cs="仿宋"/>
                <w:b w:val="0"/>
                <w:bCs w:val="0"/>
                <w:color w:val="auto"/>
                <w:sz w:val="21"/>
                <w:szCs w:val="21"/>
                <w:lang w:val="en-US" w:eastAsia="zh-CN"/>
              </w:rPr>
              <w:t>。中标人可采用邮寄</w:t>
            </w:r>
            <w:r>
              <w:rPr>
                <w:rFonts w:hint="eastAsia" w:ascii="仿宋" w:hAnsi="仿宋" w:eastAsia="仿宋" w:cs="仿宋"/>
                <w:b w:val="0"/>
                <w:bCs w:val="0"/>
                <w:color w:val="000000" w:themeColor="text1"/>
                <w:sz w:val="21"/>
                <w:szCs w:val="21"/>
                <w:lang w:val="en-US" w:eastAsia="zh-CN"/>
                <w14:textFill>
                  <w14:solidFill>
                    <w14:schemeClr w14:val="tx1"/>
                  </w14:solidFill>
                </w14:textFill>
              </w:rPr>
              <w:t>方式提供纸质版投标文件（收件地址：</w:t>
            </w: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新疆克州阿图什市松克乡牙克瓦克村友谊北路143-2号</w:t>
            </w: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收件人：王先生</w:t>
            </w:r>
            <w:r>
              <w:rPr>
                <w:rFonts w:hint="eastAsia" w:ascii="仿宋" w:hAnsi="仿宋" w:eastAsia="仿宋" w:cs="仿宋"/>
                <w:b w:val="0"/>
                <w:bCs w:val="0"/>
                <w:color w:val="auto"/>
                <w:sz w:val="21"/>
                <w:szCs w:val="21"/>
                <w:u w:val="none"/>
                <w:lang w:val="en-US" w:eastAsia="zh-CN"/>
              </w:rPr>
              <w:t>，电话：</w:t>
            </w:r>
            <w:r>
              <w:rPr>
                <w:rFonts w:hint="eastAsia" w:ascii="仿宋" w:hAnsi="仿宋" w:eastAsia="仿宋" w:cs="仿宋"/>
                <w:b w:val="0"/>
                <w:bCs w:val="0"/>
                <w:color w:val="auto"/>
                <w:sz w:val="21"/>
                <w:szCs w:val="21"/>
                <w:u w:val="single"/>
                <w:lang w:val="en-US" w:eastAsia="zh-CN"/>
              </w:rPr>
              <w:t>18809085988）</w:t>
            </w:r>
            <w:r>
              <w:rPr>
                <w:rFonts w:hint="eastAsia" w:ascii="仿宋" w:hAnsi="仿宋" w:eastAsia="仿宋" w:cs="仿宋"/>
                <w:b w:val="0"/>
                <w:bCs w:val="0"/>
                <w:color w:val="000000" w:themeColor="text1"/>
                <w:sz w:val="21"/>
                <w:szCs w:val="21"/>
                <w:lang w:val="en-US" w:eastAsia="zh-CN"/>
                <w14:textFill>
                  <w14:solidFill>
                    <w14:schemeClr w14:val="tx1"/>
                  </w14:solidFill>
                </w14:textFill>
              </w:rPr>
              <w:t>，费用自行承担。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756299071@qq.com，接收人：王先生，电话：18809085988），“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评标委员会由招标人依法组建，由采购人代表1人，评审专家</w:t>
            </w: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color w:val="000000" w:themeColor="text1"/>
                <w:sz w:val="21"/>
                <w:szCs w:val="21"/>
                <w:lang w:val="zh-CN" w:eastAsia="zh-CN"/>
                <w14:textFill>
                  <w14:solidFill>
                    <w14:schemeClr w14:val="tx1"/>
                  </w14:solidFill>
                </w14:textFill>
              </w:rPr>
              <w:t>人，共</w:t>
            </w: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lang w:val="zh-CN" w:eastAsia="zh-CN"/>
                <w14:textFill>
                  <w14:solidFill>
                    <w14:schemeClr w14:val="tx1"/>
                  </w14:solidFill>
                </w14:textFill>
              </w:rPr>
              <w:t>人组成。</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样品要求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本项目不需要提交样品。</w:t>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FF0000"/>
                <w:sz w:val="21"/>
                <w:szCs w:val="21"/>
                <w:lang w:val="en-US" w:eastAsia="zh-CN"/>
              </w:rPr>
              <w:t>2024年 6 月 14 日</w:t>
            </w:r>
            <w:r>
              <w:rPr>
                <w:rFonts w:hint="eastAsia" w:ascii="仿宋" w:hAnsi="仿宋" w:eastAsia="仿宋" w:cs="仿宋"/>
                <w:b w:val="0"/>
                <w:bCs w:val="0"/>
                <w:color w:val="auto"/>
                <w:sz w:val="21"/>
                <w:szCs w:val="21"/>
                <w:lang w:val="en-US" w:eastAsia="zh-CN"/>
              </w:rPr>
              <w:t>上午10时30分（北京时间）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324"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w:t>
            </w:r>
            <w:r>
              <w:rPr>
                <w:rFonts w:hint="eastAsia" w:ascii="仿宋" w:hAnsi="仿宋" w:eastAsia="仿宋" w:cs="仿宋"/>
                <w:b w:val="0"/>
                <w:bCs w:val="0"/>
                <w:color w:val="FF0000"/>
                <w:sz w:val="21"/>
                <w:szCs w:val="21"/>
                <w:lang w:val="en-US" w:eastAsia="zh-CN"/>
              </w:rPr>
              <w:t>2024年 6 月 14</w:t>
            </w:r>
            <w:bookmarkStart w:id="71" w:name="_GoBack"/>
            <w:bookmarkEnd w:id="71"/>
            <w:r>
              <w:rPr>
                <w:rFonts w:hint="eastAsia" w:ascii="仿宋" w:hAnsi="仿宋" w:eastAsia="仿宋" w:cs="仿宋"/>
                <w:b w:val="0"/>
                <w:bCs w:val="0"/>
                <w:color w:val="FF0000"/>
                <w:sz w:val="21"/>
                <w:szCs w:val="21"/>
                <w:lang w:val="en-US" w:eastAsia="zh-CN"/>
              </w:rPr>
              <w:t xml:space="preserve"> 日上午10时30分</w:t>
            </w:r>
            <w:r>
              <w:rPr>
                <w:rFonts w:hint="eastAsia" w:ascii="仿宋" w:hAnsi="仿宋" w:eastAsia="仿宋" w:cs="仿宋"/>
                <w:b w:val="0"/>
                <w:bCs w:val="0"/>
                <w:color w:val="auto"/>
                <w:sz w:val="21"/>
                <w:szCs w:val="21"/>
                <w:lang w:val="en-US" w:eastAsia="zh-CN"/>
              </w:rPr>
              <w:t>（北京时间）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1"/>
                <w:szCs w:val="21"/>
                <w:lang w:val="en-US" w:eastAsia="zh-CN"/>
              </w:rPr>
              <w:t>台；进入“项目采购”应用，在获取招标文件菜单中选择项目，获取招标文件 。申请获取招标文件前须上传的资格证明文件扫描件有：</w:t>
            </w: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1、有效的三证合一营业执照副本（经营范围包括采购货物的生产或销售）2、法定代表人投标需提供法定代表人资格证明书，委托代理人投标需提供法定代表人授权委托书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（5）投标文</w:t>
            </w:r>
            <w:r>
              <w:rPr>
                <w:rFonts w:hint="eastAsia" w:ascii="仿宋" w:hAnsi="仿宋" w:eastAsia="仿宋" w:cs="仿宋"/>
                <w:b w:val="0"/>
                <w:bCs w:val="0"/>
                <w:color w:val="auto"/>
                <w:sz w:val="21"/>
                <w:szCs w:val="21"/>
                <w:lang w:val="en-US" w:eastAsia="zh-CN"/>
              </w:rPr>
              <w:t>件的传输递交：供应商在投标截止时间前将加密的投标文件上传至政府采购云平台，还可以在投标截止时间前以电子邮件方式提供备份投标文件1份（接收人邮箱：756299071@qq.com，接收人：王先生，电话：18809085988），备份投标文件可以打包压缩并加密，压缩包命名为“XX单位备份投标文件”，加密密码由供应商自行保管（“</w:t>
            </w:r>
            <w:r>
              <w:rPr>
                <w:rFonts w:hint="eastAsia" w:ascii="仿宋" w:hAnsi="仿宋" w:eastAsia="仿宋" w:cs="仿宋"/>
                <w:b w:val="0"/>
                <w:bCs w:val="0"/>
                <w:color w:val="000000" w:themeColor="text1"/>
                <w:sz w:val="21"/>
                <w:szCs w:val="21"/>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w:t>
            </w:r>
            <w:r>
              <w:rPr>
                <w:rFonts w:hint="eastAsia" w:ascii="仿宋" w:hAnsi="仿宋" w:eastAsia="仿宋" w:cs="仿宋"/>
                <w:b w:val="0"/>
                <w:bCs w:val="0"/>
                <w:color w:val="auto"/>
                <w:sz w:val="21"/>
                <w:szCs w:val="21"/>
                <w:lang w:val="en-US" w:eastAsia="zh-CN"/>
              </w:rPr>
              <w:t>成交单位在领取本项目成交通知书时，按关于印发</w:t>
            </w:r>
            <w:r>
              <w:rPr>
                <w:rFonts w:hint="eastAsia" w:ascii="仿宋" w:hAnsi="仿宋" w:eastAsia="仿宋" w:cs="仿宋"/>
                <w:color w:val="auto"/>
                <w:kern w:val="0"/>
                <w:szCs w:val="21"/>
              </w:rPr>
              <w:t>《</w:t>
            </w:r>
            <w:r>
              <w:rPr>
                <w:rFonts w:hint="eastAsia" w:ascii="仿宋" w:hAnsi="仿宋" w:eastAsia="仿宋" w:cs="仿宋"/>
                <w:b w:val="0"/>
                <w:bCs w:val="0"/>
                <w:color w:val="auto"/>
                <w:sz w:val="21"/>
                <w:szCs w:val="21"/>
                <w:lang w:val="en-US" w:eastAsia="zh-CN"/>
              </w:rPr>
              <w:t>新疆维吾尔自治区招标代理服务收费指导意见</w:t>
            </w:r>
            <w:r>
              <w:rPr>
                <w:rFonts w:hint="eastAsia" w:ascii="仿宋" w:hAnsi="仿宋" w:eastAsia="仿宋" w:cs="仿宋"/>
                <w:color w:val="auto"/>
                <w:kern w:val="0"/>
                <w:szCs w:val="21"/>
              </w:rPr>
              <w:t>》</w:t>
            </w:r>
            <w:r>
              <w:rPr>
                <w:rFonts w:hint="eastAsia" w:ascii="仿宋" w:hAnsi="仿宋" w:eastAsia="仿宋" w:cs="仿宋"/>
                <w:b w:val="0"/>
                <w:bCs w:val="0"/>
                <w:color w:val="auto"/>
                <w:sz w:val="21"/>
                <w:szCs w:val="21"/>
                <w:lang w:val="en-US" w:eastAsia="zh-CN"/>
              </w:rPr>
              <w:t xml:space="preserve"> 的通知中规定，招标代理服务费用应由招标人支付，招标人、招标代理机构与 投标人另有约定的，从其约定。收费标准如下：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w:t>
            </w:r>
          </w:p>
          <w:tbl>
            <w:tblPr>
              <w:tblStyle w:val="54"/>
              <w:tblW w:w="7081"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5"/>
              <w:gridCol w:w="1545"/>
              <w:gridCol w:w="1905"/>
              <w:gridCol w:w="12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33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中标金额（万元）</w:t>
                  </w:r>
                </w:p>
              </w:tc>
              <w:tc>
                <w:tcPr>
                  <w:tcW w:w="154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90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1296"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33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 以下</w:t>
                  </w:r>
                </w:p>
              </w:tc>
              <w:tc>
                <w:tcPr>
                  <w:tcW w:w="154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1.58%</w:t>
                  </w:r>
                </w:p>
              </w:tc>
              <w:tc>
                <w:tcPr>
                  <w:tcW w:w="190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1.58%</w:t>
                  </w:r>
                </w:p>
              </w:tc>
              <w:tc>
                <w:tcPr>
                  <w:tcW w:w="1296"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3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w:t>
                  </w:r>
                </w:p>
              </w:tc>
              <w:tc>
                <w:tcPr>
                  <w:tcW w:w="154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1.16%</w:t>
                  </w:r>
                </w:p>
              </w:tc>
              <w:tc>
                <w:tcPr>
                  <w:tcW w:w="190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0.84%</w:t>
                  </w:r>
                </w:p>
              </w:tc>
              <w:tc>
                <w:tcPr>
                  <w:tcW w:w="1296"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33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w:t>
                  </w:r>
                </w:p>
              </w:tc>
              <w:tc>
                <w:tcPr>
                  <w:tcW w:w="154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0.93%</w:t>
                  </w:r>
                </w:p>
              </w:tc>
              <w:tc>
                <w:tcPr>
                  <w:tcW w:w="190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0.62%</w:t>
                  </w:r>
                </w:p>
              </w:tc>
              <w:tc>
                <w:tcPr>
                  <w:tcW w:w="1296"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3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w:t>
                  </w:r>
                </w:p>
              </w:tc>
              <w:tc>
                <w:tcPr>
                  <w:tcW w:w="154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0.61%</w:t>
                  </w:r>
                </w:p>
              </w:tc>
              <w:tc>
                <w:tcPr>
                  <w:tcW w:w="1905"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0.35%</w:t>
                  </w:r>
                </w:p>
              </w:tc>
              <w:tc>
                <w:tcPr>
                  <w:tcW w:w="1296" w:type="dxa"/>
                  <w:noWrap w:val="0"/>
                  <w:vAlign w:val="top"/>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招标代理服务收费按差额定率累进法计算。例如：某项目招标代理业务中标金额 为 2000 万元，计算招标代理服务收费额如下：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 万元×1.58%=1.58（万元）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（500-100）万元×1.16%=4.64（万元）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（1000-500）万元×0.93%=4.65（万元）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（2000-1000）万元×0.61%=6.1（万元）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合计收费=1.58+4.64+4.65+6.1=16.97(万元)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本次招标预算价（元）：</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10000000</w:t>
            </w:r>
          </w:p>
        </w:tc>
      </w:tr>
      <w:tr>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本项目最高限价：10000000元，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3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31</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中小微企业政策文件说明（本政策仅限于综合评分法）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《政府采购促进中小企业发展管理办法》（财库[2020]46号）新财购 〔2022〕22号</w:t>
            </w:r>
          </w:p>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（1）本项目对属于小型和微型企业的投标人的投标报价给予</w:t>
            </w:r>
            <w:r>
              <w:rPr>
                <w:rFonts w:hint="eastAsia" w:ascii="仿宋" w:hAnsi="仿宋" w:eastAsia="仿宋" w:cs="仿宋"/>
                <w:color w:val="000000" w:themeColor="text1"/>
                <w:kern w:val="0"/>
                <w:szCs w:val="21"/>
                <w:lang w:val="en-US" w:eastAsia="zh-CN"/>
                <w14:textFill>
                  <w14:solidFill>
                    <w14:schemeClr w14:val="tx1"/>
                  </w14:solidFill>
                </w14:textFill>
              </w:rPr>
              <w:t>10</w:t>
            </w:r>
            <w:r>
              <w:rPr>
                <w:rFonts w:hint="eastAsia" w:ascii="仿宋" w:hAnsi="仿宋" w:eastAsia="仿宋" w:cs="仿宋"/>
                <w:color w:val="000000" w:themeColor="text1"/>
                <w:kern w:val="0"/>
                <w:szCs w:val="21"/>
                <w:lang w:val="zh-CN"/>
                <w14:textFill>
                  <w14:solidFill>
                    <w14:schemeClr w14:val="tx1"/>
                  </w14:solidFill>
                </w14:textFill>
              </w:rPr>
              <w:t>%的扣除，用扣除后的价格参与评审。残疾人福利性单位视同小型、微型企业，享受同等价格扣除，但同时属于残疾人福利性单位和小微企业的，不重复价格扣除。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其它：</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）招标文件</w:t>
            </w:r>
            <w:r>
              <w:rPr>
                <w:rFonts w:hint="eastAsia" w:ascii="仿宋" w:hAnsi="仿宋" w:eastAsia="仿宋" w:cs="仿宋"/>
                <w:color w:val="000000" w:themeColor="text1"/>
                <w:sz w:val="21"/>
                <w:szCs w:val="21"/>
                <w14:textFill>
                  <w14:solidFill>
                    <w14:schemeClr w14:val="tx1"/>
                  </w14:solidFill>
                </w14:textFill>
              </w:rPr>
              <w:t>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strike/>
                <w:dstrike w:val="0"/>
                <w:color w:val="000000" w:themeColor="text1"/>
                <w:sz w:val="21"/>
                <w:szCs w:val="21"/>
                <w:lang w:eastAsia="zh-CN"/>
                <w14:textFill>
                  <w14:solidFill>
                    <w14:schemeClr w14:val="tx1"/>
                  </w14:solidFill>
                </w14:textFill>
              </w:rPr>
            </w:pPr>
            <w:r>
              <w:rPr>
                <w:rFonts w:hint="eastAsia" w:ascii="仿宋" w:hAnsi="仿宋" w:eastAsia="仿宋" w:cs="仿宋"/>
                <w:b/>
                <w:bCs/>
                <w:strike w:val="0"/>
                <w:dstrike w:val="0"/>
                <w:color w:val="auto"/>
                <w:sz w:val="21"/>
                <w:szCs w:val="21"/>
                <w:lang w:eastAsia="zh-CN"/>
              </w:rPr>
              <w:t>投标供应商须按照对应的包号参加投标，即按包号进行投标。</w:t>
            </w:r>
          </w:p>
        </w:tc>
      </w:tr>
      <w:tr>
        <w:tblPrEx>
          <w:tblCellMar>
            <w:top w:w="0" w:type="dxa"/>
            <w:left w:w="108" w:type="dxa"/>
            <w:bottom w:w="0" w:type="dxa"/>
            <w:right w:w="108" w:type="dxa"/>
          </w:tblCellMar>
        </w:tblPrEx>
        <w:trPr>
          <w:trHeight w:val="84" w:hRule="atLeast"/>
          <w:jc w:val="center"/>
        </w:trPr>
        <w:tc>
          <w:tcPr>
            <w:tcW w:w="2121" w:type="dxa"/>
            <w:gridSpan w:val="2"/>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中小企业划分标准所属行业</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bCs/>
                <w:color w:val="auto"/>
                <w:sz w:val="21"/>
                <w:szCs w:val="21"/>
                <w:lang w:val="en-US" w:eastAsia="zh-CN"/>
              </w:rPr>
            </w:pPr>
            <w:r>
              <w:rPr>
                <w:rFonts w:hint="default" w:ascii="仿宋" w:hAnsi="仿宋" w:eastAsia="仿宋" w:cs="仿宋"/>
                <w:b/>
                <w:bCs/>
                <w:color w:val="auto"/>
                <w:sz w:val="21"/>
                <w:szCs w:val="21"/>
                <w:lang w:val="en-US" w:eastAsia="zh-CN"/>
              </w:rPr>
              <w:t>本项目采购标的对应的中小企业划分标准所属行业为“软件和信息技术服务业 ”。行业划分标准按《国民经济行业分类》执行。中小企业划分标准按《中小企业划型标准规定》（工信部联企业[2011]300号）文件规定执行。</w:t>
            </w:r>
          </w:p>
          <w:p>
            <w:pPr>
              <w:pStyle w:val="2"/>
              <w:ind w:left="0" w:leftChars="0" w:firstLine="420" w:firstLineChars="200"/>
              <w:rPr>
                <w:rFonts w:hint="default" w:eastAsia="仿宋"/>
                <w:color w:val="auto"/>
                <w:lang w:val="en-US" w:eastAsia="zh-CN"/>
              </w:rPr>
            </w:pPr>
            <w:r>
              <w:rPr>
                <w:rFonts w:hint="eastAsia" w:ascii="仿宋" w:hAnsi="仿宋" w:eastAsia="仿宋" w:cs="仿宋"/>
                <w:b/>
                <w:bCs/>
                <w:color w:val="auto"/>
                <w:spacing w:val="0"/>
                <w:w w:val="100"/>
                <w:position w:val="0"/>
                <w:sz w:val="21"/>
                <w:szCs w:val="21"/>
                <w:shd w:val="clear" w:color="auto" w:fill="auto"/>
                <w:lang w:val="en-US" w:eastAsia="zh-CN" w:bidi="en-US"/>
              </w:rPr>
              <w:t>着重提醒：投标供应商在提供</w:t>
            </w:r>
            <w:r>
              <w:rPr>
                <w:rFonts w:hint="eastAsia" w:ascii="仿宋" w:hAnsi="仿宋" w:eastAsia="仿宋" w:cs="仿宋"/>
                <w:b/>
                <w:bCs/>
                <w:color w:val="auto"/>
                <w:spacing w:val="0"/>
                <w:w w:val="100"/>
                <w:position w:val="0"/>
                <w:sz w:val="21"/>
                <w:szCs w:val="21"/>
                <w:shd w:val="clear" w:color="auto" w:fill="auto"/>
                <w:lang w:val="zh-CN" w:eastAsia="zh-CN" w:bidi="en-US"/>
              </w:rPr>
              <w:t>《中小企业声明函》</w:t>
            </w:r>
            <w:r>
              <w:rPr>
                <w:rFonts w:hint="eastAsia" w:ascii="仿宋" w:hAnsi="仿宋" w:eastAsia="仿宋" w:cs="仿宋"/>
                <w:b/>
                <w:bCs/>
                <w:color w:val="auto"/>
                <w:spacing w:val="0"/>
                <w:w w:val="100"/>
                <w:position w:val="0"/>
                <w:sz w:val="21"/>
                <w:szCs w:val="21"/>
                <w:shd w:val="clear" w:color="auto" w:fill="auto"/>
                <w:lang w:val="en-US" w:eastAsia="zh-CN" w:bidi="en-US"/>
              </w:rPr>
              <w:t>时，必须将招标文件采购标的物全部列入</w:t>
            </w:r>
            <w:r>
              <w:rPr>
                <w:rFonts w:hint="eastAsia" w:ascii="仿宋" w:hAnsi="仿宋" w:eastAsia="仿宋" w:cs="仿宋"/>
                <w:b/>
                <w:bCs/>
                <w:color w:val="auto"/>
                <w:spacing w:val="0"/>
                <w:w w:val="100"/>
                <w:position w:val="0"/>
                <w:sz w:val="21"/>
                <w:szCs w:val="21"/>
                <w:shd w:val="clear" w:color="auto" w:fill="auto"/>
                <w:lang w:val="zh-CN" w:eastAsia="zh-CN" w:bidi="en-US"/>
              </w:rPr>
              <w:t>《中小企业声明函》，</w:t>
            </w:r>
            <w:r>
              <w:rPr>
                <w:rFonts w:hint="eastAsia" w:ascii="仿宋" w:hAnsi="仿宋" w:eastAsia="仿宋" w:cs="仿宋"/>
                <w:b/>
                <w:bCs/>
                <w:color w:val="auto"/>
                <w:spacing w:val="0"/>
                <w:w w:val="100"/>
                <w:position w:val="0"/>
                <w:sz w:val="21"/>
                <w:szCs w:val="21"/>
                <w:shd w:val="clear" w:color="auto" w:fill="auto"/>
                <w:lang w:val="en-US" w:eastAsia="zh-CN" w:bidi="en-US"/>
              </w:rPr>
              <w:t>否则不享受扣除价格政策。</w:t>
            </w:r>
          </w:p>
        </w:tc>
      </w:tr>
      <w:tr>
        <w:tblPrEx>
          <w:tblCellMar>
            <w:top w:w="0" w:type="dxa"/>
            <w:left w:w="108" w:type="dxa"/>
            <w:bottom w:w="0" w:type="dxa"/>
            <w:right w:w="108" w:type="dxa"/>
          </w:tblCellMar>
        </w:tblPrEx>
        <w:trPr>
          <w:trHeight w:val="84" w:hRule="atLeast"/>
          <w:jc w:val="center"/>
        </w:trPr>
        <w:tc>
          <w:tcPr>
            <w:tcW w:w="2121" w:type="dxa"/>
            <w:gridSpan w:val="2"/>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bCs/>
                <w:color w:val="FF0000"/>
                <w:sz w:val="21"/>
                <w:szCs w:val="21"/>
                <w:lang w:val="en-US" w:eastAsia="zh-CN"/>
              </w:rPr>
            </w:pP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2"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2"/>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rPr>
          <w:rFonts w:hint="eastAsia" w:ascii="仿宋" w:hAnsi="仿宋" w:eastAsia="仿宋" w:cs="仿宋"/>
          <w:color w:val="FF0000"/>
          <w:szCs w:val="21"/>
          <w:highlight w:val="none"/>
        </w:rPr>
      </w:pPr>
      <w:r>
        <w:rPr>
          <w:rFonts w:hint="eastAsia" w:ascii="仿宋" w:hAnsi="仿宋" w:eastAsia="仿宋" w:cs="仿宋"/>
          <w:color w:val="auto"/>
          <w:szCs w:val="21"/>
          <w:highlight w:val="none"/>
        </w:rPr>
        <w:t xml:space="preserve">5.1本次招标项目合同采用 </w:t>
      </w:r>
      <w:r>
        <w:rPr>
          <w:rFonts w:hint="eastAsia" w:ascii="仿宋" w:hAnsi="仿宋" w:eastAsia="仿宋" w:cs="仿宋"/>
          <w:b/>
          <w:bCs/>
          <w:color w:val="auto"/>
          <w:szCs w:val="21"/>
          <w:highlight w:val="none"/>
          <w:u w:val="single"/>
        </w:rPr>
        <w:t xml:space="preserve">  固定</w:t>
      </w:r>
      <w:r>
        <w:rPr>
          <w:rFonts w:hint="eastAsia" w:ascii="仿宋" w:hAnsi="仿宋" w:eastAsia="仿宋" w:cs="仿宋"/>
          <w:b/>
          <w:bCs/>
          <w:color w:val="auto"/>
          <w:szCs w:val="21"/>
          <w:highlight w:val="none"/>
          <w:u w:val="single"/>
          <w:lang w:eastAsia="zh-CN"/>
        </w:rPr>
        <w:t>总价</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3" w:name="_Toc152045539"/>
      <w:bookmarkStart w:id="4" w:name="_Toc247527563"/>
      <w:bookmarkStart w:id="5" w:name="_Toc247592876"/>
      <w:bookmarkStart w:id="6" w:name="_Toc152042315"/>
      <w:bookmarkStart w:id="7" w:name="_Toc144974507"/>
      <w:bookmarkStart w:id="8" w:name="_Toc296602429"/>
      <w:bookmarkStart w:id="9" w:name="_Toc247513962"/>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3"/>
      <w:bookmarkEnd w:id="4"/>
      <w:bookmarkEnd w:id="5"/>
      <w:bookmarkEnd w:id="6"/>
      <w:bookmarkEnd w:id="7"/>
      <w:bookmarkEnd w:id="8"/>
      <w:bookmarkEnd w:id="9"/>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247513963"/>
      <w:bookmarkStart w:id="11" w:name="_Toc144974508"/>
      <w:bookmarkStart w:id="12" w:name="_Toc247592877"/>
      <w:bookmarkStart w:id="13" w:name="_Toc152042316"/>
      <w:bookmarkStart w:id="14" w:name="_Toc247527564"/>
      <w:bookmarkStart w:id="15" w:name="_Toc152045540"/>
      <w:bookmarkStart w:id="16" w:name="_Toc296602430"/>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10"/>
      <w:bookmarkEnd w:id="11"/>
      <w:bookmarkEnd w:id="12"/>
      <w:bookmarkEnd w:id="13"/>
      <w:bookmarkEnd w:id="14"/>
      <w:bookmarkEnd w:id="15"/>
      <w:bookmarkEnd w:id="16"/>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3"/>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12.1</w:t>
      </w:r>
      <w:r>
        <w:rPr>
          <w:rFonts w:hint="eastAsia" w:ascii="仿宋" w:hAnsi="仿宋" w:eastAsia="仿宋" w:cs="仿宋"/>
          <w:bCs/>
          <w:color w:val="000000" w:themeColor="text1"/>
          <w:szCs w:val="21"/>
          <w:highlight w:val="none"/>
          <w:lang w:val="en-US" w:eastAsia="zh-CN"/>
          <w14:textFill>
            <w14:solidFill>
              <w14:schemeClr w14:val="tx1"/>
            </w14:solidFill>
          </w14:textFill>
        </w:rPr>
        <w:t>成交单位在领取本项目成交通知书时，按关于印发</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新疆维吾尔自治区招标代理服务收费指导意见</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 xml:space="preserve"> 的通知中规定，招标代理服务费用应由招标人支付，招标人、招标代理机构与 投标人另有约定的，从其约定。收费标准如下：</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招标代理服务收费标准</w:t>
      </w:r>
    </w:p>
    <w:tbl>
      <w:tblPr>
        <w:tblStyle w:val="54"/>
        <w:tblW w:w="7081"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5"/>
        <w:gridCol w:w="1545"/>
        <w:gridCol w:w="1905"/>
        <w:gridCol w:w="12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33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中标金额（万元）</w:t>
            </w:r>
          </w:p>
        </w:tc>
        <w:tc>
          <w:tcPr>
            <w:tcW w:w="154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货物招标</w:t>
            </w:r>
          </w:p>
        </w:tc>
        <w:tc>
          <w:tcPr>
            <w:tcW w:w="190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服务招标</w:t>
            </w:r>
          </w:p>
        </w:tc>
        <w:tc>
          <w:tcPr>
            <w:tcW w:w="1296"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33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100 以下</w:t>
            </w:r>
          </w:p>
        </w:tc>
        <w:tc>
          <w:tcPr>
            <w:tcW w:w="154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1.58%</w:t>
            </w:r>
          </w:p>
        </w:tc>
        <w:tc>
          <w:tcPr>
            <w:tcW w:w="190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1.58%</w:t>
            </w:r>
          </w:p>
        </w:tc>
        <w:tc>
          <w:tcPr>
            <w:tcW w:w="1296"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3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100-500</w:t>
            </w:r>
          </w:p>
        </w:tc>
        <w:tc>
          <w:tcPr>
            <w:tcW w:w="154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1.16%</w:t>
            </w:r>
          </w:p>
        </w:tc>
        <w:tc>
          <w:tcPr>
            <w:tcW w:w="190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0.84%</w:t>
            </w:r>
          </w:p>
        </w:tc>
        <w:tc>
          <w:tcPr>
            <w:tcW w:w="1296"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33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500-1000</w:t>
            </w:r>
          </w:p>
        </w:tc>
        <w:tc>
          <w:tcPr>
            <w:tcW w:w="154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0.93%</w:t>
            </w:r>
          </w:p>
        </w:tc>
        <w:tc>
          <w:tcPr>
            <w:tcW w:w="190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0.62%</w:t>
            </w:r>
          </w:p>
        </w:tc>
        <w:tc>
          <w:tcPr>
            <w:tcW w:w="1296"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3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1000-5000</w:t>
            </w:r>
          </w:p>
        </w:tc>
        <w:tc>
          <w:tcPr>
            <w:tcW w:w="154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0.61%</w:t>
            </w:r>
          </w:p>
        </w:tc>
        <w:tc>
          <w:tcPr>
            <w:tcW w:w="1905"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0.35%</w:t>
            </w:r>
          </w:p>
        </w:tc>
        <w:tc>
          <w:tcPr>
            <w:tcW w:w="1296" w:type="dxa"/>
            <w:noWrap w:val="0"/>
            <w:vAlign w:val="top"/>
          </w:tcPr>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p>
        </w:tc>
      </w:tr>
    </w:tbl>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招标代理服务收费按差额定率累进法计算。例如：某项目招标代理业务中标金额 为 2000 万元，计算招标代理服务收费额如下：</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100 万元×1.58%=1.58（万元） ；</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（500-100）万元×1.16%=4.64（万元）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（1000-500）万元×0.93%=4.65（万元）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（2000-1000）万元×0.61%=6.1（万元）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合计收费=1.58+4.64+4.65+6.1=16.97(万元)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7"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7"/>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1"/>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8"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pStyle w:val="29"/>
        <w:numPr>
          <w:ilvl w:val="4"/>
          <w:numId w:val="0"/>
        </w:numPr>
        <w:spacing w:line="240" w:lineRule="auto"/>
        <w:ind w:right="0" w:rightChars="0" w:firstLine="480" w:firstLineChars="200"/>
        <w:rPr>
          <w:rFonts w:hint="eastAsia" w:ascii="仿宋" w:hAnsi="仿宋" w:eastAsia="仿宋" w:cs="仿宋"/>
          <w:b w:val="0"/>
          <w:bCs/>
        </w:rPr>
      </w:pPr>
      <w:r>
        <w:rPr>
          <w:rFonts w:hint="eastAsia" w:ascii="仿宋" w:hAnsi="仿宋" w:eastAsia="仿宋" w:cs="仿宋"/>
          <w:b w:val="0"/>
          <w:bCs/>
        </w:rPr>
        <w:t>1.满足《中华人民共和国政府采购法》第二十二条规定；</w:t>
      </w:r>
    </w:p>
    <w:p>
      <w:pPr>
        <w:pStyle w:val="29"/>
        <w:numPr>
          <w:ilvl w:val="4"/>
          <w:numId w:val="0"/>
        </w:numPr>
        <w:spacing w:line="240" w:lineRule="auto"/>
        <w:ind w:right="0" w:rightChars="0" w:firstLine="480" w:firstLineChars="200"/>
        <w:rPr>
          <w:rFonts w:hint="eastAsia" w:ascii="仿宋" w:hAnsi="仿宋" w:eastAsia="仿宋" w:cs="仿宋"/>
          <w:b w:val="0"/>
          <w:bCs/>
        </w:rPr>
      </w:pPr>
      <w:r>
        <w:rPr>
          <w:rFonts w:hint="eastAsia" w:ascii="仿宋" w:hAnsi="仿宋" w:eastAsia="仿宋" w:cs="仿宋"/>
          <w:b w:val="0"/>
          <w:bCs/>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pStyle w:val="29"/>
        <w:numPr>
          <w:ilvl w:val="4"/>
          <w:numId w:val="0"/>
        </w:numPr>
        <w:spacing w:line="240" w:lineRule="auto"/>
        <w:ind w:right="0" w:rightChars="0" w:firstLine="240" w:firstLineChars="100"/>
        <w:rPr>
          <w:rFonts w:hint="eastAsia" w:ascii="仿宋" w:hAnsi="仿宋" w:eastAsia="仿宋" w:cs="仿宋"/>
          <w:b w:val="0"/>
          <w:bCs/>
        </w:rPr>
      </w:pPr>
      <w:r>
        <w:rPr>
          <w:rFonts w:hint="eastAsia" w:ascii="仿宋" w:hAnsi="仿宋" w:eastAsia="仿宋" w:cs="仿宋"/>
          <w:b w:val="0"/>
          <w:bCs/>
          <w:lang w:val="en-US" w:eastAsia="zh-CN"/>
        </w:rPr>
        <w:t xml:space="preserve">  </w:t>
      </w:r>
      <w:r>
        <w:rPr>
          <w:rFonts w:hint="eastAsia" w:ascii="仿宋" w:hAnsi="仿宋" w:eastAsia="仿宋" w:cs="仿宋"/>
          <w:b w:val="0"/>
          <w:bCs/>
        </w:rPr>
        <w:t>3.本项目的特定资格要求：</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1、有效的三证合一营业执照副本（经营范围包括采购货物的生产或销售）2、法定代表人投标需提供法定代表人资格证明书，委托代理人投标需提供法定代表人授权委托书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4、投标单位（供应商）针对本次采购项目《反商业贿赂承诺书》，《采购活动前三年内无重大违规记录承诺书》的书面声明。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5、投标保证金</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6、投标人须知资料表要求的其他资格证明文件。</w:t>
      </w:r>
    </w:p>
    <w:p>
      <w:pPr>
        <w:shd w:val="clear" w:color="auto" w:fill="auto"/>
        <w:spacing w:line="440" w:lineRule="exact"/>
        <w:ind w:firstLine="352" w:firstLineChars="147"/>
        <w:rPr>
          <w:rFonts w:hint="eastAsia" w:ascii="仿宋" w:hAnsi="仿宋" w:eastAsia="仿宋" w:cs="仿宋"/>
          <w:color w:val="0000FF"/>
          <w:szCs w:val="21"/>
          <w:highlight w:val="none"/>
        </w:rPr>
      </w:pPr>
      <w:r>
        <w:rPr>
          <w:rFonts w:hint="eastAsia" w:ascii="仿宋" w:hAnsi="仿宋" w:eastAsia="仿宋" w:cs="仿宋"/>
          <w:b/>
          <w:color w:val="0000FF"/>
          <w:szCs w:val="21"/>
          <w:highlight w:val="none"/>
        </w:rPr>
        <w:t>21.2</w:t>
      </w:r>
      <w:r>
        <w:rPr>
          <w:rFonts w:hint="eastAsia" w:ascii="仿宋" w:hAnsi="仿宋" w:eastAsia="仿宋" w:cs="仿宋"/>
          <w:b/>
          <w:color w:val="0000FF"/>
          <w:szCs w:val="21"/>
          <w:highlight w:val="none"/>
          <w:lang w:val="en-US" w:eastAsia="zh-CN"/>
        </w:rPr>
        <w:t xml:space="preserve"> 商务及技术文件</w:t>
      </w:r>
      <w:r>
        <w:rPr>
          <w:rFonts w:hint="eastAsia" w:ascii="仿宋" w:hAnsi="仿宋" w:eastAsia="仿宋" w:cs="仿宋"/>
          <w:b/>
          <w:color w:val="0000FF"/>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b/>
          <w:color w:val="0000FF"/>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pPr>
        <w:shd w:val="clear" w:color="auto" w:fill="auto"/>
        <w:spacing w:line="400" w:lineRule="exact"/>
        <w:ind w:firstLine="477" w:firstLineChars="199"/>
        <w:rPr>
          <w:rFonts w:hint="eastAsia" w:ascii="仿宋" w:hAnsi="仿宋" w:eastAsia="仿宋" w:cs="仿宋"/>
          <w:color w:val="0000FF"/>
          <w:szCs w:val="21"/>
          <w:highlight w:val="none"/>
          <w:lang w:eastAsia="zh-CN"/>
        </w:rPr>
      </w:pPr>
      <w:r>
        <w:rPr>
          <w:rFonts w:hint="eastAsia" w:ascii="仿宋" w:hAnsi="仿宋" w:eastAsia="仿宋" w:cs="仿宋"/>
          <w:b/>
          <w:color w:val="0000FF"/>
          <w:kern w:val="0"/>
          <w:szCs w:val="21"/>
          <w:highlight w:val="none"/>
          <w:u w:val="none"/>
        </w:rPr>
        <w:t>注：以上材料须</w:t>
      </w:r>
      <w:r>
        <w:rPr>
          <w:rFonts w:hint="eastAsia" w:ascii="仿宋" w:hAnsi="仿宋" w:eastAsia="仿宋" w:cs="仿宋"/>
          <w:b/>
          <w:color w:val="0000FF"/>
          <w:kern w:val="0"/>
          <w:szCs w:val="21"/>
          <w:highlight w:val="none"/>
          <w:u w:val="none"/>
          <w:lang w:eastAsia="zh-CN"/>
        </w:rPr>
        <w:t>逐页</w:t>
      </w:r>
      <w:r>
        <w:rPr>
          <w:rFonts w:hint="eastAsia" w:ascii="仿宋" w:hAnsi="仿宋" w:eastAsia="仿宋" w:cs="仿宋"/>
          <w:b/>
          <w:color w:val="0000FF"/>
          <w:kern w:val="0"/>
          <w:szCs w:val="21"/>
          <w:highlight w:val="none"/>
          <w:u w:val="none"/>
        </w:rPr>
        <w:t>加盖</w:t>
      </w:r>
      <w:r>
        <w:rPr>
          <w:rFonts w:hint="eastAsia" w:ascii="仿宋" w:hAnsi="仿宋" w:eastAsia="仿宋" w:cs="仿宋"/>
          <w:b/>
          <w:color w:val="0000FF"/>
          <w:kern w:val="0"/>
          <w:szCs w:val="21"/>
          <w:highlight w:val="none"/>
          <w:u w:val="none"/>
          <w:lang w:val="en-US" w:eastAsia="zh-CN"/>
        </w:rPr>
        <w:t>投标</w:t>
      </w:r>
      <w:r>
        <w:rPr>
          <w:rFonts w:hint="eastAsia" w:ascii="仿宋" w:hAnsi="仿宋" w:eastAsia="仿宋" w:cs="仿宋"/>
          <w:b/>
          <w:color w:val="0000FF"/>
          <w:kern w:val="0"/>
          <w:szCs w:val="21"/>
          <w:highlight w:val="none"/>
          <w:u w:val="none"/>
        </w:rPr>
        <w:t>单位公章</w:t>
      </w:r>
      <w:r>
        <w:rPr>
          <w:rFonts w:hint="eastAsia" w:ascii="仿宋" w:hAnsi="仿宋" w:eastAsia="仿宋" w:cs="仿宋"/>
          <w:b/>
          <w:color w:val="0000FF"/>
          <w:kern w:val="0"/>
          <w:szCs w:val="21"/>
          <w:highlight w:val="none"/>
          <w:u w:val="none"/>
          <w:lang w:eastAsia="zh-CN"/>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（1）项目报价采用人民币综合报价，投标供应商应严格按照“开标一览表”和“分项报价明细表”的格式认真填写。本项目只接受一个投标报价，有选择的或有条件的报价将不予接受；</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9"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4"/>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9"/>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w:t>
      </w:r>
      <w:r>
        <w:rPr>
          <w:rFonts w:hint="eastAsia" w:ascii="仿宋" w:hAnsi="仿宋" w:eastAsia="仿宋" w:cs="仿宋"/>
          <w:color w:val="auto"/>
          <w:sz w:val="24"/>
          <w:szCs w:val="24"/>
          <w:highlight w:val="none"/>
          <w:lang w:bidi="zh-CN"/>
        </w:rPr>
        <w:t>办理邮件提供事宜（接收人邮箱：</w:t>
      </w:r>
      <w:r>
        <w:rPr>
          <w:rFonts w:hint="eastAsia" w:ascii="仿宋" w:hAnsi="仿宋" w:eastAsia="仿宋" w:cs="仿宋"/>
          <w:color w:val="auto"/>
          <w:sz w:val="24"/>
          <w:szCs w:val="24"/>
          <w:highlight w:val="none"/>
          <w:lang w:val="en-US" w:eastAsia="zh-CN" w:bidi="zh-CN"/>
        </w:rPr>
        <w:t>756299071@qq.com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王先生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18809085988</w:t>
      </w:r>
      <w:r>
        <w:rPr>
          <w:rFonts w:hint="eastAsia" w:ascii="仿宋" w:hAnsi="仿宋" w:eastAsia="仿宋" w:cs="仿宋"/>
          <w:color w:val="auto"/>
          <w:sz w:val="24"/>
          <w:szCs w:val="24"/>
          <w:highlight w:val="none"/>
          <w:lang w:bidi="zh-CN"/>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20" w:name="_Toc469495728"/>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20"/>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1"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21"/>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4"/>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2"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2"/>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w:t>
      </w:r>
      <w:r>
        <w:rPr>
          <w:rFonts w:hint="eastAsia" w:ascii="仿宋" w:hAnsi="仿宋" w:eastAsia="仿宋" w:cs="仿宋"/>
          <w:b/>
          <w:bCs/>
          <w:color w:val="auto"/>
          <w:kern w:val="0"/>
          <w:sz w:val="24"/>
          <w:szCs w:val="24"/>
          <w:highlight w:val="none"/>
        </w:rPr>
        <w:t>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756299071@qq.com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3"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spacing w:before="156" w:beforeLines="50"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3"/>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2"/>
      <w:bookmarkStart w:id="25"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4"/>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中标供应商在签订合同后5个工作日内向采购人交纳中标价5%的履约保证金（鼓励以银行、保险公司出具的履约保函形式提交；若以电汇、银行转账方式提交的，必须转到采购人的指定账户）。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6"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6"/>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5"/>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w:t>
      </w:r>
      <w:r>
        <w:rPr>
          <w:rFonts w:hint="eastAsia" w:ascii="仿宋" w:hAnsi="仿宋" w:eastAsia="仿宋" w:cs="仿宋"/>
          <w:b w:val="0"/>
          <w:bCs w:val="0"/>
          <w:color w:val="auto"/>
          <w:szCs w:val="21"/>
          <w:highlight w:val="none"/>
          <w:lang w:val="en-US" w:eastAsia="zh-CN"/>
        </w:rPr>
        <w:t>可以质疑的</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49.5供应商有下列情形之一的，采购代理机构将报送给克州财政局，将其列入不良行为记录名单：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投诉供应商：</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法定代表人（或主要负责人）：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27" w:name="_Toc17515"/>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7"/>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8"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9"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30"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30"/>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克孜勒苏柯尔克孜自治州政府采购办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30"/>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31"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4"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5"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36"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36"/>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7" w:name="_Toc362983802"/>
      <w:bookmarkStart w:id="38" w:name="_Toc469495733"/>
      <w:bookmarkStart w:id="39" w:name="_Toc267320058"/>
      <w:bookmarkStart w:id="40"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评标委员会由采购人代表和有关技术、经济等方面的专家组成，成员人数应当为</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5</w:t>
      </w:r>
      <w:r>
        <w:rPr>
          <w:rFonts w:hint="eastAsia" w:ascii="仿宋" w:hAnsi="仿宋" w:eastAsia="仿宋" w:cs="仿宋"/>
          <w:color w:val="000000" w:themeColor="text1"/>
          <w:kern w:val="0"/>
          <w:szCs w:val="21"/>
          <w:highlight w:val="none"/>
          <w:lang w:bidi="ar-SA"/>
          <w14:textFill>
            <w14:solidFill>
              <w14:schemeClr w14:val="tx1"/>
            </w14:solidFill>
          </w14:textFill>
        </w:rPr>
        <w:t>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或</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5人</w:t>
      </w:r>
      <w:r>
        <w:rPr>
          <w:rFonts w:hint="eastAsia" w:ascii="仿宋" w:hAnsi="仿宋" w:eastAsia="仿宋" w:cs="仿宋"/>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3.1审查投标文件是否符合招标文件要求，并作出评价；</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3.2要求投标人对投标文件有关事项作出解释或者澄清；</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3.3推荐中标候选人名单；</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6"/>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37"/>
      <w:bookmarkEnd w:id="38"/>
    </w:p>
    <w:p>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581" w:type="dxa"/>
        <w:jc w:val="center"/>
        <w:tblLayout w:type="autofit"/>
        <w:tblCellMar>
          <w:top w:w="0" w:type="dxa"/>
          <w:left w:w="0" w:type="dxa"/>
          <w:bottom w:w="0" w:type="dxa"/>
          <w:right w:w="0" w:type="dxa"/>
        </w:tblCellMar>
      </w:tblPr>
      <w:tblGrid>
        <w:gridCol w:w="310"/>
        <w:gridCol w:w="6432"/>
        <w:gridCol w:w="1718"/>
        <w:gridCol w:w="563"/>
        <w:gridCol w:w="558"/>
      </w:tblGrid>
      <w:tr>
        <w:tblPrEx>
          <w:tblCellMar>
            <w:top w:w="0" w:type="dxa"/>
            <w:left w:w="0" w:type="dxa"/>
            <w:bottom w:w="0" w:type="dxa"/>
            <w:right w:w="0" w:type="dxa"/>
          </w:tblCellMar>
        </w:tblPrEx>
        <w:trPr>
          <w:trHeight w:val="429" w:hRule="atLeast"/>
          <w:jc w:val="center"/>
        </w:trPr>
        <w:tc>
          <w:tcPr>
            <w:tcW w:w="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6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是否合格</w:t>
            </w:r>
          </w:p>
        </w:tc>
        <w:tc>
          <w:tcPr>
            <w:tcW w:w="1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204" w:hRule="atLeast"/>
          <w:jc w:val="center"/>
        </w:trPr>
        <w:tc>
          <w:tcPr>
            <w:tcW w:w="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具备三证合一营业执照副本（经营范围包括采购货物的生产或销售）；</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91"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2</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法定代表人资格证明或法定代表人授权委托书</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3</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投标企业及其法人参加本次采购活动前三年内，在经营活动中没有重大违法记录的声明及反商业受贿承诺；</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44" w:hRule="atLeast"/>
          <w:jc w:val="center"/>
        </w:trPr>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投标保证金缴纳凭证或投标担保函；</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left"/>
              <w:textAlignment w:val="center"/>
              <w:rPr>
                <w:rFonts w:hint="eastAsia" w:ascii="仿宋" w:hAnsi="仿宋" w:eastAsia="仿宋" w:cs="仿宋"/>
                <w:b w:val="0"/>
                <w:bCs w:val="0"/>
                <w:i w:val="0"/>
                <w:color w:val="000000"/>
                <w:sz w:val="20"/>
                <w:szCs w:val="20"/>
                <w:u w:val="none"/>
                <w:lang w:val="en-US" w:eastAsia="zh-CN"/>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rPr>
              <w:t>填表说明：</w:t>
            </w:r>
            <w:r>
              <w:rPr>
                <w:rFonts w:hint="eastAsia" w:ascii="仿宋" w:hAnsi="仿宋" w:eastAsia="仿宋" w:cs="仿宋"/>
                <w:b w:val="0"/>
                <w:bCs w:val="0"/>
                <w:i w:val="0"/>
                <w:color w:val="000000"/>
                <w:sz w:val="20"/>
                <w:szCs w:val="20"/>
                <w:u w:val="none"/>
              </w:rPr>
              <w:t>1、每项内容审查合格，在表中填写“√”；不合格填写“×”</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val="0"/>
                <w:bCs w:val="0"/>
                <w:i w:val="0"/>
                <w:color w:val="000000"/>
                <w:sz w:val="20"/>
                <w:szCs w:val="20"/>
                <w:u w:val="none"/>
              </w:rPr>
              <w:t>2、审查结论填写“通过”或“不通过”</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bCs/>
                <w:i w:val="0"/>
                <w:color w:val="000000"/>
                <w:sz w:val="20"/>
                <w:szCs w:val="20"/>
                <w:u w:val="none"/>
              </w:rPr>
              <w:t>注：如有一项不合格，作废标处理。</w:t>
            </w:r>
          </w:p>
        </w:tc>
        <w:tc>
          <w:tcPr>
            <w:tcW w:w="5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629" w:type="dxa"/>
        <w:jc w:val="center"/>
        <w:tblLayout w:type="autofit"/>
        <w:tblCellMar>
          <w:top w:w="0" w:type="dxa"/>
          <w:left w:w="0" w:type="dxa"/>
          <w:bottom w:w="0" w:type="dxa"/>
          <w:right w:w="0" w:type="dxa"/>
        </w:tblCellMar>
      </w:tblPr>
      <w:tblGrid>
        <w:gridCol w:w="315"/>
        <w:gridCol w:w="5169"/>
        <w:gridCol w:w="2880"/>
        <w:gridCol w:w="615"/>
        <w:gridCol w:w="650"/>
      </w:tblGrid>
      <w:tr>
        <w:tblPrEx>
          <w:tblCellMar>
            <w:top w:w="0" w:type="dxa"/>
            <w:left w:w="0" w:type="dxa"/>
            <w:bottom w:w="0" w:type="dxa"/>
            <w:right w:w="0" w:type="dxa"/>
          </w:tblCellMar>
        </w:tblPrEx>
        <w:trPr>
          <w:trHeight w:val="567"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51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审查标准</w:t>
            </w:r>
          </w:p>
        </w:tc>
        <w:tc>
          <w:tcPr>
            <w:tcW w:w="1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198"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1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由政府采购办审批的采购项目，投标报价是否高于设定的采购预算价；</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投标报价不能高于最高限价</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2</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是否改变招标文件提供的清单中的计量单位、数量的；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3</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投标货物规格参数是否不满足招标文件要求的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50"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投标的政府采购项目完成期限是否超过招标文件规定期限的；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满足</w:t>
            </w:r>
            <w:r>
              <w:rPr>
                <w:rFonts w:hint="eastAsia" w:ascii="仿宋" w:hAnsi="仿宋" w:eastAsia="仿宋" w:cs="仿宋"/>
                <w:b w:val="0"/>
                <w:bCs w:val="0"/>
                <w:i w:val="0"/>
                <w:color w:val="000000"/>
                <w:sz w:val="20"/>
                <w:szCs w:val="20"/>
                <w:u w:val="none"/>
                <w:lang w:val="en-US" w:eastAsia="zh-CN"/>
              </w:rPr>
              <w:t>招标</w:t>
            </w:r>
            <w:r>
              <w:rPr>
                <w:rFonts w:hint="eastAsia" w:ascii="仿宋" w:hAnsi="仿宋" w:eastAsia="仿宋" w:cs="仿宋"/>
                <w:b w:val="0"/>
                <w:bCs w:val="0"/>
                <w:i w:val="0"/>
                <w:color w:val="000000"/>
                <w:sz w:val="20"/>
                <w:szCs w:val="20"/>
                <w:u w:val="none"/>
              </w:rPr>
              <w:t>文件要求</w:t>
            </w:r>
            <w:r>
              <w:rPr>
                <w:rFonts w:hint="eastAsia" w:ascii="仿宋" w:hAnsi="仿宋" w:eastAsia="仿宋" w:cs="仿宋"/>
                <w:b w:val="0"/>
                <w:bCs w:val="0"/>
                <w:i w:val="0"/>
                <w:color w:val="000000"/>
                <w:sz w:val="20"/>
                <w:szCs w:val="20"/>
                <w:u w:val="none"/>
                <w:lang w:eastAsia="zh-CN"/>
              </w:rPr>
              <w:t>；</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36"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投标文件是否附有采购人不能接受条件的；</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eastAsia="zh-CN"/>
              </w:rPr>
              <w:t>不存在</w:t>
            </w:r>
            <w:r>
              <w:rPr>
                <w:rFonts w:hint="eastAsia" w:ascii="仿宋" w:hAnsi="仿宋" w:eastAsia="仿宋" w:cs="仿宋"/>
                <w:b w:val="0"/>
                <w:bCs w:val="0"/>
                <w:i w:val="0"/>
                <w:color w:val="000000"/>
                <w:sz w:val="20"/>
                <w:szCs w:val="20"/>
                <w:u w:val="none"/>
              </w:rPr>
              <w:t>有采购人不能接受条件的</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w:t>
            </w:r>
            <w:r>
              <w:rPr>
                <w:rFonts w:hint="eastAsia" w:ascii="仿宋" w:hAnsi="仿宋" w:eastAsia="仿宋" w:cs="仿宋"/>
                <w:b w:val="0"/>
                <w:bCs w:val="0"/>
                <w:i w:val="0"/>
                <w:color w:val="000000"/>
                <w:sz w:val="20"/>
                <w:szCs w:val="20"/>
                <w:u w:val="none"/>
                <w:lang w:eastAsia="zh-CN"/>
              </w:rPr>
              <w:t>附有详细地址、联系人、电话标明；</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eastAsia="zh-CN"/>
              </w:rPr>
              <w:t>有详细地址、联系人、电话标明；</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7</w:t>
            </w:r>
          </w:p>
        </w:tc>
        <w:tc>
          <w:tcPr>
            <w:tcW w:w="5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rPr>
              <w:t>不满足招标文件实质性要求的其他情形</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eastAsia="zh-CN"/>
              </w:rPr>
              <w:t>无</w:t>
            </w:r>
            <w:r>
              <w:rPr>
                <w:rFonts w:hint="eastAsia" w:ascii="仿宋" w:hAnsi="仿宋" w:eastAsia="仿宋" w:cs="仿宋"/>
                <w:b w:val="0"/>
                <w:bCs w:val="0"/>
                <w:i w:val="0"/>
                <w:color w:val="000000"/>
                <w:sz w:val="20"/>
                <w:szCs w:val="20"/>
                <w:u w:val="none"/>
              </w:rPr>
              <w:t>不满足招标文件实质性要求的其他情形</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836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lang w:val="zh-CN"/>
              </w:rPr>
              <w:t>填表说明：</w:t>
            </w:r>
            <w:r>
              <w:rPr>
                <w:rFonts w:hint="eastAsia" w:ascii="仿宋" w:hAnsi="仿宋" w:eastAsia="仿宋" w:cs="仿宋"/>
                <w:b w:val="0"/>
                <w:bCs w:val="0"/>
                <w:i w:val="0"/>
                <w:color w:val="000000"/>
                <w:sz w:val="20"/>
                <w:szCs w:val="20"/>
                <w:u w:val="none"/>
                <w:lang w:val="zh-CN"/>
              </w:rPr>
              <w:t>1、每项内容审查合格，在表中填写“√”；不合格填写“×”。2、审查结论填写“通过”或“不通过”。</w:t>
            </w:r>
            <w:r>
              <w:rPr>
                <w:rFonts w:hint="eastAsia" w:ascii="仿宋" w:hAnsi="仿宋" w:eastAsia="仿宋" w:cs="仿宋"/>
                <w:b/>
                <w:bCs/>
                <w:i w:val="0"/>
                <w:color w:val="000000"/>
                <w:sz w:val="20"/>
                <w:szCs w:val="20"/>
                <w:u w:val="none"/>
                <w:lang w:val="zh-CN"/>
              </w:rPr>
              <w:t>注：如有一项不合格，作废标处理。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pStyle w:val="28"/>
        <w:rPr>
          <w:rFonts w:hint="eastAsia"/>
        </w:rPr>
      </w:pPr>
    </w:p>
    <w:p>
      <w:pPr>
        <w:shd w:val="clear" w:color="auto" w:fill="auto"/>
        <w:bidi w:val="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1" w:name="_Toc469495734"/>
      <w:bookmarkStart w:id="42" w:name="_Toc362983803"/>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41"/>
      <w:bookmarkEnd w:id="42"/>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43" w:name="_Toc469495735"/>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43"/>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4" w:name="_Toc362983805"/>
      <w:bookmarkStart w:id="45"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numPr>
          <w:ilvl w:val="0"/>
          <w:numId w:val="0"/>
        </w:numPr>
        <w:shd w:val="clear" w:color="auto" w:fill="auto"/>
        <w:spacing w:line="500" w:lineRule="exact"/>
        <w:ind w:firstLine="480" w:firstLineChars="200"/>
        <w:jc w:val="left"/>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pPr>
        <w:pStyle w:val="28"/>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jc w:val="center"/>
        <w:rPr>
          <w:rFonts w:hint="default"/>
          <w:sz w:val="44"/>
          <w:szCs w:val="44"/>
          <w:lang w:val="en-US" w:eastAsia="zh-CN"/>
        </w:rPr>
      </w:pPr>
      <w:r>
        <w:rPr>
          <w:rFonts w:hint="eastAsia"/>
          <w:sz w:val="44"/>
          <w:szCs w:val="44"/>
          <w:lang w:val="en-US" w:eastAsia="zh-CN"/>
        </w:rPr>
        <w:t>评分标准和细则（综合评分法评分标准）</w:t>
      </w:r>
    </w:p>
    <w:tbl>
      <w:tblPr>
        <w:tblStyle w:val="20"/>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663"/>
        <w:gridCol w:w="95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03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评分因素</w:t>
            </w:r>
          </w:p>
        </w:tc>
        <w:tc>
          <w:tcPr>
            <w:tcW w:w="1663"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评审内容</w:t>
            </w:r>
          </w:p>
        </w:tc>
        <w:tc>
          <w:tcPr>
            <w:tcW w:w="95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分值</w:t>
            </w:r>
          </w:p>
        </w:tc>
        <w:tc>
          <w:tcPr>
            <w:tcW w:w="5410"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价格部分(30分)</w:t>
            </w:r>
          </w:p>
        </w:tc>
        <w:tc>
          <w:tcPr>
            <w:tcW w:w="1663"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投标价格</w:t>
            </w:r>
          </w:p>
        </w:tc>
        <w:tc>
          <w:tcPr>
            <w:tcW w:w="95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30分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所有满足资格、符合评审要求的有效投标人的评标价的算术平均值为评标基准价，其价格分为满分。其他供应商的价格分统一按照下列公式计算：</w:t>
            </w:r>
          </w:p>
          <w:p>
            <w:pPr>
              <w:keepNext w:val="0"/>
              <w:keepLines w:val="0"/>
              <w:widowControl/>
              <w:suppressLineNumbers w:val="0"/>
              <w:ind w:left="0" w:leftChars="0" w:right="0" w:rightChars="0" w:firstLine="0" w:firstLineChars="0"/>
              <w:jc w:val="left"/>
              <w:textAlignment w:val="center"/>
            </w:pPr>
            <w:r>
              <w:rPr>
                <w:rFonts w:hint="eastAsia"/>
              </w:rPr>
              <w:t>当投标报价＜评标基准价时，投标报价得分＝（投标报价/评标基准价报价）×价格分。当投标报价＞评标基准价时，投标报价得分＝{100%-（投标报价/评标基准价-100%）}×价格分。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31"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术</w:t>
            </w:r>
          </w:p>
          <w:p>
            <w:pPr>
              <w:keepNext w:val="0"/>
              <w:keepLines w:val="0"/>
              <w:widowControl/>
              <w:suppressLineNumbers w:val="0"/>
              <w:ind w:left="0" w:leftChars="0" w:right="0" w:rightChars="0" w:firstLine="0" w:firstLineChars="0"/>
              <w:jc w:val="center"/>
              <w:textAlignment w:val="center"/>
              <w:rPr>
                <w:shd w:val="clear" w:color="auto" w:fill="auto"/>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及商务部分</w:t>
            </w:r>
          </w:p>
        </w:tc>
        <w:tc>
          <w:tcPr>
            <w:tcW w:w="1663"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业绩（3分）</w:t>
            </w:r>
          </w:p>
        </w:tc>
        <w:tc>
          <w:tcPr>
            <w:tcW w:w="95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具有类似业绩</w:t>
            </w:r>
            <w:r>
              <w:rPr>
                <w:rFonts w:hint="eastAsia"/>
                <w:lang w:eastAsia="zh-CN"/>
              </w:rPr>
              <w:t>（</w:t>
            </w:r>
            <w:r>
              <w:rPr>
                <w:rFonts w:hint="eastAsia"/>
                <w:lang w:val="en-US" w:eastAsia="zh-CN"/>
              </w:rPr>
              <w:t>集成服务类型</w:t>
            </w:r>
            <w:r>
              <w:rPr>
                <w:rFonts w:hint="eastAsia"/>
                <w:lang w:eastAsia="zh-CN"/>
              </w:rPr>
              <w:t>）</w:t>
            </w:r>
            <w:r>
              <w:rPr>
                <w:rFonts w:hint="eastAsia"/>
              </w:rPr>
              <w:t>一项得 1 分，最多得 3 分。</w:t>
            </w:r>
          </w:p>
          <w:p>
            <w:pPr>
              <w:keepNext w:val="0"/>
              <w:keepLines w:val="0"/>
              <w:widowControl/>
              <w:suppressLineNumbers w:val="0"/>
              <w:ind w:left="0" w:leftChars="0" w:right="0" w:rightChars="0" w:firstLine="0" w:firstLineChars="0"/>
              <w:jc w:val="left"/>
              <w:textAlignment w:val="center"/>
            </w:pPr>
            <w:r>
              <w:rPr>
                <w:rFonts w:hint="eastAsia"/>
              </w:rPr>
              <w:t>（说明：近 3 年（2021 年 05月 01 日至今）项目业绩以合同及中标通知书为准，分包、转包或劳务合作项目无效。）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Merge w:val="continue"/>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pPr>
            <w:r>
              <w:rPr>
                <w:rFonts w:hint="eastAsia"/>
              </w:rPr>
              <w:t>实施人员要求（6分）</w:t>
            </w:r>
          </w:p>
        </w:tc>
        <w:tc>
          <w:tcPr>
            <w:tcW w:w="951" w:type="dxa"/>
            <w:vAlign w:val="center"/>
          </w:tcPr>
          <w:p>
            <w:pPr>
              <w:keepNext w:val="0"/>
              <w:keepLines w:val="0"/>
              <w:widowControl/>
              <w:suppressLineNumbers w:val="0"/>
              <w:ind w:left="0" w:leftChars="0" w:right="0" w:rightChars="0" w:firstLine="0" w:firstLineChars="0"/>
              <w:jc w:val="left"/>
              <w:textAlignment w:val="cente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ascii="宋体"/>
                <w:sz w:val="24"/>
              </w:rPr>
            </w:pPr>
            <w:r>
              <w:rPr>
                <w:rFonts w:hint="eastAsia" w:ascii="宋体"/>
                <w:sz w:val="24"/>
              </w:rPr>
              <w:t>人员组织安排合理，具有清晰的项目组织架构，提供项目主要人员清单及人员资质证明：</w:t>
            </w:r>
          </w:p>
          <w:p>
            <w:pPr>
              <w:keepNext w:val="0"/>
              <w:keepLines w:val="0"/>
              <w:widowControl/>
              <w:suppressLineNumbers w:val="0"/>
              <w:ind w:left="0" w:leftChars="0" w:right="0" w:rightChars="0" w:firstLine="0" w:firstLineChars="0"/>
              <w:jc w:val="left"/>
              <w:textAlignment w:val="center"/>
              <w:rPr>
                <w:rFonts w:hint="eastAsia" w:ascii="宋体"/>
                <w:sz w:val="24"/>
              </w:rPr>
            </w:pPr>
            <w:r>
              <w:rPr>
                <w:rFonts w:hint="eastAsia" w:ascii="宋体"/>
                <w:sz w:val="24"/>
              </w:rPr>
              <w:t>本项目负责人具有 PMP 项目管理证书，提供得 1 分。（提供人员的身份证、资质证书、劳动合同、投标人为其缴纳的近六个月社保证明等证明材料加盖投标人公章，未提供不得分）</w:t>
            </w:r>
          </w:p>
          <w:p>
            <w:pPr>
              <w:pStyle w:val="2"/>
              <w:rPr>
                <w:rFonts w:hint="eastAsia"/>
              </w:rPr>
            </w:pPr>
          </w:p>
          <w:p>
            <w:pPr>
              <w:keepNext w:val="0"/>
              <w:keepLines w:val="0"/>
              <w:widowControl/>
              <w:suppressLineNumbers w:val="0"/>
              <w:ind w:left="0" w:leftChars="0" w:right="0" w:rightChars="0" w:firstLine="0" w:firstLineChars="0"/>
              <w:jc w:val="left"/>
              <w:textAlignment w:val="center"/>
              <w:rPr>
                <w:rFonts w:hint="eastAsia" w:ascii="宋体"/>
                <w:sz w:val="24"/>
              </w:rPr>
            </w:pPr>
            <w:r>
              <w:rPr>
                <w:rFonts w:hint="eastAsia" w:ascii="宋体"/>
                <w:sz w:val="24"/>
              </w:rPr>
              <w:t>项目监管人员具有中华人民共和国人力资源和社会保障部、工业和信息化部颁发的中级工程师证书和本科及以上</w:t>
            </w:r>
            <w:r>
              <w:rPr>
                <w:rFonts w:hint="eastAsia" w:ascii="宋体"/>
                <w:sz w:val="24"/>
                <w:lang w:val="en-US" w:eastAsia="zh-CN"/>
              </w:rPr>
              <w:t>学历</w:t>
            </w:r>
            <w:r>
              <w:rPr>
                <w:rFonts w:hint="eastAsia" w:ascii="宋体"/>
                <w:sz w:val="24"/>
              </w:rPr>
              <w:t>。同时满足得1分，否则不得分。</w:t>
            </w:r>
          </w:p>
          <w:p>
            <w:pPr>
              <w:pStyle w:val="2"/>
              <w:rPr>
                <w:rFonts w:hint="eastAsia"/>
              </w:rPr>
            </w:pPr>
          </w:p>
          <w:p>
            <w:pPr>
              <w:keepNext w:val="0"/>
              <w:keepLines w:val="0"/>
              <w:widowControl/>
              <w:suppressLineNumbers w:val="0"/>
              <w:ind w:left="0" w:leftChars="0" w:right="0" w:rightChars="0" w:firstLine="0" w:firstLineChars="0"/>
              <w:jc w:val="left"/>
              <w:textAlignment w:val="center"/>
              <w:rPr>
                <w:rFonts w:hint="eastAsia" w:ascii="宋体"/>
                <w:sz w:val="24"/>
              </w:rPr>
            </w:pPr>
            <w:r>
              <w:rPr>
                <w:rFonts w:hint="eastAsia" w:ascii="宋体"/>
                <w:sz w:val="24"/>
              </w:rPr>
              <w:t>项目组其他人员具有与本项目相关的个人资质证书或本科及以上学历的，提供一个得1分，最多4分。</w:t>
            </w:r>
          </w:p>
          <w:p>
            <w:pPr>
              <w:keepNext w:val="0"/>
              <w:keepLines w:val="0"/>
              <w:widowControl/>
              <w:suppressLineNumbers w:val="0"/>
              <w:ind w:left="0" w:leftChars="0" w:right="0" w:rightChars="0" w:firstLine="0" w:firstLineChars="0"/>
              <w:jc w:val="left"/>
              <w:textAlignment w:val="center"/>
              <w:rPr>
                <w:rFonts w:ascii="宋体"/>
                <w:sz w:val="24"/>
              </w:rPr>
            </w:pPr>
            <w:r>
              <w:rPr>
                <w:rFonts w:hint="eastAsia" w:ascii="宋体"/>
                <w:sz w:val="24"/>
              </w:rPr>
              <w:t>（须提供人员的身份证明、个人资质证书、劳动合同及本单位为其缴纳的近六个月社保证明，未提供不得分）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Merge w:val="continue"/>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技术、功能条款响应（20分） </w:t>
            </w:r>
          </w:p>
        </w:tc>
        <w:tc>
          <w:tcPr>
            <w:tcW w:w="951"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 分 </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详细编制技术规格、参数响应/偏离表，依据对技术参数指标的响应程度评分，标★为重点参数指标，（提供证明材料)，完全响应并提供全部证明材料得20分，少一份证明材料减2分；减完为止。</w:t>
            </w:r>
          </w:p>
          <w:p>
            <w:pPr>
              <w:keepNext w:val="0"/>
              <w:keepLines w:val="0"/>
              <w:widowControl/>
              <w:suppressLineNumbers w:val="0"/>
              <w:ind w:left="0" w:leftChars="0" w:right="0" w:rightChars="0" w:firstLine="0" w:firstLineChars="0"/>
              <w:jc w:val="left"/>
              <w:textAlignment w:val="center"/>
              <w:rPr>
                <w:rFonts w:hint="eastAsia"/>
              </w:rPr>
            </w:pPr>
            <w:r>
              <w:rPr>
                <w:rFonts w:hint="eastAsia"/>
              </w:rPr>
              <w:t>注：投标人须真实的响应采购要求并为所投内容负责，项目评标结束后、签订合同前，采购人有权要求中标候选人进行产品演示（须在现场用真实产品与招标参数逐条比对演示），若不满足则视为虚假响应，将反馈实际情况至评标委员会进行核查，严格按照相关法律法规处理，虚假响应的将取消其中标与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Merge w:val="continue"/>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系统演示</w:t>
            </w:r>
          </w:p>
          <w:p>
            <w:pPr>
              <w:keepNext w:val="0"/>
              <w:keepLines w:val="0"/>
              <w:widowControl/>
              <w:suppressLineNumbers w:val="0"/>
              <w:ind w:left="0" w:leftChars="0" w:right="0" w:rightChars="0" w:firstLine="0" w:firstLineChars="0"/>
              <w:jc w:val="left"/>
              <w:textAlignment w:val="center"/>
              <w:rPr>
                <w:rFonts w:hint="eastAsia"/>
              </w:rPr>
            </w:pPr>
            <w:r>
              <w:rPr>
                <w:rFonts w:hint="eastAsia"/>
              </w:rPr>
              <w:t>（18分）</w:t>
            </w:r>
          </w:p>
        </w:tc>
        <w:tc>
          <w:tcPr>
            <w:tcW w:w="951"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“▲”的功能技术条款是重要的技术条款，需要现场或视频演示。演示要求：供应商自带演示设备或提供演示视频，供应商演示时间不超过 15 分钟。供应商提供的演示环境必须是真实的软件环境，不得以PPT、静态页面等环境代替演示，否则演示不予认可。</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以下条款每有一项得1分。本项最多得</w:t>
            </w:r>
            <w:r>
              <w:rPr>
                <w:rFonts w:hint="eastAsia" w:ascii="宋体" w:hAnsi="宋体" w:eastAsia="宋体" w:cs="宋体"/>
                <w:i w:val="0"/>
                <w:iCs w:val="0"/>
                <w:color w:val="FF0000"/>
                <w:spacing w:val="0"/>
                <w:w w:val="100"/>
                <w:kern w:val="0"/>
                <w:position w:val="0"/>
                <w:sz w:val="22"/>
                <w:szCs w:val="22"/>
                <w:u w:val="none"/>
                <w:shd w:val="clear" w:color="auto" w:fill="auto"/>
                <w:lang w:val="en-US" w:eastAsia="zh-CN" w:bidi="ar"/>
              </w:rPr>
              <w:t>9分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，最少得0分。</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教育应用：▲校级基础数据管理需能够实现对学校基础信息、部门信息、班级、教师以及教学关系的管理与维护；需支持对学校的班级、学生、课程、教师授课信息进行数据维护，系统需可生成教师、学生账号并进行基础数据组织关系的维护，以支撑业务对基础数据的依赖；（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2、教育应用：▲上传培训记录：支持培训老师上传培训记录，包括培训日期、课节、培训老师、培训记录内容；（需录制视频演示）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3、教育应用：▲培训统计：审核通过的记录，按培训人进行统计，支持统计累计培训节数，同时支持按培训日期、培训人姓名搜索。（需录制视频演示）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4、教育应用▲支持申请创建自己的工作室；（需录制视频演示）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5、教育应用▲管理工作室：工作室创建人可以对工作室成员管理，工作室栏目维护、工作室资源维护、公告发布、工作室留言管理；（需录制视频演示）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6、教育应用:▲支持加入多个工作室；（需录制视频演示）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7、智能阅卷系统:▲可设置：各个学校或部分学校仅批阅自己学校的试卷任务；（需录制视频演示）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8、智能阅卷系统:▲需支持按应用查看单个应用活跃度的情况，包括用户数、近一月浏览量、近一月访客数、上月新增用户数、上月活跃用户，并支持查看单个应用的详细使用情况；（需录制视频演示）</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9、智能阅卷系统:▲支持通过选择地区，进一步选择试卷类型和年份、年级筛选各地名校试卷，可直接搜索学校名称查看该学校的试卷，支持根据试卷最新或最热进行排序；</w:t>
            </w:r>
          </w:p>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投标人演示项数完整全面、内容丰富优得9分，良得6分，差得3分，未演示完整得0分。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Merge w:val="continue"/>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实施方案（12分）</w:t>
            </w:r>
          </w:p>
        </w:tc>
        <w:tc>
          <w:tcPr>
            <w:tcW w:w="951"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投标人对项目需求的理解情况及方案的总体设计、系统架构等方面的先进性、合理性。由评委根据其方案酌情打分。</w:t>
            </w:r>
          </w:p>
          <w:p>
            <w:pPr>
              <w:keepNext w:val="0"/>
              <w:keepLines w:val="0"/>
              <w:widowControl/>
              <w:suppressLineNumbers w:val="0"/>
              <w:ind w:left="0" w:leftChars="0" w:right="0" w:rightChars="0" w:firstLine="0" w:firstLineChars="0"/>
              <w:jc w:val="left"/>
              <w:textAlignment w:val="center"/>
              <w:rPr>
                <w:rFonts w:hint="eastAsia"/>
              </w:rPr>
            </w:pPr>
            <w:r>
              <w:rPr>
                <w:rFonts w:hint="eastAsia"/>
              </w:rPr>
              <w:t>完全满足对各项子系统、模块的建设需求，并配有相应的功能截图予以佐证说明，总体设计、应用功能设计、应用安全设计全面，系统构架先进、需求理解较好，总体设计较全面得12分，合理并具有扩展性的得8分，基本满足需求的得4分，不满足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售后服务方案</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（6分）</w:t>
            </w:r>
          </w:p>
        </w:tc>
        <w:tc>
          <w:tcPr>
            <w:tcW w:w="951" w:type="dxa"/>
            <w:vAlign w:val="center"/>
          </w:tcPr>
          <w:p>
            <w:pPr>
              <w:keepNext w:val="0"/>
              <w:keepLines w:val="0"/>
              <w:widowControl/>
              <w:suppressLineNumbers w:val="0"/>
              <w:ind w:left="0" w:leftChars="0" w:right="0" w:rightChars="0" w:firstLine="0" w:firstLineChars="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编制项目实施方案，应充分考虑采购人的实际需求，细致全面、成熟可靠、逻辑清晰。评审依据实施方案的科学性、可行性进行综合评分，方案优得6分，方案良得3分，方案差得1分，未提供方案得0分。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1" w:type="dxa"/>
            <w:vAlign w:val="center"/>
          </w:tcPr>
          <w:p>
            <w:pPr>
              <w:jc w:val="center"/>
              <w:rPr>
                <w:shd w:val="clear" w:color="auto" w:fill="auto"/>
              </w:rPr>
            </w:pPr>
          </w:p>
        </w:tc>
        <w:tc>
          <w:tcPr>
            <w:tcW w:w="1663" w:type="dxa"/>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系统方案设计</w:t>
            </w:r>
          </w:p>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（5分）</w:t>
            </w:r>
          </w:p>
        </w:tc>
        <w:tc>
          <w:tcPr>
            <w:tcW w:w="951" w:type="dxa"/>
            <w:vAlign w:val="center"/>
          </w:tcPr>
          <w:p>
            <w:pPr>
              <w:keepNext w:val="0"/>
              <w:keepLines w:val="0"/>
              <w:widowControl/>
              <w:suppressLineNumbers w:val="0"/>
              <w:ind w:left="0" w:leftChars="0" w:right="0" w:rightChars="0" w:firstLine="0" w:firstLineChars="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5分</w:t>
            </w:r>
          </w:p>
        </w:tc>
        <w:tc>
          <w:tcPr>
            <w:tcW w:w="5410" w:type="dxa"/>
            <w:vAlign w:val="center"/>
          </w:tcPr>
          <w:p>
            <w:pPr>
              <w:keepNext w:val="0"/>
              <w:keepLines w:val="0"/>
              <w:widowControl/>
              <w:suppressLineNumbers w:val="0"/>
              <w:ind w:left="0" w:leftChars="0" w:right="0" w:rightChars="0" w:firstLine="0" w:firstLineChars="0"/>
              <w:jc w:val="left"/>
              <w:textAlignment w:val="center"/>
              <w:rPr>
                <w:rFonts w:hint="eastAsia"/>
              </w:rPr>
            </w:pPr>
            <w:r>
              <w:rPr>
                <w:rFonts w:hint="eastAsia"/>
              </w:rPr>
              <w:t>投标人应具有完备的售后服务体系，为保证售后服务质量，需提供常态化教学辅助服务，编制项目售后服务方案，应充分考虑采购人的利益，方案应细致全面、成熟可靠、逻辑清晰。评审依据售后服务方案的科学性、可行性进行综合评分，方案优得5分，方案良得3分，方案差得1分，未提供方案得0分。</w:t>
            </w:r>
          </w:p>
        </w:tc>
      </w:tr>
    </w:tbl>
    <w:p>
      <w:pPr>
        <w:rPr>
          <w:rFonts w:hint="eastAsia"/>
          <w:lang w:val="en-US" w:eastAsia="zh-CN"/>
        </w:rPr>
      </w:pPr>
    </w:p>
    <w:p>
      <w:pPr>
        <w:rPr>
          <w:rFonts w:hint="eastAsia"/>
          <w:lang w:val="en-US" w:eastAsia="zh-CN"/>
        </w:rPr>
      </w:pPr>
    </w:p>
    <w:p>
      <w:pPr>
        <w:pStyle w:val="42"/>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44"/>
      <w:bookmarkEnd w:id="45"/>
    </w:p>
    <w:p>
      <w:pPr>
        <w:shd w:val="clear" w:color="auto" w:fill="auto"/>
        <w:spacing w:line="400" w:lineRule="exact"/>
        <w:ind w:firstLine="470" w:firstLineChars="196"/>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评标委员会将根据招标文件的评标方法和评审标准，推荐中标候选人及评标排序，确定满足招标文件全部实质性要求，且按照评审因素的量化指标评审得分最高的投标人为排名第一的中标候选人。</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39"/>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6" w:name="OLE_LINK4"/>
      <w:bookmarkStart w:id="47" w:name="_Toc469495737"/>
    </w:p>
    <w:bookmarkEnd w:id="40"/>
    <w:bookmarkEnd w:id="46"/>
    <w:bookmarkEnd w:id="47"/>
    <w:p>
      <w:pPr>
        <w:pageBreakBefore/>
        <w:shd w:val="clear" w:color="auto" w:fill="auto"/>
        <w:spacing w:line="360" w:lineRule="auto"/>
        <w:jc w:val="center"/>
        <w:outlineLvl w:val="0"/>
        <w:rPr>
          <w:rFonts w:hint="eastAsia" w:ascii="仿宋" w:hAnsi="仿宋" w:eastAsia="仿宋" w:cs="仿宋"/>
          <w:b/>
          <w:color w:val="auto"/>
          <w:sz w:val="36"/>
          <w:szCs w:val="36"/>
          <w:highlight w:val="none"/>
        </w:rPr>
      </w:pPr>
      <w:bookmarkStart w:id="48" w:name="_Toc469495740"/>
      <w:r>
        <w:rPr>
          <w:rFonts w:hint="eastAsia" w:ascii="仿宋" w:hAnsi="仿宋" w:eastAsia="仿宋" w:cs="仿宋"/>
          <w:b/>
          <w:color w:val="auto"/>
          <w:sz w:val="36"/>
          <w:szCs w:val="36"/>
          <w:highlight w:val="none"/>
        </w:rPr>
        <w:t>第四</w:t>
      </w:r>
      <w:r>
        <w:rPr>
          <w:rFonts w:hint="eastAsia" w:ascii="仿宋" w:hAnsi="仿宋" w:eastAsia="仿宋" w:cs="仿宋"/>
          <w:b/>
          <w:color w:val="auto"/>
          <w:sz w:val="36"/>
          <w:szCs w:val="36"/>
          <w:highlight w:val="none"/>
          <w:lang w:val="en-US" w:eastAsia="zh-CN"/>
        </w:rPr>
        <w:t>部分</w:t>
      </w:r>
      <w:r>
        <w:rPr>
          <w:rFonts w:hint="eastAsia" w:ascii="仿宋" w:hAnsi="仿宋" w:eastAsia="仿宋" w:cs="仿宋"/>
          <w:b/>
          <w:color w:val="auto"/>
          <w:sz w:val="36"/>
          <w:szCs w:val="36"/>
          <w:highlight w:val="none"/>
        </w:rPr>
        <w:t xml:space="preserve">  技术规格、数量及质量要求</w:t>
      </w:r>
    </w:p>
    <w:p>
      <w:pPr>
        <w:jc w:val="center"/>
        <w:outlineLvl w:val="0"/>
        <w:rPr>
          <w:rFonts w:hint="eastAsia" w:ascii="仿宋" w:hAnsi="仿宋" w:eastAsia="仿宋" w:cs="仿宋"/>
          <w:b w:val="0"/>
          <w:bCs w:val="0"/>
          <w:color w:val="auto"/>
          <w:sz w:val="28"/>
          <w:szCs w:val="28"/>
          <w:u w:val="none"/>
        </w:rPr>
      </w:pPr>
      <w:bookmarkStart w:id="49" w:name="_Toc340225294"/>
      <w:bookmarkStart w:id="50" w:name="_Toc267320052"/>
      <w:r>
        <w:rPr>
          <w:rFonts w:hint="eastAsia" w:ascii="仿宋" w:hAnsi="仿宋" w:eastAsia="仿宋" w:cs="仿宋"/>
          <w:i w:val="0"/>
          <w:caps w:val="0"/>
          <w:color w:val="auto"/>
          <w:spacing w:val="0"/>
          <w:kern w:val="0"/>
          <w:sz w:val="28"/>
          <w:szCs w:val="28"/>
          <w:u w:val="none"/>
          <w:lang w:val="en-US" w:eastAsia="zh-CN"/>
        </w:rPr>
        <w:t>1.克州数字教育基座及标准化考场建设项目</w:t>
      </w:r>
      <w:r>
        <w:rPr>
          <w:rFonts w:hint="eastAsia" w:ascii="仿宋" w:hAnsi="仿宋" w:eastAsia="仿宋" w:cs="仿宋"/>
          <w:b w:val="0"/>
          <w:bCs w:val="0"/>
          <w:color w:val="auto"/>
          <w:sz w:val="28"/>
          <w:szCs w:val="28"/>
          <w:u w:val="none"/>
        </w:rPr>
        <w:t>技术需求及详细参数</w:t>
      </w:r>
    </w:p>
    <w:tbl>
      <w:tblPr>
        <w:tblStyle w:val="20"/>
        <w:tblW w:w="9496" w:type="dxa"/>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63"/>
        <w:gridCol w:w="88"/>
        <w:gridCol w:w="662"/>
        <w:gridCol w:w="17"/>
        <w:gridCol w:w="727"/>
        <w:gridCol w:w="61"/>
        <w:gridCol w:w="56"/>
        <w:gridCol w:w="6728"/>
        <w:gridCol w:w="69"/>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克州数字教育基座及标准化建设清单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pacing w:val="0"/>
                <w:w w:val="100"/>
                <w:kern w:val="0"/>
                <w:position w:val="0"/>
                <w:sz w:val="32"/>
                <w:szCs w:val="32"/>
                <w:u w:val="none"/>
                <w:shd w:val="clear" w:color="auto" w:fill="auto"/>
                <w:lang w:val="en-US" w:eastAsia="zh-CN" w:bidi="ar"/>
              </w:rPr>
              <w:t>数字基座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组织架构</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功能模块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建设内容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8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数字基座</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WEB端空间</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提供平台首页，根据客户需要展示或屏蔽，需支持展示平台的logo、名称、风采信息、资讯相关信息；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2、需提供平台登录，需支持通过浏览器登录平台，需支持勾选记住用户名后下次登录可以不用输入用户名，自动记录上次登录时使用的用户名；需支持密码找回功能帮助用户在忘记密码后可以找回密码；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3、需提供个人桌面，需支持持不同用户角色访问桌面进行对应业务系统的呈现；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4、需提供个人空间，需支持面向不同用户角色下不同权限的业务信息的精准推送，实现个人空间管理功能，需支持空间服务内容的动态扩展、因角色而异的个性配置；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5、需支持教师空间，提供分学段特色的教师空间，具体包括小学教师空间和中学教师空间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6、需支持学生空间需支持查看通知公告、个人信息、我的待办；</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7、需支持局长、校长空间，需提供基座管理工作台，需支持查看基座整体运行成效情况 ，学校机构覆盖情况，也需支持直接通过基座平台组件查看详情；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需支持学校管理员、区域管理员空间，需支持应用情况统计服务，需支持提供基础数据管理、信息化系统维护的快捷入口，方便管理员管用户、管应用、管资讯、管资源，同时需支持信息化建设和应用总览，查看应用总数、平台使用人数、总浏览量、平均访问时长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9、需面向教师、学生、管理者、管理员用户提供个人管理、消息管理、应用管理、多角色管理基础性功能；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个人管理需支持个人信息查看、管理，包括用户头像、姓名、性别、身份证号、手机号、邮箱、我的孩子、生日、民族、一寸照、政治面貌、籍贯、现住址、机构、继续教育ID、备注、家庭关系、工作单位、职务、家庭地址、家庭电话；需支持修改密码；支持绑定手机、绑定邮箱、密保问题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（2）消息管理需提供信息提醒，包括通知公告、任务待办、提醒消息多种消息类型的显示、已读未读状态分类、删除功能，并可以通过消息的链接查看详情页面与办理操作；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（3）应用管理需支持常用应用推荐，需支持应用搜索、基于分类的检索；应用需以图标化的形式呈现在桌面上，并需支持应用图标拖拽、删除、自定义分类；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（4）多角色管理需支持对同时有多个角色的用户提供身份切换服务；10、 需支持统一导航服务，包含平台导航和应用导航，需支持统一的导航样式；导航支持常用应用快捷入口和用户个人信息展示，并为用户提供统一退出；支持对平台的导航颜色和导航栏目进行管理与维护；支持导航菜单的配置，至少实现两层级菜单的灵活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需支持统一文件服务，提供统一的文件存储和文件转换服务；文件转换服务需能够将视频、图片、文档和Word、PPT、PDF、JPG、WMV、AVI、SWF格式的文件自动转换成可供识别的文件格式，满足应用预览、调用文件的需要，满足用户的文件格式多样化的需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12、需支持用户桌面的应用分类，并展示分类下对应的应用列表，支持在常用应用中设置统一常用应用以及默认菜单的设置；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13、需支持按平台进行统一设置，包括导航主题、LOGO、浏览器标签页LOGO，登录页背景图、首页轮播图、登录二维码、联系方式 、版权信息、外部链接的统一配置；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用户数据管理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1、需支持对教育管理机构、学校、教师、学生基础数据的管理；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2、基础数据管理需能支持对区域级的包括教研员和机构人员的管理和维护，需支持查看各个学校的基础数据，需支持对平台基础数据操作的日志记录；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机构管理：机构管理需包含机构内的部门管理和人员管理两部分，主要对当前机构内的基础数据进行管理；其中部门管理需支持新增、删除部门，需支持添加部门人员、清空人员；人员管理需支持新增人员及从机构移除人员，支持对人员的角色进行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4、下辖部门管理：需支持查看下辖机构内的所有部门，包含部门名称、部门介绍、部门人数、上级部门；同时需支持查看部门内的成员信息；默认展示人员姓名、帐号、身份证、所属部门、角色、手机号；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下辖学校管理：需支持查看机构管辖学校清单，默认学校列表页是根据机构所属区域查询，也需可支持跳转校级平台，并可管理学校、教师、学生基础数据，包括查看、增加、删除、修改学校班级、学生、教师、教学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校级基础数据管理需能够实现对学校基础信息、部门信息、班级、教师以及教学关系的管理与维护；需支持对学校的班级、学生、课程、教师授课信息进行数据维护，系统需可生成教师、学生账号并进行基础数据组织关系的维护，以支撑业务对基础数据的依赖；（需录制视频演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7、班级管理：需支持单个/批量维护所有校区/学段/年级的行政班/分层班；</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学生管理，需支持单个/批量维护学生信息，包括批量新增学生、批量修改学生、批量调班、批量导出学生、批量生成条码、学生异动；批量生成学生账号支持按照学籍号/全国学籍号/教育ID号/身份证号多种方式来快速生成，需同时支持加前后缀；批量修改学生/批量调班支持在线编辑，可以通过学生姓名进行自动匹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9、教师管理：需支持单个/批量维护教师信息，包括批量新增教师、批量修改教师、批量导出教师、维护教师部门关系；批量生成教师账号支持按照身份证号/教职工编号多种方式来快速生成，同时支持加前后缀；</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10、教师安排：需支持按学年学期教学周期来维护所有班级的任课教师/年级主任/学科组长/备课组长/学校领导；</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11、分层班：需支持按学年学期教学周期来维护分层班，同时支持维护分层班下的学生；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12、基础设置：需支持维护排课所属的基础数据，如课节时间/班级课时/班级教室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统一身份认证</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统一身份认证服务需支持为接入平台的应用提供统一的用户身份认证和管理服务; 接入应用无需自建用户数据，以统一身份认证平台提供的用户身份信息为统一的身份信息源；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2、统一身份认证服务需提供单点登录接口Single Sign-on，SSO，为平台中的应用系统集成提供统一的身份认证标准；用户只需通过浏览器界面登录一次，即可通过单点登录系统访问后台的多个用户权限内的Web应用系统，无需逐一输入用户名、密码登录；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3、需支持Web应用、Windows应用以及移动应用接入；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4、需支持教师、学生、家长、机构人员、教研员五类身份和用户自定义角色，支持用户多身份账号管理；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5、需支持自动校验匹配账密的正确性，需支持验证成功页面跳转，需支持验证失败原因提示，用户可重新提交认证，系统需支持防恶意登录攻击，需支持认证失败3次图形验证，需支持输入图形验证码验证登录；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数据统计分析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1、需支持对管辖下属机构、学校的基础数据进行汇总、分类统计展示；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对学校、教师、学生三大教育主体的数据的整体分析，包括但不限于学校学段分布、学校学制分布、年级班级分布、教师年龄分布、教师性别分布、教师授课学段分布、教师授课学科分布、学生学段人数分布、学生年级人数分布、学生性别人数分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3、需支持对单个学校的教师、学生主体数据进行分析，包括但不限于年级班级分布、教师年龄分布、教师性别分布、教师授课学科分布、学生年级人数分布、学生性别人数分布；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开放平台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1、需对外提供单独的应用开放平台，需支持第三方公司及开发者注册开发者账号；账号注册过程中，需提供开发者上传身份信息、资质信息的入口，保障开发者信息的真实有效；</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2、需支持应用开发者进行应用的接入，并提供标准的应用接入流程和规范，让开发者按照应用发布流程发布第三方应用；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开发者在开放平台创建新应用，需支持网页应用和H5轻应用；开发者需提供应用名称，应用简称，应用简介，应用图标的标识信息，适用系统，适用终端，使用群体，应用分类信息，提交后即可创建应用成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4、需向开发者提供包括但不限于统一身份认证能力、集成用户信息能力、集成消息能力、集成入口能力服务；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5、需向开发者提供统一的测试标准和报告要求，保障平台接入的三方应用在功能、兼容、安全、性能方面的质量水平；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6、需向开发者提供统一的应用上架信息标准和要求，方便后续对应用资源的统一管理；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7、需支持开发者提交应用上架申请，提交申请后会被开放平台管理员进行人工审核，审核通过后应用方可处于已上架状态；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8、需支持开发者对自己创建的应用进行管理，包括查看、修改、生成SDK功能，对于未上架应用可以进行删除；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9、需支持其他公共服务能力的开放，并提供应用系统接入规范的API说明文档，帮助第三方厂商自行将应用接入该能力；</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10、需在应用开发者在集成能力时向开发者提供能力调用调试工具，方便开发者快速调试接口；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11、需支持数据开放共享，充分考虑存量资源利旧与对接，面向开发者开放基础数据，如学校信息、组织结构、教师信息、学生信息、班级数据接口，可供其它需要的系统对接，实现基础数据的统一管理；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12、需提供文档中心，为第三方开发者提供的应用开发指南和应用规范标准，在文档中心，可以查阅到开放平台为开发者提供功能和服务文档，帮助开发者减少融入平台生态的门槛；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13、需支持为第三方开发者提供的问题反馈渠道，开发者可以将问题反馈给开放平台管理员，而开放平台管理员在后台可以看到开发者的问题反馈意见，可以答复开发者从而实现两者间的交流；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应用运营管理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1、应用管理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（1）应用接入管理，需支持对在开放平台申请上架的应用进行审核的功能，包括功能、接口、安全、稳定性、兼容性、隐私权限，以确保上架的应用满足统一的应用接入管理要求；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（2）应用上架管理，需支持对审核通过的应用进行上架操作，开放至应用市场供学校、机构浏览选用；应用上架后，可通过应用上架管理功能将应用进行下架；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（3）需支持对上架的应用的推荐功能，推荐的应用可在应用市场进行较为醒目的展示；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（4）应用分发管理，需支持将上架的应用授权给具体的学校和机构使用，并可设置分发的时间段；支持批量分发，单次操作至少支持20个应用和100个学校/机构的分发；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（5）应用分发后，需支持按应用适用的不同终端类型，角色类型，分发机构或学校，将应用展示在用户桌面上供用户使用；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（6）需支持对应用市场中案例的上传和管理，支持图文、视频多类型的上传和查阅，并可对优秀的案例进行推荐；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2、开放平台管理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（1）需支持数据管理，对开放平台中开放共享的数据提供管理功能，包括资源上报管理、资源审核管理，三方厂商申请使用数据的资源申请管理；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（2）需支持能力管理，对开放平台中开放的标准化能力进行上架管理，包括参数的维度 ，API对象配置，安全字段设置，并支持对三方厂商申请使用能力的审核管理，只有通过审核的能力，才可被三方应用调用；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（3）需支持对开放平台注册的开发者的管理，包括开发者注册审核，账号的禁用以及重置密码功能；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（4）需支持对开放平台中开发者提交的工单进行管理，包括对工单问题回复；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3、应用活跃度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（1）需提供平台整体使用概览，需支持分类展示目前平台上已上架的应用总数，包括不同层级、不同类型的应用；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（2）需支持统计平台的累计用户数、浏览量、访客数，以及其趋势变化情况，支持按时间段进行查询；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（3）需支持应用按不同的业务分类进行统计；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（4）需支持平台上的应用按用户总量和月活跃度进行TOP10的排名统计，并支持按应用类别进行筛选；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（5）需支持按平台上开通的学校维度进行数据的统计，包括活跃用户学段统计，按学校在用应用数和学校用户整体活跃度进行TOP10的排名统计，并支持按学段进行筛选；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（6）▲需支持按应用查看单个应用活跃度的情况，包括用户数、近一月浏览量、近一月访客数、上月新增用户数、上月活跃用户，并支持查看单个应用的详细使用情况；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（7）单个应用使用活跃详情需支持查看的累计用户量、浏览量、访客数情况，可根据时间段进行筛选，并支持查看应用在不同机构、学校的应用情况，数据支持导出；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（8）需支持按学校/机构查看单个学校的应用使用情况，包括用户总量、近一月浏览量、近一月访客数、上月新增用户数、上月活跃用户数，当前在用应用数；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（9）需支持按单校或机构查看该单位的平台使用情况，包括用户量、浏览量、访客数，并可根据时间段进行筛选，并支持查看当前单位所有的应用的表现情况，数据支持导出；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（10）所有统计数据支持分终端统计和分析；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应用市场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1、需提供应用市场，为用户展示提供接入到基座的各类应用资源，包括接入的三方生态应用；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2、需支持将热门应用放置在应用市场较醒目的地方进行展示；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3、需支持应用的分类展示，应用市场中的应用支持按照符合教育行业的分类按类型集中展示，如智慧学习、教育培训、校园管理，后台支持可配置；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4、需支持应用详情的展示，包括应用的图标、名称、简介、截图、适用群体、上架日期、更新日期；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5、需支持用户查看他人对应用的评价评分情况，同时支持用户自己对应用进行评价与星级评分；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6、需支持案例的展示，分享各学校机构建设或使用应用的经验，至少支持文本、图片、视频的上传与发布；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数据集成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1、数据源管理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数据组件的基础信息管理，需包含如下数据组件的新增，配置和管理，如关系型数据库的数据库IP，端口，访问信息；其中需至少包含如下插件类型：oracle，mysql，GBase8a，SQLSERVER，FTP，RocketMQ，Kafka，ActiveMq， ElasticSearch6X，HBase11x，MongoDB，solr，GP，Mqtt，Dameng，Hive，KingbaseESV7、V8，KingbaseAnalyticsDB，RabbitMq，ElasticSearch7X，PostgreSQL，GaussDB200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2、集成来源管理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集成来源管理模块需包括集成来源目录管理界面；新增来源需包含如下类型：oracle，mysql，GBase8a，SQLSERVER,文本文件，FTP，RocketMQ，Kafka，ActiveMq，ElasticSearch2X，ElasticSearch6X，HBase11x，MongoDB，Mqtt，Dameng，Hive，Hdfs，KingbaseESV7，KingbaseAnalyticsDB，RabbitMq，ElasticSearch7X，PostgreSQL，GaussDB200；同时需支持筛选和查询来源列表并对列表进行新增、删除、复制的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3、集成目的地管理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集成目的管理模块需包括接入目的管理界面；目的管理指接入到系统内的数据指定存放的目的地，需包括目的地对应的存储组件，如包含如下类型：oracle，mysql，GBase8a，SQLSERVER, RocketMQ，Kafka，ActiveMq，ElasticSearch6X，HBase11x，solr，GP，ElasticSearch5X，Dameng，Hive，Hdfs，KingbaseESV7，KingbaseAnalyticsDB，ElasticSearch7X，PostgreSQL，GaussDB200；同时需支持筛选和查询目的地列表并对列表进行新增、删除、复制的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4、任务管理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需支持接入任务管理，需支持任务的增删改查、启动、停止、复制操作；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(2)需支持预处理规则管理，包含数据转换、数据映射、数据脱敏、追加常量、追加校验；</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5、监控分析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(1)需支持接入数据概览，包含今日接入数据量，接入数据量；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(2)需支持监控任务列表，支持以任务为维度，查看调度状态，任务集成数量，集成速率信息；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数据资产管理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1、数据资产盘点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需支持查看目前平台中已编制的所有数据目录，并按各层数据库进行分别展示，并需支持查看资产的详细信息，同时可对资产进行导出；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(2)需支持自动构建技术元数据之间的血缘影响关系，形成对象、对象属性、任务、作业之间关系信息，为资产人员提供仓库数据来源去向可视化视图，同时为数据溯源提供可行性支撑；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2、数据标准管理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(1)需支持编辑已有的标准字典信息，同时需支持在各类标准字典分类下新增标准字典表及字典项，扩充标准字典库，用于后期对业务数据的标准化管理；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(2)需支持标准字典查询，通过字典表名称、字典名称多种条件组合方式，筛选标准字典信息；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(3需)提供数据元新增、编辑、删除、启用、禁用、导入、导出功能；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(4)需提供数据源字典分类树的管理，支持字典表及字典项的新增和编辑；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3、数据资源管理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(1)需支持将数据目录按多层次分类配置形成树状结构，用于分类展示数据资源，实现数据资源的快速检索；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(2)需支持在数据目录分类节点下新增数据目录，数据目录内属性信息来自现有的元数据，将元数据进行分类管理；支持导出查看数据目录，同时需支持数据目录的启用与停用功能；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4、元数据管理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(1)需支持管理各类异构数据库的连接信息，需支持同步各应用系统的元数据信息；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(2)需支持获取不同数据库类型的元模型信息，需支持展示出各类异构数据库的所有元模型及属性信息；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(3)需支持在数据源下依托元模型进行元数据注册，包括表、视图、索引下元数据；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需支持按数据源查看已注册的所有元数据，并需支持创建DDL表功能，新增编辑表、字段、视图元数据信息，扩展数据库元数据信息；需支持血缘分析，实现从某一实体作为起点，往回追溯其数据处理过程，直到数据源接口；血缘分析的输出结果需包括回溯过程中所找到的所有元数据对象，以及这些元数据对象之间的关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(5)需支持查看已注册的元数据中，数据变更记录以及详细变更内容，便于追溯管理；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数据治理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1、数据质量分析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(1)需支持对数据质量的检查规则进行规则分类和说明；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(2)需支持对姓名、身份证、日期、电话、邮箱、IP地址信息项制定数据质量检查规则；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(3)需支持监测从各个业务单位汇集的原始数据，通过自动方式发现原始库中存在的数据质量问题；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(4)需提供数据同时存在检查、非空检查、数据范围检查、数据大小校验检查、长度检查、值域检查、一致性检查、自定义检查方式；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需提供数据质量监控报告，支持查看数据质量任务的任务状态；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(6)需支持对数据增量的结果进行显示，实时、动态的掌握数据定时抽取的情况，以保持数据的及时性和同步性；</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（7）预置常用的规则模板，内置检查规则与自定义检查规则两种类型的检查规则，覆盖常用准确性、一致性、完整性、有效性、唯一性质量检查规则，并提供可扩展的自定义规则模板管理能力。</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（8）通过拖拽式配置质量检查任务，对数据目录或库表选择质量检查组件，配置质量任务实现质量检查。可保存当前任务为模板，支持Spark或Flum等不同类型引擎。</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以数据资源为维度，进行质量检查报告查看。可以通过总览以及明细数据查看数据质量信息，错误数据明细展示错误实例，以及对应的质量检查规则与错误描述。并提供数据质量概览，展示包括问题数据量发展趋势、按规则分问题数据量占比TOP、数据增量发展趋势、数据增量异常次数TOP等信息。</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（10）可实现数据质量任务执行的日志跟踪和结果查看，展示任务执行开始时间、结束时间、状态等核心信息。提供问题数据反馈，根据数据质量报告反馈数据问题到部门组织。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2、数据规整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(1)需支持根据字典转换规则对非标准的数据字典表进行标准化转换；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(2)系统需支持根据业务需要初始化常用的清洗转换规则以及自定义的规则，需支持根据业务需要进行自定义的规则制定；</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配置任务分类，并在任务分类下创建规整任务，并对规整任务进行查询，提交，撤回，编辑，查看，删除操作；需支持通过任务分类、任务名称、创建时间、业务分类、状态查询任务基本信息；列表信息包含任务名称、创建时间、所属分类、状态信息；列表的操作列可以进行提交、撤回、编辑、查看、删除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(4)需支持通过简单流程化、图形化的操作完成数据清洗、转换、抽取的任务配置操作；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(5)需支持通过流程化、图形化方式来进行规整任务配置，配置过程中包含配置输入、配置输出、配置规则组件步骤的配置；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(6)需支持查看任务每次执行开始时间、结束时间、耗时、执行状态以及每次执行完成后插入和更新的数据量，并提供日志信息详细查看功能；在日志详细中可以查看包括异常信息、状态详细信息；</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提供逻辑模型的自定义分类管理、列表管理，按照模型名称和创建时间查询需提供手工创建和模板导入创建模型两种方式，通过模板导入完成批量建模、可导出模型的表结构和建表SQL；可引用现有模型、数据元或指标，快速创建模型结构字段，也可以手工新增字段；（提供产品功能截图并加盖投标人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3、脚本管理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存储过程、Sql脚本、Hive脚本三种类型；列表实现脚本查询，添加，批量提交，提交，撤回，删除操作；可以通过脚本名称、创建时间、脚本状态、脚本类型查询脚本基本信息；列表信息需包含脚本名称、创建时间、脚本类型、调用情况、脚本状态；列表的操作列需可以进行提交、撤销、编辑、查看、删除操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数据调度</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1、调度信息总览</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需支持查看所有调度任务的运行情况，支持查看总作业数，总任务数，支持各节点任务查看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需支持参数设置和节点管理，支持参数的新增，对参数进行新增、测试、查看、删除的操作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需支持节点的启用、停用及节点健康状况的查看；对节点进行编辑，手动调整执行节点的机器性能；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3、离线作业管理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需支持离线作业拖拉拽的图形化编排、启动、停用、删除；需支持作业列表的检索与分类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（1）离线任务管理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需支持任务的新建、启动、停用、删除，同时可以对任务进行分类操作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（2）定时器管理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需支持通过新建定时器对任务进行定时执行，定时器支持到分、时、日、月；同时支持周期性定时器；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4、需支持实时作业、实时任务的管理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5、需支持运维人员对离线作业、离线任务的监控；对实时作业、实时任务的监控并有对应的日志可以查看；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81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数据可视化驾驶舱</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智联可视化驾驶舱</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1、需支持统建标准化应用与校级自建个性化应用生态接入情况的统计与分析，包括统建标准化应用的接入数量、接入时间与自建个性化应用的接入厂商、接入应用数、平均接入时长信息；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2、需支持整体平台接入应用使用情况的统计与分析，包括应用使用变化趋势，各类应用使用活跃度TOP5排名；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3、需支持优秀学校下钻查看详细信息；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数联可视化驾驶舱</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1、需支持对基座数据整体接入情况的统计与分析，包括数据接入总量、按接入系统分析；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2、需支持对数据资产情况的展示，包括结构化数据、非结构化数据；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3、需支持对数据使用情况的统计与分析，包括数据使用量、热门数据；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全息搜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需支持精准搜、组合搜不同模式查询教师信息：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1、精准搜：需支持按照教师姓名、档案中的关键信息进行精准搜索，方便管理者快速查找关注对象，一步达成；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2、组合搜：需支持依据群体特征进行条件组合式的筛查，主要服务于定向事件的查询；</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个体档案</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需支持伴随式记录每位教师在教育教学生涯中的过程性和经历性数据，形成教师个体数字档案，呈现：教师基本信息、教育经历、工作经历、荣誉奖项、科研成果、教学活动、教研活动、培训学习维度信息。</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个人画像</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1、需支持基于教师档案数据，通过提炼教师身份特征，自动生成教师个体化的标签画像，如专任教师、班主任；支持统计教师在教学、科研活动和成果方面的活跃情况。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2、需支持以时间轴方式展现教师在科研、教研、培训、表彰维度的成果、经历信息，反映个体纵向发展变化趋势；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3、需支持标记个人教育教学生涯中的重大事件，包括参加省级以上比赛、获得省级以上表彰，或者首次参加某一类活动，反映个体发展的增值变化情况。</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档案个人管理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1、需支持教师个体对自身增加的档案信息进行增删改查：在增加档案信息时，需支持文本框直接输入信息的方式或通过OCR能力辅助，单条新增档案信息，也需支持通过表格进行批量导入新增信息；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2、需支持查看信息详情；需支持对信息进行修改，修改时会提供修改建议供参考；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3、针对自身填报的信息需支持删除。针对禁止教师个体填写的维度信息，需支持教师查看与导出；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4、需支持勾选时间段查看自身档案操作日志，包括操作账号、操作时间、操作行为、操作对象，保障数据安全。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审核管理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1、需支持对教师填报的信息进行审核，需支持单条信息审核与批量审核，需支持查看已通过与未通过信息列表；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2、需支持对审核进行设置，选择维度必须进行审核或者默认审核通过，需支持设置审核意见模板。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1、需支持管理员对档案范围的教师的基本信息进行批量维护，支持对性别、民族、籍贯、政治面貌、职称、入校时间字段选项和格式进行校验。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2、需支持管理员将教师业务档案数据以表格形式批量导入系统。系统提供导入模板，并支持可视化的在线格式校验和数据查重功能，校验通过即可成功导入。</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教师队伍分析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需支持对教师队伍结构进行分析，包括：师生人数、性别占比、年龄、编制、学科、工龄、学历、职称分布情况；骨干教师、学科带头人方面的优质师资数量。</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荣誉奖项分析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需支持按学年进行教师荣誉奖项分析，包括：不同级别奖项人次、最新荣誉动态、荣誉排行统计，下钻查看具体教师详情。</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科研成果分析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需支持按学年进行进行教师科研成果分析，包括课题级别分析、教师科研活跃分析，下钻查看具体教师详情。</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教学活动分析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需支持按学年进行进行信息化教学活动分析，包括备课、授课、作业、指导人次走势，需支持查看教师活跃排行，下钻查看具体教师详情。</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教研活动分析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需支持按学年进行进行教研活动分析，包括集体备课、听评课、公开课、专题研讨参与人次统计，教师教研活跃排行，最新教研活动动态，下钻查看具体教师详情。</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培训学习分析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需支持按学年进行进行教师培训学习分析，包括培训级别分布分析，教师培训活跃分析，下钻查看具体教师详情。</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81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教育应用</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学生画像系统</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画像建立在学生海量学习生活数据的基础上，以学生为主体，通过对学生学习、生活、行为等数据进行挖掘和分析，建立相关的分析模型和人工智能算法，构建多维度的精准描述学生的标签体系，全面刻画学生情况，实现个性化教育与精细化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学生信息管理模块：用于录入、编辑和查看学生的基本信息，如姓名、性别、年龄、班级等。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学生成绩管理模块：用于录入、编辑和查看学生的各科成绩，生成成绩报表和统计分析。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学生考勤管理模块：用于记录学生的考勤情况，包括迟到、早退、请假等情况。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学生行为管理模块：用于记录学生的行为表现，包括表扬、批评、处分等情况。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学生家长管理模块：用于管理学生的家长信息，包括联系方式、关系等。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学生档案管理模块：用于存储学生的档案资料，包括照片、证件信息等。</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招生考试管理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1.公布学校报名信息：州或市县管理员设置各个学校的报名名额、报名时间、报名区域；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2.家长报名：家长通过固定入口，选择学校进行报名；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3.报名审核：管理员对已报名学生信息进行审核；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4.违规通知：对跨区报名的学生自动筛选，并向管理员提出预警；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5.考试管理：对接考试管理系统，通过云平台小程序或短信发布考试日程；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6.录取管理：实现学生录取管理，生成录取名单，支持录取通知书打印；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7.公布录取名单：管理员公布已录取学生名单；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8.支持导出已报名学生信息。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9.支持教育局查看区域内各学校招生情况。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教师培训</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培训系统：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1.培训课程管理：包括培训课程发布、编辑、删除等功能。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2.培训考试管理：包括试卷生成、考试安排、成绩统计等功能。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3.培训进度跟踪：记录学员的学习进度，提供培训学习报告和统计信息。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4.资源管理：包括培训课件上传、下载、分享等功能。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5.消息通知：向学员发送培训课程更新、考试通知等消息。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6.数据分析：对学员的学习情况进行统计分析，提供数据报表。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7.▲上传培训记录：支持培训老师上传培训记录，包括培训日期、课节、培训老师、培训记录内容；（需录制视频演示）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8.▲培训统计：审核通过的记录，按培训人进行统计，支持统计累计培训节数，同时支持按培训日期、培训人姓名搜索。（需录制视频演示）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证书上传系统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1.证书上传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(1)支持上传证书文件至系统，并根据证书类别保存证书文件进入审核库。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(2)支持上传权限设置，上传证书经过审核后保存至证书库。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2.证书导入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支持导入模板下载，可批量导入证书。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3.证书明细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提供证书预览页面，根据角色信息，展示个人或部门的证书。"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名师工作室</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1.▲支持申请创建自己的工作室；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2.工作室审核：审核工作室，并支持给工作室分类，包括名师工作室、新锐工作室；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3.▲管理工作室：工作室创建人可以对工作室成员管理，工作室栏目维护、工作室资源维护、公告发布、工作室留言管理；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4.▲支持加入多个工作室；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5.工作室内容建设：工作室创建人、成员均可以建设内容，包括资源、文章、以及交流活动的介绍；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6.消息通知：工作室创建申请、加入申请、审核结果等功能，系统自动进行消息通知。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小程序对接</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1、基于开放平台标准的接入流程及API开放接口规范，钉钉或企业微信通过开放平台完成统一认证对接和应用上架。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2、集成系统消息形成服务卡片，实现一键式访问。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终端设备</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定制化开发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pacing w:val="0"/>
                <w:w w:val="100"/>
                <w:kern w:val="0"/>
                <w:position w:val="0"/>
                <w:sz w:val="32"/>
                <w:szCs w:val="32"/>
                <w:u w:val="none"/>
                <w:shd w:val="clear" w:color="auto" w:fill="auto"/>
                <w:lang w:val="en-US" w:eastAsia="zh-CN" w:bidi="ar"/>
              </w:rPr>
              <w:t>阅卷系统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组织架构</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功能模块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功能描述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8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智能阅卷系统</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高速扫描仪</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符合国产自主安全可控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扫描方式：高速双面ADF；</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传感器类型：CIS；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幅面：A3；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分辨率：600dpi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色彩位阶：48bit；</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扫描速度：100 ppm/ 200 ipm；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图像格式： BMP/JPG/PNG/PDF/可检索PDF/RTF/TIF/压缩TIF/OFD；</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进纸器容量：500 张（A4/ Letter大小，重量70克/㎡ 或18 Lbs）；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扫描介质：A3，A4幅面的纸张、税票等各种卡片，如身份证、会员卡、银行卡等；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按键：Up, Down, Scan, Standby，直接“一键式”操作，提高工作效率；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接口：USB3.0；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光源：LED；</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条码识别：一维码、二维码的识别；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功能：采用高亮度LED光源，无需预热，即开即扫；提供待机睡眠按键，完全符合目前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所提倡的低碳节能标准，支持长达6m长纸扫描；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随机附带OCR软件：识别准确快速，识别率高，可识别多个国家二百余种语言和文字，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能自由进行区段识别，支持多页文件直接扫描到“Word”文档；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适配国产系统：全面支持龙芯、兆芯、飞腾等硬件平台和银河麒麟V10、中科方德、中标麒麟等国产操作系统；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随机附带影像中心软件：图像功能：硬件，纠偏裁剪；软件，多流图像输出，自动检测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空白页，抖动处理，消除网线，强调轮廓，消除颜色，滤色（无，自定义，饱和度），消除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装订孔，可提供影像自动倾斜校正、影像黑边自动裁切、多种文件格式输出、文字自动识别、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空白页侦测自动删除等多项优质功能；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影像中心软件取得国家版权局《计算机软件著作权登记证书》(提供证明文件)；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生产厂家出具售后服务承诺函。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4"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阅卷系统</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一、部署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1.★本地机房部署:(原厂提供盖章证明材料)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2.已租代建，一年，支持州教育局、市教育局、县教育局可分别组织统一考试阅卷，全州71个中心校也可以自主发起阅卷；教育局可以查看各学校的阅卷数据；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3.一键导航式安装，安装过程中应包括：数据库静默安装及自动配置、第三方程序静默安装、WEB评卷程序的发布、配置。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4.严禁手工安装或配置如：数据库、IIS等第三方软件。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5.数据库系统必须为oracle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6.为安全起见，防止单纯的“用户名+密码”验证方式，管理端必须采用硬件加密狗的方式进行管理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二、扫描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1.在扫描过程中能实时发现：已经提交过的重复扫描的题卡、考号错误的题卡、非本科目的题卡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2.临时复印的答题卡，在复印过程中做了适度的缩放，系统也能完美识别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3.扫描答题卡可以随意放置，不能强调只能按一个固定方向，可以正反和颠倒放置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1.各个加密狗能共享同一个云主机，其创建的考试只能各自加密狗浏览和管理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2.能适应新高考的要求：不同考生选择不同科目考试的要求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3.能为不同的科目设置不同的扫描模式，如：某些科目采用黑白扫描和传输（加快互联网传输速度）、某些科目配置为灰度扫描和传输（如：有连线题等理科类）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扫描模板除了保存“识别区域”信息外，还必须保存“科目扫描基本信息”，如：“单双面设置”、“扫描分辨率”、“扫描颜色值”等信息，无论扫描参数之前是否被他人手工修改过，启动不同的科目扫描，系统会根据上述保存好的“扫描信息”自动去修改扫描仪的“单双面设置”、“分辨率设置”、“颜色值”等参数；这样可以避免：当该扫描仪的参数被他人修改后，在扫描科目答题卡时需人为的把参数调整过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5.主观题支持按题目设置部分双评比例，且比例可随时调整变化。</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6.主观题支持按题目设置部分双评，同时必须能实现：只针对指定的考生进行双评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7.要求本地区所有县市的可以独立阅卷。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四、中学校园考试应用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1.支持新高考选课考试，即：同一门课程由不同人数参与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2.支持新高考的“等级赋分”制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3.单校内考试支持“虚拟切割”，类似大学考试，即：扫描提交就可以开始阅卷，系统无需开启“题卡切割”模块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4.★可设置：各科任课教师只批阅自己任教的一个或几个班级（提供截图证明材料）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五、多校联考应用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1.支持多校联考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2.能生成地区报表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3.能生成各校报表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4.能支持联考学校在互联网环境下异地扫描同步上传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5.▲可设置：各个学校或部分学校仅批阅自己学校的试卷任务.（需录制视频演示）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6.可选取部分学校出报表，及统计指定学校的各类数据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六、评卷部分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1.评卷系统需为纯WEB方式，无需任何插件。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2.评卷系统支持任何浏览器，如：IE、FireFox、Safari、Google Chrome等。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3.系统能导入教师实名信息，并支持教师实名登录统计等。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4.为及时掌握给分标准，在获得登录密码尚未登录前，教师能浏览指定数量的切割题块。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5.系统必须支持按题、按人来设置“试评”、“正评”任务，即：如果某题有100个评卷教师，如果有10个教师试评合格后，系统可以让这些教师事先进入“正评”，剩下的90个教师继续在“试评”阶段练习。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6.支持试评功能灵活设置，允许教师在评阅了N份试卷后自动从“试评”进入“正评”，无需人工干预。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7.系统必须具备：允许给某个教师抽查权限，根据需要：可以给该教师“只查看不能修改”及“允许查看及修改”权限。（需录制视频演示）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8.为最大化的方便客户操作，即使评卷开始后，也能随时对切割后的题块进行如下调整，如：增加题目切割块、删除题目切割块。且这些操作能方便自如的操作。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9.教师监控端，能显示教师给分分布曲线，能展示教师每日给分曲线对比，能显示全体教师给分分布曲线，且这些曲线在web中进行，无需任何插件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10.为了提高系统的高可用性及简化操作，系统严禁产生所谓的“无法提交的废卷或异常卷”。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11.支持诸如填空题的快速给分，如：支持连续点击卷面加标注并累计给分，或连续点击扣分模式，对不同分值的给分点能在“不切换”的情况下快速给出分值。</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12.能“按比率”或“指定某些考生”的某道题部分双评，没指定的默认“单评”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七、学情分析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1.系统必须具备如下身份，各个身份查询能显示不同权限的报表：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年级组长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班主任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科目组长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任课教师</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教研员和教研室领导</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学生家长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A.年级主任身份功能和权限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在一张报表里显示本校各科数理统计指标，指标内容包括：参试人数、及格人数、及格率、低分人数、低分率、优秀人数、优秀率、最高分、最低分、贡献率、标准差、方差、平均差、变异系数、难度、峰度、偏度、中位数、众数、四分差等指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能提供各科目得分率柱状图对比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能提供总分自定义分数段曲线对比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能提供各班、各科平均得分曲线对比图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能提供各班各科、全年级各科班级均分表，且表中内容会根据分数不同而展示不同颜色。同时，点击对应的分数会展示该班级对应科目的学生详细得分明细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点击学生各科得分超链接，会显示该学生科目图像，并在图像上恢复教师评卷轨迹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需提供校级分析报告，报告内容需包含如下指标或内容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A．能提供三档均分/有效分对比，且三档参数能自定义，不能固定死。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B．能提供三档临界群体分析，临界指标能自定义，不能固定死。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C．能提供总分各班表现曲线对比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D．能提供各科各班表现曲线对比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E．能提供ABCD四个等级成绩分布对比，且四个等级指标能自定义，不能固定死。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F．能提供重点学生关注，重点学生指标为：校前N名，校后M名学生关注，N和M指标均能自定义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需提供学科分析报告，报告内容或指标如下：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A．需提供四率和分数段统计报表，且四率和分数段指标能自定义，不能固定死。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B．点击四率和分数段指标的超链接能显示对应的学生成绩明细。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C．需提供各科班级均分对比曲线图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D．需提供科目班级分数段曲线对比图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E．能显示各班各科成绩明细，点击考生明细能展示该科目考生图像，且图像上必须有教师批阅轨迹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F．提供主客观题讲评，能在一张表中显示该科目各班各客观题的正答率，点击该题正答率，能显示该题各班的错答人数和错答分布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G．主观题讲评：能提供各班各题的均分，点击均分超链接能显示该班得分明细，点击考生明细，能显示该考生的子图信息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H．提供班级综合评价，评价内容包括：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各班各科优秀率、良好率、及格率、不及格率对比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能计算各班各科综合得分排名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能提供各班各科贡献率柱状图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能提供各班各科综合得分柱状图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能提供校前N名，每M名均分统计，统计指标必须包含超链接，点击超链接能显示所有满足条件学生明细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提供各科命题质量分析报告，报告内容和指标如下：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能在一张报表里显示本校各科数理统计指标，指标内容包括：参试人数、及格人数、及格率、低分人数、低分率、优秀人数、优秀率、最高分、最低分、贡献率、标准差、方差、平均差、变异系数、难度、峰度、偏度、中位数、众数、四分差等指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B．提供各班各科难度和得分率柱状图对比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C．显示科目信度和区分度指标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提供教学质量分析报告，报告内容和指标如下：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A．显示各班及本校的各科均分对比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B．能自定义各班高分段人数分布，且高分段指标能自定义，不能写死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C．能自定义ABCD四个等级各班人数分布，且等级指标能自定义，不能写死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D．能自定义N分段各班人数分布，且分段指标能自定义，不能写死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提供个体学生关注模块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A．能根据考号、姓名等信息检索学生信息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B．能根据检索的学生信息获得其历次考试的成绩及分布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班级进退榜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A．能检索和对比各班均分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B．能根据检索的信息，获得该班历次考试的成绩分布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通用成绩报表下载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A．能根据权限下载各种报表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B．能实时显示各种报表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B.班主任身份功能和权限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班主任分析模块类似于年级主任模块，只不过其查看的数据全部局限于其所教班级，其他班级数据无法查看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C.科目组长身份功能和权限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能在全校的层面查询对应科目的各班统计，统计内容请参照A中描述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D.任课身份功能和权限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仅显示其所教班级的该科目的统计，统计内容请参照A中描述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E.教研员功能和权限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教研员仅能查看某个指定科目的信息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能查询联考各校科目均分对比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能查询某个题目各校均分对比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F.教研员功能和权限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教研员仅能查看所有科目的信息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能查询联考各校科目均分对比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能查询某个题目各校均分对比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G.家长查询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能通过扫描二维码登录查询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能查看学生历次考试对比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能用柱状图形式显示各科得分及与全年级均分对比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能查看各个科目的卷面信息和批阅轨迹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ascii="Wingdings 2" w:hAnsi="Wingdings 2" w:eastAsia="Wingdings 2" w:cs="Wingdings 2"/>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能查看各小题的得分，能查看优秀学生小题卷面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八、报表部分要求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1.即使评卷尚未结束，系统也允许导出报表供主管单位参考用。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2.支持自定义报表，自定义报表格式可自定义，自定义报表支持表格、柱状图、饼状图等。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3.支持按科目、按班等指标一键快速导出报表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4.允许查看而不导出报表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5.报表导出支持pdf、excel、dbf等格式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6.支持综合科目拆分并生成报表，即：综合科拆分出物理、化学、生物等科目。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7.支持原始分、标准分、平均分、排名、选择率、正确率、最高分、最低分、闪光点、薄弱点、标准差、区分度、贡献值、难度、信度、Z分数、分数百分等级、分数分布、名次分布等统计指标的自由选择；</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8.可自动生成个人、班级、年级的简明报表、详细报表、对比报表、汇总报表、成绩分布报告、名次分布报告。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9.自动生成班主任、任课老师、年级组长等全新，并在阅卷一结束后，能通过网页（无任何插件）查看和下载各类授权的报表。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10.学生能在网上查看自己的卷面成绩及教师评分过程中留下的阅卷轨迹。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九、手机阅卷要求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1.能支持收集扫描上传试卷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2.能支持各类手持终端，如Android和IOS手机阅卷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3.阅卷系统能方便接入学校或各类平台的“微信公众号”；支持“二维码”扫描登录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4.教师能在手机上批阅：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A）正常卷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B）异常卷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C）仲裁卷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D）组长能进行进度和质量监控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5.教师手机查询必须有如下独立的权限身份：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A)班主任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B)任课教师</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C)年级主任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D)科目组长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6.手机阅卷模块，教师能查看自身阅卷分数分布和全体分布的两条曲线对比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7.学生成绩界面，能自定义“开启/关闭成绩排名”权限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8.年级组长权限能自定义“有效分”查询、能自定义分数段和四率指标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十、云平台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1.服务器统一部署在教育局机房，为安全起见，该机房机器可能无法访问外网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2.各个学校的考试数据必须集中存放在教育局统一的云平台，包括阅卷数据库、原始图片、切割图片，学校本地不存储这些考试相关的数据。在互联网环境下，学校可以在任何地方管理自己的考试。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3.辖区内的各个学校在平台上创建的考试，各自管理，且相互不可见，学校可以在互联网的环境内实时扫描数据到服务器中心平台。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4.辖区内各校在服务器上创建的考试，教育局都能看到，并能统一管理，包括进入各校的考试查看扫描和切割进度、阅卷进度、调配教师、修改扫描模板、修改主客观题分值等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5.由于采用了“统一云平台阅卷系统”，系统必须有专门的“教研室身份”进行联考时的管理，身份包括：科目教研员及教研室领导，这些管理模块必须为纯web界面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A.科目教研员能监控本辖区联考中该科目的基本概况，包括：该科目各校的平均分、各校优秀率、及格率等四率指标，能自定义分数段进行各校对比，能下载相应的excel报表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教研室领导能监控本辖区内联考中各个科目的基本概况，包括：能随时查看指定学校指定科目的平均分、各校优秀率、及格率等四率指标，能自定义分数段进行各校对比，能下载相应的excel报表。能对比不同科目不同学校的学情指标，包括：平均分、优秀率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6.联考时，服务器云平台能监控到联考中：各科各校的扫描进度，能形成缺扫报表反馈给各校。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7.联考时，教育局能针对各校阅卷教师进行“等量阅卷任务发放”原则，即如：A校教师只阅该校总学生数的试卷，达到“等量”后教师不再获取任务。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8.联考时，所有教师必须先进行试评，试评结束后：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A.可手动调整某个科目下的所有人全部进入“正评”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B.可手动调整某个科目中某题所属教师全部进入正评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C.也可手动调整某部分人进入正评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D.也可指定：教师试评任务达到指定数量后自动进入正评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9.可以针对某些指定考生进行单独双评，没指定的考生采用单评，也可按比例进行“部分双评”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10.为备份或查分需要，后台能批量导出各校各科jpg学生答题卡图像，图像正反面合成为一张图像，图像中包括：红色得分标记、客观题得分标记等，jpg图像命名为：考号+姓名+科目.jpg"</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题库、资源库及组卷系统</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以下内容的资源服务时间1年；确保每个学校都可以访问以下资源；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一、试题库服务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1、内容整体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试题试卷资源需覆盖小学、初中、高中所有年级；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覆盖小初高主要学科，小学需覆盖学科包括语文、数学、英语、科学、道德与法治等学科，初中需覆盖学科包括语文、数学、英语、物理、化学、生物、地理、历史、科学、道德与法治、历史与社会、信息技术等学科，高中需覆盖学科包括语文、数学、英语、物理、化学、生物、政治、历史、地理、信息技术、通用技术、日语等学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试题总量大于1700万道，试卷总量大于150万套，平均日更新大于8000道。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试卷类型包含但不限于课前预习、课时练习、单元测试、阶段练习、期中、期末、专题练习、开学考试、竞赛、模拟、真题等，初中、高中学段试卷类型还需包含学业考试。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试卷级别需包括普通、精品、特供，可查看使用全部试卷；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需根据学科特点，提供不同试题类型的试题资源，如选择题、判断题、简答题、填空题等，部分试题类型需支持设置二级题型，支持英语、日语听力题型；（提供此项功能界面截图并加盖厂家公章）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试题拥有题型、难度、知识点、答案解析、来源、更新时间、组卷次数、试卷引用等标签、名校标注、解题方法等标签，英语阅读题还支持查看文章大意、文章词数 ；（提供此项功能界面截图并加盖厂家公章）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试卷属性包括年级、年份、地区、试卷类型、浏览量、题量、更新时间；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页面内文字类信息、图片支持复制；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2、章节选题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教材版本整体包括但不限于统编版、人教版、苏教版、北师大版、湘教版、沪教版、外研版、牛津译林版、教科版等，网站对应版本下均有教育资源；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支持根据所选章节选题、选择同步套卷，支持下载整份试卷，可对其中单个试题另行组卷；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语文、英语学科支持拓展阅读；（提供此项功能界面截图并加盖厂家公章）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支持按照试题场景、题型、难度、分类（如典型题、同步题、压轴题、课本原题）、年份、地区、年级筛选，支持难度的选项多选，支持选择只看新题；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部分学科（例如数学、物理、化学、生物、政治、历史、地理）还支持按知识点、考法进一步筛选；（提供此项功能界面截图并加盖厂家公章）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支持英语听力题在线试听及下载MP3；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试题列表可按照综合、最新、最热进行排序，可在筛选结果中进行关键词精准搜索，支持设置是否显示答案解析；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支持查看试题的题型、难度系数、知识点、题干、答案以及详细解析，支持查看相似题、试题纠错、试题收藏、加入试卷，支持单道试题下载、查看试题相关知识点，系统会根据知识点推荐相似题；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3、知识点选题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支持根据知识点选题，知识点最多支持5级，支持知识点单选、多选搜索；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初高中学段部分学科（例如数学 、物理、化学）支持根据知识点衍生出的解题方法选题，政治类学科支持根据时事政治选题；（提供此项功能界面截图并加盖厂家公章）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支持按照试题来源、题型、难度、分类、年份、地区、年级筛选，支持来源、难度的选项多选，支持选择只看新题；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小初高学段试题分类需包含典型题、同步题、课本原题，不同学科需额外提供其他试题分类；（提供此项功能界面截图并加盖厂家公章）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（1）小学学段数学学科还需包含压轴题、情境化试题；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（2）初中学段部分学科（例如数学、化学、生物）还需包含压轴题，部分学科还支持按照考法进行筛选；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（3）高中学段部分学科（例如数学、物理、化学、生物）还需包含压轴题，高中数学还需包含新文化题，部分学科还支持按照考法进行筛选；""""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支持英语听力题在线试听及下载MP3；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试题列表可按照综合、最新、最热进行排序，可在筛选结果中进行关键词精准搜索，支持设置是否显示答案解析；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支持查看试题的题型、难度系数、知识点、题干、答案以及详细解析，支持查看相似题、试题纠错、试题收藏、加入试卷，支持单道试题下载，可查看试题相关知识点，系统会根据知识点推荐类似题；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部分知识点提供知识点解读内容；（提供此项功能界面截图并加盖厂家公章）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4、试卷选题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支持按照同步教学、阶段测试、备考、竞赛等场景筛选试卷，可按照试卷最新、最热进行排序；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不同场景下需包含不同的试卷类型，便于教师场景化查找；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（1）同步教学的试卷类型需包括课前预习、课时练习、单元测试；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（2）阶段测试的试卷类型需包括阶段练习、期中、期末、专题练习和开学考试，支持根据年级、年份、级别、地区、学校搜索进行进一步筛选；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（3）备考的试卷类型需包括模拟、真题，中高考备考的试卷类型还需包括学业考试，支持根据年份、级别、地区、学校搜索进行进一步筛选；""""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英语听力试卷详情页支持展示听力二维码，支持扫码在线播放听力，支持试卷下载时含听力二维码；（提供此项功能界面截图并加盖厂家公章）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对试卷进行下载、收藏，可查看试卷分析、平行组卷、试卷细目表，可对其中单个试题另行组卷，支持整卷加入试题篮，也可以一键添加某题型下试题到试题篮，支持查看试卷整体难度、考查范围、试卷题型分布、知识点分析、细目表分析等试卷分析内容，细目表分析支持导出；（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5、智能选题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支持根据出题场景智能选题，包括课时练习、阶段测试和备考场景；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支持分别按照教材章节及知识点目录选择考查范围，可一键清空；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★支持设置试卷整体难度，优选地区，系统需提供预设试卷模板，支持用户设置题型以及题量来自定义试卷模板，支持保存自定义模板；（提供此项功能界面截图并加盖厂家公章）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生成试卷后，可直接下载试卷，也可以一键加入试题篮，支持对单个试题进行智能换题；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6、细目表组卷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细目表选题组卷，支持通过设置试卷标题、挑题偏好、命题方式（按知识点命题、按教材章节命题）、考试范围、题型及试题数量、考查知识点后生成自定义细目表，支持一次设置所有试题的知识点，即可完成智能生成试卷；（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自定义试卷细目表支持对每道试题设置难度、考查知识点等，细目表需支持保存和下载，支持使用题库已有试卷的细目表反向智能生成试卷；（提供此项功能界面截图并加盖厂家公章）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支持按照试题手动选题，支持查看已选择试题的详情；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支持下载生成的试卷、重新智能生成，支持将试卷中的的试题全部加入试题篮、单道选题，支持对每道试题进行智能换题；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7、名校卷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通过选择地区，进一步选择试卷类型和年份、年级筛选各地名校试卷，可直接搜索学校名称查看该学校的试卷，支持根据试卷最新或最热进行排序；（需录制视频演示）（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可对试卷进行下载、收藏，可查看试卷分析、试卷细目表，可进行平行组卷，可对其中单个试题另行组卷；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支持一键把试卷内某一题型下的所有试题加入试题篮，也可一键将该试卷中的所有试题放入试题篮；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试卷分析可查看试卷整体难度、考查范围、试卷题型分布、知识点分析、细目表分析，细目表分析支持导出；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8、高考专区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高考专区汇集各学科高考资源，包括高考真题、高考模拟、高考专题等内容；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考真题的试卷分析可查看试卷详细的细目表分析和知识点分析，细目表分析可查看每一道题的难度系数、详细知识点，知识点分析可查看知识模块、题量、题号、难度系数和详细知识点，可单独查看每一道试题的详情；（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支持将试卷内题型下的所有试题一键加入试题篮，也可将试卷中的所有试题一键加入试题篮，支持把单道试题加入试卷、移出试卷；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部分高考真题（如2023、2022年）支持查看讲解视频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9、中考专区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中考专区汇集各学科中考资源，包括中考真题、中考模拟、中考专题等内容；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考真题的试卷分析可查看试卷详细的细目表分析和知识点分析，细目表分析可查看每一道题的难度系数、详细知识点，知识点分析可查看知识模块、题量、题号、难度系数和详细知识点，可单独查看每一道试题的详情；（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支持将试卷内题型下的所有试题一键加入试题篮，也可将试卷中的所有试题一键加入试题篮，支持把单道试题加入试卷、移出试卷；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10、精品专辑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需提供同步教学、阶段复习、升学备考、专项突破、假期等类型精品专辑，支持根据专辑类型、场景、年份、年级进行筛选；（提供此项功能界面截图并加盖厂家公章）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精品专辑分为普通专辑和VIP专辑，支持查看使用全部专辑；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专辑列表支持按最新、最热排序，可在筛选结果中进行关键词精准搜索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专辑支持整卷下载，支持全部试题、单道试题加入试题篮；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支持设置显示试题题干、显示答案，对于单道试题，支持查看相似题、纠错、收藏、查看详情；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10、组卷中心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需提供作业、测试、考试等常用试卷模板，支持自定义设置试卷模板，支持对主标题、副标题、装订线、保密标记、誊分栏、注意事项、大题及注释等考试信息进行设置；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支持调整试题顺序，可一键按照加入顺序和由易到难进行排序，也支持手动拖动题号、题型进行排序；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支持自定义题型，并且将试题拖动到自定义题型下；（提供此项功能界面截图并加盖厂家公章）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支持单题删除、按题型删除、清空试题篮等方式删除不需要的试题，已删试题在试卷末尾，若误删可快速加回；</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支持对组卷中心中的试题进行换题、纠错、查看解析、查看详情；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支持插入学生作答区域，设置试卷分值；（提供此项功能界面截图并加盖厂家公章）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支持查看试卷分析，保存试卷，试卷分析需包含整体难度、考查范围、题型分布、细目表分析、知识点分析等；（提供此项功能界面截图并加盖厂家公章）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下载doc/docx/pdf三种文件格式试卷，支持下载时设置试卷标题、答案位置、试题来源，纸张大小需支持A3、A4、B4、8K、16K，支持选择附带解析，支持mathtype和微软两种公式格式，支持选择下载后是否清空试题蓝、是否加入个人题库；（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支持下载docx、doc两种格式的试卷答题卡，支持普通表格、标准题卡、选择密集型三种答题卡样式;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★支持边选题边组卷，打开侧边栏的试题篮，可查看已添加试题的题型和题量，可查看每道试题的题干，并支持移出试卷；（提供此项功能界面截图并加盖厂家公章）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11、我的题库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校本题库：支持将自己的word版试卷上传到校本题库中，可选择自主导题和委托导题；</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个人题库：支持收藏下载的试卷，试卷可实现查看详情、下载、移动、删除，试题支持加入试题篮、查看详情、删除；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12、个人中心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我的下载：支持对下载的试卷进行查看详情、编辑、删除、下载操作，下载的试卷支持试题讲评、编辑、删除、下载，支持根据时间范围进行搜索查找；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试题收藏：可展示收藏的试题，试题支持加入试题篮、查看详情、删除；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选题记录：可根据题型、难度和时间范围进行试题筛选，对于每一道试题，都支持查找相似题、纠错、收藏、查看详情、加入试卷；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我的细目表：支持展示用户保存过的细目表，可直接使用，也可重新编辑、删除；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二、教学资源库服务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1、内容整体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资源需涵盖小学至高中所有年级各学科教学使用，资源总量大于1800万套，日均更新大于8000套；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（1）小学需覆盖语文、数学、英语、道德与法治、科学、信息技术、音乐、美术、体育与健康、心理健康、综合实践等学科；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（2）初中需覆盖语文、数学、英语、物理、化学、生物、道德与法治、历史（历史与社会）、地理、科学、信息、音乐、美术、体育、劳动技术等学科；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（3）高中需覆盖语文、数学、英语、物理、化学、生物、政治、历史、地理、信息、音乐、美术、体育、通用、劳动技术等学科；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提供小学、初中、高中拓展资源，满足教学综合性需求；（提供此项功能界面截图并加盖厂家公章）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（1）小学拓展资源包含但不限于素质阅读、班会育人、艺术文化、科学技术、社会实践、体育健康等；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（2）初中拓展资源包含但不限于文综、理综、班会育人、生涯导航、心理健康、社会法治等；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（3）高中拓展资源包含但不限于文综、理综、班会育人、生涯导航、心理健康、技术等；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（4）需提供小初高拓展方面试题试卷，总量不少于7万份；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需涵盖小学、初中、高中主流教学版本及部分地方版本。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（1）小学整体教材需涵盖部编版、北师大版、苏教版等主流版本外，还需包含青岛版、北京版、沪教版、浙教版、鄂教版、粤教版等各地区在用教材版本；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（2）初中整体教材需涵盖部编版、北师大版、苏教版等主流版本外，还需包含青岛版、沪教版、湘教版、鲁教版、教科版等各地区在用教材版本；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（3）高中整体教材需涵盖统编版、北师大版、苏教版等主流版本外，还需包含沪教版、湘教版、鲁教版、教科版等各地区在用教材版本；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资源类别：包含但不限于试题试卷、课件、教案/讲义、素材、音视频、备课综合、学案/导学案、假期作业、成套资源；（提供此项功能界面截图并加盖厂家公章）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文档类型：需涵盖WORD、PPT、PDF、压缩包、音视频、图片等各文档类型；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提供不少于4个资源级别，包含但不限于免费、普通、精品、特供等资源级别；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2、资源查找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同步场景：需支持按照同步场景（教材）查找资料，支持按照教材版本、年级册别、教材章节目录筛选详细资料；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考场景：需支持按照开学、月考、期中、期末、竞赛、小升初、中考复习、高考复习等备考场景（试题试卷）查找资料，中高考复习还支持按照中高考复习维度、模拟预测、真题、学业考试、自主招生等类别进行资源查找，满足各阶段试题试卷需求；（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知识点场景：需提供学科知识点体系目录，支持用户通过学科知识点的维度查找教学资料；（提供此项功能界面截图并加盖厂家公章）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需支持按照资料类别进行查找，其中试题试卷、音视频、假期作业需提供二级类别，根据学科特色提供不同二级类别；（提供此项功能界面截图并加盖厂家公章）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试题试卷包含但不限于开学考试、同步练习、单元测试、月考、期中、期末、模拟预测、竞赛、小升初等二级类别，初高中试题试卷包含但不限于开学考试、月考、期中、期末、学业考试、模拟预测、真题、真题汇编、周测、同步练习、单元测试、综合复习、自主招生、竞赛等二级类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（2）音视频整体包含但不限于微课堂、精品课、公开课、名师课堂、说课、讲座报告、实验演示、教学实录等二级类别；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（3）假期作业包含但不限于寒假、暑假二级类别；</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提供多种资源查找方式，需支持按照地区、学校、年级、年份、搜索关键字进行筛选查找资料；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提供不少于两种资源排序方式，包含但不限于最新排序、智能排序；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3、备考资源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提供小学、初中、高中升学备考方面资源，支持资源下载，满足不同阶段的备考学习需求；（提供此项功能界面截图并加盖厂家公章）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（1）小学小升初备考资源需涵盖语文、数学、英语等学科,包含但不限于专项复习、模拟预测、真题等维度；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中中考备考资源需涵盖语文、数学、英语、物理、化学、生物、道德与法治、历史（历史与社会）、地理、信息等学科,包含但不限于一轮复习、二轮专题、三轮冲刺、一模、二模、三模、模拟预测、真题、学业考试等维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（3）高中高考备考资源需涵盖语文、数学、英语、物理、化学、生物、政治、历史、地理、信息等学科,包含但不限于一轮复习、二轮专题、三轮冲刺、一模、二模、三模、模拟预测、真题、学业考试等维度；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（4）提供中学名校套卷学习资源，需涵盖语文、数学、英语、物理、化学、生物、历史、地理等主要中学学科，包含但不限于月考、期中、期末、一模、二模、三模、中考复习、高考复习等维度；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4、专辑资源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提供专辑资源，方便教师一次性查找同一主题下相关资源；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整体需包括同步教学、知识点、同步练习、单元测试、月考、期中、期末、同步备考、模拟预测、小升初、小升初衔接、中高考复习、真题、真题汇编、寒暑假等，小学语文、英语学科需额外包括课文朗读、阅读、作文，小学数学还包括应用题、竞赛；（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（2）需支持查看专辑内资源简介、属性、浏览资源目录，支持查看单个资源详情，支持资源单个、多选、全选下载，支持专辑分享、收藏；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5、名师资源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提供初中、高中名师资源，支持分学科展示名师，支持按照多种排序方式查看名师创作的资料及专辑，支持查看名师个人资源下载量、浏览量、专辑数量、资源数量，支持资源预览、下载；（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提供学科教学、通识成长等课程类别的名师经验分享视频类资源，支持教师在线观看，包含但不限于专家讲座、圆桌论坛、主题报告等课程类型，课程内容包含但不限于班主任、信息技能、数字素养、名师工作室、职业发展、课堂改革等方面。（提供此项功能界面截图并加盖厂家公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6、校本资源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提供校本功能，支持学校内资源建设与管理，支持校本资源下载；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（1）支持教师个人资源上传、查看、删除；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（2）支持学科导航筛选、教师资源上传排名部分数据展示、最新校本资源展示、已下载资源记录展示；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（3）支持管理员进行资源审核；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7、区域资源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提供地区区域资源，支持按学校、年份进行筛选、查看；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8、资源使用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需支持查看学科、教材、册别、类别、年份、上传时间、文件大小、下载量、阅读量、点赞次数、上传者等资源详情信息，支持资源检索、预览、下载以及相关资源推荐等功能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9、个人中心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1、支持个人信息、身份信息的查看、修改；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2、提供资源管理功能，支持上传资源、管理上传、查看资源浏览记录、查看收藏和下载的资源；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热转式/热敏性打印机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外卷式碳带容量90m最大外径 35mm:0.5“芯(墨外涂层), 打印机胶辊和打印头可拆卸@,超大内存容量8MB Flash、8MBSDRAM,配备 microSD 卡插槽,USB 2.0 标准通讯接口,易装纸纸仓设计，便于使用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配套打印纸</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配套打印机的，可即时贴纸，每卷不低于2000张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spacing w:val="0"/>
                <w:w w:val="100"/>
                <w:kern w:val="0"/>
                <w:position w:val="0"/>
                <w:sz w:val="32"/>
                <w:szCs w:val="32"/>
                <w:u w:val="none"/>
                <w:shd w:val="clear" w:color="auto" w:fill="auto"/>
                <w:lang w:val="en-US" w:eastAsia="zh-CN" w:bidi="ar"/>
              </w:rPr>
              <w:t>三个课堂融合系统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类别</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系统名称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功能描述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5"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三个课堂互动系统</w:t>
            </w:r>
          </w:p>
        </w:tc>
        <w:tc>
          <w:tcPr>
            <w:tcW w:w="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与原有平台系统对接</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1．平台服务端采用B/S架构，前台采用HTML5网页，采用浏览器方式打开，不需要安装任何插件。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2．综合视频管理平台能够实现对视频分类，如精品课堂、综合视频、校园电视、名师讲堂、视频素材等，也可以对视频按学科、年级、班级进行分类；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3．支持RTMP、RTSP、及HLS（HTTP Live Streaming）等多种网络直播协议；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视频交互模块：支持直播服务器的接入，支持交互活动的设置与管理，满足教研活动及会议活动的个性定制，支持师生网络在线课堂互动功能，支持多课堂本地及异地音视频实时交互教学，可摆脱现实当中交流的时间和地点的限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5．师生网络在线课堂互动功能，实施多向音视频教学互动；可支持其他品牌的录播教室加入系统育其他教室进行互动；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视频直播功能：系统提供直播功能，可以直播FLV，直播时提供师生互动栏目，平台支持弹幕设置，可以在后台设置的禁词。可对课堂实时点评、提问、回答等操作，提供直播模式与会议模式，可进行网络课堂直播与互动交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7．高清晰的视频会议系统：该平台系统提供高清晰的视频会议系统，该会议系统为Web形式。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8．安全与体验：会议音视频发送端采用AES加密分别是AES-128、AES-192和AES-256，即密钥长度分别为：AES-128的密钥长度为16bytes（128bit /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高清晰实时音视频互动及交流，建立远程互动教研体系，实现跨校区、跨区域教学合作、学术交流、教研会议等。支撑三个课堂“专递课堂”、“名师课堂”、“名校网络课堂”等交互教学，实现跨校区、跨区域结对帮扶。在音视频信号质量上远远的高于传统的视频会议，所有上传的视频都支持Web录制并支持后期点播；</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10．中转：服务器支持将上传的基于UDT协议的开源互联网传输协议，中转给另一个接收端或服务器。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11．转发：保持低延迟转发到另一个服务器或者Listener；支持SRT转换成RTMP协议，推送给标准版RTMP流服务器。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分发：一个SRT推流就是一个直播频道，该服务器可以将一个SRT流分发出多个SRT流，实现多个终端可以请求观看同一个低延时的直播频道，服务器视频泵模块自动将数据分发多个终端，并保持低延迟特性。（提供软件著作软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13．★录制：支持对于每一个上传的SRT视频流，都可以设置自动录制，存储格式为标准HLS（M3U8）封装。（提供软件截图证明）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并发数：提供10路直播地址，同时可以直播10套节目，单播模式单机至少支持1000并发，采用UPA设计模型，统一视频泵调度机制，支持多种媒体格式解析并流化，支持CDN、P2P分发，能够承担大规模用户并发访问。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15．传输协议：支持RTMP/HTTP/HLS/RTSP/MMS等协议。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16．分发管理：可获取http、rtmp、rtsp等协议的音视频流做为源进行直播分发；支持单播、组播、P2P数据流分发；支持跨网段、跨楼宇、跨校区直播。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17．手机上传：支持手机、平板，作为采集端上传。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18.支持6所州直属学校接入平台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视频编码 ：H.264 HP/MP/BP, H.265 MP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分辨率 ：4K2160p25/30,1080p25/30/50/60, 1080i50/60, 720p50/60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流媒体输入 ：RTSP/RTMP(S)/SRT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流媒体解码 ：RTMP(S)/SRT/RTP/UDP/RTSP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NDI 编码 ：NDI® | HX3/HX2/HX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NDI 解码 ：NDI® | HX2/HX</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实验小学考场建设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名称</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功能模块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1"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巡查中心</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高清SIP转发管理三合一平台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以检测报告为准）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服务器机柜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42U标准服务器机柜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网络流媒体存储平台（64路）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1.符合《国家教育考试网上巡查系统视频标准技术规范（2017版）》（JY/T-KS-JS-2017-1）规范；2.可自适应接入H.265、H.264、MPEG4视频编码格式，MPEG LayerⅡ、G711和FY音频编码格式，3.Program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硬盘8T</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防火墙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专用硬件平台。提供不少于2个USB接口，1个管理口，1个RJ45串口，4个千兆电口(2路bypass)，含传统防火墙、流量管理、应用管理等功能模块；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性能参数：网络层吞吐量6G，最大并发连接数200万，每秒最大新建连接数6万；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产品服务：三年产品系统升级授权、产品保修服务、远程支持服务、硬件故障上门等服务；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产品功能：支持 1000+万级的病毒库，病毒查杀率高（提供界面截图）；支持基于源安全区/IP地址网段、时间、用户和应用/应用组的最大带宽、保证带宽的流量策略管理；可为每个内网主机生成风险指数，支持对高风险资产一键建立访问拦截策略和流量控制策略；可不通过主机扫描等技术，即可识别内网主机的操作系统、杀毒软件、浏览器等信息；提供超过上亿条的URL分类库，提供64+种精细分类（如艺术、商务、新闻论坛、论坛聊天、科技、体育等等）；支持对网页浏览、论坛发帖、电子邮件、即时通讯、文件传输、服务器操作、数据库操作、表单提交等的实时检测和过滤；支持对网络异常流量进行安全处置能力（提供国家权威机构颁发技术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资质：公安部《计算机信息系统安全专用产品销售许可证》；国家版权局《计算机软件著作权等级证书》；提供由中国信息安全测评中心颁发的《自主原创产品测评证书》；产品具备国家版权局颁发的《多核分布式安全操作系统》；参与制定《信息安全技术 第二代防火墙安全技术 要求》，请提供相关证明材料。</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核心交换机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28个10/100/1000Base-T以太网端口，4个复用的千兆Combo SFP，4个万兆SFP+一个扩展子卡插槽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可插拔双电源，交流或直流供电，默认配置一个AC电源交换容量：598Gbps/5.98Tbps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楼宇交换机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24个10/100/1000Base-T以太网端口，4个千兆SFP</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交流供电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包转发率：81Mpps/96Mpps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交换容量：336Gbps/3.36Tbps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前端部分</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红外高清半球摄像机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红外高清球型摄像机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2.采用高性能200万（1920×1080）像素，1/2.8英寸 CMOS高性能图像传感器；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3.支持不低于16 倍数字变倍，23倍光学变倍；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4.支持MPEG-4 和H.264视频编码、支持MPEG  Layer II、G711和AACZ音频编码标准，并支持PS系统流和TS传输流的封装；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5.支持设备认证功能、加密传输能力及数字水印加密，防数据被篡改；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6.支持绊线入侵、区域入侵、物品遗留与物品消失多种行为检测，支持人脸检测；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7.支持宽动态、图像降噪、图像防抖动功能；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8.垂直旋转 -15°～90°自动翻转180°后连续监视；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9.水平旋转 0°～360°连续旋转；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10.键控速度 水平：0.1°～200°/s 垂直：0.1°～120°/s；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11.SD卡本地存储，解决网络异常状态的监控存储问题,支持 FTP 存储录像，录像可断网续传；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12.内置红外灯补光，补光距离≥100米；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13.支持因网络原因连接断开后，在网络恢复时，设备应能自动侦测到网络状态，并自动重新建立连接；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14.支持双向语音对讲或单向语音广播功能；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拾音器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楼栋墙柜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9U</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标准墙柜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12V2A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电源线、网线、HDMI线、音频线、光纤</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考点视频指挥系统配置清单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1"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1.采用嵌入式硬件一体化结构，内置1080p高清摄像头，部署便捷。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2.会议速率支持128Kbps－8Mbps。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3.支持ITU-T H.323和IETF SIP通信标准。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4.支持H.261、H.263、H.264、H.264 High Profile、H.265视频编解码协议，具备较强的兼容性。（投标人需提供权威机构检测报告证明）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5.支持G.711、G.722、G.728、G.722.1AnnexC、G.719、MPEG4-AAC LC/LD、Opus等音频协议，可达到20KHz以上的宽频效果。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6.支持H.239、BFCP双流协议标准。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7.内置高清PTZ摄像机，支持不小于72.5°水平广角视野（投标人需提供权威机构检测报告证明）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8.采用H.265编解码协议时，支持1080p30、720p60、720p30高清图像格式。（投标人需提供权威机构检测报告证明）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9.支持在较低的带宽下实现高清视频会议效果，384Kbps带宽下实现1080P30帧图像格式编解码，256Kbps带宽下实现720P30帧图像格式编解码，最大限度节省用户网络资源。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10.采用H.265编解码协议时，在保证主视频1080p30fps前提下，辅视频也可以支持到1080p30fps。（投标人需提供具备权威机构检测报告证明）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11.除内置摄像机外，还需独立提供不少于2路高清视频输入、3路高清视频输出接口、1路10/100M/1000M以太网接口，不得采用私有非标接口或转接线缆实现。（投标人需提供所投设备的背板清晰彩色照片证明）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12.支持不少于2进1出独立的音频输入输出接口，支持HDMI伴随音频输入输出功能。（投标人需提供所投设备的背板清晰彩色照片证明）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13.支持1个FXO电话接口，支持空闲或会议中电话接入。（投标人需提供权威机构检测报告证明）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14.支持VGA断电环回，在终端断电状态下，VGA接口输入输出环回。（投标人需提供权威机构检测报告证明）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15.支持云虚拟会议室功能，终端注册入网后，可实时获取当前已创建的虚拟会议室列表及状态（预约或会议中），可以直接选择需要参加的虚拟会议室加入。（投标人需提供权威机构检测报告证明）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16.支持云搜索功能，终端注册到云平台后可通过首字母模糊搜索联系人、云端会议室。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17.支持不低于120个摄像机预置位存储和调用，支持摄像机预置位快照及预览功能，可直观地显示预置位场景。（投标人需提供权威机构检测报告证明）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18.系统具有字幕叠加功能，可通过终端控制系统在本地图像上不同位置设置叠加中文会场名、横幅、滚动字幕。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19.终端配套的遥控器采用ZigBee无线通信技术控制，可控范围至少20m、控制信号不易被遮挡。（投标人需提供权威机构检测报告证明）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20.支持防火墙和NAT穿越。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21.支持H.235协议的音视频加密，支持AES256加密算法，SIP协议支持TLS、SRTP加密。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具备较强的网络抗丢包能力，在IP网络达到25%丢包率情况下声音清晰、图像流畅、无马赛克，70%的丢包率情况下音频不受影响、声音基本清晰流畅，偶有卡顿，但可恢复。（投标人需提供具备投标产品权威机构检测报告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23.提供产品电信设备入网证的证书复印件。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会议摄像机支架</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三脚架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视频会议终端三脚架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全向麦克风</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巡查指挥全向麦克风</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1.支持360°全向拾音，拾音距离不低于6m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2.采用标准卡侬接口，可接入提供幻象供电的会议终端或调音台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3.频响30Hz~20KHz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4.工作电压：9V~54V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7.提供产品RoHS证书复印件。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有源音箱</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音箱</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箱体采用卡包型设计，高密度中纤板材质，钢网网罩设计。                                                                                                                                                                                                     音箱标配壁挂安装配件，吊装简单方便。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1.额定功率：100W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2.频响范围：30Hz-18KHz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3.灵敏度：95dB±1dB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4.阻抗：8（Ω）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5.低音：8’x1只 高音：3’x2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音频功放</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功放</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产品介绍：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带LED显示屏，采用机架式铝合金黑色机身设计，可广泛应用于多媒体教室、小型会议室。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自带数码播放器，支持WMA，MP3等格式的音乐；具有手机蓝牙音乐播放功能。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前面板3个按键，可实现音乐上下首切换，音乐开停功能。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具有录音功能；可升级2.4G无线功能（该功能为：另外选配）。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前面板2路大二芯 MIC接口输入；后面板3路MIC接口：其中一路带幻象供电的卡侬头接口，一路大二芯接口，一路USB无线接收话筒专用接口。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要功能调节旋钮采用暗藏式设计，避免误操作。具有话筒音量调节旋钮2个，混响调节旋钮1个，高音、低音旋钮各1个；音乐高音、低音旋钮各1个。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具有话筒总音量调节旋钮1个，音乐总音量调节旋钮1个。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支持2路线路输入和1路广播信号优先输入，1路线路输出。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具有4个功率输出接线端子，可实现A/B组功率输出。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1.额定功率：200W×2；最大功率：400W×2；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2.额定阻抗：8Ω；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3.频率响应：线路输入20Hz-20KHz，话筒60Hz-14KHz；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4.线路音调控制：高音11KHz±12dB,低音90Hz±12dB；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5.话筒音调控制：高音11KHz±12dB,低音90Hz±12dB；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6.失真度：≤0.5%；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7.信噪比：≥80db(A计权）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显示系统</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高清电视墙管理平台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大屏中控管理平台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拼接控制器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4.5U标准机架式设计，运营级ATCA机箱系统，机箱支持部分混插;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双电源冗余设计、可拓展双主控，智能风扇自动调温，确保系统稳定可靠;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插拔式模块化设计，可根据需求灵活扩展，业务板卡可热插拔，方便设备维护;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支持电脑、视频会议终端、超高分服务器等视频输入信号源，支持VGA、DVI、HDMI、HDMI 4K、DP 4K信号输入，支持网络IPC、NVR等设备类型作为网络信号源输入;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支持复合音频及单独音频输入；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图像采集及输出均支持YUV 444，无损画质;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支持超高分融合，支持输入OSD叠加，支持输入图像裁剪;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支持DVI、HDMI、HDMI 4K视频信号输出；支持二合一网口输出;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解码板支持IPC/NVR等网络源解码，支持H264、H265、Smart264、Smart265、MJPEG等主流格式，支持PS、TS、ES、RTP、HIK等主流封装格式;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支持3200W高清视频解码;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支持码流修改和切换；支持解码异常提示;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电视墙功能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支持多电视墙，支持4电视墙;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支持电视墙预编辑、窗口可视化预览、预监（需增加预监板）;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支持开窗和漫游功能，单屏最大支持6个4K图层开窗，单个窗口支持1/4/6/8/9/16画面分割;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支持8张底图显示，单墙1张，分辨率为8K;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支持虚拟条屏，整机最大支持12个字幕，单墙最大支持3个，支持背景颜色/透明度、字体类型/颜色/大小/方向、滚动速度设置、时钟添加;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支持通过客户端软件抓屏，进行桌面投屏上墙;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设备接入和开放;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支持网络键盘/串口键盘接入进行设备控制，通过键盘操作实现视分屏切换、组操作及轮巡、场景切换、PTZ控制、电视墙回放等;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总线类型：万兆网交换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信号采样质量：YUV444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业务板卡混插：部分槽位支持，总槽位数11，混插槽位数10,特殊槽位1（支持资源板和输出板）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业务板槽位数：11（含4块输入板卡，3块输出板卡）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整机拼接能力：40路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电视墙数量：4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电视墙规模：40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虚拟分屏：支持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开窗数量：16</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单口画面分割数：1/4/6/8/9/16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工作湿度：10％--90％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工作温度：0℃--＋50℃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拼接屏</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1.采用55寸工业级LED液晶面板，分辨率1920*1080，屏幕比例：16:9，背光类型：LED背光源；双边物理拼缝≤3.5mm；对比度≥3000：1；视角≥178°(H) / 178°(V)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2.设备在正常工作条件下，连续工作7*24H，不应出现电、机械或操作系统的故障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3.投标产品需满足：亮度≥400nit.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4.自带内置拼接处理功能，可实现单屏、多屏、整屏等多种组合显示模式；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5.液晶拼接屏必须采用整机设计，严禁使用飞线屏，显示屏具备完整后壳，不得以支架或挡板替代，无任何裸露在外的电路线，整体美观大方。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6.金属外壳表面涂覆不能露出底层金属，并无气起泡、腐蚀、划痕、涂层脱落和沙孔等。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7.具有数字降噪、自动显示格式匹配、手动白平衡调节等功能。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8.图像显示清晰度≥1000TVL,亮度鉴别等级试验≥11级,亮度均匀性试验≥75%，图像重显率≥99%，几何失真≤3%（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9.投标产品需满足屏幕漏光试验应 ≤1cd/m2（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10.白平衡误差不劣于±0.010。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11.产品结构合理，在工程现场安装以及各种显示效果的调校工作应用方便，具有良好的接地设计。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12.输入接口：USB *1；HDMI *1； DVI *1；RS232 IN（RJ45）*1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13.图像质量主观评价达到《民用闭路监视电视系统工程技术规范》（GB  50198-2011）的规定，损伤评分等级达到五级要求。（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14.通过像素缺陷允许范围试验 ，亮点、暗点或其他坏点的累计数≤1。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15.投标产品需满足平均功率应≤135W.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16.带宽试验A级≥60MHz，B级、C级均≥120MHz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17.电源插头和电源引入端子与外壳裸露金属部件之间的绝缘电阻在湿热条件下≥2MΩ。并能承受1.5KV交流电压，在1min的抗电强度试验中，无击穿和飞弧现象，泄漏电流在AC峰值事小于5mA。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商务资质：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18.所投品牌的厂家应通过ISO9001:2015质量管理体系认证、ISO14001：2015环境管理体系认证，ISO45001:2018职业健康安全管理体系认证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19.提供本次所投拼接屏产品的国家强制CCC证书，列明证书编号、所认证的产品范围及有效期；提供加盖公章的复印件。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20.投标人需提供 全国商品售后服务达标认证证书，并达到五星级，提供加盖公章的复印件。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21.LCD产品制造商作为起草单位参与国家标准GAT1084-2020《大型活动用拼接显示系统通用规范》的起草的证明文件(提供相关文件官网截图并加盖公章)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22.生产企业品牌具有液晶显示产品具有圆偏正光技术，有效降低视觉疲劳，具备国家部级或同等级别单位出具的科学技术鉴定文件（提供国家部级或者同等级别单位出具的科学技术鉴定文件认证证书复印件）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大屏装饰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3×3(拼接)，包括拼接屏支架、电视墙两侧及下柜子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操作控制台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智能安检门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通道尺寸：2000mm(高)×710mm(宽)×800mm(深)</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外形尺寸：门板：2340mm(高)×860mm(宽)×800mm(深)机箱：690mm×710mmx280mm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毛重：门板：120kg   机箱：25kg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屏幕规格：10+18.5双屏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工作电源：220V-230V ，50/60Hz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工作温度：-20℃─55℃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符合GB15210-2018通过式金属探测门通用技术规范；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稳定工作时间大于等于96h,待机期间不出现误报警。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灵敏度调解：安检门能从低到高方便地调节灵敏度,灵敏度调节大于等于100个级别,总区及分区灵敏度均可调。内置多种工作模式或工作场景,每种模式或场景对一套参数设置值,可一键设置。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探测模式：具备多种探测模式：违禁品探测模式、电子产品探测模式、电子产品及违禁品探测模式和全金属探测模式，模式间可进行切换。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全金属探测模式：全金属探测模式下灵敏度可调节，人员以标准姿势通过安检门时，正常着装上的硬币、钥匙、金属纽扣、皮带扣等小金属及违禁品通过时均报警并提示违禁品的藏匿位置。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电子产品检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电子产品通过时，系统有声光报警，并以图形和文字的形式提示，提示藏匿位置。（对讲机、笔记本电脑、BL090联想手机电池、移动硬盘、电话手表、Kodakec021数码照相机、录音笔、5cm*8cm电子无线作弊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电子产品(手机)探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手机以规定的点位和三个姿态通过时，系统有声光报警，并以图形和文字的形式提示，提示藏匿位置。（1Q007、Dell Mini 3iw、HUAWEI G6100-Co0、中兴ZTE- CN760、NOKIA5130C-2红米NOTE）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违禁品探测模式:违禁品探测模式下灵敏度可调，人员以标准姿势通过安检门时，正常着装上的机械手表、金属纽扣、项链、打火机、钥匙、硬币、皮带扣、钥匙、手机、折叠雨伞等小金属通过时系统不报警。人员以标准姿势通过安检门时，当携带以下物品时系统有声光报警，并以图形和文字的形式提示铁质类物品,能提示藏匿位置。（L型铁器(长≥160mm，宽≥70mm)、铁质家用菜刀形状(长≥200mm，宽≥70mm)、弹簧刀(闭合尺寸:长≥130mm)、不锈钢餐刀(刃长≥100mm)、水果刀(刃长≥100mm)、非金属外壳包装的150克钢珠和铁钉的混合物、12*14厘米的双头扳手、铜箔包裹的铁质管体(直径≥35mm,长≥200mm)、 美工刀(长≥180mm)、不锈钢剪刀(长≥227mm)、铁质老虎钳(长≥160mm)）。人员以标准姿势通过安检门时，当携带以下物品时系统有声光报警,并以图形和文字的形式提示报警物品的材质和形状,能提示藏匿位置。（铝制易拉罐(高≥115mm，直径≥65mm)、 马口铁罐体(高≥130mm，直径≥50mm)、铝制管体(直径≥35mm,长短≥140mm)、250ml特仑苏牛奶(内锡纸软饮料包装盒)。当道具和手机捆绑后一起通过探测门时，系统对道具报警。）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电子产品及违禁品探测模式:电子产品及违禁品探测模式下灵敏度可调，人员以标准姿势通过安检门时，正常着装上的机械手表、金属纽扣、项链、打火机、钥匙、硬币、皮带扣、钥匙等小金属通过时系统不报警，当携带以下物品通过时，系统有声光报警，并以图形和文字的形式提示违禁品和藏匿位置。（对讲机、笔记本电脑、BL090联想手机电池、移动硬盘、电话手表、Kodakec021数码照相机、录音笔、5cm*8cm电子无线作弊器。）当携带iQ007、Dell Mini 3iw. HUAWEI6100-coo、中兴ZTE- CN760、NOKIA5130C- 2.红米NOTE以规定的点位和姿态通过时,系统有声光报警，并以图形和文字的形式提示，能提示藏匿位置。当携带以下物品时系统有声光报警，并以图形和文字的形式提示铁质类物品，能提示藏匿位置。（型铁器(长≥160mm,宽≥70mm)、铁质家用菜刀形状(长≥20mm，宽≥70mm)、弹簧刀(闭合尺寸:长≥130mm)、不锈钢餐刀(刃长≥100mm)、水果刀(刃长≥100m)、非金属外壳包装的150克钢珠和铁钉的混合物、12*14厘米的双头扳手、铜箔包裹的铁质管体(直径二35mm，长≥200mm、美工刀(长≥180mm)、不锈钢剪刀(长227mm、铁质老虎(长三160mm)。人员以标准姿势通过安检门时，当携带以下物品时系统有声光报警，并以图形和文字的形式提示报警物品的材质和形状，能提示藏匿位置。铝制易拉罐(高≥115mm， 直径≥65mm)、 马口铁罐体(高≥130mm，直径≥50mm)、铝制管体((直径≥35mm，长短≥140mm)、250m1特仑苏牛奶(内锡纸软饮料包装盒)。当刀具和手机捆绑后一起通过探测门时，系统有违禁品报警。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安检门能记录有效受检人数和发生过报警的人次，并能复位清零。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安检门能组网连接，各安检门工作参数能上传云平台。云平台中心管理软件能进行多级权限分级，可根据权限对安检门进行统一监控，实现远程管理等功能。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安检门可配置串口、USB 口、网线接口、WIFI设备，可组网，具有数据存储功能，能将通过人数、告警次数，报警人数、报警抓取照片、违禁品携带位置、故障告警、人脸比对结果等工作参数保存在数据库。数据与测温数据进行绑定，数据库能根据条件进行查询、统计并导出数据，可与其他电子设备进行数据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支持显示安检门设备在线、设备离线状态。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 支持显示通行人员信息:包含人员照片、人员姓名、人员性别、人员身份证号、人员考号、人员场次、人员考场号、人员座位号。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支持显示对比失败陌生人标签、对比失败时间。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支持显示对比结果:包含对比失败标签、对比成功标签。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支持显示对比成功人员姓名、对比时间。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支持信息切换显示，展示历次通行人员信息头像标签，可点击头像标签切换显示通行详细信息。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报警显示功能：支持显示报警物品分类:包含手机、手表、违禁品、日常金属、电脑、其他物品。支持显示报警物品位置:包含左小腿、右小腿、左大腿、右大腿、左腰部、右腰部、左胸部、右胸部、头部。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安检门机箱配备≥10.1寸液晶触摸屏和≥18.5寸液晶显示屏，≥10.1寸液晶触摸屏可进行设备调试、参数设置; ≥18.5寸液晶显示屏可显示报警物品的种类、区位、报警抓拍照片、体温筛查结果、报警时间等信息，当≥18. 5寸液晶屏及内置主机因故中断，不影响安检门违禁品探测功能的正常使用。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控制工作站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i5/8GB/256G固态硬盘/DVDRW/集成/Win10/23液晶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保密柜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1、尺寸：1900mm（高）×430 mm（深）×900 mm（宽），整体四开门，上节一个一字机械活动抽屉，可以上下调整位置，上下节各一块活动层板，层板高度可调整，最小高度可调整至50mm，标配金色面板M153密码锁。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2、材质：采用优质冷轧钢板制造，钢板厚度≥1.0，采用通过国家保密科技测评中心检测和公安部检测中心检测的保密柜锁。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具备相关实用新型专利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产品符合国家保密标准BMB54-2020《安全保密产品保密柜安全保密技术要求》，提供国家保密科技测评中心一体认证证书及检测报告、喷涂粉末的SGS检测证书、中国环境标志产品证书CEC(环保认证)、CQGC(质量监督）、保密柜柜体及各原辅材料需经过国家第三方专业检测机构（省级机构）抽样检测合格，如：钢板、尼龙脚垫、喷塑粉末、滑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7、为确保保密柜安全性，保密柜和所配的密码锁必须为统一品牌:柜门、锁具、脚轮必须有胎具压制的所投品牌LOGO。</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考试身份验证及防作弊系统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身份验证</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身份识别管理平台（含考生身份识别管理平台软件）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 B/S 架构，实现考生身份证、照片信息的采集、存储、比对。系统具有考试管理、数据统计、违纪管理、采集管理等功能。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能控制釆集终端进行考生生物特征或证件信息釆集和存储，自动分考点按编排数据对考生考试信息进行打包下载，具有对釆集、验证数据进行査询、统计等基本功能，并支持存疑考生管理、缺考管理、人工审核、违纪管理、异常管理，以实际反映出考生的验证轨迹，对异常考生进行溯源追踪。已符合GB/T 36449-2018技术标准，具有公安部安全防范报警系统产品质量监督检验测试中心出具的检测报告。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3.应支持添加考试计划按年份、考试计划名称查询考试计划，支持导入10000条考生编排数据下发考生编排数据到考生身份识别终端，支持按考点、考试计划生成考生编排数据包并进行加密且通过移动介质（U盘 或硬盘）拷贝编排数据到考生身份识别终端。以公安部检测报为准。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4.应支持按身份证号后4位、考生号、姓名等条件进行查询考生编排数据详情，其中数据应包括考试名称、考点名称、考试开始时间、考试结束时间、考生姓名、考场号、座位号、考生照片。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支持按考点、考试科目条件统计接入考生身份识别终端的设备数量，按考点、考试场次、考试科目、考试时间等条件统计身份信息采集情况，其中数据应包括釆集正常人数、釆集异常人数、釆集考生总数、采集正常人数占比和釆集异常人数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6.应支持按考点、考场科目条件统计考生入场认证情况，其中数据应包括认证通过人数、认证未通过人数、未认证人数和考生总人数、认证通过占比、认证未通过占比和未认证占比。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7.应支持统计违纪人数，并支持按照考试计划、考点、违纪类型査询违纪信息，其中违纪 信息应包括违纪考生姓名、考生号、所在考场、科目、违纪类型、违纪原因和监考老师备注。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8.应具有釆集考生人脸图像、身份证件等相关信息的能力，并自动生成身份识别信息数据库。支持增加、删除、查询和修改违纪模板，其中模板内容应包括违纪模板名称、违纪类型和违纪原因。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对采集数据进行管理统计采集数据，并支持按考点、考试计划、考生姓名和身份证号码条件进行查询采集数据，其中釆集数据应包括考生姓名、性别、身份证号码、人脸照片数量、人脸图像和釆集状态（正常和异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10.应支持按照考点和考试计划导入考生数据包并生成编排数据，其中考生数据应包括考 生姓名、性别、民族、出生日期、身份证物理ID、身份证号码、身份证签发机关、身份证地址、身份证有效期、身份证照片、考生现场釆集照片。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11.应支持按照考点和考试计划导出考生数据，并生成Excel表格，其中表格信息应包括考生姓名、性别、民族、出生日期、身份证物理 ID、身份证号码、身份证签发机关、身份证地址、身份证有效期。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支持按己认证、未认证和人工审核条件查询考生身份识别验证信息，按考点统计和查询每个考场对应的考试科目身份识别情况信息，其中信息包括考生总人数、己认证人数、未认证人数、缺考人和人工审核人数。并以列表显示单个考场座位信息可导出当场缺考考生信息且生成Excel表格，其中座位信息应包括考生姓名、考生号、座位号、性别、认证时间、认证方式和认证结果。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应支持按考场导入考生身份识别验证数据包，査看单个考生身份识别验证信息并支持显示验证轨迹，其中验证信息应包括考生姓名、考生号、身份证号码、性别、考试科目、考场号、座位号、报名照片以及现场1:1验证照片，验证轨迹应包括认证方式、认证结果和认证时间，且认证方式应包括身份证、人脸和人工等方式，认证结果应包括通过和不通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14.应支持增加、删除、查询和修改考点信息，其中考点信息包括考点名称、考点简称、考点代码和绑定的地址。</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15.应支持以列表方式查看考生身份识别终端设备信息，其中信息应包含设备类型、设备名称和对应考生身份识别终端APP版本。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应支持添加用户人员，并支持对用户进行部门挂靠和角色权限分配，其分配应按组织结构分省、市、区、学校四层进行管理；并支持修改用户信息，根据姓名、角色査询用户显示用户的详细信息，其应包括用户登录名、真实姓名、用户角色、所属单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应能够用模块（对应系统菜单）、功能（对应模块的子功能）两级定义系统功能权限，用户角色定义一组系统模块、功能集合，通过向用户分配角色来管理用户权限。同时，通过对象权限定义用户能操作的数据，如全省、地市、区县、学校的数据。并能以日志的形式记录关键业务的操作过程，日志记录在数据库中，便于审计时查阅，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18.应支持考生身份识别终端的版本管理，支持对考生身份识别终端进行强制更新。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提供所投设备符合《电子考场系统通用要求》GB/T 36449 2018公安部检测报告复印件并加盖原厂公章；产品软件著作权复印件，并加盖原厂公章。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身份识别终端（含考生身份认证软件）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1.硬件配置：操作系统Android 7.0及以上版本；CPU：8核，1.5G；内存≥3GB，存储≥32GB；显示屏≥8寸屏，分辨率≥1280*800；触摸屏电容式，五点触摸屏；无线通信GPS + Wi-Fi + BT 4.0；电池≥8000mAh，不可拆卸；摄像头自动对焦，前置 800万，后置1300万。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2.应支持人脸在左右摆动30°、上下俯仰15°内，人脸瞳距240像素人脸识别，支持报名时照片、身份证照片与实时釆集的人脸进行1:1人脸识别，已符合GB/T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3.应能存储100000条以上模拟考生详细资料，包括考生号、姓名、公民身份号码、 考点、考场、照片、指纹等。以公安部检测报告为准。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4.应支持语音提醒采集考生二代身份证信息、考生生物特征信息（人脸特征信息和指纹信息），支持按上传状态方式查看采集记录详情，并实时上传釆集数据到考生身份识别管理平台。以公安部检测报告为准。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5.应具备身份证验证、人脸验证和指纹验证三种身份识别方式，支持将读取身份证芯片中的照片与现场釆集的考生人脸进行1： 1人脸比对实现人脸验证功能，支持将现场采集的人脸与人脸数据库进行1： N人脸比对实现人脸验证功能。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语音提醒验证操作，具有考点验证功能，其中验证的对象应为整个考点的考生。具有考场验证功能，其中验证的对象为具体单个或多个考场的考生。验证后显示当前考生的姓名、性别、公民身份号码、报名时采集的相片、考生号、考点名称、考场、座位号、考试科目、识别比对结果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7.应支持对无法人脸识别的考生进行人工审核通过入场和对违纪考生作违纪登记。以公安部检测报告为准。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在釆集模式下,应能将离线釆集数据统一联网上传或通过U盘、移动硬盘等移动介质导出上传至考生身份识别管理平台；在认证模式下，应支持通过u盘（移动硬盘等）移动介质导出验证数据上考生身份识别管理平台，应能按考点下载或通过U盘（移动硬盘等）移动介质导入考生编排数据。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9.应支持査看具体考场的验证进度，其中应包括已验证的考生、未验证的考生、拒绝入场的考生、缺考考生和违纪考生，并能实际反映出考生的验证轨迹，可对异常考生进行溯源追踪。以公安部检测报告为准。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10.应具有缺考管理功能，能将缺考确认信息上传考生身份识别管理平台，并支持按座位号和考生号查询考生信息及考试相关信息，对异常情况进行人工干预。以公安部检测报告为准。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具有验证记录功能，并能按考点、考场统计验证情况，其中应包括考试科目、考场编号、考场总人数、通过人数、不通过人数、未验证人数和上传结果（未上传和已上传）；应能按科目和考场查看考生验证情况及上传进度并支持删除考生验证记录。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12.应能实时按考点、考场、考生上传验证数据并支持一键上传全部未上传的验证数据。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13.在同一设定阀值条件下，终端采用1:1人脸验证的非目标人错误接受率小于等于0.1%时，目标人正确接受率应大于等于99%</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14、提供所投设备符合《电子考场系统通用要求》GB/T 36449 2018公安部检测报告复印件并加盖原厂公章；产品软件著作权复印件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防作弊</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作弊防控服务器（含云积作弊防控管理软件）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简单的配置即可工作，简单快捷，管理员工作量极少。</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2、平台可按照设备实际安装位置的情况（校区、楼栋、楼层等）进行分组管理和操作。</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3、运行状态查看可在管理平台实时查看屏蔽设备的在线数目、运行状态等。运行状态及时反馈，管理员可及时掌握并作出处理。</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4、支持所有屏蔽设备供电物理开关上闸开始工作并通过网络注册到管理平台上后，管理员可在管理平台上远程对屏蔽设备进行一台、多台或全部进行开关机操作。</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5、支持屏蔽器批量删除、导入、导出，支持屏蔽器添加、删除、修改；包括：设备名称、IP地址、端口、用户名、密码、所属教室、传输类型、设备类型。</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6、支持按照时间节点对整套系统的运行状态数据进行汇总并可生成报表。                                 </w:t>
            </w:r>
          </w:p>
          <w:p>
            <w:pPr>
              <w:keepNext w:val="0"/>
              <w:keepLines w:val="0"/>
              <w:widowControl/>
              <w:numPr>
                <w:ilvl w:val="0"/>
                <w:numId w:val="0"/>
              </w:numPr>
              <w:suppressLineNumbers w:val="0"/>
              <w:ind w:leftChars="0" w:right="0" w:right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7、支持查看屏蔽器IP地址、连接状态、用户名、密码、端口号、所属教室、传输类型等信息。</w:t>
            </w:r>
          </w:p>
          <w:p>
            <w:pPr>
              <w:keepNext w:val="0"/>
              <w:keepLines w:val="0"/>
              <w:widowControl/>
              <w:numPr>
                <w:ilvl w:val="0"/>
                <w:numId w:val="0"/>
              </w:numPr>
              <w:suppressLineNumbers w:val="0"/>
              <w:ind w:leftChars="0" w:right="0" w:right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数据接口 RJ45，工作环境 工作温度：0℃- +40℃；相对湿度：20%-80%（无凝露）。</w:t>
            </w:r>
          </w:p>
          <w:p>
            <w:pPr>
              <w:keepNext w:val="0"/>
              <w:keepLines w:val="0"/>
              <w:widowControl/>
              <w:numPr>
                <w:ilvl w:val="0"/>
                <w:numId w:val="0"/>
              </w:numPr>
              <w:suppressLineNumbers w:val="0"/>
              <w:ind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9、提供所投产品软件著作权复印件。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无线信号屏蔽终端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有效屏蔽所有2G/3G/4G/5G手机、2.4G（WIFI/WLAN蓝牙）等通信信号；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工作频率：2G：移动：930～960MHZ/1805～1825MHZ、电信：865～880MHZ、联通：1830～1850MHZ；3G：移动：2010～2025MHZ、电信：2110～2125MHZ、联通：2130～2145MHZ；4G：移动：1880～1920MHZ/2320～2370MHZ/2575～2635MHZ、电信：1860～1880MHZ/2370～2390MHZ、联通：2145～2170MHZ/2300～2320MHZ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5G: 移动：2515～2675MHZ/4800～4900MHZ、电信：3400～3500MHZ、联通：3500～3600MHZ、广电：4900～4960MHZ；WLAN/WIFI/蓝牙：2.4～2.4835GHZ；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3、设备内置高增益定向天线，工作时向设备正前方呈扇形发射干扰电磁信号，背对或侧对基站安装使用可实现对基站无干扰；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4、设备具备1个RJ45接口，支持TCP/IP协议，具备联网能力，通过软件和网络在终端操作界面上管理开关每台设备，监控每台设备连接情况和工作状态，实现网络集中控制管理功能；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5、采用高密度大散热片和低噪音风扇及机箱组成高效冷却散热系统，性能稳定、安全、可靠；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6、整机一体化设计，直接取电开机就工作，安装使用管理简便；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7、缓启动电路设计，避免产生机械开关打火现象；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8、设备辐射强度远低于国家标准，对人体无任何影响；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9、有效屏蔽范围约6*9平方米（使用场所场强RSSI≤-75dBm，RSRP≤-95dBm）。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定制钢结构和铁丝网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国标四防防盗门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空调</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适用面积:33-50㎡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规格:电压/频率:220V/50Hz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内机机身尺寸:宽395mm；高1775mm；深405mm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外机尺寸:宽940mm；高673mm；深342mm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扫风方式:上下/左右扫风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制冷功率:3200W</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三小考场建设（元）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序号</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名称</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功能模块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3"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巡查中心</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高清SIP转发管理三合一平台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以检测报告为准）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服务器机柜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42U标准服务器机柜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网络流媒体存储平台（64路）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1.符合《国家教育考试网上巡查系统视频标准技术规范（2017版）》（JY/T-KS-JS-2017-1）规范；2.可自适应接入H.265、H.264、MPEG4视频编码格式，MPEG LayerⅡ、G711和FY音频编码格式，3.Program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网络流媒体存储平台（16路）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1.符合《国家教育考试网上巡查系统视频标准技术规范（2017版.》相关技术规范；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2.支持嵌入式Linux系统，工业级嵌入式微控制器；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3.支持最大8/16/32/64路路网络视频接入，网络性能接入384Mbps，储存384Mbps，转发384Mbps；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4.支持12M/4K/5M/3M/1080P/UXGA/1.3M/720P IPC分辨率接入；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5.支持2×12M/4×4K/6×5M/8×4M/11×3M/16×1080P/32×720P解码；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6.最大支持8/16路视频回放；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7.支持1路VGA输出，2路HDMI输出，支持VGA和HDMI1同源输出，双HDMI 4K分辨率异源输出；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8.支持1个外置ESATA接口，用于录像和备份；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9.支持IPC复合音频1路输入，支持语音对讲1路输出，支持PC通过VER与网络摄像机进行语音对讲；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10.支持16路报警输入、8路报警输出，支持开关量输入输出模式；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11.支持4个USB接口（2个前置USB2.0接口、2个后置USB3.0接口.；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12.支持2个RJ-45 10/100/1000Mbps自适应以太网口，支持容错、负载均衡和两网分离；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13.支持按时间、按事件等多种方式进行录像的检索、回放、备份，支持本地回放与查询图片；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14.支持标签自定义功能，设备支持对指定时间的录像进行标签并归档，便于后续査看；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15.支持本机硬盘、网络等存储方式，支持硬盘、外接USB存储设备备份方式；支持设备操作日志、报警日志、系统日志的记录与查询功能；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16.支持即时回放功能，在预览画面下回放指定通道的录像；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17.支持切片回放功能，将录像切片等分成若干段视频进行多路同时回放；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18.支持录像回放时智能搜索功能，按图像的来源、记录时间、报警事件类别等多种方式对存储的图像数据进行检索；</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硬盘8T</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防火墙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专用硬件平台。提供不少于2个USB接口，1个管理口，1个RJ45串口，4个千兆电口(2路bypass)，含传统防火墙、流量管理、应用管理等功能模块；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性能参数：网络层吞吐量6G，最大并发连接数200万，每秒最大新建连接数6万；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产品服务：三年产品系统升级授权、产品保修服务、远程支持服务、硬件故障上门等服务；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产品功能：支持 1000+万级的病毒库，病毒查杀率高（提供界面截图）；支持基于源安全区/IP地址网段、时间、用户和应用/应用组的最大带宽、保证带宽的流量策略管理；可为每个内网主机生成风险指数，支持对高风险资产一键建立访问拦截策略和流量控制策略；可不通过主机扫描等技术，即可识别内网主机的操作系统、杀毒软件、浏览器等信息；提供超过上亿条的URL分类库，提供64+种精细分类（如艺术、商务、新闻论坛、论坛聊天、科技、体育等等）；支持对网页浏览、论坛发帖、电子邮件、即时通讯、文件传输、服务器操作、数据库操作、表单提交等的实时检测和过滤；支持对网络异常流量进行安全处置能力（提供国家权威机构颁发技术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资质：公安部《计算机信息系统安全专用产品销售许可证》；国家版权局《计算机软件著作权等级证书》；提供由中国信息安全测评中心颁发的《自主原创产品测评证书》；产品具备国家版权局颁发的《多核分布式安全操作系统》；参与制定《信息安全技术 第二代防火墙安全技术 要求》，请提供相关证明材料。</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核心交换机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28个10/100/1000Base-T以太网端口，4个复用的千兆Combo SFP，4个万兆SFP+一个扩展子卡插槽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可插拔双电源，交流或直流供电，默认配置一个AC电源交换容量：598Gbps/5.98Tbps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楼宇交换机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24个10/100/1000Base-T以太网端口，4个千兆SFP</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交流供电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包转发率：81Mpps/96Mpps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交换容量：336Gbps/3.36Tbps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前端部分</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红外高清半球摄像机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红外高清球型摄像机</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2.采用高性能200万（1920×1080）像素，1/2.8英寸 CMOS高性能图像传感器；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3.支持不低于16 倍数字变倍，23倍光学变倍；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4.支持MPEG-4 和H.264视频编码、支持MPEG  Layer II、G711和AACZ音频编码标准，并支持PS系统流和TS传输流的封装；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5.支持设备认证功能、加密传输能力及数字水印加密，防数据被篡改；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6.支持绊线入侵、区域入侵、物品遗留与物品消失多种行为检测，支持人脸检测；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7.支持宽动态、图像降噪、图像防抖动功能；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8.垂直旋转 -15°～90°自动翻转180°后连续监视；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9.水平旋转 0°～360°连续旋转；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10.键控速度 水平：0.1°～200°/s 垂直：0.1°～120°/s；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11.SD卡本地存储，解决网络异常状态的监控存储问题,支持 FTP 存储录像，录像可断网续传；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12.内置红外灯补光，补光距离≥100米；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13.支持因网络原因连接断开后，在网络恢复时，设备应能自动侦测到网络状态，并自动重新建立连接；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14.支持双向语音对讲或单向语音广播功能；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拾音器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楼栋墙柜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9U</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标准墙柜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12V2A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电源线、网线、HDMI线、音频线、光纤</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考点视频指挥系统配置清单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1.采用嵌入式硬件一体化结构，内置1080p高清摄像头，部署便捷。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2.会议速率支持128Kbps－8Mbps。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3.支持ITU-T H.323和IETF SIP通信标准。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4.支持H.261、H.263、H.264、H.264 High Profile、H.265视频编解码协议，具备较强的兼容性。（投标人需提供权威机构检测报告证明）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5.支持G.711、G.722、G.728、G.722.1AnnexC、G.719、MPEG4-AAC LC/LD、Opus等音频协议，可达到20KHz以上的宽频效果。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6.支持H.239、BFCP双流协议标准。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7.内置高清PTZ摄像机，支持不小于72.5°水平广角视野（投标人需提供权威机构检测报告证明）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8.采用H.265编解码协议时，支持1080p30、720p60、720p30高清图像格式。（投标人需提供权威机构检测报告证明）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9.支持在较低的带宽下实现高清视频会议效果，384Kbps带宽下实现1080P30帧图像格式编解码，256Kbps带宽下实现720P30帧图像格式编解码，最大限度节省用户网络资源。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10.采用H.265编解码协议时，在保证主视频1080p30fps前提下，辅视频也可以支持到1080p30fps。（投标人需提供具备权威机构检测报告证明）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11.除内置摄像机外，还需独立提供不少于2路高清视频输入、3路高清视频输出接口、1路10/100M/1000M以太网接口，不得采用私有非标接口或转接线缆实现。（投标人需提供所投设备的背板清晰彩色照片证明）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12.支持不少于2进1出独立的音频输入输出接口，支持HDMI伴随音频输入输出功能。（投标人需提供所投设备的背板清晰彩色照片证明）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13.支持1个FXO电话接口，支持空闲或会议中电话接入。（投标人需提供权威机构检测报告证明）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14.支持VGA断电环回，在终端断电状态下，VGA接口输入输出环回。（投标人需提供权威机构检测报告证明）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15.支持云虚拟会议室功能，终端注册入网后，可实时获取当前已创建的虚拟会议室列表及状态（预约或会议中），可以直接选择需要参加的虚拟会议室加入。（投标人需提供权威机构检测报告证明）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16.支持云搜索功能，终端注册到云平台后可通过首字母模糊搜索联系人、云端会议室。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17.支持不低于120个摄像机预置位存储和调用，支持摄像机预置位快照及预览功能，可直观地显示预置位场景。（投标人需提供权威机构检测报告证明）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18.系统具有字幕叠加功能，可通过终端控制系统在本地图像上不同位置设置叠加中文会场名、横幅、滚动字幕。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19.终端配套的遥控器采用ZigBee无线通信技术控制，可控范围至少20m、控制信号不易被遮挡。（投标人需提供权威机构检测报告证明）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20.支持防火墙和NAT穿越。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21.支持H.235协议的音视频加密，支持AES256加密算法，SIP协议支持TLS、SRTP加密。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具备较强的网络抗丢包能力，在IP网络达到25%丢包率情况下声音清晰、图像流畅、无马赛克，70%的丢包率情况下音频不受影响、声音基本清晰流畅，偶有卡顿，但可恢复。（投标人需提供具备投标产品权威机构检测报告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23.提供产品电信设备入网证的证书复印件。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会议摄像机支架</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三脚架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视频会议终端三脚架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全向麦克风</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巡查指挥全向麦克风</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1.支持360°全向拾音，拾音距离不低于6m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2.采用标准卡侬接口，可接入提供幻象供电的会议终端或调音台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3.频响30Hz~20KHz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4.工作电压：9V~54V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7.提供产品RoHS证书复印件。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有源音箱</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音箱</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箱体采用卡包型设计，高密度中纤板材质，钢网网罩设计。                                                                                                                                                                                                     音箱标配壁挂安装配件，吊装简单方便。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1.额定功率：100W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2.频响范围：30Hz-18KHz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3.灵敏度：95dB±1dB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4.阻抗：8（Ω）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5.低音：8’x1只 高音：3’x2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音频功放</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功放</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产品介绍：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带LED显示屏，采用机架式铝合金黑色机身设计，可广泛应用于多媒体教室、小型会议室。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自带数码播放器，支持WMA，MP3等格式的音乐；具有手机蓝牙音乐播放功能。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前面板3个按键，可实现音乐上下首切换，音乐开停功能。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具有录音功能；可升级2.4G无线功能（该功能为：另外选配）。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前面板2路大二芯 MIC接口输入；后面板3路MIC接口：其中一路带幻象供电的卡侬头接口，一路大二芯接口，一路USB无线接收话筒专用接口。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要功能调节旋钮采用暗藏式设计，避免误操作。具有话筒音量调节旋钮2个，混响调节旋钮1个，高音、低音旋钮各1个；音乐高音、低音旋钮各1个。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具有话筒总音量调节旋钮1个，音乐总音量调节旋钮1个。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支持2路线路输入和1路广播信号优先输入，1路线路输出。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具有4个功率输出接线端子，可实现A/B组功率输出。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1.额定功率：200W×2；最大功率：400W×2；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2.额定阻抗：8Ω；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3.频率响应：线路输入20Hz-20KHz，话筒60Hz-14KHz；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4.线路音调控制：高音11KHz±12dB,低音90Hz±12dB；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5.话筒音调控制：高音11KHz±12dB,低音90Hz±12dB；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6.失真度：≤0.5%；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7.信噪比：≥80db(A计权）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显示系统</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高清电视墙管理平台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大屏中控管理平台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拼接控制器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4.5U标准机架式设计，运营级ATCA机箱系统，机箱支持部分混插;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双电源冗余设计、可拓展双主控，智能风扇自动调温，确保系统稳定可靠;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插拔式模块化设计，可根据需求灵活扩展，业务板卡可热插拔，方便设备维护;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支持电脑、视频会议终端、超高分服务器等视频输入信号源，支持VGA、DVI、HDMI、HDMI 4K、DP 4K信号输入，支持网络IPC、NVR等设备类型作为网络信号源输入;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支持复合音频及单独音频输入；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图像采集及输出均支持YUV 444，无损画质;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支持超高分融合，支持输入OSD叠加，支持输入图像裁剪;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支持DVI、HDMI、HDMI 4K视频信号输出；支持二合一网口输出;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解码板支持IPC/NVR等网络源解码，支持H264、H265、Smart264、Smart265、MJPEG等主流格式，支持PS、TS、ES、RTP、HIK等主流封装格式;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支持3200W高清视频解码;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支持码流修改和切换；支持解码异常提示;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电视墙功能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支持多电视墙，支持4电视墙;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支持电视墙预编辑、窗口可视化预览、预监（需增加预监板）;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支持开窗和漫游功能，单屏最大支持6个4K图层开窗，单个窗口支持1/4/6/8/9/16画面分割;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支持8张底图显示，单墙1张，分辨率为8K;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支持虚拟条屏，整机最大支持12个字幕，单墙最大支持3个，支持背景颜色/透明度、字体类型/颜色/大小/方向、滚动速度设置、时钟添加;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支持通过客户端软件抓屏，进行桌面投屏上墙;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设备接入和开放;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支持网络键盘/串口键盘接入进行设备控制，通过键盘操作实现视分屏切换、组操作及轮巡、场景切换、PTZ控制、电视墙回放等;</w:t>
            </w:r>
          </w:p>
          <w:p>
            <w:pPr>
              <w:pStyle w:val="15"/>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总线类型：万兆网交换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信号采样质量：YUV444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业务板卡混插：部分槽位支持，总槽位数11，混插槽位数10,特殊槽位1（支持资源板和输出板）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业务板槽位数：11（含4块输入板卡，3块输出板卡）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整机拼接能力：40路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机箱屏幕：/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电视墙数量：4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电视墙规模：40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虚拟分屏：支持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开窗数量：16</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单口画面分割数：1/4/6/8/9/16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工作湿度：10％--90％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工作温度：0℃--＋50℃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拼接屏</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1.采用55寸工业级LED液晶面板，分辨率1920*1080，屏幕比例：16:9，背光类型：LED背光源；双边物理拼缝≤3.5mm；对比度≥3000：1；视角≥178°(H) / 178°(V)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2.设备在正常工作条件下，连续工作7*24H，不应出现电、机械或操作系统的故障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3.投标产品需满足：亮度≥400nit.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4.自带内置拼接处理功能，可实现单屏、多屏、整屏等多种组合显示模式；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5.液晶拼接屏必须采用整机设计，严禁使用飞线屏，显示屏具备完整后壳，不得以支架或挡板替代，无任何裸露在外的电路线，整体美观大方。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6.金属外壳表面涂覆不能露出底层金属，并无气起泡、腐蚀、划痕、涂层脱落和沙孔等。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7.具有数字降噪、自动显示格式匹配、手动白平衡调节等功能。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8.图像显示清晰度≥1000TVL,亮度鉴别等级试验≥11级,亮度均匀性试验≥75%，图像重显率≥99%，几何失真≤3%（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9.投标产品需满足屏幕漏光试验应 ≤1cd/m2（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10.白平衡误差不劣于±0.010。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11.产品结构合理，在工程现场安装以及各种显示效果的调校工作应用方便，具有良好的接地设计。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12.输入接口：USB *1；HDMI *1； DVI *1；RS232 IN（RJ45）*1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13.图像质量主观评价达到《民用闭路监视电视系统工程技术规范》（GB  50198-2011）的规定，损伤评分等级达到五级要求。（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14.通过像素缺陷允许范围试验 ，亮点、暗点或其他坏点的累计数≤1。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15.投标产品需满足平均功率应≤135W.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16.带宽试验A级≥60MHz，B级、C级均≥120MHz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17.电源插头和电源引入端子与外壳裸露金属部件之间的绝缘电阻在湿热条件下≥2MΩ。并能承受1.5KV交流电压，在1min的抗电强度试验中，无击穿和飞弧现象，泄漏电流在AC峰值事小于5mA。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商务资质：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18.所投品牌的厂家应通过ISO9001:2015质量管理体系认证、ISO14001：2015环境管理体系认证，ISO45001:2018职业健康安全管理体系认证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19.提供本次所投拼接屏产品的国家强制CCC证书，列明证书编号、所认证的产品范围及有效期；提供加盖公章的复印件。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20.投标人需提供 全国商品售后服务达标认证证书，并达到五星级，提供加盖公章的复印件。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21.LCD产品制造商作为起草单位参与国家标准GAT1084-2020《大型活动用拼接显示系统通用规范》的起草的证明文件(提供相关文件官网截图并加盖公章)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22.生产企业品牌具有液晶显示产品具有圆偏正光技术，有效降低视觉疲劳，具备国家部级或同等级别单位出具的科学技术鉴定文件（提供国家部级或者同等级别单位出具的科学技术鉴定文件认证证书复印件）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大屏装饰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3×3(拼接)，包括拼接屏支架、电视墙两侧及下柜子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操作控制台</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5"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智能安检门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通道尺寸：2000mm(高)×710mm(宽)×800mm(深)</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外形尺寸：门板：2340mm(高)×860mm(宽)×800mm(深)机箱：690mm×710mmx280mm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毛重：门板：120kg   机箱：25kg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屏幕规格：10+18.5双屏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工作电源：220V-230V ，50/60Hz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工作温度：-20℃─55℃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符合GB15210-2018通过式金属探测门通用技术规范；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稳定工作时间大于等于96h,待机期间不出现误报警。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灵敏度调解：安检门能从低到高方便地调节灵敏度,灵敏度调节大于等于100个级别,总区及分区灵敏度均可调。内置多种工作模式或工作场景,每种模式或场景对一套参数设置值,可一键设置。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探测模式：具备多种探测模式：违禁品探测模式、电子产品探测模式、电子产品及违禁品探测模式和全金属探测模式，模式间可进行切换。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全金属探测模式：全金属探测模式下灵敏度可调节，人员以标准姿势通过安检门时，正常着装上的硬币、钥匙、金属纽扣、皮带扣等小金属及违禁品通过时均报警并提示违禁品的藏匿位置。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电子产品检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电子产品通过时，系统有声光报警，并以图形和文字的形式提示，提示藏匿位置。（对讲机、笔记本电脑、BL090联想手机电池、移动硬盘、电话手表、Kodakec021数码照相机、录音笔、5cm*8cm电子无线作弊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电子产品(手机)探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手机以规定的点位和三个姿态通过时，系统有声光报警，并以图形和文字的形式提示，提示藏匿位置。（1Q007、Dell Mini 3iw、HUAWEI G6100-Co0、中兴ZTE- CN760、NOKIA5130C-2红米NOTE）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违禁品探测模式:违禁品探测模式下灵敏度可调，人员以标准姿势通过安检门时，正常着装上的机械手表、金属纽扣、项链、打火机、钥匙、硬币、皮带扣、钥匙、手机、折叠雨伞等小金属通过时系统不报警。人员以标准姿势通过安检门时，当携带以下物品时系统有声光报警，并以图形和文字的形式提示铁质类物品,能提示藏匿位置。（L型铁器(长≥160mm，宽≥70mm)、铁质家用菜刀形状(长≥200mm，宽≥70mm)、弹簧刀(闭合尺寸:长≥130mm)、不锈钢餐刀(刃长≥100mm)、水果刀(刃长≥100mm)、非金属外壳包装的150克钢珠和铁钉的混合物、12*14厘米的双头扳手、铜箔包裹的铁质管体(直径≥35mm,长≥200mm)、 美工刀(长≥180mm)、不锈钢剪刀(长≥227mm)、铁质老虎钳(长≥160mm)）。人员以标准姿势通过安检门时，当携带以下物品时系统有声光报警,并以图形和文字的形式提示报警物品的材质和形状,能提示藏匿位置。（铝制易拉罐(高≥115mm，直径≥65mm)、 马口铁罐体(高≥130mm，直径≥50mm)、铝制管体(直径≥35mm,长短≥140mm)、250ml特仑苏牛奶(内锡纸软饮料包装盒)。当道具和手机捆绑后一起通过探测门时，系统对道具报警。）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电子产品及违禁品探测模式:电子产品及违禁品探测模式下灵敏度可调，人员以标准姿势通过安检门时，正常着装上的机械手表、金属纽扣、项链、打火机、钥匙、硬币、皮带扣、钥匙等小金属通过时系统不报警，当携带以下物品通过时，系统有声光报警，并以图形和文字的形式提示违禁品和藏匿位置。（对讲机、笔记本电脑、BL090联想手机电池、移动硬盘、电话手表、Kodakec021数码照相机、录音笔、5cm*8cm电子无线作弊器。）当携带iQ007、Dell Mini 3iw. HUAWEI6100-coo、中兴ZTE- CN760、NOKIA5130C- 2.红米NOTE以规定的点位和姿态通过时,系统有声光报警，并以图形和文字的形式提示，能提示藏匿位置。当携带以下物品时系统有声光报警，并以图形和文字的形式提示铁质类物品，能提示藏匿位置。（型铁器(长≥160mm,宽≥70mm)、铁质家用菜刀形状(长≥20mm，宽≥70mm)、弹簧刀(闭合尺寸:长≥130mm)、不锈钢餐刀(刃长≥100mm)、水果刀(刃长≥100m)、非金属外壳包装的150克钢珠和铁钉的混合物、12*14厘米的双头扳手、铜箔包裹的铁质管体(直径二35mm，长≥200mm、美工刀(长≥180mm)、不锈钢剪刀(长227mm、铁质老虎(长三160mm)。人员以标准姿势通过安检门时，当携带以下物品时系统有声光报警，并以图形和文字的形式提示报警物品的材质和形状，能提示藏匿位置。铝制易拉罐(高≥115mm， 直径≥65mm)、 马口铁罐体(高≥130mm，直径≥50mm)、铝制管体((直径≥35mm，长短≥140mm)、250m1特仑苏牛奶(内锡纸软饮料包装盒)。当刀具和手机捆绑后一起通过探测门时，系统有违禁品报警。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安检门能记录有效受检人数和发生过报警的人次，并能复位清零。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安检门能组网连接，各安检门工作参数能上传云平台。云平台中心管理软件能进行多级权限分级，可根据权限对安检门进行统一监控，实现远程管理等功能。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安检门可配置串口、USB 口、网线接口、WIFI设备，可组网，具有数据存储功能，能将通过人数、告警次数，报警人数、报警抓取照片、违禁品携带位置、故障告警、人脸比对结果等工作参数保存在数据库。数据与测温数据进行绑定，数据库能根据条件进行查询、统计并导出数据，可与其他电子设备进行数据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支持显示安检门设备在线、设备离线状态。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 支持显示通行人员信息:包含人员照片、人员姓名、人员性别、人员身份证号、人员考号、人员场次、人员考场号、人员座位号。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支持显示对比失败陌生人标签、对比失败时间。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支持显示对比结果:包含对比失败标签、对比成功标签。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支持显示对比成功人员姓名、对比时间。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支持信息切换显示，展示历次通行人员信息头像标签，可点击头像标签切换显示通行详细信息。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报警显示功能：支持显示报警物品分类:包含手机、手表、违禁品、日常金属、电脑、其他物品。支持显示报警物品位置:包含左小腿、右小腿、左大腿、右大腿、左腰部、右腰部、左胸部、右胸部、头部。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安检门机箱配备≥10.1寸液晶触摸屏和≥18.5寸液晶显示屏，≥10.1寸液晶触摸屏可进行设备调试、参数设置; ≥18.5寸液晶显示屏可显示报警物品的种类、区位、报警抓拍照片、体温筛查结果、报警时间等信息，当≥18. 5寸液晶屏及内置主机因故中断，不影响安检门违禁品探测功能的正常使用。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控制工作站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i5/8GB/256G固态硬盘/DVDRW/集成/Win10/23液晶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保密柜</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1、尺寸：1900mm（高）×430 mm（深）×900 mm（宽），整体四开门，上节一个一字机械活动抽屉，可以上下调整位置，上下节各一块活动层板，层板高度可调整，最小高度可调整至50mm，标配金色面板M153密码锁。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2、材质：采用优质冷轧钢板制造，钢板厚度≥1.0，采用通过国家保密科技测评中心检测和公安部检测中心检测的保密柜锁。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具备相关实用新型专利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产品符合国家保密标准BMB54-2020《安全保密产品保密柜安全保密技术要求》，提供国家保密科技测评中心一体认证证书及检测报告、喷涂粉末的SGS检测证书、中国环境标志产品证书CEC(环保认证)、CQGC(质量监督）、保密柜柜体及各原辅材料需经过国家第三方专业检测机构（省级机构）抽样检测合格，如：钢板、尼龙脚垫、喷塑粉末、滑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7、为确保保密柜安全性，保密柜和所配的密码锁必须为统一品牌:柜门、锁具、脚轮必须有胎具压制的所投品牌LOGO。</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考试身份验证及防作弊系统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身份验证</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身份识别管理平台（含考生身份识别管理平台软件）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 B/S 架构，实现考生身份证、照片信息的采集、存储、比对。系统具有考试管理、数据统计、违纪管理、采集管理等功能。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能控制釆集终端进行考生生物特征或证件信息釆集和存储，自动分考点按编排数据对考生考试信息进行打包下载，具有对釆集、验证数据进行査询、统计等基本功能，并支持存疑考生管理、缺考管理、人工审核、违纪管理、异常管理，以实际反映出考生的验证轨迹，对异常考生进行溯源追踪。已符合GB/T 36449-2018技术标准，具有公安部安全防范报警系统产品质量监督检验测试中心出具的检测报告。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3.应支持添加考试计划按年份、考试计划名称查询考试计划，支持导入10000条考生编排数据下发考生编排数据到考生身份识别终端，支持按考点、考试计划生成考生编排数据包并进行加密且通过移动介质（U盘 或硬盘）拷贝编排数据到考生身份识别终端。以公安部检测报为准。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4.应支持按身份证号后4位、考生号、姓名等条件进行查询考生编排数据详情，其中数据应包括考试名称、考点名称、考试开始时间、考试结束时间、考生姓名、考场号、座位号、考生照片。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支持按考点、考试科目条件统计接入考生身份识别终端的设备数量，按考点、考试场次、考试科目、考试时间等条件统计身份信息采集情况，其中数据应包括釆集正常人数、釆集异常人数、釆集考生总数、采集正常人数占比和釆集异常人数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6.应支持按考点、考场科目条件统计考生入场认证情况，其中数据应包括认证通过人数、认证未通过人数、未认证人数和考生总人数、认证通过占比、认证未通过占比和未认证占比。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7.应支持统计违纪人数，并支持按照考试计划、考点、违纪类型査询违纪信息，其中违纪 信息应包括违纪考生姓名、考生号、所在考场、科目、违纪类型、违纪原因和监考老师备注。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8.应具有釆集考生人脸图像、身份证件等相关信息的能力，并自动生成身份识别信息数据库。支持增加、删除、查询和修改违纪模板，其中模板内容应包括违纪模板名称、违纪类型和违纪原因。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对采集数据进行管理统计采集数据，并支持按考点、考试计划、考生姓名和身份证号码条件进行查询采集数据，其中釆集数据应包括考生姓名、性别、身份证号码、人脸照片数量、人脸图像和釆集状态（正常和异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10.应支持按照考点和考试计划导入考生数据包并生成编排数据，其中考生数据应包括考 生姓名、性别、民族、出生日期、身份证物理ID、身份证号码、身份证签发机关、身份证地址、身份证有效期、身份证照片、考生现场釆集照片。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11.应支持按照考点和考试计划导出考生数据，并生成Excel表格，其中表格信息应包括考生姓名、性别、民族、出生日期、身份证物理 ID、身份证号码、身份证签发机关、身份证地址、身份证有效期。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支持按己认证、未认证和人工审核条件查询考生身份识别验证信息，按考点统计和查询每个考场对应的考试科目身份识别情况信息，其中信息包括考生总人数、己认证人数、未认证人数、缺考人和人工审核人数。并以列表显示单个考场座位信息可导出当场缺考考生信息且生成Excel表格，其中座位信息应包括考生姓名、考生号、座位号、性别、认证时间、认证方式和认证结果。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应支持按考场导入考生身份识别验证数据包，査看单个考生身份识别验证信息并支持显示验证轨迹，其中验证信息应包括考生姓名、考生号、身份证号码、性别、考试科目、考场号、座位号、报名照片以及现场1:1验证照片，验证轨迹应包括认证方式、认证结果和认证时间，且认证方式应包括身份证、人脸和人工等方式，认证结果应包括通过和不通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14.应支持增加、删除、查询和修改考点信息，其中考点信息包括考点名称、考点简称、考点代码和绑定的地址。</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15.应支持以列表方式查看考生身份识别终端设备信息，其中信息应包含设备类型、设备名称和对应考生身份识别终端APP版本。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应支持添加用户人员，并支持对用户进行部门挂靠和角色权限分配，其分配应按组织结构分省、市、区、学校四层进行管理；并支持修改用户信息，根据姓名、角色査询用户显示用户的详细信息，其应包括用户登录名、真实姓名、用户角色、所属单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应能够用模块（对应系统菜单）、功能（对应模块的子功能）两级定义系统功能权限，用户角色定义一组系统模块、功能集合，通过向用户分配角色来管理用户权限。同时，通过对象权限定义用户能操作的数据，如全省、地市、区县、学校的数据。并能以日志的形式记录关键业务的操作过程，日志记录在数据库中，便于审计时查阅，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18.应支持考生身份识别终端的版本管理，支持对考生身份识别终端进行强制更新。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提供所投设备符合《电子考场系统通用要求》GB/T 36449 2018公安部检测报告复印件并加盖原厂公章；产品软件著作权复印件，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8"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身份识别终端（含考生身份认证软件）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1.硬件配置：操作系统Android 7.0及以上版本；CPU：8核，1.5G；内存≥3GB，存储≥32GB；显示屏≥8寸屏，分辨率≥1280*800；触摸屏电容式，五点触摸屏；无线通信GPS + Wi-Fi + BT 4.0；电池≥8000mAh，不可拆卸；摄像头自动对焦，前置 800万，后置1300万。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2.应支持人脸在左右摆动30°、上下俯仰15°内，人脸瞳距240像素人脸识别，支持报名时照片、身份证照片与实时釆集的人脸进行1:1人脸识别，已符合GB/T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3.应能存储100000条以上模拟考生详细资料，包括考生号、姓名、公民身份号码、 考点、考场、照片、指纹等。以公安部检测报告为准。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4.应支持语音提醒采集考生二代身份证信息、考生生物特征信息（人脸特征信息和指纹信息），支持按上传状态方式查看采集记录详情，并实时上传釆集数据到考生身份识别管理平台。以公安部检测报告为准。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5.应具备身份证验证、人脸验证和指纹验证三种身份识别方式，支持将读取身份证芯片中的照片与现场釆集的考生人脸进行1： 1人脸比对实现人脸验证功能，支持将现场采集的人脸与人脸数据库进行1： N人脸比对实现人脸验证功能。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语音提醒验证操作，具有考点验证功能，其中验证的对象应为整个考点的考生。具有考场验证功能，其中验证的对象为具体单个或多个考场的考生。验证后显示当前考生的姓名、性别、公民身份号码、报名时采集的相片、考生号、考点名称、考场、座位号、考试科目、识别比对结果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7.应支持对无法人脸识别的考生进行人工审核通过入场和对违纪考生作违纪登记。以公安部检测报告为准。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在釆集模式下,应能将离线釆集数据统一联网上传或通过U盘、移动硬盘等移动介质导出上传至考生身份识别管理平台；在认证模式下，应支持通过u盘（移动硬盘等）移动介质导出验证数据上考生身份识别管理平台，应能按考点下载或通过U盘（移动硬盘等）移动介质导入考生编排数据。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9.应支持査看具体考场的验证进度，其中应包括已验证的考生、未验证的考生、拒绝入场的考生、缺考考生和违纪考生，并能实际反映出考生的验证轨迹，可对异常考生进行溯源追踪。以公安部检测报告为准。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10.应具有缺考管理功能，能将缺考确认信息上传考生身份识别管理平台，并支持按座位号和考生号查询考生信息及考试相关信息，对异常情况进行人工干预。以公安部检测报告为准。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具有验证记录功能，并能按考点、考场统计验证情况，其中应包括考试科目、考场编号、考场总人数、通过人数、不通过人数、未验证人数和上传结果（未上传和已上传）；应能按科目和考场查看考生验证情况及上传进度并支持删除考生验证记录。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12.应能实时按考点、考场、考生上传验证数据并支持一键上传全部未上传的验证数据。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13.在同一设定阀值条件下，终端采用1:1人脸验证的非目标人错误接受率小于等于0.1%时，目标人正确接受率应大于等于99%</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14、提供所投设备符合《电子考场系统通用要求》GB/T 36449 2018公安部检测报告复印件；产品软件著作权复印件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防作弊</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作弊防控服务器（含云积作弊防控管理软件）</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1、简单的配置即可工作，简单快捷，管理员工作量极少。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2、平台可按照设备实际安装位置的情况（校区、楼栋、楼层等）进行分组管理和操作。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3、运行状态查看可在管理平台实时查看屏蔽设备的在线数目、运行状态等。运行状态及时反馈，管理员可及时掌握并作出处理。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4、支持所有屏蔽设备供电物理开关上闸开始工作并通过网络注册到管理平台上后，管理员可在管理平台上远程对屏蔽设备进行一台、多台或全部进行开关机操作。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5、支持屏蔽器批量删除、导入、导出，支持屏蔽器添加、删除、修改；包括：设备名称、IP地址、端口、用户名、密码、所属教室、传输类型、设备类型。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6、支持按照时间节点对整套系统的运行状态数据进行汇总并可生成报表。                                  7、支持查看屏蔽器IP地址、连接状态、用户名、密码、端口号、所属教室、传输类型等信息。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数据接口 RJ45，工作环境 工作温度：0℃- +40℃；相对湿度：20%-80%（无凝露）。</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9、提供所投产品软件著作权复印件，并加盖原厂公章。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无线信号屏蔽终端</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有效屏蔽所有2G/3G/4G/5G手机、2.4G（WIFI/WLAN蓝牙）等通信信号；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工作频率：2G：移动：930～960MHZ/1805～1825MHZ、电信：865～880MHZ、联通：1830～1850MHZ；3G：移动：2010～2025MHZ、电信：2110～2125MHZ、联通：2130～2145MHZ；4G：移动：1880～1920MHZ/2320～2370MHZ/2575～2635MHZ、电信：1860～1880MHZ/2370～2390MHZ、联通：2145～2170MHZ/2300～2320MHZ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5G: 移动：2515～2675MHZ/4800～4900MHZ、电信：3400～3500MHZ、联通：3500～3600MHZ、广电：4900～4960MHZ；WLAN/WIFI/蓝牙：2.4～2.4835GHZ；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3、设备内置高增益定向天线，工作时向设备正前方呈扇形发射干扰电磁信号，背对或侧对基站安装使用可实现对基站无干扰；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4、设备具备1个RJ45接口，支持TCP/IP协议，具备联网能力，通过软件和网络在终端操作界面上管理开关每台设备，监控每台设备连接情况和工作状态，实现网络集中控制管理功能；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5、采用高密度大散热片和低噪音风扇及机箱组成高效冷却散热系统，性能稳定、安全、可靠；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6、整机一体化设计，直接取电开机就工作，安装使用管理简便；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7、缓启动电路设计，避免产生机械开关打火现象；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8、设备辐射强度远低于国家标准，对人体无任何影响；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9、有效屏蔽范围约6*9平方米（使用场所场强RSSI≤-75dBm，RSRP≤-95dBm）。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防盗窗</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定制钢结构和铁丝网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防盗门</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国标四防防盗门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3p空调</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适用面积:33-50㎡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规格:电压/频率:220V/50Hz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内机机身尺寸:宽395mm；高1775mm；深405mm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外机尺寸:宽940mm；高673mm；深342mm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扫风方式:上下/左右扫风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制冷功率:3200W</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机房设备拆除</w:t>
            </w:r>
          </w:p>
        </w:tc>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机房老旧设备拆除和老旧废线拆除</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6" w:type="dxa"/>
            <w:gridSpan w:val="11"/>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实验中学考场建设（元）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序号</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名称</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功能模块</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巡查中心</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高清SIP转发管理三合一平台</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以检测报告为准）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服务器机柜</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42U标准服务器机柜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网络流媒体存储平台（64路）</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1.符合《国家教育考试网上巡查系统视频标准技术规范（2017版）》（JY/T-KS-JS-2017-1）规范；2.可自适应接入H.265、H.264、MPEG4视频编码格式，MPEG LayerⅡ、G711和FY音频编码格式，3.Program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硬盘8T</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防火墙</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专用硬件平台。提供不少于2个USB接口，1个管理口，1个RJ45串口，4个千兆电口(2路bypass)，含传统防火墙、流量管理、应用管理等功能模块；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性能参数：网络层吞吐量6G，最大并发连接数200万，每秒最大新建连接数6万；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产品服务：三年产品系统升级授权、产品保修服务、远程支持服务、硬件故障上门等服务；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产品功能：支持 1000+万级的病毒库，病毒查杀率高（提供界面截图）；支持基于源安全区/IP地址网段、时间、用户和应用/应用组的最大带宽、保证带宽的流量策略管理；可为每个内网主机生成风险指数，支持对高风险资产一键建立访问拦截策略和流量控制策略；可不通过主机扫描等技术，即可识别内网主机的操作系统、杀毒软件、浏览器等信息；提供超过上亿条的URL分类库，提供64+种精细分类（如艺术、商务、新闻论坛、论坛聊天、科技、体育等等）；支持对网页浏览、论坛发帖、电子邮件、即时通讯、文件传输、服务器操作、数据库操作、表单提交等的实时检测和过滤；支持对网络异常流量进行安全处置能力（提供国家权威机构颁发技术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资质：公安部《计算机信息系统安全专用产品销售许可证》；国家版权局《计算机软件著作权等级证书》；提供由中国信息安全测评中心颁发的《自主原创产品测评证书》；产品具备国家版权局颁发的《多核分布式安全操作系统》；参与制定《信息安全技术 第二代防火墙安全技术 要求》，请提供相关证明材料。</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核心交换机</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28个10/100/1000Base-T以太网端口，4个复用的千兆Combo SFP，4个万兆SFP+一个扩展子卡插槽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可插拔双电源，交流或直流供电，默认配置一个AC电源交换容量：598Gbps/5.98Tbps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楼宇交换机</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24个10/100/1000Base-T以太网端口，4个千兆SFP</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交流供电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包转发率：81Mpps/96Mpps</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交换容量：336Gbps/3.36Tbps</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前端部分</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红外高清半球摄像机</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红外高清球型摄像机</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2.采用高性能200万（1920×1080）像素，1/2.8英寸 CMOS高性能图像传感器；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3.支持不低于16 倍数字变倍，23倍光学变倍；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4.支持MPEG-4 和H.264视频编码、支持MPEG  Layer II、G711和AACZ音频编码标准，并支持PS系统流和TS传输流的封装；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5.支持设备认证功能、加密传输能力及数字水印加密，防数据被篡改；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6.支持绊线入侵、区域入侵、物品遗留与物品消失多种行为检测，支持人脸检测；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7.支持宽动态、图像降噪、图像防抖动功能；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8.垂直旋转 -15°～90°自动翻转180°后连续监视；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9.水平旋转 0°～360°连续旋转；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10.键控速度 水平：0.1°～200°/s 垂直：0.1°～120°/s；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11.SD卡本地存储，解决网络异常状态的监控存储问题,支持 FTP 存储录像，录像可断网续传；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12.内置红外灯补光，补光距离≥100米；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13.支持因网络原因连接断开后，在网络恢复时，设备应能自动侦测到网络状态，并自动重新建立连接；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14.支持双向语音对讲或单向语音广播功能；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拾音器</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楼栋墙柜</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9U</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标准墙柜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12V2A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电源线、网线、HDMI线、音频线、光纤</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考点视频指挥系统配置清单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巡查指挥终端</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1.采用嵌入式硬件一体化结构，内置1080p高清摄像头，部署便捷。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2.会议速率支持128Kbps－8Mbps。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3.支持ITU-T H.323和IETF SIP通信标准。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4.支持H.261、H.263、H.264、H.264 High Profile、H.265视频编解码协议，具备较强的兼容性。（投标人需提供权威机构检测报告证明）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5.支持G.711、G.722、G.728、G.722.1AnnexC、G.719、MPEG4-AAC LC/LD、Opus等音频协议，可达到20KHz以上的宽频效果。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6.支持H.239、BFCP双流协议标准。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7.内置高清PTZ摄像机，支持不小于72.5°水平广角视野（投标人需提供权威机构检测报告证明）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8.采用H.265编解码协议时，支持1080p30、720p60、720p30高清图像格式。（投标人需提供权威机构检测报告证明）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9.支持在较低的带宽下实现高清视频会议效果，384Kbps带宽下实现1080P30帧图像格式编解码，256Kbps带宽下实现720P30帧图像格式编解码，最大限度节省用户网络资源。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10.采用H.265编解码协议时，在保证主视频1080p30fps前提下，辅视频也可以支持到1080p30fps。（投标人需提供具备权威机构检测报告证明）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11.除内置摄像机外，还需独立提供不少于2路高清视频输入、3路高清视频输出接口、1路10/100M/1000M以太网接口，不得采用私有非标接口或转接线缆实现。（投标人需提供所投设备的背板清晰彩色照片证明）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12.支持不少于2进1出独立的音频输入输出接口，支持HDMI伴随音频输入输出功能。（投标人需提供所投设备的背板清晰彩色照片证明）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13.支持1个FXO电话接口，支持空闲或会议中电话接入。（投标人需提供权威机构检测报告证明）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14.支持VGA断电环回，在终端断电状态下，VGA接口输入输出环回。（投标人需提供权威机构检测报告证明）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15.支持云虚拟会议室功能，终端注册入网后，可实时获取当前已创建的虚拟会议室列表及状态（预约或会议中），可以直接选择需要参加的虚拟会议室加入。（投标人需提供权威机构检测报告证明）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16.支持云搜索功能，终端注册到云平台后可通过首字母模糊搜索联系人、云端会议室。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17.支持不低于120个摄像机预置位存储和调用，支持摄像机预置位快照及预览功能，可直观地显示预置位场景。（投标人需提供权威机构检测报告证明）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18.系统具有字幕叠加功能，可通过终端控制系统在本地图像上不同位置设置叠加中文会场名、横幅、滚动字幕。</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19.终端配套的遥控器采用ZigBee无线通信技术控制，可控范围至少20m、控制信号不易被遮挡。（投标人需提供权威机构检测报告证明）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20.支持防火墙和NAT穿越。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21.支持H.235协议的音视频加密，支持AES256加密算法，SIP协议支持TLS、SRTP加密。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具备较强的网络抗丢包能力，在IP网络达到25%丢包率情况下声音清晰、图像流畅、无马赛克，70%的丢包率情况下音频不受影响、声音基本清晰流畅，偶有卡顿，但可恢复。（投标人需提供具备投标产品权威机构检测报告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23.提供产品电信设备入网证的证书复印件。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会议摄像机支架</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三脚架</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视频会议终端三脚架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全向麦克风</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巡查指挥全向麦克风</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1.支持360°全向拾音，拾音距离不低于6m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2.采用标准卡侬接口，可接入提供幻象供电的会议终端或调音台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3.频响30Hz~20KHz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4.工作电压：9V~54V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6.支持抗手机射频干扰功能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7.提供产品RoHS证书复印件。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有源音箱</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音箱</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箱体采用卡包型设计，高密度中纤板材质，钢网网罩设计。                                                                                                                                                                                                     音箱标配壁挂安装配件，吊装简单方便。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1.额定功率：100W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2.频响范围：30Hz-18KHz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3.灵敏度：95dB±1dB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4.阻抗：8（Ω）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5.低音：8’x1只 高音：3’x2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音频功放</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功放</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产品介绍：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带LED显示屏，采用机架式铝合金黑色机身设计，可广泛应用于多媒体教室、小型会议室。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自带数码播放器，支持WMA，MP3等格式的音乐；具有手机蓝牙音乐播放功能。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前面板3个按键，可实现音乐上下首切换，音乐开停功能。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具有录音功能；可升级2.4G无线功能（该功能为：另外选配）。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前面板2路大二芯 MIC接口输入；后面板3路MIC接口：其中一路带幻象供电的卡侬头接口，一路大二芯接口，一路USB无线接收话筒专用接口。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要功能调节旋钮采用暗藏式设计，避免误操作。具有话筒音量调节旋钮2个，混响调节旋钮1个，高音、低音旋钮各1个；音乐高音、低音旋钮各1个。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具有话筒总音量调节旋钮1个，音乐总音量调节旋钮1个。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支持2路线路输入和1路广播信号优先输入，1路线路输出。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具有4个功率输出接线端子，可实现A/B组功率输出。                                           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1.额定功率：200W×2；最大功率：400W×2；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2.额定阻抗：8Ω；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3.频率响应：线路输入20Hz-20KHz，话筒60Hz-14KHz；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4.线路音调控制：高音11KHz±12dB,低音90Hz±12dB；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5.话筒音调控制：高音11KHz±12dB,低音90Hz±12dB；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6.失真度：≤0.5%；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7.信噪比：≥80db(A计权）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显示系统</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高清电视墙管理平台</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大屏中控管理平台</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拼接控制器</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4.5U标准机架式设计，运营级ATCA机箱系统，机箱支持部分混插;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双电源冗余设计、可拓展双主控，智能风扇自动调温，确保系统稳定可靠;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插拔式模块化设计，可根据需求灵活扩展，业务板卡可热插拔，方便设备维护;</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支持电脑、视频会议终端、超高分服务器等视频输入信号源，支持VGA、DVI、HDMI、HDMI 4K、DP 4K信号输入，支持网络IPC、NVR等设备类型作为网络信号源输入;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支持复合音频及单独音频输入；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图像采集及输出均支持YUV 444，无损画质;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支持超高分融合，支持输入OSD叠加，支持输入图像裁剪;</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支持DVI、HDMI、HDMI 4K视频信号输出；支持二合一网口输出;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支持复合音频及单独音频输出;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解码板支持IPC/NVR等网络源解码，支持H264、H265、Smart264、Smart265、MJPEG等主流格式，支持PS、TS、ES、RTP、HIK等主流封装格式;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支持3200W高清视频解码;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支持码流修改和切换；支持解码异常提示;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电视墙功能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支持多电视墙，支持4电视墙;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支持电视墙预编辑、窗口可视化预览、预监（需增加预监板）;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支持开窗和漫游功能，单屏最大支持6个4K图层开窗，单个窗口支持1/4/6/8/9/16画面分割;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支持8张底图显示，单墙1张，分辨率为8K;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支持虚拟条屏，整机最大支持12个字幕，单墙最大支持3个，支持背景颜色/透明度、字体类型/颜色/大小/方向、滚动速度设置、时钟添加;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支持通过客户端软件抓屏，进行桌面投屏上墙;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设备接入和开放;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支持网络键盘/串口键盘接入进行设备控制，通过键盘操作实现视分屏切换、组操作及轮巡、场景切换、PTZ控制、电视墙回放等;</w:t>
            </w:r>
          </w:p>
          <w:p>
            <w:pPr>
              <w:pStyle w:val="15"/>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总线类型：万兆网交换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信号采样质量：YUV444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业务板卡混插：部分槽位支持，总槽位数11，混插槽位数10,特殊槽位1（支持资源板和输出板）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业务板槽位数：11（含4块输入板卡，3块输出板卡）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整机拼接能力：40路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机箱屏幕：/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电视墙数量：4</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电视墙规模：40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虚拟分屏：支持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开窗数量：16</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单口画面分割数：1/4/6/8/9/16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工作湿度：10％--90％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工作温度：0℃--＋50℃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1"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拼接屏</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1.采用55寸工业级LED液晶面板，分辨率1920*1080，屏幕比例：16:9，背光类型：LED背光源；双边物理拼缝≤3.5mm；对比度≥3000：1；视角≥178°(H) / 178°(V)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2.设备在正常工作条件下，连续工作7*24H，不应出现电、机械或操作系统的故障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3.投标产品需满足：亮度≥400nit.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4.自带内置拼接处理功能，可实现单屏、多屏、整屏等多种组合显示模式；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5.液晶拼接屏必须采用整机设计，严禁使用飞线屏，显示屏具备完整后壳，不得以支架或挡板替代，无任何裸露在外的电路线，整体美观大方。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6.金属外壳表面涂覆不能露出底层金属，并无气起泡、腐蚀、划痕、涂层脱落和沙孔等。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7.具有数字降噪、自动显示格式匹配、手动白平衡调节等功能。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8.图像显示清晰度≥1000TVL,亮度鉴别等级试验≥11级,亮度均匀性试验≥75%，图像重显率≥99%，几何失真≤3%（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9.投标产品需满足屏幕漏光试验应 ≤1cd/m2（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10.白平衡误差不劣于±0.010。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11.产品结构合理，在工程现场安装以及各种显示效果的调校工作应用方便，具有良好的接地设计。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12.输入接口：USB *1；HDMI *1； DVI *1；RS232 IN（RJ45）*1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13.图像质量主观评价达到《民用闭路监视电视系统工程技术规范》（GB  50198-2011）的规定，损伤评分等级达到五级要求。（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14.通过像素缺陷允许范围试验 ，亮点、暗点或其他坏点的累计数≤1。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15.投标产品需满足平均功率应≤135W.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16.带宽试验A级≥60MHz，B级、C级均≥120MHz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17.电源插头和电源引入端子与外壳裸露金属部件之间的绝缘电阻在湿热条件下≥2MΩ。并能承受1.5KV交流电压，在1min的抗电强度试验中，无击穿和飞弧现象，泄漏电流在AC峰值事小于5mA。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商务资质：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18.所投品牌的厂家应通过ISO9001:2015质量管理体系认证、ISO14001：2015环境管理体系认证，ISO45001:2018职业健康安全管理体系认证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19.提供本次所投拼接屏产品的国家强制CCC证书，列明证书编号、所认证的产品范围及有效期；提供加盖公章的复印件。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20.投标人需提供 全国商品售后服务达标认证证书，并达到五星级，提供加盖公章的复印件。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21.LCD产品制造商作为起草单位参与国家标准GAT1084-2020《大型活动用拼接显示系统通用规范》的起草的证明文件(提供相关文件官网截图并加盖公章)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生产企业品牌具有液晶显示产品具有圆偏正光技术，有效降低视觉疲劳，具备国家部级或同等级别单位出具的科学技术鉴定文件（提供国家部级或者同等级别单位出具的科学技术鉴定文件认证证书复印件加盖制造商公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大屏装饰</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3×3(拼接)，包括拼接屏支架、电视墙两侧及下柜子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操作控制台</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智能安检门</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通道尺寸：2000mm(高)×710mm(宽)×800mm(深)</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外形尺寸：门板：2340mm(高)×860mm(宽)×800mm(深)机箱：690mm×710mmx280mm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毛重：门板：120kg   机箱：25kg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屏幕规格：10+18.5双屏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工作电源：220V-230V ，50/60Hz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工作温度：-20℃─55℃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符合GB15210-2018通过式金属探测门通用技术规范；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稳定工作时间大于等于96h,待机期间不出现误报警。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灵敏度调解：安检门能从低到高方便地调节灵敏度,灵敏度调节大于等于100个级别,总区及分区灵敏度均可调。内置多种工作模式或工作场景,每种模式或场景对一套参数设置值,可一键设置。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探测模式：具备多种探测模式：违禁品探测模式、电子产品探测模式、电子产品及违禁品探测模式和全金属探测模式，模式间可进行切换。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全金属探测模式：全金属探测模式下灵敏度可调节，人员以标准姿势通过安检门时，正常着装上的硬币、钥匙、金属纽扣、皮带扣等小金属及违禁品通过时均报警并提示违禁品的藏匿位置。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电子产品检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电子产品通过时，系统有声光报警，并以图形和文字的形式提示，提示藏匿位置。（对讲机、笔记本电脑、BL090联想手机电池、移动硬盘、电话手表、Kodakec021数码照相机、录音笔、5cm*8cm电子无线作弊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电子产品(手机)探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手机以规定的点位和三个姿态通过时，系统有声光报警，并以图形和文字的形式提示，提示藏匿位置。（1Q007、Dell Mini 3iw、HUAWEI G6100-Co0、中兴ZTE- CN760、NOKIA5130C-2红米NOTE）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违禁品探测模式:违禁品探测模式下灵敏度可调，人员以标准姿势通过安检门时，正常着装上的机械手表、金属纽扣、项链、打火机、钥匙、硬币、皮带扣、钥匙、手机、折叠雨伞等小金属通过时系统不报警。人员以标准姿势通过安检门时，当携带以下物品时系统有声光报警，并以图形和文字的形式提示铁质类物品,能提示藏匿位置。（L型铁器(长≥160mm，宽≥70mm)、铁质家用菜刀形状(长≥200mm，宽≥70mm)、弹簧刀(闭合尺寸:长≥130mm)、不锈钢餐刀(刃长≥100mm)、水果刀(刃长≥100mm)、非金属外壳包装的150克钢珠和铁钉的混合物、12*14厘米的双头扳手、铜箔包裹的铁质管体(直径≥35mm,长≥200mm)、 美工刀(长≥180mm)、不锈钢剪刀(长≥227mm)、铁质老虎钳(长≥160mm)）。人员以标准姿势通过安检门时，当携带以下物品时系统有声光报警,并以图形和文字的形式提示报警物品的材质和形状,能提示藏匿位置。（铝制易拉罐(高≥115mm，直径≥65mm)、 马口铁罐体(高≥130mm，直径≥50mm)、铝制管体(直径≥35mm,长短≥140mm)、250ml特仑苏牛奶(内锡纸软饮料包装盒)。当道具和手机捆绑后一起通过探测门时，系统对道具报警。）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电子产品及违禁品探测模式:电子产品及违禁品探测模式下灵敏度可调，人员以标准姿势通过安检门时，正常着装上的机械手表、金属纽扣、项链、打火机、钥匙、硬币、皮带扣、钥匙等小金属通过时系统不报警，当携带以下物品通过时，系统有声光报警，并以图形和文字的形式提示违禁品和藏匿位置。（对讲机、笔记本电脑、BL090联想手机电池、移动硬盘、电话手表、Kodakec021数码照相机、录音笔、5cm*8cm电子无线作弊器。）当携带iQ007、Dell Mini 3iw. HUAWEI6100-coo、中兴ZTE- CN760、NOKIA5130C- 2.红米NOTE以规定的点位和姿态通过时,系统有声光报警，并以图形和文字的形式提示，能提示藏匿位置。当携带以下物品时系统有声光报警，并以图形和文字的形式提示铁质类物品，能提示藏匿位置。（型铁器(长≥160mm,宽≥70mm)、铁质家用菜刀形状(长≥20mm，宽≥70mm)、弹簧刀(闭合尺寸:长≥130mm)、不锈钢餐刀(刃长≥100mm)、水果刀(刃长≥100m)、非金属外壳包装的150克钢珠和铁钉的混合物、12*14厘米的双头扳手、铜箔包裹的铁质管体(直径二35mm，长≥200mm、美工刀(长≥180mm)、不锈钢剪刀(长227mm、铁质老虎(长三160mm)。人员以标准姿势通过安检门时，当携带以下物品时系统有声光报警，并以图形和文字的形式提示报警物品的材质和形状，能提示藏匿位置。铝制易拉罐(高≥115mm， 直径≥65mm)、 马口铁罐体(高≥130mm，直径≥50mm)、铝制管体((直径≥35mm，长短≥140mm)、250m1特仑苏牛奶(内锡纸软饮料包装盒)。当刀具和手机捆绑后一起通过探测门时，系统有违禁品报警。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安检门能记录有效受检人数和发生过报警的人次，并能复位清零。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安检门能组网连接，各安检门工作参数能上传云平台。云平台中心管理软件能进行多级权限分级，可根据权限对安检门进行统一监控，实现远程管理等功能。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安检门可配置串口、USB 口、网线接口、WIFI设备，可组网，具有数据存储功能，能将通过人数、告警次数，报警人数、报警抓取照片、违禁品携带位置、故障告警、人脸比对结果等工作参数保存在数据库。数据与测温数据进行绑定，数据库能根据条件进行查询、统计并导出数据，可与其他电子设备进行数据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支持显示安检门设备在线、设备离线状态。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 支持显示通行人员信息:包含人员照片、人员姓名、人员性别、人员身份证号、人员考号、人员场次、人员考场号、人员座位号。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支持显示对比失败陌生人标签、对比失败时间。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支持显示对比结果:包含对比失败标签、对比成功标签。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支持显示对比成功人员姓名、对比时间。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支持信息切换显示，展示历次通行人员信息头像标签，可点击头像标签切换显示通行详细信息。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报警显示功能：支持显示报警物品分类:包含手机、手表、违禁品、日常金属、电脑、其他物品。支持显示报警物品位置:包含左小腿、右小腿、左大腿、右大腿、左腰部、右腰部、左胸部、右胸部、头部。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安检门机箱配备≥10.1寸液晶触摸屏和≥18.5寸液晶显示屏，≥10.1寸液晶触摸屏可进行设备调试、参数设置; ≥18.5寸液晶显示屏可显示报警物品的种类、区位、报警抓拍照片、体温筛查结果、报警时间等信息，当≥18. 5寸液晶屏及内置主机因故中断，不影响安检门违禁品探测功能的正常使用。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控制工作站</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i5/8GB/256G固态硬盘/DVDRW/集成/Win10/23液晶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保密柜</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1、尺寸：1900mm（高）×430 mm（深）×900 mm（宽），整体四开门，上节一个一字机械活动抽屉，可以上下调整位置，上下节各一块活动层板，层板高度可调整，最小高度可调整至50mm，标配金色面板M153密码锁。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2、材质：采用优质冷轧钢板制造，钢板厚度≥1.0，采用通过国家保密科技测评中心检测和公安部检测中心检测的保密柜锁。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具备相关实用新型专利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产品符合国家保密标准BMB54-2020《安全保密产品保密柜安全保密技术要求》，提供国家保密科技测评中心一体认证证书及检测报告、喷涂粉末的SGS检测证书、中国环境标志产品证书CEC(环保认证)、CQGC(质量监督）、保密柜柜体及各原辅材料需经过国家第三方专业检测机构（省级机构）抽样检测合格，如：钢板、尼龙脚垫、喷塑粉末、滑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7、为确保保密柜安全性，保密柜和所配的密码锁必须为统一品牌:柜门、锁具、脚轮必须有胎具压制的所投品牌LOGO。</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6"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考试身份验证及防作弊系统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身份验证</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身份识别管理平台（含考生身份识别管理平台软件）</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 B/S 架构，实现考生身份证、照片信息的采集、存储、比对。系统具有考试管理、数据统计、违纪管理、采集管理等功能。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能控制釆集终端进行考生生物特征或证件信息釆集和存储，自动分考点按编排数据对考生考试信息进行打包下载，具有对釆集、验证数据进行査询、统计等基本功能，并支持存疑考生管理、缺考管理、人工审核、违纪管理、异常管理，以实际反映出考生的验证轨迹，对异常考生进行溯源追踪。已符合GB/T 36449-2018技术标准，具有公安部安全防范报警系统产品质量监督检验测试中心出具的检测报告。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3.应支持添加考试计划按年份、考试计划名称查询考试计划，支持导入10000条考生编排数据下发考生编排数据到考生身份识别终端，支持按考点、考试计划生成考生编排数据包并进行加密且通过移动介质（U盘 或硬盘）拷贝编排数据到考生身份识别终端。以公安部检测报为准。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4.应支持按身份证号后4位、考生号、姓名等条件进行查询考生编排数据详情，其中数据应包括考试名称、考点名称、考试开始时间、考试结束时间、考生姓名、考场号、座位号、考生照片。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支持按考点、考试科目条件统计接入考生身份识别终端的设备数量，按考点、考试场次、考试科目、考试时间等条件统计身份信息采集情况，其中数据应包括釆集正常人数、釆集异常人数、釆集考生总数、采集正常人数占比和釆集异常人数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6.应支持按考点、考场科目条件统计考生入场认证情况，其中数据应包括认证通过人数、认证未通过人数、未认证人数和考生总人数、认证通过占比、认证未通过占比和未认证占比。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7.应支持统计违纪人数，并支持按照考试计划、考点、违纪类型査询违纪信息，其中违纪 信息应包括违纪考生姓名、考生号、所在考场、科目、违纪类型、违纪原因和监考老师备注。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8.应具有釆集考生人脸图像、身份证件等相关信息的能力，并自动生成身份识别信息数据库。支持增加、删除、查询和修改违纪模板，其中模板内容应包括违纪模板名称、违纪类型和违纪原因。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对采集数据进行管理统计采集数据，并支持按考点、考试计划、考生姓名和身份证号码条件进行查询采集数据，其中釆集数据应包括考生姓名、性别、身份证号码、人脸照片数量、人脸图像和釆集状态（正常和异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10.应支持按照考点和考试计划导入考生数据包并生成编排数据，其中考生数据应包括考 生姓名、性别、民族、出生日期、身份证物理ID、身份证号码、身份证签发机关、身份证地址、身份证有效期、身份证照片、考生现场釆集照片。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11.应支持按照考点和考试计划导出考生数据，并生成Excel表格，其中表格信息应包括考生姓名、性别、民族、出生日期、身份证物理 ID、身份证号码、身份证签发机关、身份证地址、身份证有效期。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支持按己认证、未认证和人工审核条件查询考生身份识别验证信息，按考点统计和查询每个考场对应的考试科目身份识别情况信息，其中信息包括考生总人数、己认证人数、未认证人数、缺考人和人工审核人数。并以列表显示单个考场座位信息可导出当场缺考考生信息且生成Excel表格，其中座位信息应包括考生姓名、考生号、座位号、性别、认证时间、认证方式和认证结果。以公安部检测报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应支持按考场导入考生身份识别验证数据包，査看单个考生身份识别验证信息并支持显示验证轨迹，其中验证信息应包括考生姓名、考生号、身份证号码、性别、考试科目、考场号、座位号、报名照片以及现场1:1验证照片，验证轨迹应包括认证方式、认证结果和认证时间，且认证方式应包括身份证、人脸和人工等方式，认证结果应包括通过和不通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14.应支持增加、删除、查询和修改考点信息，其中考点信息包括考点名称、考点简称、考点代码和绑定的地址。</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15.应支持以列表方式查看考生身份识别终端设备信息，其中信息应包含设备类型、设备名称和对应考生身份识别终端APP版本。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应支持添加用户人员，并支持对用户进行部门挂靠和角色权限分配，其分配应按组织结构分省、市、区、学校四层进行管理；并支持修改用户信息，根据姓名、角色査询用户显示用户的详细信息，其应包括用户登录名、真实姓名、用户角色、所属单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应能够用模块（对应系统菜单）、功能（对应模块的子功能）两级定义系统功能权限，用户角色定义一组系统模块、功能集合，通过向用户分配角色来管理用户权限。同时，通过对象权限定义用户能操作的数据，如全省、地市、区县、学校的数据。并能以日志的形式记录关键业务的操作过程，日志记录在数据库中，便于审计时查阅，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18.应支持考生身份识别终端的版本管理，支持对考生身份识别终端进行强制更新。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提供所投设备符合《电子考场系统通用要求》GB/T 36449 2018公安部检测报告复印件并加盖原厂公章；产品软件著作权复印件，并加盖原厂公章。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2"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身份识别终端（含考生身份认证软件）</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1.硬件配置：操作系统Android 7.0及以上版本；CPU：8核，1.5G；内存≥3GB，存储≥32GB；显示屏≥8寸屏，分辨率≥1280*800；触摸屏电容式，五点触摸屏；无线通信GPS + Wi-Fi + BT 4.0；电池≥8000mAh，不可拆卸；摄像头自动对焦，前置 800万，后置1300万。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2.应支持人脸在左右摆动30°、上下俯仰15°内，人脸瞳距240像素人脸识别，支持报名时照片、身份证照片与实时釆集的人脸进行1:1人脸识别，已符合GB/T 36449-2018标准，具有公安部安全防范报警系统产品质量监督检验测试中心出具的检测报告。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3.应能存储100000条以上模拟考生详细资料，包括考生号、姓名、公民身份号码、 考点、考场、照片、指纹等。以公安部检测报告为准。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4.应支持语音提醒采集考生二代身份证信息、考生生物特征信息（人脸特征信息和指纹信息），支持按上传状态方式查看采集记录详情，并实时上传釆集数据到考生身份识别管理平台。以公安部检测报告为准。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5.应具备身份证验证、人脸验证和指纹验证三种身份识别方式，支持将读取身份证芯片中的照片与现场釆集的考生人脸进行1： 1人脸比对实现人脸验证功能，支持将现场采集的人脸与人脸数据库进行1： N人脸比对实现人脸验证功能。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应支持语音提醒验证操作，具有考点验证功能，其中验证的对象应为整个考点的考生。具有考场验证功能，其中验证的对象为具体单个或多个考场的考生。验证后显示当前考生的姓名、性别、公民身份号码、报名时采集的相片、考生号、考点名称、考场、座位号、考试科目、识别比对结果等。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7.应支持对无法人脸识别的考生进行人工审核通过入场和对违纪考生作违纪登记。以公安部检测报告为准。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在釆集模式下,应能将离线釆集数据统一联网上传或通过U盘、移动硬盘等移动介质导出上传至考生身份识别管理平台；在认证模式下，应支持通过u盘（移动硬盘等）移动介质导出验证数据上考生身份识别管理平台，应能按考点下载或通过U盘（移动硬盘等）移动介质导入考生编排数据。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9.应支持査看具体考场的验证进度，其中应包括已验证的考生、未验证的考生、拒绝入场的考生、缺考考生和违纪考生，并能实际反映出考生的验证轨迹，可对异常考生进行溯源追踪。以公安部检测报告为准。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10.应具有缺考管理功能，能将缺考确认信息上传考生身份识别管理平台，并支持按座位号和考生号查询考生信息及考试相关信息，对异常情况进行人工干预。以公安部检测报告为准。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应具有验证记录功能，并能按考点、考场统计验证情况，其中应包括考试科目、考场编号、考场总人数、通过人数、不通过人数、未验证人数和上传结果（未上传和已上传）；应能按科目和考场查看考生验证情况及上传进度并支持删除考生验证记录。以公安部检测报告为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12.应能实时按考点、考场、考生上传验证数据并支持一键上传全部未上传的验证数据。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13.在同一设定阀值条件下，终端采用1:1人脸验证的非目标人错误接受率小于等于0.1%时，目标人正确接受率应大于等于99%</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14、提供所投设备符合《电子考场系统通用要求》GB/T 36449 2018公安部检测报告复印件并加盖原厂公章；产品软件著作权复印件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防作弊</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作弊防控服务器（含云积作弊防控管理软件）</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1、简单的配置即可工作，简单快捷，管理员工作量极少。</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2、平台可按照设备实际安装位置的情况（校区、楼栋、楼层等）进行分组管理和操作。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3、运行状态查看可在管理平台实时查看屏蔽设备的在线数目、运行状态等。运行状态及时反馈，管理员可及时掌握并作出处理。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4、支持所有屏蔽设备供电物理开关上闸开始工作并通过网络注册到管理平台上后，管理员可在管理平台上远程对屏蔽设备进行一台、多台或全部进行开关机操作。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5、支持屏蔽器批量删除、导入、导出，支持屏蔽器添加、删除、修改；包括：设备名称、IP地址、端口、用户名、密码、所属教室、传输类型、设备类型。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6、支持按照时间节点对整套系统的运行状态数据进行汇总并可生成报表。                                  7、支持查看屏蔽器IP地址、连接状态、用户名、密码、端口号、所属教室、传输类型等信息。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数据接口 RJ45，工作环境 工作温度：0℃- +40℃；相对湿度：20%-80%（无凝露）。</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9、提供所投产品软件著作权复印件，并加盖原厂公章。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无线信号屏蔽终端</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有效屏蔽所有2G/3G/4G/5G手机、2.4G（WIFI/WLAN蓝牙）等通信信号；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工作频率：2G：移动：930～960MHZ/1805～1825MHZ、电信：865～880MHZ、联通：1830～1850MHZ；3G：移动：2010～2025MHZ、电信：2110～2125MHZ、联通：2130～2145MHZ；4G：移动：1880～1920MHZ/2320～2370MHZ/2575～2635MHZ、电信：1860～1880MHZ/2370～2390MHZ、联通：2145～2170MHZ/2300～2320MHZ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5G: 移动：2515～2675MHZ/4800～4900MHZ、电信：3400～3500MHZ、联通：3500～3600MHZ、广电：4900～4960MHZ；WLAN/WIFI/蓝牙：2.4～2.4835GHZ；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3、设备内置高增益定向天线，工作时向设备正前方呈扇形发射干扰电磁信号，背对或侧对基站安装使用可实现对基站无干扰；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4、设备具备1个RJ45接口，支持TCP/IP协议，具备联网能力，通过软件和网络在终端操作界面上管理开关每台设备，监控每台设备连接情况和工作状态，实现网络集中控制管理功能；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5、采用高密度大散热片和低噪音风扇及机箱组成高效冷却散热系统，性能稳定、安全、可靠；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6、整机一体化设计，直接取电开机就工作，安装使用管理简便；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7、缓启动电路设计，避免产生机械开关打火现象；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8、设备辐射强度远低于国家标准，对人体无任何影响；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9、有效屏蔽范围约6*9平方米（使用场所场强RSSI≤-75dBm，RSRP≤-95dBm）。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辅材</w:t>
            </w: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防盗窗</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定制钢结构和铁丝网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防盗门</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国标四防防盗门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隔断</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标准机房隔断，开一个门，刷漆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1.5p空调</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面板材质：普通塑料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适用面积：15-23㎡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规格：电压/频率：220V/50Hz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内机机身尺寸：宽885mm；高308mm；深211mm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外机尺寸：宽820mm；高555mm；深303mm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制冷剂:R32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外机最大噪音:51dB(A)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内机最大噪音:41dB(A)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扫风方式:上下扫风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睡眠模式:按键调节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制冷功率:845W</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3p空调</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适用面积:33-50㎡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规格:电压/频率:220V/50Hz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内机机身尺寸:宽395mm；高1775mm；深405mm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外机尺寸:宽940mm；高673mm；深342mm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扫风方式:上下/左右扫风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制冷功率:3200W</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会议室桌椅</w:t>
            </w:r>
          </w:p>
        </w:tc>
        <w:tc>
          <w:tcPr>
            <w:tcW w:w="6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30人会场实木会议桌和实木椅子</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spacing w:val="0"/>
                <w:w w:val="100"/>
                <w:kern w:val="0"/>
                <w:position w:val="0"/>
                <w:sz w:val="36"/>
                <w:szCs w:val="36"/>
                <w:u w:val="none"/>
                <w:shd w:val="clear" w:color="auto" w:fill="auto"/>
                <w:lang w:val="en-US" w:eastAsia="zh-CN" w:bidi="ar"/>
              </w:rPr>
              <w:t>会议室设备采购报价单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序号</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功能模块</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参数要求</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LED显示屏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LED显示屏</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1.点间距：1.86mm，像素组成：1R1G1B 三合一SMD表贴；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2.平整度达到C级标准，P≤0.05mm，且支持6轴向精密微调；像素中心距相对偏差达到C级标准，JX&lt;0.5%；垂直及水平相对偏差均达到C级标准；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3.外壳防护等级：达到C级标准，F≥IP6 X；通过湿热负载、恒定湿热测试，测试标准为GB/T 2423 .3；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4.最高对比度：15000:1，色温：1000K-18000K可调，水平视角170度、垂直视角170度，亮度均匀性：99.5%；色域：≥110%NTSC；</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5.换帧频率：50&amp;60Hz，且支持120Hz等3D显示技术，刷新频率：≥3840Hz；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6.峰值功耗：450w/m2，平均功耗：200w/m²；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7.样品在标准工作环境下使用配套材 料点亮，样品在亮度300~330 (cd/m2) 时点亮所需的功率应＜12W；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8.支持模组级DC供电方式（48V DC-60V DC），有保护接地端子，接地电阻不大于0.05Ω，对地漏电流不超过0.5m A/m2（有效值），静电放电抗扰度测式符合GB/T 17618-2015，空气放电8 k V，接触放电4 k 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9.正常使用时在达到热平衡后，屏体结构的金属部分的温升不超过升15 K，绝缘材料的温升18K；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10.通过盐雾测试：按盐雾试验相关规定进行试验，在盐溶度P H值7 + / - 0 .5，浓度5% NaCL 、温度35 + / - 1 度的条件，连续进行7 2 h 喷雾试验结束，显示屏表面无锈蚀，性能完好，正常工作测试等级10级；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11.通过光生物安全及蓝光危害测试，满足蓝光视网膜危害等级检测要求，符合肉眼观看标准；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12.具备加密功能，支持加密输出，避免信号恶意切断及输入；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13.模块表面采用电喷技术，无塑胶类结构件，墨色一致，散热好；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14.支持数据存储功能，支持模块级亮度色度校正数据的存储及回读动能；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15.支持图像增强技术，采用先进的γ校正技术，可通过调整 γ曲线提升图像清晰度、对比度、饱和度、色度和流畅度等视觉效果，支持γ校正，支持γ校正曲线≥20条，支持消除摩尔纹功能；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16.具备节能功能，当样品与亮度相同的常规款产品在相同环境下点亮时，样品点亮所需的功率应为普通常规产品的50%~60%；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17.反光率：＜3%，光衰率：工作三年光衰减＜15%；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18.支持抗强光干扰，可抵抗太阳光等强光干扰，照度在95K Lux能正常观看；具备智能光感护眼功能：显示単元可自动识别环境光强弱，根 据环境光变化调节屏幕亮度；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19.LED大屏制造商提供信息安全管理体系、ISO9001质量管理体系认证、ISO14001环境管理体系认证、18001职业健康安全管理体系认证证书、十星售后服务完善程度认证证书；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20.所投产品生产企业属于国家级企业技术中心，技术先进型服务企业，市重点工业企业，高新技术企业</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播控软件：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1.管理系统支持素材管理功能：添加素材、修改素材、删除素材、素材预览，下载素材，素材模糊搜索，素材精确搜索，设置封面等功能。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添加文字、滚动字幕、网页、形状、天气、日期、时间、计时等元素，并支持插入图片、音视频、office文档等多种格式的。还可将文件和文字以轮播的形式组合在节目内播放。支持插入热区，热区可链接至节目页面或者指定网址。（提供截图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3.管理系统支持节目管理功能，新建节目，修改节目（名称、分辨率、节目元素等），删除节目，复制节目，节目预览，节目制作中所用素材，直接上传至素材库。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4.支持的节目分辨率：1400*1050、1600*1200、2560*1440、1920*1080、1080*1920、2160*3840、3840*2160、支持自定义分辨率（自定义分辨率最大支持100000*100000）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节目支持多个页面（至少支持320个组成，页面包括多个窗口至少支持64个，同一个页面中的窗口类型可以不一样），支持一个页面不同的窗口播放不同的素材同时可以支持添加文字、滚动字幕、网页、形状、天气、日期、时间、计时等元素，并支持插入图片、音视频、office文档等多种格式的。还可将文件和文字以轮播的形式组合在节目内播放；节目支持添加背景音乐，也可以添加节目单背景图。（提供截图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6.支持将排版节目、图片、视频、PPT、WORD、EXCEL、PDF等格式内容组合为节目单，可以对节目单内文件设置翻页时间，视频文件可以截取时间段播放。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7.当在页面中选中两个图形或图片元素时，即可进行结合、组合、相交、剪去、分割等5个运算；便于更好的处理图片元素。（提供截图证明）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8.所有元素均支持以下排版功能，素材对象的翻转、镜像、组合；多个元素的上对齐、下对齐、左对齐、右对齐、横向/纵向居中对齐；元素的阴影、倒影等排版功能。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9.文字编辑支持，字体、颜色、大小、透明度等基本设置；同时也支持加粗、倾斜、下划线、删除线、下角标、上角标、艺术字等高级属性设置。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10.节目支持添加背景音乐。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支持以时间表形式发布，提供直观的编辑界面，支持切换日/周/月视图，可通过鼠标拖选日历、点击、素材区域拖入文件等多种形式添加节目播放时段。添加的节目可通过鼠标调节时段和时长。时间表内的节目可设置每日播放、每周播放、连续播放等播放模式。（提供截图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12.支持发布文字消息和弹窗通知，可在任意场景下发紧急通知，弹窗通知按钮支持加入超链接。（提供截图证明）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13.具备安卓、Windows等多格式接收端，兼容各种分辨率显示。（提供截图证明）</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拼接处理器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控制系统主机，采用标准化主机箱体，4路HDMI输入，2路4K输入，10路HDMI输出，支持多路信号输入、多路信号输出，支持冗余扩展模式，便于系统的安全扩展升级结构；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采用纯硬件FPGA阵列底板运算交换技术，不需要任何操作系统支持，上电即可工作，启动速度快、稳定性高，不会出现死机、黑屏现象，启动时间＜5S；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采用模块化结构，系统的输入模块、输出模块、控制模块、电源模块、风扇模块均支持热插拔；</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采用环保机箱设计，工作噪音低于30dB，具备机箱温度实时检测功能，并能实时的在监测显示；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支持VGA、DVI、HDMI、SDI、CVBS、Ypbpr、HDMI1.4、IPV、HDBaseT、Fiber等多信号混合输入，支持VGA、DVI、HDM预监回显等信号输出；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所有接入的显示信号窗口均可在显示屏幕上进行任意移动、叠加、缩放、多画面等功能，也可以任意制定多种分屏、全屏、组合屏等显示方式；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7.支持输出端口映射功能，可实现盲插操作，无信号输出状态可实现任意背景底色输出；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支持EDID在线编辑控制，可在线编辑输入输出通道EDID，可加载预设EDID；</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支持任意输出通道最大同时显示2/4/8个任意格式的窗口画面，任意窗口可进行任意移动、叠加、缩放、多画面、画中画，也可拖动到其他单元上操作，互不局限和影响；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支持输出分组功能，单台设备可同时支持多个分组，单设备可应用于多套、各类型显示终端上，实现输入信号共享，简化系统结构；</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11.支持LED帧同步输出，单口最大带载能力能达到230W像素，同时支持输出分辨率自定义设置；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支持信号窗口复制，单路信号复制个数没有任何限制；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支持底图和滚动字幕功能，底图滚动字幕功能卡，不占用任何机箱插槽；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支持多平台控制软件，Windows/Android/IOS支持触控平台下的手势开窗、穿透控制功能，移动终可视化管理；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具有字幕标注功能，可对当前显示画面进行相应的说明，可对叠加字符的字体、字号、颜色、位置等进行编辑，支持去黑边及画面裁切画面处理；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支持多管理员登陆模式，制定分区管理模块，分级、分权管理；不同的管理员划分的权限不同，对多个用户进行授权机制，也可以根据大屏幕不同区域设定各操作员的可操作区域，同时具有共同访问权限；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系统输入输出图像延时小于100ms；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系统在温度-15±0.5℃，35±0.5℃，湿度75±2%的环境下正常工作；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系统应具有流畅清晰的软预监回显功能：PC端运行的软件回显图像刷新速度＞30Hz，回显图像清晰，输入通道上其清晰度能够看清桌面字符、图片；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20.支持串口环出功能，可自定义编辑控制协议，控制大屏开关机等操作；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支持多个场景预案功能，可保存多达64种场景模式，支持自动轮巡，可自定义设置轮巡时间；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支持多种控制方式，支持RS232串口、网络、面板按键、中控、移动端进行控制；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智能配电柜</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定制国产40KW，12路1P空开输出，带检修插座，备用空开，手自动切换，多功能卡/PLC远程控制。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控制终端</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i5/8GB/256G固态硬盘/DVDRW/集成/Win10/23液晶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同步发送卡</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带载 230 万；输入：1xDVI、1xHDMI、1xAudio；输出：4x 网口；19 寸 1U 标准机箱</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同步接收卡</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带载最大384×512；输出：12×HUB75；配置参数双备份、双程序备份、支持固件序版本回读、配置参数回读</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5V  40A  200W</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音箱</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1.中低音喇叭:1×10"(140磁Φ50mm)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2.高音喇叭:1×1.34"(Φ34mm)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3.分频点:内置两分频2.7KHZ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4.材质:15mm中纤维密度板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5.额定功率RMS:300W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6.连续功率:600W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7.最大功率:1200W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8.指向性:120°×60°（H×V）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9.灵敏度（1W/1M）:97dbSPL</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10.最大声压级:122dbSPL</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11.额定阻抗:8Ω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12.频率响应：70Hz-18KHz</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13.为了保证设备的稳定性，投标时，需要提供该设备高温70℃，低温-40℃循环实验检测报告复印件             </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功放</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1.8Ω立体声功率：500WX2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2.电压增益（8Ω时）：42.0dB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3.功放拓扑类别：Class-AB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4.频率响应：20Hz-20KHz(±0.3dB)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5.总谐波失真≤0.08%</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6.信噪比≥103dB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7.阻尼系数≥350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8.分离度≥65dB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9.转换速率≥25V/μs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10.输入灵敏度：0.775V/1.0V/1.44V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11.输入阻抗(不平衡/平衡)：20KΩ/10KΩ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12.保护：软启动、直流、短路、过载、失真限幅、过热、VHF</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13.预警功能，监视到功放过载、高温、短路时，设备面板将显示预警信息（需提供权威机构出具的检测报告复印件）；                                        14.带有RS-232控制监测一体，设备可将预警信息传递给第三方设备（需提供权威机构出具的检测报告复印件）；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音箱支架</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 壁挂式音箱安装支架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天花喇叭</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1.单元：低音：1×8"，高音：1×1"</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2.额定功率：40W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3.峰值功率:80W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4.阻抗：8Ω.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5.灵敏度：91dB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6.频率响应：50--20KHz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7.安装开孔尺寸:Φ245mm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产品生产厂家具有ISO9001:2015质量管理体系认证；ISO14001:2015环境管理体系认证；ISO45001:2018职业健康安全管理体系认证</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功放</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1.8Ω立体声功率*200WX2</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2.4Ω立体声功率*300WX23.频率响应20Hz–20kHz(0.5~-1.2dB)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4.总谐波失真&lt;0.05%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5.信噪比&gt;98dB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6.阻尼系数&gt;300(100Hz)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7.分离度&gt;70dB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8.转换速率&gt;20V/μs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9.输入灵敏度0.7V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10.输入阻抗(不平衡/平衡)10kΩ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11.功放拓扑类别Class-AB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12.风路风管式吸风散热系统</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13.保护直流、短路、过载、过热、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14.预警功能，监视到功放过载、高温、短路时，设备面板将显示预警信息（需提供权威机构出具的检测报告复印件）；                                        15.带有RS-232控制监测一体，设备可将预警信息传递给第三方设备（需提供权威机构出具的检测报告复印件）；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调音台</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1.8路XLR平衡单声道输入+2路立体声输入(6.3跟RAC切换）；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2.每通道3段均衡调节，MUTE静音开关，PFL耳机开关，平滑60MM行程推子器，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3.2编组输出+2组AUX输出（包括FX),</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4.内置48V幻象电源供电；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5.立体声输出带7段图示均衡器，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6.16种DSP数字效果器,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7.自带USB音频播放MP3；USB录音、也可连电脑播放音乐</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8.LCD显示屏清淅显示播放状态;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9.十段三色电平灯显示信号状态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10.XLR平衡输入话放噪声极低，超低噪音线路设计，动态余量大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11.适用全球供电电压功率30瓦；使用灵活。具有无噪声、瞬间反应好、电耗低的特性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为响应国家环保号召，投标产品生产厂家需提供“中国绿色节能环保产品”证书。</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音频处理器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1、8路平衡式话筒\线路输入，8路平衡式音频输出，采用凤凰插接口；  2、全功能矩阵混音，输入混音电平可调节;                          3、面板具有USB接口，可实现录播、CD机、远程视频会议等连接处理器，实现音频信号的传输（需提供权威机构出具的检测报告复印件）；    4、具备自动抑制功能，各通道拥有自适应反馈学习能力，自动发些反馈点，并实现主动抑制（需提供权威机构出具的检测报告复印件）；      5、多备份控制方式，可实现电脑网页、手机客户端、平板客户端、墙面面板、桌面面板等多种控制方式管理（需提供权威机构出具的检测报告复印件）；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6、自带操作界面，多台设备可在同一平台下统一控制，也可UDP、RS232、RS485控制第三方设备（需提供权威机构出具的检测报告复印件）；   7、具备AFC(反馈抑制)、AEC回声消除、ANS(噪声抑制)、AGC(自动増益)増益共享门限自动混音、闪避器等处理模块，实现大中小型各类会议室，指挥中心音频处理（需提供权威机构出具的检测报告复印件）；      8、矩阵混音，混音电平可灵活调节，方便操作（需提供权威机构出具的检测报告复印件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9、面板上SYSTEM按键可设定密码锁定面板控制功能，以防止误操作破坏机器的工作状态（需提供权威机构出具的检测报告复印件）；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10、输出通道还可控制增益、压限及选择输入通道信号，并能将某通道的所有参数复制到另外一个通道并能进行联动控制（需提供权威机构出具的检测报告复印件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11、可以数据锁定，实现数据保密（需提供权威机构出具的检测报告复印件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反馈抑制器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功能特点：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1.采用ADI第四代ADSP21489高性能DSP，运算能力更快更强，采用国际顶级声卡话放电路、高性能的ADC和DAC保障产品信噪比较高，失真较小。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2.采用2进2出数字混音功能，2路独立的陷波处理，每一路有24段自动和固定可自由选择的高精度数字限波器。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一键式自动检测啸叫点和自动清零功能，三种抑制模式可选，啸叫点检测抑制全程自适应调整深度，速度快、精度高，精度可达1Hz，静态和动态抑制点可自由选择，操作简便，非专业人员也可轻松调试，PC端软件可查看已找到的啸叫点，啸叫数据一目了然，每通道移频控制开关，及1-5Hz的调整5档位调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每通道配备6段参量均衡参数调节，可通过PC端软件选择Notch、PEAK、LowShelf、HighShelf、Allpass-1、Allpass-2六种类型自由配置，具备一键复位功能和全直通功能；高低通滤波器参数调节，三种类型七种斜率，具备一键复位功能和全直通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5.噪声门开启时间、释放时间参数调节。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6.压限器阈值、开启时间、释放时间参数调节。</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7.通道幻象供电独立开关，通道音量控制及一键静音开关。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8.PC端软件可选择中英文，软件连接后，可显示设备信息和状态信息，可设置、清除和重置密码，可设置128个ID。</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9.一键恢复默认数据和一键恢复出厂设置，中控指令生成器，PC端软件可利用升级文件单独升级MCU和DSP。</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10.配备12个场景保存调用功能，可存储在设备或利用PC端软件保存在PC端，方便拷贝。</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11.每次开机设备都会调用上一次开机最后一次保存的参数。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1.输入通道：2路-XLR/TRS/LINE输入</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2.输出通道：2路-XLR/TRS/LINE输出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3.输入阻抗：平衡20KΩ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4.输出阻抗：平衡100Ω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5.失真度：&lt;0.01%OUTPUT=0dBu/1KHz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6.共模抑制比：&gt;50dB（@1KHz）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7.最大输入范围：≤+20dB@Gain=Min</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8.灵敏度：+60dBu@0dB输出/ALLGain=Max</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9.频率响应：20Hz-20KHz（±1dB）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10.PC接口：面板1个USB接口、后板2个RS485接口（RJ45）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11.功耗：≤45W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12.电源：AC90V-240V/50Hz/60Hz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13产品尺寸（长*宽*高）：483*115*44MM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14.毛重：3KG</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无线话筒</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采用全金属外壳，触摸质感细腻</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数字音量按键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可自动搜索干净频点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可锁屏防止误操作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红外对频可手持任意互换使用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频率范围：640MHZ-690MHZ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频率稳定度：±10ppm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动态范围：100dB(A)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综合信噪比：≥103dB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综合频率响应范围：40HZ-18KHZ（3dB）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综合失真度：≤0.3%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信道数目：2*100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信道间距：250KHZ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使用距离：约80米（开阔工作环境）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接收灵敏度：-103dBm --- -98dBm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接收天线接口：BNC（50Ω）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接收音频输出：平衡输出和混合输出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接收机电源：12V800mA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发射调制模式：FM调制（最大±75KHZ）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发射功率：≤20mW</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发射谐波抑制：60dB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发射天线：内置或外置1/4波长天线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发射机电源：2节1.5V（AA）电池（续用时间4-10小时）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电源时序器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1、通道数量：8路万用插座继电器受控与2路万用插座直接输出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2、继电器受控输出最大承受单路功率/总功率(无功功率）：5000W/8000W最大承受无功功率</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3、输出电源插座规格：阻燃ABS材料，最大可承受13A电流黄铜材质，标准万用插座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4、功能特点功能特点：1.顺序开启逆序关闭 2.精准电压显示 3.过流保护 4.面板通道独立关闭</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5、每路开关间隔时间/定时时间：默认1秒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6、开启类型：自复位型开关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7、单路独立开关功能：支持面板独立控制                          8.多个电源时序器可级联，实现一键控制所有设备（需提供权威机构出具的检测报告复印件）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9.内嵌无线控制模块，无需路由器即可实现，移动终端可独立控制每一个通路（需提供权威机构出具的检测报告复印件）                   </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10.针对电动窗帘、电动幕布、电动升降器等设备提供互锁机制，防止设备直连，导致短路事故（需提供权威机构出具的检测报告复印件）；    11.支持RS232和RS485控制接口，实现中控控制（需提供权威机构出具的检测报告复印件）；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12.支持短路信号控制接口，实现中控控制（需提供权威机构出具的检测报告复印件）；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13.配合中控使用，支持自锁、互锁、单路控制等功能，后面板至少有8路可控电源（需提供权威机构出具的检测报告复印件）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天线分配器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天线分配系统由一台天线分配器、2个天线组成，可供多台接收机使用，让接收信号获得默较佳的噪讯比，增加接收距离及稳定性，提供4组电源输入给接收机使用，方便安装工程。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1.适用频带范围：500-900MHz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2.输出/入增益： 0dB(可人手调制增益）</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3.输出端绝缘度：20dB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4.输出/入阻抗： 50欧姆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5.增益：13dBm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6.频宽：400MHz</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7.接头：TNC插座                                        </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会议话筒</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杆子介绍：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这是一枚频响宽的电容式超指向性反射式话筒。其独特的结构和高质量的拾音效能，是专为演讲和高端会议的音频拾音而设计的，它提供了窄角度的超指向性能及远距离的收音效果。外型采用双鹅颈的设计方式，可将收音头灵活调校到任何位置，并附有防风海棉罩，可减低在讲话时收到不雅的喷气声及其它风声的情况出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产品特性：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精致典雅的结构设计，符合人体工程学，极具现代气息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极宽而平坦的频率响应.经济而广泛的应用范围，从会议系统到演唱会音效录音工作都适合使用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微细收音头及双鹅颈的构造，可自由调整角度。拾音方向，准确收音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附高品质防风海绵罩，可减低在讲话时收到不雅的喷气声及其他风声的情况出现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高品质的超心型单指向性背极式电容话筒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强抗射频(RF)干扰屏蔽设计,全金属外壳,可提供杰出的防射频干扰能力</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超强抗手机干扰能力</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内置音头前置供电及放大器组件，需要外接直流24V至52V幻象供电工作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简捷、快速的安装方式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低阻抗的平衡音频输出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桌面式话筒座可配套于其他3针卡侬公头的话筒装置使用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形式静电型电容式话筒</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指向特性超心型指向性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频率响应70-19,000Hz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感度-40dB(14.1mV)re1Vat1Pa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阻抗200ohms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最大输入声压级134dBSPL,1kHzat1%T.H.D.</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动态范围106dB,1kHzatMaxSPL</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讯噪比70dB,1kHzat1Pa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幻象供电24-52VDC,2mAtypical</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输出连接头内置三针XLRM卡农公头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随机附件防风绵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长度435mm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底座介绍：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此款底座采用全金属制作，表面金属烤漆工艺、高档耐用，底部橡胶脚垫设计，最大程度上隔离安装面的一切震动，标准的XLR接口，广泛适用于会议、演讲、教学等场合。</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产品特性：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精致典雅的结构设计，符合人体工程学，极具现代气息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极宽而平坦的频率响应.经济而广泛的应用范围，从会议系统到演唱会音效录音工作都适合使用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强抗射频(RF)干扰屏蔽设计,全金属外壳,可提供杰出的防射频干扰能力</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超强抗手机干扰能力</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内置前置供电及放大器组件，需要外接直流24V至52V幻象供电</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简捷、快速的安装方式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低阻抗的平衡音频输出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桌面嵌入式话筒座可配套于其他3针卡侬公头的话筒装置使用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此话筒座配合鹅项式的会议话筒后，非常适合使用在演讲、教学、会议、报导的场合使用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采用衰减式静音开关。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独有的双色指示灯设计，让话筒工作状态更清晰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设有24-52V幻象供电工作，双色LED显示灯，（电源电压会影响到指示灯的亮度），显示话筒开启工作状态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幻象供电：直流24-48V</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功耗：3mA典型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输出阻抗200ohms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插入损耗：1dB(200欧姆输入阻抗)</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静音衰减55dB于1000Hz/35dB于100Hz/30dB于50Hz</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话筒座配置：XLRF卡农母座、XLRM卡农公座、开关带LED双色指示灯。</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有线视像跟踪主机</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主机功能特点：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1.符合IEC60914、GBT15381-94国际标准；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2.系统主机集会议讨论,视像矩阵自动跟踪，功能于一体；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3.CAN总线设计，双向稳定高效率数据传输。声音清晰、高保真、抗干扰、保密性强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4.配有四进一出视频矩阵，可直接控制最多三个摄像球，完成视频会议功能（需提供权威机构出具的检测报告复印件）。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5.内置移频、回馈抑制、智能均衡等防啸叫功能，有效提升传声增益（需提供权威机构出具的检测报告复印件）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6.系统具有断电自动记忆功能；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7.具有4路RJ45的话筒单元接口，且支持话筒单元热插拔，每路支持15个单元，可接60个单元。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8.同时具有4路8芯话筒单元接口，每路支持30个单元，可接120个单元。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9.主席单元数量及位置不受限制，发言人数可1-12任意设置（主席不在限制数量内）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10.3.5寸TFT彩屏+高强度钢化玻璃盖板显示菜单，通过九个功能按键实现会议功能控制。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11.可在主机显示屏直观查看话筒实时发言状态后台实时监控更方便。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12.内置AI温度监测模块，实时监测工作温度，具有异常温度报譬功能（需提供权威机构出具的检测报告复印件）。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13.支持索尼Vscia/D70，PELCO-D/P，等多种摄像机协议;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14.发言模式具有：先进先出模式；全开模式；数量限制模式；申请发言模式；声控发言模式。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15.有4个8芯的专用接口，每路可接30台，最多可接入120台会议单元;扩展可达500支单元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16.自动，手动，增加分配ID地址码功能，极强的操作可应用性。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17.支持中控带有中控RS232接口。具备232,422,485凤凰端子控制串口。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18.可单独调节每只麦克风的音色，自带均衡电路，通过软件设置EQ（需提供权威机构出具的检测报告复印件）。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19.具备中英文界面可自由切换。       </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主席单元</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主席特点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全数控化设计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集发言、视像跟踪功能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话筒采用铝合金外壳设计，高强度钢化玻璃界面，经久耐用。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带2.69寸TFT彩色显示屏，开启时显示万年历，发言状态，音频指示，ID号功能。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底座具有工作状态指示灯。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可绕式电容式麦克风，并配可更换式防风罩</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麦克风网头具有环形红色光环可显示麦克风发言状态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单元具有一条2米*1.5米8P连线用于系统“T”型一线通连接,可根据会场实际情况订制延长线。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单元为无源设备，由系统主机供电，输入电压为DC24V，属于安全范围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系统中主席单元个数不受限制并可置于回路中任意位置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主席优先控制按键，可终止所有发言代表麦克风的发言状态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单元话筒杆与底座分离设计，螺旋方式固定，杜绝杂音产生，更具运输安全保护性。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工作电压DC24V(由主机供给)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消耗功率：待机60mA,开启话筒状态70mA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显示方式：TFT显示屏显示话筒状态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指示灯：红色LED开启话筒咪管灯环显示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麦克风类型：心形指向性驻极体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灵敏度:-40dBV/Pa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频率响应:20Hz~20KHz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输入阻抗:2k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话筒最大声压级:125dB(THD&lt;3%)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信噪比:＞90dB（1KHz）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动态范围:＞96dB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总谐波失真:＜0.05%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连接端口：8P-DIN座与RJ45网口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外部尺寸：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安装方式:桌面式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连接电缆：8P-DIN屏蔽T型线连接2.1米*1.5米或者RJ45网线（便于工程安装）</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代表单元</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代表特点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全数控化设计</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集发言、视像跟踪功能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话筒采用铝合金外壳设计，高强度钢化玻璃界面，经久耐用。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带2.69寸TFT彩色显示屏，开启时显示万年历，发言状态，音频指示，ID号功能。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底座具有工作状态指示灯。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可绕式电容式麦克风，并配可更换式防风罩</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麦克风网头具有环形红色光环可显示麦克风发言状态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单元具有一条2米*1.5米8P连线用于系统“T”型一线通连接,可根据会场实际情况订制延长线。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单元为无源设备，由系统主机供电，输入电压为DC24V，属于安全范围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系统中主席单元个数不受限制并可置于回路中任意位置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单元话筒杆与底座分离设计，螺旋方式固定，杜绝杂音产生，更具运输安全保护性。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工作电压DC24V(由主机供给)</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消耗功率：待机60mA,开启话筒状态70mA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显示方式：TFT显示屏显示话筒状态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指示灯：红色LED开启话筒咪管灯环显示</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麦克风类型：心形指向性驻极体</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灵敏度:-40dBV/Pa</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频率响应:20Hz~20KHz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输入阻抗:2k</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话筒最大声压级:125dB(THD&lt;3%)</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信噪比:＞90dB（1KHz）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动态范围:＞96dB</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总谐波失真:＜0.05%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连接端口：8P-DIN座与RJ45网口</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外部尺寸：</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安装方式:桌面式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连接电缆：8P-DIN屏蔽T型线连接2.1米*1.5米或者RJ45网线（便于工程安装）</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会议系统延长20米</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1.8芯双屏蔽优质主缆线</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2.一端是公，一端是母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3.20米</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会议地插</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 配套地插</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大屏安装结构</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钢结构内框,专用边框包边</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辅材及安装服务</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视频会议</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会议终端</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1.MCU采用嵌入式一体化设计，标配双电源冗余备份，保证设备7*24小时长时间连续运行。</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同一平台同时接入不同类型终端，包括普通硬件终端、软件即时通信终端（包括windows、android、ios操作系统）、web终端，可实现随时随地召开各类视频会议、即时通信功能。（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3.★本次配置不少于20个4K30终端并发入会，单台设备支持平滑扩容到100个4K30fps终端并发入会。（投标人需提供权威机构检测报告证明最大终端接入数）</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4.支持ITU-T H.323和IETF SIP、RTC通信标准，支持H.323 终端、SIP终端、RTC终端同时入会。（投标人需提供权威机构检测报告证明）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5.会议速率支持128Kbps－8Mbps。（投标人需提供权威机构检测报告证明）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6.支持H.264、H.264 High Profile、H.265视频编解码协议，具备较强的兼容性。（投标人需提供权威机构检测报告证明）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7.支持G.711、G.722、G.728、G.722.1AnnexC、G.719、MPEG4-AAC LC/LD、Opus等音频协议，可达到20KHz以上的宽频效果。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8.支持H.239、BFCP双流协议标准。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9.★支持4K30、1080p60、1080p30、720p60、720p30高清图像格式，并向下兼容4CIF、CIF标清图像格式。（投标人需提供权威机构检测报告证明）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10.支持双流功能，在保证主视频4K30fps前提下，辅视频也可以支持到4K30.（投标人需提供权威机构检测报告证明）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11.支持双流带宽智能调整，终端发送双流时，自动降低主流的发送带宽；终端停止双流时，自动升高主流的发送带宽。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12.支持高清多画面合成，会议中最大画面合成数≥25。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13.支持多路智能混音特性，支持多种音频格式的终端加入同一会议，支持所有与会终端全部混音。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14.支持内置统一管理功能，采用B/S架构，通过WEB方式即可完成系统的配置和会议操作。</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15.支持云虚拟会议室功能，终端注册入网后，可实时获取当前已创建的虚拟会议室列表，可以直接选择需要参加的虚拟会议室加入。（投标人需提供权威机构检测报告证明）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16.支持云地址簿功能，终端注册入网后，可获取本用户域内的云地址簿，方便查找，本地地址薄只配置一些常用的联系列表。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多种方式展现用户的个人日程，包括列表、日视图、周视图等方式。可在视图中直接选择时间段创建会议，或者对已有的会议进行操作。支持对个人会议管理，包括待确认的会议、预约的会议、正在召开的会议、不参加的会议。对不同的会议可做不同的操作，例如预约的会议可选择编辑会议、取消会议、马上召开等。（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18.支持对正在召开的会议进行操控，包括切换发言人、设置多画面合成、双流、会议点名、会议轮询、一键静音、一键哑音等会议功能。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19.支持对会议进行实时的监控预览，包括会议中的所有终端、广播的多画面等。除了预览图像，还可以聆听声音。支持不少于4个独立的预监窗口。（投标人需提供权威机构检测报告证明）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20.支持设备拓扑，显示设备ID、设备名称、设备类型以及设备的启用状态。支持实时监控设备的运行状态，包括设备在线状态、注册状态、异常告警等。</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21.支持多级主从级联功能，级联后通过主MCU的控制界面直接对下级MCU所连接的终端进行操作控制，如查看终端信息、广播会场、视频选看等。（投标人需提供权威机构检测报告证明）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22.支持MCU主从级联下的多路回传功能，即从会议可以同时传输多个会场图像到主会议，如输出到电视墙显示、参与画面合成。（投标人需提供权威机构检测报告证明）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23.支持HTTPS、H.235、AES、TLS、SRTP等多种安全标准；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24.系统支持国家密码局认定的国产密码算法，保证信息安全自主可控。</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支持集群备份：支持多台MCU集群部署构建统一的云平台，召开多组会议时（不指定召开会议的MCU），平台支持负载均衡功能，系统自动选择负载小的MCU上召开会议，且不影响MCU上原有会议正常召开。（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26.支持整机1+1备份：当主MCU出现故障宕机时，备份MCU可自动接替重新开会。（需提供权威机构检测报告证明）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27.具备不少于2个千兆以太网口，支持网口热备份。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28.支持多网段接入功能，可满足多个不同网段的终端参加同一会议。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29.支持H.460技术，可实现防火墙穿越部署。</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具备较强的网络抗丢包能力，在IP网络达到20%丢包率情况下声音清晰、图像流畅、无马赛克，30%的丢包率情况下视频会议仍可进行，80%的丢包率情况下音频基本清晰，不影响会议正常进行。（投标人需提供权威机构检测报告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31.★提供电信设备入网证的证书复印件。</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会议桌</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桌椅</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2人/桌，课桌式会议桌，会议椅会议桌规格及参数：1400*400*760（长*宽*高）1.基材：采用优质E1级环保中密度纤维板，经防潮，防虫，防腐处理，抗弯力强，不易变形，通过钉力测试标准，符合：GB/T 11718-2009 《中密度纤维板》和GB 18580-2017《室内装饰装修材料 人造板及其制品中甲醛释放限量》，甲醛含量不大于0.124mg/m3,密度750kg/m3,吸水厚度膨胀率≤10%，木材含水率小于10%。</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2.面材：表面贴合精选0.6mmAAA 级胡桃木皮，含水率低于11%，采用胡桃木实木封边，封边严密、平整；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油漆：底漆采用环保油漆，面漆采用环保聚脂漆，苯含量小于0.05%，经过五底三面油漆工序，表面细小颗粒每平方米不超过二个点，表面硬度达3H级，木纹纹理清晰，无发白、流挂及明显划伤，色泽均匀、光滑耐用，达到国际E1级环保标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4.五金配件：误开率1/2000，所有五金件作防锈、防腐处理，经久耐用；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5.粘合剂：环保胶水，游离甲醛量≤0.08g/kg。椅子参数：优质橡木，环保净味油漆，定型海绵，优质环保西皮</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辅材及安装服务</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辅材及安装服务</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三中补充</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红外高清半球摄像机</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红外高清球型摄像机</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2.采用高性能200万（1920×1080）像素，1/2.8英寸 CMOS高性能图像传感器；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3.支持不低于16 倍数字变倍，23倍光学变倍；</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4.支持MPEG-4 和H.264视频编码、支持MPEG  Layer II、G711和AACZ音频编码标准，并支持PS系统流和TS传输流的封装；</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5.支持设备认证功能、加密传输能力及数字水印加密，防数据被篡改；</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6.支持绊线入侵、区域入侵、物品遗留与物品消失多种行为检测，支持人脸检测；</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7.支持宽动态、图像降噪、图像防抖动功能；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8.垂直旋转 -15°～90°自动翻转180°后连续监视；</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9.水平旋转 0°～360°连续旋转；</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10.键控速度 水平：0.1°～200°/s 垂直：0.1°～120°/s；</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11.SD卡本地存储，解决网络异常状态的监控存储问题,支持 FTP 存储录像，录像可断网续传；</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12.内置红外灯补光，补光距离≥100米；</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13.支持因网络原因连接断开后，在网络恢复时，设备应能自动侦测到网络状态，并自动重新建立连接；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14.支持双向语音对讲或单向语音广播功能；</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拾音器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12V2A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电源线、网线、HDMI线、音频线、光纤</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智能安检门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通道尺寸：2000mm(高)×710mm(宽)×800mm(深)</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外形尺寸：门板：2340mm(高)×860mm(宽)×800mm(深)机箱：690mm×710mmx280mm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毛重：门板：120kg   机箱：25kg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屏幕规格：10+18.5双屏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工作电源：220V-230V ，50/60Hz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工作温度：-20℃─55℃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符合GB15210-2018通过式金属探测门通用技术规范；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稳定工作时间大于等于96h,待机期间不出现误报警。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灵敏度调解：安检门能从低到高方便地调节灵敏度,灵敏度调节大于等于100个级别,总区及分区灵敏度均可调。内置多种工作模式或工作场景,每种模式或场景对一套参数设置值,可一键设置。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探测模式：具备多种探测模式：违禁品探测模式、电子产品探测模式、电子产品及违禁品探测模式和全金属探测模式，模式间可进行切换。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全金属探测模式：全金属探测模式下灵敏度可调节，人员以标准姿势通过安检门时，正常着装上的硬币、钥匙、金属纽扣、皮带扣等小金属及违禁品通过时均报警并提示违禁品的藏匿位置。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电子产品检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电子产品通过时，系统有声光报警，并以图形和文字的形式提示，提示藏匿位置。（对讲机、笔记本电脑、BL090联想手机电池、移动硬盘、电话手表、Kodakec021数码照相机、录音笔、5cm*8cm电子无线作弊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电子产品(手机)探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手机以规定的点位和三个姿态通过时，系统有声光报警，并以图形和文字的形式提示，提示藏匿位置。（1Q007、Dell Mini 3iw、HUAWEI G6100-Co0、中兴ZTE- CN760、NOKIA5130C-2红米NOTE）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违禁品探测模式:违禁品探测模式下灵敏度可调，人员以标准姿势通过安检门时，正常着装上的机械手表、金属纽扣、项链、打火机、钥匙、硬币、皮带扣、钥匙、手机、折叠雨伞等小金属通过时系统不报警。人员以标准姿势通过安检门时，当携带以下物品时系统有声光报警，并以图形和文字的形式提示铁质类物品,能提示藏匿位置。（L型铁器(长≥160mm，宽≥70mm)、铁质家用菜刀形状(长≥200mm，宽≥70mm)、弹簧刀(闭合尺寸:长≥130mm)、不锈钢餐刀(刃长≥100mm)、水果刀(刃长≥100mm)、非金属外壳包装的150克钢珠和铁钉的混合物、12*14厘米的双头扳手、铜箔包裹的铁质管体(直径≥35mm,长≥200mm)、 美工刀(长≥180mm)、不锈钢剪刀(长≥227mm)、铁质老虎钳(长≥160mm)）。人员以标准姿势通过安检门时，当携带以下物品时系统有声光报警,并以图形和文字的形式提示报警物品的材质和形状,能提示藏匿位置。（铝制易拉罐(高≥115mm，直径≥65mm)、 马口铁罐体(高≥130mm，直径≥50mm)、铝制管体(直径≥35mm,长短≥140mm)、250ml特仑苏牛奶(内锡纸软饮料包装盒)。当道具和手机捆绑后一起通过探测门时，系统对道具报警。）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电子产品及违禁品探测模式:电子产品及违禁品探测模式下灵敏度可调，人员以标准姿势通过安检门时，正常着装上的机械手表、金属纽扣、项链、打火机、钥匙、硬币、皮带扣、钥匙等小金属通过时系统不报警，当携带以下物品通过时，系统有声光报警，并以图形和文字的形式提示违禁品和藏匿位置。（对讲机、笔记本电脑、BL090联想手机电池、移动硬盘、电话手表、Kodakec021数码照相机、录音笔、5cm*8cm电子无线作弊器。）当携带iQ007、Dell Mini 3iw. HUAWEI6100-coo、中兴ZTE- CN760、NOKIA5130C- 2.红米NOTE以规定的点位和姿态通过时,系统有声光报警，并以图形和文字的形式提示，能提示藏匿位置。当携带以下物品时系统有声光报警，并以图形和文字的形式提示铁质类物品，能提示藏匿位置。（型铁器(长≥160mm,宽≥70mm)、铁质家用菜刀形状(长≥20mm，宽≥70mm)、弹簧刀(闭合尺寸:长≥130mm)、不锈钢餐刀(刃长≥100mm)、水果刀(刃长≥100m)、非金属外壳包装的150克钢珠和铁钉的混合物、12*14厘米的双头扳手、铜箔包裹的铁质管体(直径二35mm，长≥200mm、美工刀(长≥180mm)、不锈钢剪刀(长227mm、铁质老虎(长三160mm)。人员以标准姿势通过安检门时，当携带以下物品时系统有声光报警，并以图形和文字的形式提示报警物品的材质和形状，能提示藏匿位置。铝制易拉罐(高≥115mm， 直径≥65mm)、 马口铁罐体(高≥130mm，直径≥50mm)、铝制管体((直径≥35mm，长短≥140mm)、250m1特仑苏牛奶(内锡纸软饮料包装盒)。当刀具和手机捆绑后一起通过探测门时，系统有违禁品报警。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安检门能记录有效受检人数和发生过报警的人次，并能复位清零。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安检门能组网连接，各安检门工作参数能上传云平台。云平台中心管理软件能进行多级权限分级，可根据权限对安检门进行统一监控，实现远程管理等功能。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安检门可配置串口、USB 口、网线接口、WIFI设备，可组网，具有数据存储功能，能将通过人数、告警次数，报警人数、报警抓取照片、违禁品携带位置、故障告警、人脸比对结果等工作参数保存在数据库。数据与测温数据进行绑定，数据库能根据条件进行查询、统计并导出数据，可与其他电子设备进行数据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支持显示安检门设备在线、设备离线状态。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 支持显示通行人员信息:包含人员照片、人员姓名、人员性别、人员身份证号、人员考号、人员场次、人员考场号、人员座位号。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支持显示对比失败陌生人标签、对比失败时间。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支持显示对比结果:包含对比失败标签、对比成功标签。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支持显示对比成功人员姓名、对比时间。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支持信息切换显示，展示历次通行人员信息头像标签，可点击头像标签切换显示通行详细信息。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报警显示功能：支持显示报警物品分类:包含手机、手表、违禁品、日常金属、电脑、其他物品。支持显示报警物品位置:包含左小腿、右小腿、左大腿、右大腿、左腰部、右腰部、左胸部、右胸部、头部。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安检门机箱配备≥10.1寸液晶触摸屏和≥18.5寸液晶显示屏，≥10.1寸液晶触摸屏可进行设备调试、参数设置; ≥18.5寸液晶显示屏可显示报警物品的种类、区位、报警抓拍照片、体温筛查结果、报警时间等信息，当≥18. 5寸液晶屏及内置主机因故中断，不影响安检门违禁品探测功能的正常使用。</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红外高清球型摄像机</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校内主楼拆卸一台球机挪至大门口，要求照射来往人员，布光纤，立杆子。</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一中补充</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红外高清半球摄像机</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拾音器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12V2A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小电源</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工程线缆</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电源线、网线、HDMI线、音频线、光纤</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管材和辅料</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支架、PVC线槽、线管、扎带、插线板、胶带等</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1"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智能安检门</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以下参数要求包括但不限于</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通道尺寸：2000mm(高)×710mm(宽)×800mm(深)</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外形尺寸：门板：2340mm(高)×860mm(宽)×800mm(深)机箱：690mm×710mmx280mm</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毛重：门板：120kg   机箱：25kg</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屏幕规格：10+18.5双屏</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工作电源：220V-230V ，50/60Hz</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 工作温度：-20℃─55℃</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符合GB15210-2018通过式金属探测门通用技术规范；</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稳定工作时间大于等于96h,待机期间不出现误报警。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 灵敏度调解：安检门能从低到高方便地调节灵敏度,灵敏度调节大于等于100个级别,总区及分区灵敏度均可调。内置多种工作模式或工作场景,每种模式或场景对一套参数设置值,可一键设置。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 探测模式：具备多种探测模式：违禁品探测模式、电子产品探测模式、电子产品及违禁品探测模式和全金属探测模式，模式间可进行切换。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全金属探测模式：全金属探测模式下灵敏度可调节，人员以标准姿势通过安检门时，正常着装上的硬币、钥匙、金属纽扣、皮带扣等小金属及违禁品通过时均报警并提示违禁品的藏匿位置。</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电子产品检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电子产品通过时，系统有声光报警，并以图形和文字的形式提示，提示藏匿位置。（对讲机、笔记本电脑、BL090联想手机电池、移动硬盘、电话手表、Kodakec021数码照相机、录音笔、5cm*8cm电子无线作弊器。）</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电子产品(手机)探测模式:电子产品探测模式下灵敏度可调，人员以标准姿势通过安检门时，正常着装上的机械手表、金属纽扣、项链、打火机、钥匙、硬币、皮带扣、金属肩章、警帽帽徽、制服金属标牌、钥匙、钢笔、折叠雨伞、不锈钢水杯等小金属通过时系统不报警,当携带以下手机以规定的点位和三个姿态通过时，系统有声光报警，并以图形和文字的形式提示，提示藏匿位置。（1Q007、Dell Mini 3iw、HUAWEI G6100-Co0、中兴ZTE- CN760、NOKIA5130C-2红米NOTE）</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违禁品探测模式:违禁品探测模式下灵敏度可调，人员以标准姿势通过安检门时，正常着装上的机械手表、金属纽扣、项链、打火机、钥匙、硬币、皮带扣、钥匙、手机、折叠雨伞等小金属通过时系统不报警。人员以标准姿势通过安检门时，当携带以下物品时系统有声光报警，并以图形和文字的形式提示铁质类物品,能提示藏匿位置。（L型铁器(长≥160mm，宽≥70mm)、铁质家用菜刀形状(长≥200mm，宽≥70mm)、弹簧刀(闭合尺寸:长≥130mm)、不锈钢餐刀(刃长≥100mm)、水果刀(刃长≥100mm)、非金属外壳包装的150克钢珠和铁钉的混合物、12*14厘米的双头扳手、铜箔包裹的铁质管体(直径≥35mm,长≥200mm)、 美工刀(长≥180mm)、不锈钢剪刀(长≥227mm)、铁质老虎钳(长≥160mm)）。人员以标准姿势通过安检门时，当携带以下物品时系统有声光报警,并以图形和文字的形式提示报警物品的材质和形状,能提示藏匿位置。（铝制易拉罐(高≥115mm，直径≥65mm)、 马口铁罐体(高≥130mm，直径≥50mm)、铝制管体(直径≥35mm,长短≥140mm)、250ml特仑苏牛奶(内锡纸软饮料包装盒)。当道具和手机捆绑后一起通过探测门时，系统对道具报警。）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电子产品及违禁品探测模式:电子产品及违禁品探测模式下灵敏度可调，人员以标准姿势通过安检门时，正常着装上的机械手表、金属纽扣、项链、打火机、钥匙、硬币、皮带扣、钥匙等小金属通过时系统不报警，当携带以下物品通过时，系统有声光报警，并以图形和文字的形式提示违禁品和藏匿位置。（对讲机、笔记本电脑、BL090联想手机电池、移动硬盘、电话手表、Kodakec021数码照相机、录音笔、5cm*8cm电子无线作弊器。）当携带iQ007、Dell Mini 3iw. HUAWEI6100-coo、中兴ZTE- CN760、NOKIA5130C- 2.红米NOTE以规定的点位和姿态通过时,系统有声光报警，并以图形和文字的形式提示，能提示藏匿位置。当携带以下物品时系统有声光报警，并以图形和文字的形式提示铁质类物品，能提示藏匿位置。（型铁器(长≥160mm,宽≥70mm)、铁质家用菜刀形状(长≥20mm，宽≥70mm)、弹簧刀(闭合尺寸:长≥130mm)、不锈钢餐刀(刃长≥100mm)、水果刀(刃长≥100m)、非金属外壳包装的150克钢珠和铁钉的混合物、12*14厘米的双头扳手、铜箔包裹的铁质管体(直径二35mm，长≥200mm、美工刀(长≥180mm)、不锈钢剪刀(长227mm、铁质老虎(长三160mm)。人员以标准姿势通过安检门时，当携带以下物品时系统有声光报警，并以图形和文字的形式提示报警物品的材质和形状，能提示藏匿位置。铝制易拉罐(高≥115mm， 直径≥65mm)、 马口铁罐体(高≥130mm，直径≥50mm)、铝制管体((直径≥35mm，长短≥140mm)、250m1特仑苏牛奶(内锡纸软饮料包装盒)。当刀具和手机捆绑后一起通过探测门时，系统有违禁品报警。</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安检门能记录有效受检人数和发生过报警的人次，并能复位清零。</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安检门能组网连接，各安检门工作参数能上传云平台。云平台中心管理软件能进行多级权限分级，可根据权限对安检门进行统一监控，实现远程管理等功能。</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 安检门可配置串口、USB 口、网线接口、WIFI设备，可组网，具有数据存储功能，能将通过人数、告警次数，报警人数、报警抓取照片、违禁品携带位置、故障告警、人脸比对结果等工作参数保存在数据库。数据与测温数据进行绑定，数据库能根据条件进行查询、统计并导出数据，可与其他电子设备进行数据交换。</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 支持显示安检门设备在线、设备离线状态。</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 支持显示通行人员信息:包含人员照片、人员姓名、人员性别、人员身份证号、人员考号、人员场次、人员考场号、人员座位号。</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支持显示对比失败陌生人标签、对比失败时间。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支持显示对比结果:包含对比失败标签、对比成功标签。</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支持显示对比成功人员姓名、对比时间。</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支持信息切换显示，展示历次通行人员信息头像标签，可点击头像标签切换显示通行详细信息。</w:t>
            </w:r>
          </w:p>
          <w:p>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报警显示功能：支持显示报警物品分类:包含手机、手表、违禁品、日常金属、电脑、其他物品。支持显示报警物品位置:包含左小腿、右小腿、左大腿、右大腿、左腰部、右腰部、左胸部、右胸部、头部。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安检门机箱配备≥10.1寸液晶触摸屏和≥18.5寸液晶显示屏，≥10.1寸液晶触摸屏可进行设备调试、参数设置; ≥18.5寸液晶显示屏可显示报警物品的种类、区位、报警抓拍照片、体温筛查结果、报警时间等信息，当≥18. 5寸液晶屏及内置主机因故中断，不影响安检门违禁品探测功能的正常使用。</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8T 硬盘，与原有存储兼容</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综合布线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会议室</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弱点综合布线，传感器，配套材料</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服务及辅材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会议室</w:t>
            </w: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板材，管线等安装服务</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bl>
    <w:p>
      <w:pPr>
        <w:pStyle w:val="15"/>
        <w:rPr>
          <w:rFonts w:hint="eastAsia" w:ascii="仿宋" w:hAnsi="仿宋" w:eastAsia="仿宋" w:cs="仿宋"/>
          <w:b w:val="0"/>
          <w:bCs w:val="0"/>
          <w:color w:val="auto"/>
          <w:sz w:val="28"/>
          <w:szCs w:val="28"/>
          <w:u w:val="none"/>
        </w:rPr>
      </w:pPr>
    </w:p>
    <w:bookmarkEnd w:id="49"/>
    <w:bookmarkEnd w:id="50"/>
    <w:p>
      <w:pPr>
        <w:pStyle w:val="15"/>
        <w:rPr>
          <w:rFonts w:hint="eastAsia" w:ascii="仿宋" w:hAnsi="仿宋" w:eastAsia="仿宋" w:cs="仿宋"/>
          <w:color w:val="000000"/>
          <w:spacing w:val="0"/>
          <w:w w:val="100"/>
          <w:position w:val="0"/>
          <w:sz w:val="24"/>
          <w:szCs w:val="24"/>
          <w:shd w:val="clear" w:color="auto" w:fill="auto"/>
          <w:lang w:val="en-US" w:eastAsia="zh-CN" w:bidi="en-US"/>
        </w:rPr>
      </w:pPr>
      <w:r>
        <w:rPr>
          <w:rFonts w:hint="eastAsia" w:ascii="仿宋" w:hAnsi="仿宋" w:eastAsia="仿宋" w:cs="仿宋"/>
          <w:color w:val="000000"/>
          <w:spacing w:val="0"/>
          <w:w w:val="100"/>
          <w:position w:val="0"/>
          <w:sz w:val="24"/>
          <w:szCs w:val="24"/>
          <w:shd w:val="clear" w:color="auto" w:fill="auto"/>
          <w:lang w:val="en-US" w:eastAsia="zh-CN" w:bidi="en-US"/>
        </w:rPr>
        <w:t>备注：</w:t>
      </w:r>
    </w:p>
    <w:p>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包装要求</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1.3项目商务要求</w:t>
      </w:r>
    </w:p>
    <w:p>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（一）实施（交货）时间 ：</w:t>
      </w:r>
      <w:r>
        <w:rPr>
          <w:rFonts w:hint="eastAsia" w:ascii="仿宋" w:hAnsi="仿宋" w:eastAsia="仿宋" w:cs="仿宋"/>
          <w:b/>
          <w:bCs/>
          <w:color w:val="auto"/>
          <w:sz w:val="24"/>
          <w:szCs w:val="24"/>
          <w:lang w:val="en-US" w:eastAsia="zh-CN"/>
        </w:rPr>
        <w:t>90天 （</w:t>
      </w:r>
      <w:r>
        <w:rPr>
          <w:rFonts w:hint="eastAsia" w:ascii="宋体" w:hAnsi="宋体" w:eastAsia="宋体" w:cs="宋体"/>
          <w:b/>
          <w:bCs/>
          <w:i w:val="0"/>
          <w:color w:val="auto"/>
          <w:kern w:val="0"/>
          <w:sz w:val="21"/>
          <w:szCs w:val="21"/>
          <w:highlight w:val="none"/>
          <w:u w:val="none"/>
          <w:lang w:val="en-US" w:eastAsia="zh-CN" w:bidi="ar"/>
        </w:rPr>
        <w:t>具体以甲乙双方签订合同为准</w:t>
      </w:r>
      <w:r>
        <w:rPr>
          <w:rFonts w:hint="eastAsia" w:ascii="仿宋" w:hAnsi="仿宋" w:eastAsia="仿宋" w:cs="仿宋"/>
          <w:b/>
          <w:bCs/>
          <w:color w:val="auto"/>
          <w:sz w:val="24"/>
          <w:szCs w:val="24"/>
          <w:lang w:val="en-US" w:eastAsia="zh-CN"/>
        </w:rPr>
        <w:t>）</w:t>
      </w:r>
    </w:p>
    <w:p>
      <w:pPr>
        <w:keepNext w:val="0"/>
        <w:keepLines w:val="0"/>
        <w:pageBreakBefore w:val="0"/>
        <w:widowControl/>
        <w:numPr>
          <w:ilvl w:val="0"/>
          <w:numId w:val="11"/>
        </w:numPr>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 ：</w:t>
      </w:r>
      <w:r>
        <w:rPr>
          <w:rFonts w:hint="eastAsia" w:ascii="仿宋" w:hAnsi="仿宋" w:eastAsia="仿宋" w:cs="仿宋"/>
          <w:color w:val="auto"/>
          <w:sz w:val="24"/>
          <w:szCs w:val="24"/>
          <w:lang w:val="en-US" w:eastAsia="zh-CN"/>
        </w:rPr>
        <w:t>甲方指定地点</w:t>
      </w:r>
      <w:r>
        <w:rPr>
          <w:rFonts w:hint="eastAsia" w:ascii="宋体" w:hAnsi="宋体" w:eastAsia="宋体" w:cs="宋体"/>
          <w:i w:val="0"/>
          <w:color w:val="auto"/>
          <w:kern w:val="0"/>
          <w:sz w:val="21"/>
          <w:szCs w:val="21"/>
          <w:highlight w:val="none"/>
          <w:u w:val="none"/>
          <w:lang w:val="en-US" w:eastAsia="zh-CN" w:bidi="ar"/>
        </w:rPr>
        <w:t>（具体以甲乙双方签订合同为准）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本次报价为人民币报价，投标报价应包括：货物本身价格、选购、保险费用、包装费、运输费用、安装费用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本项目最高限价：10000000元</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（四）质保要求</w:t>
      </w:r>
    </w:p>
    <w:p>
      <w:pPr>
        <w:pStyle w:val="7"/>
        <w:numPr>
          <w:ilvl w:val="0"/>
          <w:numId w:val="0"/>
        </w:numPr>
        <w:ind w:left="645" w:leftChars="0" w:right="0" w:rightChars="0"/>
        <w:rPr>
          <w:rFonts w:hint="default" w:ascii="仿宋" w:hAnsi="仿宋" w:eastAsia="仿宋" w:cs="仿宋"/>
          <w:b/>
          <w:bCs w:val="0"/>
          <w:color w:val="auto"/>
          <w:spacing w:val="0"/>
          <w:w w:val="100"/>
          <w:position w:val="0"/>
          <w:sz w:val="24"/>
          <w:szCs w:val="24"/>
          <w:shd w:val="clear" w:color="auto" w:fill="auto"/>
          <w:lang w:val="en-US" w:eastAsia="zh-CN" w:bidi="en-US"/>
        </w:rPr>
      </w:pPr>
      <w:r>
        <w:rPr>
          <w:rFonts w:hint="eastAsia" w:ascii="仿宋" w:hAnsi="仿宋" w:eastAsia="仿宋" w:cs="仿宋"/>
          <w:b/>
          <w:bCs w:val="0"/>
          <w:color w:val="auto"/>
          <w:spacing w:val="0"/>
          <w:w w:val="100"/>
          <w:position w:val="0"/>
          <w:sz w:val="24"/>
          <w:szCs w:val="24"/>
          <w:shd w:val="clear" w:color="auto" w:fill="auto"/>
          <w:lang w:val="en-US" w:eastAsia="zh-CN" w:bidi="en-US"/>
        </w:rPr>
        <w:t>本项目软件质保为三年，硬件质保为三年</w:t>
      </w:r>
    </w:p>
    <w:p>
      <w:pPr>
        <w:pStyle w:val="7"/>
        <w:numPr>
          <w:ilvl w:val="0"/>
          <w:numId w:val="0"/>
        </w:numPr>
        <w:ind w:left="645" w:leftChars="0" w:right="0" w:rightChars="0"/>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（六）</w:t>
      </w:r>
      <w:r>
        <w:rPr>
          <w:rFonts w:hint="eastAsia" w:ascii="仿宋" w:hAnsi="仿宋" w:eastAsia="仿宋" w:cs="仿宋"/>
          <w:b w:val="0"/>
          <w:bCs/>
          <w:color w:val="auto"/>
          <w:spacing w:val="0"/>
          <w:w w:val="100"/>
          <w:position w:val="0"/>
          <w:sz w:val="24"/>
          <w:szCs w:val="24"/>
          <w:shd w:val="clear" w:color="auto" w:fill="auto"/>
          <w:lang w:val="en-US" w:eastAsia="en-US" w:bidi="en-US"/>
        </w:rPr>
        <w:t>售后服务、理赔、质量技术及验收保证的承诺</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zh-CN" w:bidi="en-US"/>
        </w:rPr>
      </w:pPr>
      <w:r>
        <w:rPr>
          <w:rFonts w:hint="eastAsia" w:ascii="仿宋" w:hAnsi="仿宋" w:eastAsia="仿宋" w:cs="仿宋"/>
          <w:b w:val="0"/>
          <w:bCs/>
          <w:color w:val="auto"/>
          <w:spacing w:val="0"/>
          <w:w w:val="100"/>
          <w:position w:val="0"/>
          <w:sz w:val="24"/>
          <w:szCs w:val="24"/>
          <w:shd w:val="clear" w:color="auto" w:fill="auto"/>
          <w:lang w:val="en-US" w:eastAsia="en-US" w:bidi="en-US"/>
        </w:rPr>
        <w:t>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zh-CN" w:bidi="en-US"/>
        </w:rPr>
      </w:pP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bCs w:val="0"/>
          <w:color w:val="auto"/>
          <w:spacing w:val="0"/>
          <w:w w:val="100"/>
          <w:position w:val="0"/>
          <w:sz w:val="24"/>
          <w:szCs w:val="24"/>
          <w:shd w:val="clear" w:color="auto" w:fill="auto"/>
          <w:lang w:val="en-US" w:eastAsia="zh-CN" w:bidi="en-US"/>
        </w:rPr>
      </w:pPr>
      <w:r>
        <w:rPr>
          <w:rFonts w:hint="eastAsia" w:ascii="仿宋" w:hAnsi="仿宋" w:eastAsia="仿宋" w:cs="仿宋"/>
          <w:b/>
          <w:bCs w:val="0"/>
          <w:color w:val="auto"/>
          <w:spacing w:val="0"/>
          <w:w w:val="100"/>
          <w:position w:val="0"/>
          <w:sz w:val="24"/>
          <w:szCs w:val="24"/>
          <w:shd w:val="clear" w:color="auto" w:fill="auto"/>
          <w:lang w:val="en-US" w:eastAsia="zh-CN" w:bidi="en-US"/>
        </w:rPr>
        <w:t>为保障机房一旦出现问题能够得到及时的应答，本次要求有完善的售后服务体系，提供专业的维修人员，出现问题能在0.5小时内电话响应，1小时内赶到现场，除硬件故障外3小时内解决问题；须提供售后机构的营业执照</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en-US" w:bidi="en-US"/>
        </w:rPr>
        <w:t>（</w:t>
      </w:r>
      <w:r>
        <w:rPr>
          <w:rFonts w:hint="eastAsia" w:ascii="仿宋" w:hAnsi="仿宋" w:eastAsia="仿宋" w:cs="仿宋"/>
          <w:b w:val="0"/>
          <w:bCs/>
          <w:color w:val="auto"/>
          <w:spacing w:val="0"/>
          <w:w w:val="100"/>
          <w:position w:val="0"/>
          <w:sz w:val="24"/>
          <w:szCs w:val="24"/>
          <w:shd w:val="clear" w:color="auto" w:fill="auto"/>
          <w:lang w:val="en-US" w:eastAsia="zh-CN" w:bidi="en-US"/>
        </w:rPr>
        <w:t>2</w:t>
      </w:r>
      <w:r>
        <w:rPr>
          <w:rFonts w:hint="eastAsia" w:ascii="仿宋" w:hAnsi="仿宋" w:eastAsia="仿宋" w:cs="仿宋"/>
          <w:b w:val="0"/>
          <w:bCs/>
          <w:color w:val="auto"/>
          <w:spacing w:val="0"/>
          <w:w w:val="100"/>
          <w:position w:val="0"/>
          <w:sz w:val="24"/>
          <w:szCs w:val="24"/>
          <w:shd w:val="clear" w:color="auto" w:fill="auto"/>
          <w:lang w:val="en-US" w:eastAsia="en-US" w:bidi="en-US"/>
        </w:rPr>
        <w:t>）按国家标准实行“三包”， 免费送货上门、免费安装调试到可直接使用，免费提供完善的设备使用、操作培训及中文操作手册；</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en-US" w:bidi="en-US"/>
        </w:rPr>
        <w:t>（</w:t>
      </w:r>
      <w:r>
        <w:rPr>
          <w:rFonts w:hint="eastAsia" w:ascii="仿宋" w:hAnsi="仿宋" w:eastAsia="仿宋" w:cs="仿宋"/>
          <w:b w:val="0"/>
          <w:bCs/>
          <w:color w:val="auto"/>
          <w:spacing w:val="0"/>
          <w:w w:val="100"/>
          <w:position w:val="0"/>
          <w:sz w:val="24"/>
          <w:szCs w:val="24"/>
          <w:shd w:val="clear" w:color="auto" w:fill="auto"/>
          <w:lang w:val="en-US" w:eastAsia="zh-CN" w:bidi="en-US"/>
        </w:rPr>
        <w:t>3</w:t>
      </w:r>
      <w:r>
        <w:rPr>
          <w:rFonts w:hint="eastAsia" w:ascii="仿宋" w:hAnsi="仿宋" w:eastAsia="仿宋" w:cs="仿宋"/>
          <w:b w:val="0"/>
          <w:bCs/>
          <w:color w:val="auto"/>
          <w:spacing w:val="0"/>
          <w:w w:val="100"/>
          <w:position w:val="0"/>
          <w:sz w:val="24"/>
          <w:szCs w:val="24"/>
          <w:shd w:val="clear" w:color="auto" w:fill="auto"/>
          <w:lang w:val="en-US" w:eastAsia="en-US" w:bidi="en-US"/>
        </w:rPr>
        <w:t>）</w:t>
      </w:r>
      <w:r>
        <w:rPr>
          <w:rFonts w:hint="eastAsia" w:ascii="仿宋" w:hAnsi="仿宋" w:eastAsia="仿宋" w:cs="仿宋"/>
          <w:b w:val="0"/>
          <w:bCs/>
          <w:color w:val="auto"/>
          <w:spacing w:val="0"/>
          <w:w w:val="100"/>
          <w:position w:val="0"/>
          <w:sz w:val="24"/>
          <w:szCs w:val="24"/>
          <w:shd w:val="clear" w:color="auto" w:fill="auto"/>
          <w:lang w:val="en-US" w:eastAsia="zh-CN" w:bidi="en-US"/>
        </w:rPr>
        <w:t>质保期内</w:t>
      </w:r>
      <w:r>
        <w:rPr>
          <w:rFonts w:hint="eastAsia" w:ascii="仿宋" w:hAnsi="仿宋" w:eastAsia="仿宋" w:cs="仿宋"/>
          <w:b w:val="0"/>
          <w:bCs/>
          <w:color w:val="auto"/>
          <w:spacing w:val="0"/>
          <w:w w:val="100"/>
          <w:position w:val="0"/>
          <w:sz w:val="24"/>
          <w:szCs w:val="24"/>
          <w:shd w:val="clear" w:color="auto" w:fill="auto"/>
          <w:lang w:val="en-US" w:eastAsia="en-US" w:bidi="en-US"/>
        </w:rPr>
        <w:t>定期回访（</w:t>
      </w:r>
      <w:r>
        <w:rPr>
          <w:rFonts w:hint="eastAsia" w:ascii="仿宋" w:hAnsi="仿宋" w:eastAsia="仿宋" w:cs="仿宋"/>
          <w:b w:val="0"/>
          <w:bCs/>
          <w:color w:val="auto"/>
          <w:spacing w:val="0"/>
          <w:w w:val="100"/>
          <w:position w:val="0"/>
          <w:sz w:val="24"/>
          <w:szCs w:val="24"/>
          <w:shd w:val="clear" w:color="auto" w:fill="auto"/>
          <w:lang w:val="en-US" w:eastAsia="zh-CN" w:bidi="en-US"/>
        </w:rPr>
        <w:t>测试期前、中、后各</w:t>
      </w:r>
      <w:r>
        <w:rPr>
          <w:rFonts w:hint="eastAsia" w:ascii="仿宋" w:hAnsi="仿宋" w:eastAsia="仿宋" w:cs="仿宋"/>
          <w:b w:val="0"/>
          <w:bCs/>
          <w:color w:val="auto"/>
          <w:spacing w:val="0"/>
          <w:w w:val="100"/>
          <w:position w:val="0"/>
          <w:sz w:val="24"/>
          <w:szCs w:val="24"/>
          <w:shd w:val="clear" w:color="auto" w:fill="auto"/>
          <w:lang w:val="en-US" w:eastAsia="en-US" w:bidi="en-US"/>
        </w:rPr>
        <w:t>一次）</w:t>
      </w:r>
      <w:r>
        <w:rPr>
          <w:rFonts w:hint="eastAsia" w:ascii="仿宋" w:hAnsi="仿宋" w:eastAsia="仿宋" w:cs="仿宋"/>
          <w:b w:val="0"/>
          <w:bCs/>
          <w:color w:val="auto"/>
          <w:spacing w:val="0"/>
          <w:w w:val="100"/>
          <w:position w:val="0"/>
          <w:sz w:val="24"/>
          <w:szCs w:val="24"/>
          <w:shd w:val="clear" w:color="auto" w:fill="auto"/>
          <w:lang w:val="en-US" w:eastAsia="zh-CN" w:bidi="en-US"/>
        </w:rPr>
        <w:t>并</w:t>
      </w:r>
      <w:r>
        <w:rPr>
          <w:rFonts w:hint="eastAsia" w:ascii="仿宋" w:hAnsi="仿宋" w:eastAsia="仿宋" w:cs="仿宋"/>
          <w:b w:val="0"/>
          <w:bCs/>
          <w:color w:val="auto"/>
          <w:spacing w:val="0"/>
          <w:w w:val="100"/>
          <w:position w:val="0"/>
          <w:sz w:val="24"/>
          <w:szCs w:val="24"/>
          <w:shd w:val="clear" w:color="auto" w:fill="auto"/>
          <w:lang w:val="en-US" w:eastAsia="en-US" w:bidi="en-US"/>
        </w:rPr>
        <w:t>对产品进行检查；</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zh-CN"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（4）</w:t>
      </w:r>
      <w:r>
        <w:rPr>
          <w:rFonts w:hint="eastAsia" w:ascii="仿宋" w:hAnsi="仿宋" w:eastAsia="仿宋" w:cs="仿宋"/>
          <w:b w:val="0"/>
          <w:bCs/>
          <w:color w:val="auto"/>
          <w:spacing w:val="0"/>
          <w:w w:val="100"/>
          <w:position w:val="0"/>
          <w:sz w:val="24"/>
          <w:szCs w:val="24"/>
          <w:shd w:val="clear" w:color="auto" w:fill="auto"/>
          <w:lang w:val="en-US" w:eastAsia="en-US" w:bidi="en-US"/>
        </w:rPr>
        <w:t>在保修期外，提供终身的配件和保养服务（按出厂价格提供配件，保养服务仅收工时费）</w:t>
      </w:r>
      <w:r>
        <w:rPr>
          <w:rFonts w:hint="eastAsia" w:ascii="仿宋" w:hAnsi="仿宋" w:eastAsia="仿宋" w:cs="仿宋"/>
          <w:b w:val="0"/>
          <w:bCs/>
          <w:color w:val="auto"/>
          <w:spacing w:val="0"/>
          <w:w w:val="100"/>
          <w:position w:val="0"/>
          <w:sz w:val="24"/>
          <w:szCs w:val="24"/>
          <w:shd w:val="clear" w:color="auto" w:fill="auto"/>
          <w:lang w:val="en-US" w:eastAsia="zh-CN" w:bidi="en-US"/>
        </w:rPr>
        <w:t>。</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en-US" w:bidi="en-US"/>
        </w:rPr>
        <w:t xml:space="preserve"> 2、设备要求</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（1）</w:t>
      </w:r>
      <w:r>
        <w:rPr>
          <w:rFonts w:hint="eastAsia" w:ascii="仿宋" w:hAnsi="仿宋" w:eastAsia="仿宋" w:cs="仿宋"/>
          <w:b w:val="0"/>
          <w:bCs/>
          <w:color w:val="auto"/>
          <w:spacing w:val="0"/>
          <w:w w:val="100"/>
          <w:position w:val="0"/>
          <w:sz w:val="24"/>
          <w:szCs w:val="24"/>
          <w:shd w:val="clear" w:color="auto" w:fill="auto"/>
          <w:lang w:val="en-US" w:eastAsia="en-US" w:bidi="en-US"/>
        </w:rPr>
        <w:t>设备到货后，供</w:t>
      </w:r>
      <w:r>
        <w:rPr>
          <w:rFonts w:hint="eastAsia" w:ascii="仿宋" w:hAnsi="仿宋" w:eastAsia="仿宋" w:cs="仿宋"/>
          <w:b w:val="0"/>
          <w:bCs/>
          <w:color w:val="auto"/>
          <w:spacing w:val="0"/>
          <w:w w:val="100"/>
          <w:position w:val="0"/>
          <w:sz w:val="24"/>
          <w:szCs w:val="24"/>
          <w:shd w:val="clear" w:color="auto" w:fill="auto"/>
          <w:lang w:val="en-US" w:eastAsia="zh-CN" w:bidi="en-US"/>
        </w:rPr>
        <w:t>应</w:t>
      </w:r>
      <w:r>
        <w:rPr>
          <w:rFonts w:hint="eastAsia" w:ascii="仿宋" w:hAnsi="仿宋" w:eastAsia="仿宋" w:cs="仿宋"/>
          <w:b w:val="0"/>
          <w:bCs/>
          <w:color w:val="auto"/>
          <w:spacing w:val="0"/>
          <w:w w:val="100"/>
          <w:position w:val="0"/>
          <w:sz w:val="24"/>
          <w:szCs w:val="24"/>
          <w:shd w:val="clear" w:color="auto" w:fill="auto"/>
          <w:lang w:val="en-US" w:eastAsia="en-US" w:bidi="en-US"/>
        </w:rPr>
        <w:t>商和</w:t>
      </w:r>
      <w:r>
        <w:rPr>
          <w:rFonts w:hint="eastAsia" w:ascii="仿宋" w:hAnsi="仿宋" w:eastAsia="仿宋" w:cs="仿宋"/>
          <w:b w:val="0"/>
          <w:bCs/>
          <w:color w:val="auto"/>
          <w:spacing w:val="0"/>
          <w:w w:val="100"/>
          <w:position w:val="0"/>
          <w:sz w:val="24"/>
          <w:szCs w:val="24"/>
          <w:shd w:val="clear" w:color="auto" w:fill="auto"/>
          <w:lang w:val="en-US" w:eastAsia="zh-CN" w:bidi="en-US"/>
        </w:rPr>
        <w:t>采购人</w:t>
      </w:r>
      <w:r>
        <w:rPr>
          <w:rFonts w:hint="eastAsia" w:ascii="仿宋" w:hAnsi="仿宋" w:eastAsia="仿宋" w:cs="仿宋"/>
          <w:b w:val="0"/>
          <w:bCs/>
          <w:color w:val="auto"/>
          <w:spacing w:val="0"/>
          <w:w w:val="100"/>
          <w:position w:val="0"/>
          <w:sz w:val="24"/>
          <w:szCs w:val="24"/>
          <w:shd w:val="clear" w:color="auto" w:fill="auto"/>
          <w:lang w:val="en-US" w:eastAsia="en-US" w:bidi="en-US"/>
        </w:rPr>
        <w:t>应在现场进行清点。清点过程中如果发现因包装或运输不当引起的设备外观或内部的损坏，供货商应负责更换。</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en-US" w:bidi="en-US"/>
        </w:rPr>
        <w:t>（</w:t>
      </w:r>
      <w:r>
        <w:rPr>
          <w:rFonts w:hint="eastAsia" w:ascii="仿宋" w:hAnsi="仿宋" w:eastAsia="仿宋" w:cs="仿宋"/>
          <w:b w:val="0"/>
          <w:bCs/>
          <w:color w:val="auto"/>
          <w:spacing w:val="0"/>
          <w:w w:val="100"/>
          <w:position w:val="0"/>
          <w:sz w:val="24"/>
          <w:szCs w:val="24"/>
          <w:shd w:val="clear" w:color="auto" w:fill="auto"/>
          <w:lang w:val="en-US" w:eastAsia="zh-CN" w:bidi="en-US"/>
        </w:rPr>
        <w:t>2</w:t>
      </w:r>
      <w:r>
        <w:rPr>
          <w:rFonts w:hint="eastAsia" w:ascii="仿宋" w:hAnsi="仿宋" w:eastAsia="仿宋" w:cs="仿宋"/>
          <w:b w:val="0"/>
          <w:bCs/>
          <w:color w:val="auto"/>
          <w:spacing w:val="0"/>
          <w:w w:val="100"/>
          <w:position w:val="0"/>
          <w:sz w:val="24"/>
          <w:szCs w:val="24"/>
          <w:shd w:val="clear" w:color="auto" w:fill="auto"/>
          <w:lang w:val="en-US" w:eastAsia="en-US" w:bidi="en-US"/>
        </w:rPr>
        <w:t>）供货商保证设备自购买</w:t>
      </w:r>
      <w:r>
        <w:rPr>
          <w:rFonts w:hint="eastAsia" w:ascii="仿宋" w:hAnsi="仿宋" w:eastAsia="仿宋" w:cs="仿宋"/>
          <w:b w:val="0"/>
          <w:bCs/>
          <w:color w:val="auto"/>
          <w:spacing w:val="0"/>
          <w:w w:val="100"/>
          <w:position w:val="0"/>
          <w:sz w:val="24"/>
          <w:szCs w:val="24"/>
          <w:shd w:val="clear" w:color="auto" w:fill="auto"/>
          <w:lang w:val="en-US" w:eastAsia="zh-CN" w:bidi="en-US"/>
        </w:rPr>
        <w:t>配备必备的原厂零配件，零配件必须满足正常使用3年的零配件损耗，保证设备正常运行</w:t>
      </w:r>
      <w:r>
        <w:rPr>
          <w:rFonts w:hint="eastAsia" w:ascii="仿宋" w:hAnsi="仿宋" w:eastAsia="仿宋" w:cs="仿宋"/>
          <w:b w:val="0"/>
          <w:bCs/>
          <w:color w:val="auto"/>
          <w:spacing w:val="0"/>
          <w:w w:val="100"/>
          <w:position w:val="0"/>
          <w:sz w:val="24"/>
          <w:szCs w:val="24"/>
          <w:shd w:val="clear" w:color="auto" w:fill="auto"/>
          <w:lang w:val="en-US" w:eastAsia="en-US" w:bidi="en-US"/>
        </w:rPr>
        <w:t>。</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GB" w:eastAsia="zh-CN"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3、供完货并安装调试完毕后</w:t>
      </w:r>
      <w:r>
        <w:rPr>
          <w:rFonts w:hint="eastAsia" w:ascii="仿宋" w:hAnsi="仿宋" w:eastAsia="仿宋" w:cs="仿宋"/>
          <w:b w:val="0"/>
          <w:bCs/>
          <w:color w:val="auto"/>
          <w:spacing w:val="0"/>
          <w:w w:val="100"/>
          <w:position w:val="0"/>
          <w:sz w:val="24"/>
          <w:szCs w:val="24"/>
          <w:shd w:val="clear" w:color="auto" w:fill="auto"/>
          <w:lang w:val="en-GB" w:eastAsia="zh-CN" w:bidi="en-US"/>
        </w:rPr>
        <w:t>，供应商需至少派</w:t>
      </w:r>
      <w:r>
        <w:rPr>
          <w:rFonts w:hint="eastAsia" w:ascii="仿宋" w:hAnsi="仿宋" w:eastAsia="仿宋" w:cs="仿宋"/>
          <w:b w:val="0"/>
          <w:bCs/>
          <w:color w:val="auto"/>
          <w:spacing w:val="0"/>
          <w:w w:val="100"/>
          <w:position w:val="0"/>
          <w:sz w:val="24"/>
          <w:szCs w:val="24"/>
          <w:shd w:val="clear" w:color="auto" w:fill="auto"/>
          <w:lang w:val="en-US" w:eastAsia="zh-CN" w:bidi="en-US"/>
        </w:rPr>
        <w:t>1名</w:t>
      </w:r>
      <w:r>
        <w:rPr>
          <w:rFonts w:hint="eastAsia" w:ascii="仿宋" w:hAnsi="仿宋" w:eastAsia="仿宋" w:cs="仿宋"/>
          <w:b w:val="0"/>
          <w:bCs/>
          <w:color w:val="auto"/>
          <w:spacing w:val="0"/>
          <w:w w:val="100"/>
          <w:position w:val="0"/>
          <w:sz w:val="24"/>
          <w:szCs w:val="24"/>
          <w:shd w:val="clear" w:color="auto" w:fill="auto"/>
          <w:lang w:val="en-GB" w:eastAsia="zh-CN" w:bidi="en-US"/>
        </w:rPr>
        <w:t>技术人员现场操作并教会学员。</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zh-CN"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4、</w:t>
      </w:r>
      <w:r>
        <w:rPr>
          <w:rFonts w:hint="eastAsia" w:ascii="仿宋" w:hAnsi="仿宋" w:eastAsia="仿宋" w:cs="仿宋"/>
          <w:b w:val="0"/>
          <w:bCs/>
          <w:color w:val="auto"/>
          <w:spacing w:val="0"/>
          <w:w w:val="100"/>
          <w:position w:val="0"/>
          <w:sz w:val="24"/>
          <w:szCs w:val="24"/>
          <w:shd w:val="clear" w:color="auto" w:fill="auto"/>
          <w:lang w:val="en-US" w:eastAsia="en-US" w:bidi="en-US"/>
        </w:rPr>
        <w:t>投标人</w:t>
      </w:r>
      <w:r>
        <w:rPr>
          <w:rFonts w:hint="eastAsia" w:ascii="仿宋" w:hAnsi="仿宋" w:eastAsia="仿宋" w:cs="仿宋"/>
          <w:b w:val="0"/>
          <w:bCs/>
          <w:color w:val="auto"/>
          <w:spacing w:val="0"/>
          <w:w w:val="100"/>
          <w:position w:val="0"/>
          <w:sz w:val="24"/>
          <w:szCs w:val="24"/>
          <w:shd w:val="clear" w:color="auto" w:fill="auto"/>
          <w:lang w:val="en-US" w:eastAsia="zh-CN" w:bidi="en-US"/>
        </w:rPr>
        <w:t>设</w:t>
      </w:r>
      <w:r>
        <w:rPr>
          <w:rFonts w:hint="eastAsia" w:ascii="仿宋" w:hAnsi="仿宋" w:eastAsia="仿宋" w:cs="仿宋"/>
          <w:b w:val="0"/>
          <w:bCs/>
          <w:color w:val="auto"/>
          <w:spacing w:val="0"/>
          <w:w w:val="100"/>
          <w:position w:val="0"/>
          <w:sz w:val="24"/>
          <w:szCs w:val="24"/>
          <w:shd w:val="clear" w:color="auto" w:fill="auto"/>
          <w:lang w:val="en-US" w:eastAsia="en-US" w:bidi="en-US"/>
        </w:rPr>
        <w:t>有健全</w:t>
      </w:r>
      <w:r>
        <w:rPr>
          <w:rFonts w:hint="eastAsia" w:ascii="仿宋" w:hAnsi="仿宋" w:eastAsia="仿宋" w:cs="仿宋"/>
          <w:b w:val="0"/>
          <w:bCs/>
          <w:color w:val="auto"/>
          <w:spacing w:val="0"/>
          <w:w w:val="100"/>
          <w:position w:val="0"/>
          <w:sz w:val="24"/>
          <w:szCs w:val="24"/>
          <w:shd w:val="clear" w:color="auto" w:fill="auto"/>
          <w:lang w:val="en-US" w:eastAsia="zh-CN" w:bidi="en-US"/>
        </w:rPr>
        <w:t>的</w:t>
      </w:r>
      <w:r>
        <w:rPr>
          <w:rFonts w:hint="eastAsia" w:ascii="仿宋" w:hAnsi="仿宋" w:eastAsia="仿宋" w:cs="仿宋"/>
          <w:b w:val="0"/>
          <w:bCs/>
          <w:color w:val="auto"/>
          <w:spacing w:val="0"/>
          <w:w w:val="100"/>
          <w:position w:val="0"/>
          <w:sz w:val="24"/>
          <w:szCs w:val="24"/>
          <w:shd w:val="clear" w:color="auto" w:fill="auto"/>
          <w:lang w:val="en-US" w:eastAsia="en-US" w:bidi="en-US"/>
        </w:rPr>
        <w:t>售后服务机构网点</w:t>
      </w:r>
      <w:r>
        <w:rPr>
          <w:rFonts w:hint="eastAsia" w:ascii="仿宋" w:hAnsi="仿宋" w:eastAsia="仿宋" w:cs="仿宋"/>
          <w:b w:val="0"/>
          <w:bCs/>
          <w:color w:val="auto"/>
          <w:spacing w:val="0"/>
          <w:w w:val="100"/>
          <w:position w:val="0"/>
          <w:sz w:val="24"/>
          <w:szCs w:val="24"/>
          <w:shd w:val="clear" w:color="auto" w:fill="auto"/>
          <w:lang w:val="en-US" w:eastAsia="zh-CN" w:bidi="en-US"/>
        </w:rPr>
        <w:t>，</w:t>
      </w:r>
      <w:r>
        <w:rPr>
          <w:rFonts w:hint="eastAsia" w:ascii="仿宋" w:hAnsi="仿宋" w:eastAsia="仿宋" w:cs="仿宋"/>
          <w:b w:val="0"/>
          <w:bCs/>
          <w:color w:val="auto"/>
          <w:spacing w:val="0"/>
          <w:w w:val="100"/>
          <w:position w:val="0"/>
          <w:sz w:val="24"/>
          <w:szCs w:val="24"/>
          <w:shd w:val="clear" w:color="auto" w:fill="auto"/>
          <w:lang w:val="en-US" w:eastAsia="en-US" w:bidi="en-US"/>
        </w:rPr>
        <w:t>终端售后服务机构网点</w:t>
      </w:r>
      <w:r>
        <w:rPr>
          <w:rFonts w:hint="eastAsia" w:ascii="仿宋" w:hAnsi="仿宋" w:eastAsia="仿宋" w:cs="仿宋"/>
          <w:b w:val="0"/>
          <w:bCs/>
          <w:color w:val="auto"/>
          <w:spacing w:val="0"/>
          <w:w w:val="100"/>
          <w:position w:val="0"/>
          <w:sz w:val="24"/>
          <w:szCs w:val="24"/>
          <w:shd w:val="clear" w:color="auto" w:fill="auto"/>
          <w:lang w:val="en-US" w:eastAsia="zh-CN" w:bidi="en-US"/>
        </w:rPr>
        <w:t>有</w:t>
      </w:r>
      <w:r>
        <w:rPr>
          <w:rFonts w:hint="eastAsia" w:ascii="仿宋" w:hAnsi="仿宋" w:eastAsia="仿宋" w:cs="仿宋"/>
          <w:b w:val="0"/>
          <w:bCs/>
          <w:color w:val="auto"/>
          <w:spacing w:val="0"/>
          <w:w w:val="100"/>
          <w:position w:val="0"/>
          <w:sz w:val="24"/>
          <w:szCs w:val="24"/>
          <w:shd w:val="clear" w:color="auto" w:fill="auto"/>
          <w:lang w:val="en-US" w:eastAsia="en-US" w:bidi="en-US"/>
        </w:rPr>
        <w:t>明细以便监督（包括电话、地址、店名、联系人）</w:t>
      </w:r>
      <w:r>
        <w:rPr>
          <w:rFonts w:hint="eastAsia" w:ascii="仿宋" w:hAnsi="仿宋" w:eastAsia="仿宋" w:cs="仿宋"/>
          <w:b w:val="0"/>
          <w:bCs/>
          <w:color w:val="auto"/>
          <w:spacing w:val="0"/>
          <w:w w:val="100"/>
          <w:position w:val="0"/>
          <w:sz w:val="24"/>
          <w:szCs w:val="24"/>
          <w:shd w:val="clear" w:color="auto" w:fill="auto"/>
          <w:lang w:val="en-US" w:eastAsia="zh-CN" w:bidi="en-US"/>
        </w:rPr>
        <w:t>(附有效的证明资料，如房屋租赁合同或产权证)。</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5</w:t>
      </w:r>
      <w:r>
        <w:rPr>
          <w:rFonts w:hint="eastAsia" w:ascii="仿宋" w:hAnsi="仿宋" w:eastAsia="仿宋" w:cs="仿宋"/>
          <w:b w:val="0"/>
          <w:bCs/>
          <w:color w:val="auto"/>
          <w:spacing w:val="0"/>
          <w:w w:val="100"/>
          <w:position w:val="0"/>
          <w:sz w:val="24"/>
          <w:szCs w:val="24"/>
          <w:shd w:val="clear" w:color="auto" w:fill="auto"/>
          <w:lang w:val="en-US" w:eastAsia="en-US" w:bidi="en-US"/>
        </w:rPr>
        <w:t>、货物到达现场后，供应商应在使用单位人员在场情况下当面共同清点、检查，作出检查记录，双方签字确认。</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6</w:t>
      </w:r>
      <w:r>
        <w:rPr>
          <w:rFonts w:hint="eastAsia" w:ascii="仿宋" w:hAnsi="仿宋" w:eastAsia="仿宋" w:cs="仿宋"/>
          <w:b w:val="0"/>
          <w:bCs/>
          <w:color w:val="auto"/>
          <w:spacing w:val="0"/>
          <w:w w:val="100"/>
          <w:position w:val="0"/>
          <w:sz w:val="24"/>
          <w:szCs w:val="24"/>
          <w:shd w:val="clear" w:color="auto" w:fill="auto"/>
          <w:lang w:val="en-US" w:eastAsia="en-US" w:bidi="en-US"/>
        </w:rPr>
        <w:t>、货物验收时，供应商向采购人提供生产厂家出具的验收报告、合格证、厂家资格证件等相关文件。</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val="0"/>
          <w:bCs/>
          <w:color w:val="auto"/>
          <w:spacing w:val="0"/>
          <w:w w:val="100"/>
          <w:position w:val="0"/>
          <w:sz w:val="24"/>
          <w:szCs w:val="24"/>
          <w:shd w:val="clear" w:color="auto" w:fill="auto"/>
          <w:lang w:val="en-US" w:eastAsia="en-US" w:bidi="en-US"/>
        </w:rPr>
      </w:pPr>
      <w:r>
        <w:rPr>
          <w:rFonts w:hint="eastAsia" w:ascii="仿宋" w:hAnsi="仿宋" w:eastAsia="仿宋" w:cs="仿宋"/>
          <w:b w:val="0"/>
          <w:bCs/>
          <w:color w:val="auto"/>
          <w:spacing w:val="0"/>
          <w:w w:val="100"/>
          <w:position w:val="0"/>
          <w:sz w:val="24"/>
          <w:szCs w:val="24"/>
          <w:shd w:val="clear" w:color="auto" w:fill="auto"/>
          <w:lang w:val="en-US" w:eastAsia="zh-CN" w:bidi="en-US"/>
        </w:rPr>
        <w:t>7</w:t>
      </w:r>
      <w:r>
        <w:rPr>
          <w:rFonts w:hint="eastAsia" w:ascii="仿宋" w:hAnsi="仿宋" w:eastAsia="仿宋" w:cs="仿宋"/>
          <w:b w:val="0"/>
          <w:bCs/>
          <w:color w:val="auto"/>
          <w:spacing w:val="0"/>
          <w:w w:val="100"/>
          <w:position w:val="0"/>
          <w:sz w:val="24"/>
          <w:szCs w:val="24"/>
          <w:shd w:val="clear" w:color="auto" w:fill="auto"/>
          <w:lang w:val="en-US" w:eastAsia="en-US" w:bidi="en-US"/>
        </w:rPr>
        <w:t>、供应商提供的货物未达到</w:t>
      </w:r>
      <w:r>
        <w:rPr>
          <w:rFonts w:hint="eastAsia" w:ascii="仿宋" w:hAnsi="仿宋" w:eastAsia="仿宋" w:cs="仿宋"/>
          <w:b w:val="0"/>
          <w:bCs/>
          <w:color w:val="auto"/>
          <w:spacing w:val="0"/>
          <w:w w:val="100"/>
          <w:position w:val="0"/>
          <w:sz w:val="24"/>
          <w:szCs w:val="24"/>
          <w:shd w:val="clear" w:color="auto" w:fill="auto"/>
          <w:lang w:val="en-US" w:eastAsia="zh-CN" w:bidi="en-US"/>
        </w:rPr>
        <w:t>招标文件</w:t>
      </w:r>
      <w:r>
        <w:rPr>
          <w:rFonts w:hint="eastAsia" w:ascii="仿宋" w:hAnsi="仿宋" w:eastAsia="仿宋" w:cs="仿宋"/>
          <w:b w:val="0"/>
          <w:bCs/>
          <w:color w:val="auto"/>
          <w:spacing w:val="0"/>
          <w:w w:val="100"/>
          <w:position w:val="0"/>
          <w:sz w:val="24"/>
          <w:szCs w:val="24"/>
          <w:shd w:val="clear" w:color="auto" w:fill="auto"/>
          <w:lang w:val="en-US" w:eastAsia="en-US" w:bidi="en-US"/>
        </w:rPr>
        <w:t>规定要求，且对采购人造成损失的，由供应商承担一切责任，并赔偿所造成的损失。</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六</w:t>
      </w:r>
      <w:r>
        <w:rPr>
          <w:rFonts w:hint="eastAsia" w:ascii="仿宋" w:hAnsi="仿宋" w:eastAsia="仿宋" w:cs="仿宋"/>
          <w:b/>
          <w:sz w:val="24"/>
          <w:szCs w:val="24"/>
        </w:rPr>
        <w:t>）付款方式</w:t>
      </w:r>
    </w:p>
    <w:p>
      <w:pPr>
        <w:pStyle w:val="15"/>
        <w:rPr>
          <w:rFonts w:hint="default" w:ascii="仿宋" w:hAnsi="仿宋" w:eastAsia="仿宋" w:cs="仿宋"/>
          <w:color w:val="000000"/>
          <w:spacing w:val="0"/>
          <w:w w:val="100"/>
          <w:position w:val="0"/>
          <w:sz w:val="24"/>
          <w:szCs w:val="24"/>
          <w:shd w:val="clear" w:color="auto" w:fill="auto"/>
          <w:lang w:val="en-US" w:eastAsia="zh-CN" w:bidi="en-US"/>
        </w:rPr>
      </w:pPr>
      <w:r>
        <w:rPr>
          <w:rFonts w:hint="eastAsia" w:ascii="仿宋" w:hAnsi="仿宋" w:eastAsia="仿宋" w:cs="仿宋"/>
          <w:color w:val="000000"/>
          <w:spacing w:val="0"/>
          <w:w w:val="100"/>
          <w:position w:val="0"/>
          <w:sz w:val="24"/>
          <w:szCs w:val="24"/>
          <w:shd w:val="clear" w:color="auto" w:fill="auto"/>
          <w:lang w:val="en-US" w:eastAsia="zh-CN" w:bidi="en-US"/>
        </w:rPr>
        <w:t>项目验收合格付</w:t>
      </w:r>
      <w:r>
        <w:rPr>
          <w:rFonts w:hint="eastAsia" w:ascii="仿宋" w:hAnsi="仿宋" w:eastAsia="仿宋" w:cs="仿宋"/>
          <w:color w:val="FF0000"/>
          <w:spacing w:val="0"/>
          <w:w w:val="100"/>
          <w:position w:val="0"/>
          <w:sz w:val="24"/>
          <w:szCs w:val="24"/>
          <w:shd w:val="clear" w:color="auto" w:fill="auto"/>
          <w:lang w:val="en-US" w:eastAsia="zh-CN" w:bidi="en-US"/>
        </w:rPr>
        <w:t>100%</w:t>
      </w:r>
      <w:r>
        <w:rPr>
          <w:rFonts w:hint="eastAsia" w:ascii="仿宋" w:hAnsi="仿宋" w:eastAsia="仿宋" w:cs="仿宋"/>
          <w:color w:val="000000"/>
          <w:spacing w:val="0"/>
          <w:w w:val="100"/>
          <w:position w:val="0"/>
          <w:sz w:val="24"/>
          <w:szCs w:val="24"/>
          <w:shd w:val="clear" w:color="auto" w:fill="auto"/>
          <w:lang w:val="en-US" w:eastAsia="zh-CN" w:bidi="en-US"/>
        </w:rPr>
        <w:t>。</w:t>
      </w:r>
    </w:p>
    <w:p>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七</w:t>
      </w:r>
      <w:r>
        <w:rPr>
          <w:rFonts w:hint="eastAsia" w:ascii="仿宋" w:hAnsi="仿宋" w:eastAsia="仿宋" w:cs="仿宋"/>
          <w:b/>
          <w:sz w:val="24"/>
          <w:szCs w:val="24"/>
        </w:rPr>
        <w:t>）知识产权</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）其他</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1、投标人必须在投标文件中对以上条款和服务承诺明确列出，承诺内容必须达到本篇及招标文件其他条款的要求。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lang w:val="en-US" w:eastAsia="zh-CN"/>
        </w:rPr>
      </w:pPr>
      <w:r>
        <w:rPr>
          <w:rFonts w:hint="eastAsia" w:ascii="仿宋" w:hAnsi="仿宋" w:eastAsia="仿宋" w:cs="仿宋"/>
          <w:sz w:val="24"/>
          <w:szCs w:val="24"/>
        </w:rPr>
        <w:t>2、其他未尽事宜由供需双方在采购合同中详细约定。</w:t>
      </w:r>
    </w:p>
    <w:p>
      <w:pPr>
        <w:rPr>
          <w:rFonts w:hint="eastAsia"/>
          <w:lang w:val="en-US" w:eastAsia="zh-CN"/>
        </w:rPr>
      </w:pPr>
    </w:p>
    <w:p>
      <w:pPr>
        <w:rPr>
          <w:rFonts w:hint="eastAsia"/>
          <w:lang w:val="en-US" w:eastAsia="zh-CN"/>
        </w:rPr>
      </w:pPr>
    </w:p>
    <w:p>
      <w:pPr>
        <w:pStyle w:val="15"/>
        <w:rPr>
          <w:rFonts w:hint="eastAsia"/>
          <w:lang w:val="en-US" w:eastAsia="zh-CN"/>
        </w:rPr>
      </w:pPr>
    </w:p>
    <w:bookmarkEnd w:id="48"/>
    <w:p>
      <w:pPr>
        <w:pStyle w:val="4"/>
        <w:numPr>
          <w:ilvl w:val="0"/>
          <w:numId w:val="12"/>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51" w:name="_Toc22635"/>
      <w:bookmarkStart w:id="52" w:name="_Toc24439"/>
      <w:bookmarkStart w:id="53" w:name="_Toc16633"/>
      <w:r>
        <w:rPr>
          <w:rFonts w:hint="eastAsia" w:ascii="宋体" w:hAnsi="宋体" w:cs="宋体"/>
          <w:lang w:eastAsia="zh-CN"/>
        </w:rPr>
        <w:t>合同</w:t>
      </w:r>
      <w:bookmarkEnd w:id="51"/>
      <w:bookmarkEnd w:id="52"/>
      <w:bookmarkEnd w:id="53"/>
    </w:p>
    <w:p>
      <w:pPr>
        <w:spacing w:line="400" w:lineRule="exact"/>
        <w:jc w:val="center"/>
        <w:outlineLvl w:val="0"/>
        <w:rPr>
          <w:rFonts w:ascii="宋体"/>
          <w:b/>
          <w:sz w:val="36"/>
          <w:szCs w:val="36"/>
        </w:rPr>
      </w:pPr>
    </w:p>
    <w:p>
      <w:pPr>
        <w:spacing w:line="400" w:lineRule="exact"/>
        <w:jc w:val="center"/>
        <w:outlineLvl w:val="0"/>
        <w:rPr>
          <w:rFonts w:hint="default" w:ascii="宋体"/>
          <w:b/>
          <w:sz w:val="36"/>
          <w:szCs w:val="36"/>
        </w:rPr>
      </w:pPr>
      <w:r>
        <w:rPr>
          <w:rFonts w:ascii="宋体"/>
          <w:b/>
          <w:sz w:val="36"/>
          <w:szCs w:val="36"/>
        </w:rPr>
        <w:t xml:space="preserve">  采购合同主要条款</w:t>
      </w:r>
    </w:p>
    <w:p>
      <w:pPr>
        <w:pStyle w:val="11"/>
        <w:tabs>
          <w:tab w:val="left" w:pos="2337"/>
        </w:tabs>
        <w:spacing w:line="380" w:lineRule="exact"/>
        <w:jc w:val="center"/>
        <w:rPr>
          <w:rFonts w:hint="default" w:hAnsi="宋体" w:eastAsia="宋体"/>
          <w:b/>
          <w:sz w:val="24"/>
          <w:szCs w:val="24"/>
          <w:lang w:val="en-US" w:eastAsia="zh-CN"/>
        </w:rPr>
      </w:pPr>
      <w:r>
        <w:rPr>
          <w:rFonts w:hAnsi="宋体"/>
          <w:b/>
          <w:sz w:val="24"/>
          <w:szCs w:val="24"/>
        </w:rPr>
        <w:t>政府采购合同</w:t>
      </w:r>
      <w:r>
        <w:rPr>
          <w:rFonts w:hint="eastAsia" w:hAnsi="宋体"/>
          <w:b/>
          <w:sz w:val="24"/>
          <w:szCs w:val="24"/>
          <w:lang w:eastAsia="zh-CN"/>
        </w:rPr>
        <w:t>（仅供参考）</w:t>
      </w:r>
      <w:r>
        <w:rPr>
          <w:rFonts w:hAnsi="宋体"/>
          <w:b/>
          <w:sz w:val="24"/>
          <w:szCs w:val="24"/>
        </w:rPr>
        <w:t>范本</w:t>
      </w:r>
      <w:r>
        <w:rPr>
          <w:rFonts w:hint="eastAsia" w:hAnsi="宋体"/>
          <w:b/>
          <w:sz w:val="24"/>
          <w:szCs w:val="24"/>
          <w:lang w:eastAsia="zh-CN"/>
        </w:rPr>
        <w:t>，</w:t>
      </w:r>
      <w:r>
        <w:rPr>
          <w:rFonts w:hint="eastAsia" w:hAnsi="宋体"/>
          <w:b/>
          <w:sz w:val="24"/>
          <w:szCs w:val="24"/>
          <w:lang w:val="en-US" w:eastAsia="zh-CN"/>
        </w:rPr>
        <w:t>最终版本以甲方签订合同为准</w:t>
      </w:r>
    </w:p>
    <w:p>
      <w:pPr>
        <w:pStyle w:val="11"/>
        <w:tabs>
          <w:tab w:val="left" w:pos="2337"/>
        </w:tabs>
        <w:spacing w:line="380" w:lineRule="exact"/>
        <w:ind w:firstLine="3888" w:firstLineChars="1600"/>
        <w:rPr>
          <w:rFonts w:hint="default" w:hAnsi="宋体"/>
          <w:b/>
          <w:sz w:val="24"/>
          <w:szCs w:val="24"/>
        </w:rPr>
      </w:pPr>
      <w:r>
        <w:rPr>
          <w:rFonts w:hAnsi="宋体"/>
          <w:b/>
          <w:sz w:val="24"/>
          <w:szCs w:val="24"/>
        </w:rPr>
        <w:t>（货物类）</w:t>
      </w:r>
    </w:p>
    <w:p>
      <w:pPr>
        <w:spacing w:line="380" w:lineRule="exact"/>
        <w:jc w:val="right"/>
        <w:rPr>
          <w:rFonts w:hint="default" w:ascii="宋体" w:cs="宋体"/>
          <w:szCs w:val="21"/>
        </w:rPr>
      </w:pPr>
      <w:r>
        <w:rPr>
          <w:rFonts w:ascii="宋体" w:cs="宋体"/>
          <w:szCs w:val="21"/>
        </w:rPr>
        <w:t>合同编号：</w:t>
      </w:r>
    </w:p>
    <w:p>
      <w:pPr>
        <w:spacing w:line="380" w:lineRule="exact"/>
        <w:rPr>
          <w:rFonts w:hint="default" w:ascii="宋体" w:cs="宋体"/>
          <w:szCs w:val="21"/>
        </w:rPr>
      </w:pPr>
      <w:r>
        <w:rPr>
          <w:rFonts w:ascii="宋体" w:cs="宋体"/>
          <w:szCs w:val="21"/>
        </w:rPr>
        <w:t>需    方：</w:t>
      </w:r>
    </w:p>
    <w:p>
      <w:pPr>
        <w:spacing w:line="380" w:lineRule="exact"/>
        <w:rPr>
          <w:rFonts w:hint="default" w:ascii="宋体" w:cs="宋体"/>
          <w:szCs w:val="21"/>
        </w:rPr>
      </w:pPr>
      <w:r>
        <w:rPr>
          <w:rFonts w:ascii="宋体" w:cs="宋体"/>
          <w:szCs w:val="21"/>
        </w:rPr>
        <w:t>供 应 方：</w:t>
      </w:r>
    </w:p>
    <w:p>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val="en-US" w:eastAsia="zh-CN"/>
        </w:rPr>
        <w:t>山西弘策项目管理有限公司</w:t>
      </w:r>
      <w:r>
        <w:rPr>
          <w:rFonts w:ascii="宋体" w:hAnsi="宋体" w:cs="宋体"/>
          <w:szCs w:val="21"/>
        </w:rPr>
        <w:t>受</w:t>
      </w:r>
      <w:r>
        <w:rPr>
          <w:rFonts w:hint="eastAsia" w:ascii="宋体" w:hAnsi="宋体" w:cs="宋体"/>
          <w:color w:val="FF0000"/>
          <w:szCs w:val="21"/>
          <w:lang w:val="en-US" w:eastAsia="zh-CN"/>
        </w:rPr>
        <w:t>克孜勒苏柯尔克孜自治州教育局</w:t>
      </w:r>
      <w:r>
        <w:rPr>
          <w:rFonts w:hint="eastAsia" w:ascii="宋体" w:hAnsi="宋体" w:cs="宋体"/>
          <w:color w:val="FF0000"/>
          <w:szCs w:val="21"/>
          <w:lang w:eastAsia="zh-CN"/>
        </w:rPr>
        <w:t>的</w:t>
      </w:r>
      <w:r>
        <w:rPr>
          <w:rFonts w:ascii="宋体" w:hAnsi="宋体" w:cs="宋体"/>
          <w:color w:val="FF0000"/>
          <w:szCs w:val="21"/>
        </w:rPr>
        <w:t>委托</w:t>
      </w:r>
      <w:r>
        <w:rPr>
          <w:rFonts w:ascii="宋体" w:hAnsi="宋体" w:cs="宋体"/>
          <w:szCs w:val="21"/>
        </w:rPr>
        <w:t>，经公开招标，结果确定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pPr>
        <w:spacing w:line="380" w:lineRule="exact"/>
        <w:rPr>
          <w:rFonts w:hint="default" w:ascii="宋体" w:hAnsi="宋体" w:cs="宋体"/>
          <w:b/>
          <w:szCs w:val="21"/>
        </w:rPr>
      </w:pPr>
      <w:r>
        <w:rPr>
          <w:rFonts w:ascii="宋体" w:hAnsi="宋体" w:cs="宋体"/>
          <w:b/>
          <w:szCs w:val="21"/>
        </w:rPr>
        <w:t>一、名称、规格、数量及价款</w:t>
      </w:r>
    </w:p>
    <w:p>
      <w:pPr>
        <w:spacing w:line="380" w:lineRule="exact"/>
        <w:ind w:firstLine="486"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pPr>
        <w:spacing w:line="380" w:lineRule="exact"/>
        <w:ind w:firstLine="486"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pPr>
        <w:spacing w:line="380" w:lineRule="exact"/>
        <w:rPr>
          <w:rFonts w:hint="default" w:ascii="宋体" w:hAnsi="宋体" w:cs="宋体"/>
          <w:b/>
          <w:szCs w:val="21"/>
        </w:rPr>
      </w:pPr>
      <w:r>
        <w:rPr>
          <w:rFonts w:ascii="宋体" w:hAnsi="宋体" w:cs="宋体"/>
          <w:b/>
          <w:szCs w:val="21"/>
        </w:rPr>
        <w:t>二、质量要求及技术标准</w:t>
      </w:r>
    </w:p>
    <w:p>
      <w:pPr>
        <w:spacing w:line="380" w:lineRule="exact"/>
        <w:ind w:firstLine="486" w:firstLineChars="200"/>
        <w:rPr>
          <w:rFonts w:hint="default" w:ascii="宋体" w:hAnsi="宋体" w:cs="宋体"/>
          <w:szCs w:val="21"/>
        </w:rPr>
      </w:pPr>
      <w:r>
        <w:rPr>
          <w:rFonts w:ascii="宋体" w:hAnsi="宋体" w:cs="宋体"/>
          <w:szCs w:val="21"/>
        </w:rPr>
        <w:t>1、供应方交付的货物的技术标准不低于国家标准。</w:t>
      </w:r>
    </w:p>
    <w:p>
      <w:pPr>
        <w:spacing w:line="380" w:lineRule="exact"/>
        <w:ind w:firstLine="486"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pPr>
        <w:spacing w:line="380" w:lineRule="exact"/>
        <w:rPr>
          <w:rFonts w:hint="default" w:ascii="宋体" w:hAnsi="宋体" w:cs="宋体"/>
          <w:b/>
          <w:szCs w:val="21"/>
        </w:rPr>
      </w:pPr>
      <w:r>
        <w:rPr>
          <w:rFonts w:ascii="宋体" w:hAnsi="宋体" w:cs="宋体"/>
          <w:b/>
          <w:szCs w:val="21"/>
        </w:rPr>
        <w:t>三、交货时间、地点</w:t>
      </w:r>
    </w:p>
    <w:p>
      <w:pPr>
        <w:spacing w:line="380" w:lineRule="exact"/>
        <w:ind w:firstLine="486" w:firstLineChars="200"/>
        <w:rPr>
          <w:rFonts w:hint="default" w:ascii="宋体" w:hAnsi="宋体" w:cs="宋体"/>
          <w:szCs w:val="21"/>
        </w:rPr>
      </w:pPr>
      <w:r>
        <w:rPr>
          <w:rFonts w:ascii="宋体" w:hAnsi="宋体" w:cs="宋体"/>
          <w:szCs w:val="21"/>
        </w:rPr>
        <w:t>货物供应方须在     年    月     日在    交货，并由使用方验收。</w:t>
      </w:r>
    </w:p>
    <w:p>
      <w:pPr>
        <w:spacing w:line="380" w:lineRule="exact"/>
        <w:rPr>
          <w:rFonts w:hint="default" w:ascii="宋体" w:hAnsi="宋体" w:cs="宋体"/>
          <w:b/>
          <w:szCs w:val="21"/>
        </w:rPr>
      </w:pPr>
      <w:r>
        <w:rPr>
          <w:rFonts w:ascii="宋体" w:hAnsi="宋体" w:cs="宋体"/>
          <w:b/>
          <w:szCs w:val="21"/>
        </w:rPr>
        <w:t>四、售后服务</w:t>
      </w:r>
    </w:p>
    <w:p>
      <w:pPr>
        <w:spacing w:line="380" w:lineRule="exact"/>
        <w:ind w:firstLine="529" w:firstLineChars="218"/>
        <w:rPr>
          <w:rFonts w:hint="default" w:ascii="宋体" w:hAnsi="宋体"/>
          <w:bCs/>
          <w:szCs w:val="21"/>
        </w:rPr>
      </w:pPr>
      <w:r>
        <w:rPr>
          <w:rFonts w:ascii="宋体" w:hAnsi="宋体"/>
          <w:bCs/>
          <w:szCs w:val="21"/>
        </w:rPr>
        <w:t>产品质量：在合同期内，甲方正常使用乙方所供产品而出现质量问题时，乙方负责。产品使用：甲方在使用乙方所供产品中出现问题需乙方解决时，乙方应无偿解决（退换货）</w:t>
      </w:r>
    </w:p>
    <w:p>
      <w:pPr>
        <w:spacing w:line="380" w:lineRule="exact"/>
        <w:rPr>
          <w:rFonts w:hint="default" w:ascii="宋体" w:hAnsi="宋体" w:cs="宋体"/>
          <w:b/>
          <w:szCs w:val="21"/>
        </w:rPr>
      </w:pPr>
      <w:r>
        <w:rPr>
          <w:rFonts w:ascii="宋体" w:hAnsi="宋体" w:cs="宋体"/>
          <w:b/>
          <w:szCs w:val="21"/>
        </w:rPr>
        <w:t>五、验收</w:t>
      </w:r>
    </w:p>
    <w:p>
      <w:pPr>
        <w:spacing w:line="380" w:lineRule="exact"/>
        <w:ind w:firstLine="529" w:firstLineChars="218"/>
        <w:rPr>
          <w:rFonts w:hint="default" w:ascii="宋体" w:hAnsi="宋体" w:cs="宋体"/>
          <w:kern w:val="0"/>
          <w:szCs w:val="21"/>
        </w:rPr>
      </w:pPr>
      <w:r>
        <w:rPr>
          <w:rFonts w:ascii="宋体" w:hAnsi="宋体"/>
          <w:bCs/>
          <w:szCs w:val="21"/>
        </w:rPr>
        <w:t>1、</w:t>
      </w:r>
      <w:r>
        <w:rPr>
          <w:rFonts w:ascii="宋体" w:hAnsi="宋体" w:cs="宋体"/>
          <w:szCs w:val="21"/>
        </w:rPr>
        <w:t>货物</w:t>
      </w:r>
      <w:r>
        <w:rPr>
          <w:rFonts w:ascii="宋体" w:hAnsi="宋体" w:cs="宋体"/>
          <w:kern w:val="0"/>
          <w:szCs w:val="21"/>
        </w:rPr>
        <w:t>到达现场后，供应商应在使用单位人员在场情况下当面共同清点、检查，作出检查记录，双方签字确认。</w:t>
      </w:r>
    </w:p>
    <w:p>
      <w:pPr>
        <w:spacing w:line="380" w:lineRule="exact"/>
        <w:ind w:firstLine="529" w:firstLineChars="218"/>
        <w:rPr>
          <w:rFonts w:hint="default" w:ascii="宋体" w:hAnsi="宋体" w:cs="宋体"/>
          <w:szCs w:val="21"/>
        </w:rPr>
      </w:pPr>
      <w:r>
        <w:rPr>
          <w:rFonts w:ascii="宋体" w:hAnsi="宋体" w:cs="宋体"/>
          <w:kern w:val="0"/>
          <w:szCs w:val="21"/>
        </w:rPr>
        <w:t>2、货物验收时，供应商向采购人提供</w:t>
      </w:r>
      <w:r>
        <w:rPr>
          <w:rFonts w:ascii="宋体" w:hAnsi="宋体"/>
          <w:bCs/>
          <w:szCs w:val="21"/>
        </w:rPr>
        <w:t>生产厂家出具的验收报告、合格证、厂家资格证件等相关文件</w:t>
      </w:r>
      <w:r>
        <w:rPr>
          <w:rFonts w:ascii="宋体" w:hAnsi="宋体" w:cs="宋体"/>
          <w:szCs w:val="21"/>
        </w:rPr>
        <w:t>。</w:t>
      </w:r>
    </w:p>
    <w:p>
      <w:pPr>
        <w:spacing w:line="380" w:lineRule="exact"/>
        <w:ind w:firstLine="486" w:firstLineChars="200"/>
        <w:rPr>
          <w:rFonts w:hint="default" w:ascii="宋体" w:hAnsi="宋体" w:cs="宋体"/>
          <w:b/>
          <w:bCs/>
          <w:kern w:val="0"/>
          <w:szCs w:val="21"/>
        </w:rPr>
      </w:pPr>
      <w:r>
        <w:rPr>
          <w:rFonts w:ascii="宋体" w:hAnsi="宋体" w:cs="宋体"/>
          <w:szCs w:val="21"/>
        </w:rPr>
        <w:t>3、</w:t>
      </w:r>
      <w:r>
        <w:rPr>
          <w:rFonts w:ascii="宋体" w:hAnsi="宋体" w:cs="宋体"/>
          <w:kern w:val="0"/>
          <w:szCs w:val="21"/>
        </w:rPr>
        <w:t>供应商提供的货物未达到招标文件规定要求，且对采购人造成损失的，由供应商承担一切责任，并赔偿所造成的损失。</w:t>
      </w:r>
    </w:p>
    <w:p>
      <w:pPr>
        <w:spacing w:line="380" w:lineRule="exact"/>
        <w:rPr>
          <w:rFonts w:hint="default" w:ascii="宋体" w:hAnsi="宋体" w:cs="宋体"/>
          <w:b/>
          <w:szCs w:val="21"/>
        </w:rPr>
      </w:pPr>
      <w:r>
        <w:rPr>
          <w:rFonts w:ascii="宋体" w:hAnsi="宋体" w:cs="宋体"/>
          <w:b/>
          <w:szCs w:val="21"/>
        </w:rPr>
        <w:t xml:space="preserve"> 六、付款方式</w:t>
      </w:r>
    </w:p>
    <w:p>
      <w:pPr>
        <w:spacing w:line="380" w:lineRule="exact"/>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最终以甲乙双方签订的合同为准。</w:t>
      </w:r>
    </w:p>
    <w:p>
      <w:pPr>
        <w:spacing w:line="380" w:lineRule="exact"/>
        <w:rPr>
          <w:rFonts w:hint="default" w:ascii="宋体" w:hAnsi="宋体" w:cs="宋体"/>
          <w:b/>
          <w:szCs w:val="21"/>
        </w:rPr>
      </w:pPr>
      <w:r>
        <w:rPr>
          <w:rFonts w:ascii="宋体" w:hAnsi="宋体" w:cs="宋体"/>
          <w:b/>
          <w:szCs w:val="21"/>
        </w:rPr>
        <w:t xml:space="preserve"> 七、违约责任</w:t>
      </w:r>
    </w:p>
    <w:p>
      <w:pPr>
        <w:spacing w:line="380" w:lineRule="exact"/>
        <w:ind w:firstLine="486" w:firstLineChars="200"/>
        <w:rPr>
          <w:rFonts w:hint="default" w:ascii="宋体" w:hAnsi="宋体" w:cs="宋体"/>
          <w:szCs w:val="21"/>
        </w:rPr>
      </w:pPr>
      <w:r>
        <w:rPr>
          <w:rFonts w:ascii="宋体" w:hAnsi="宋体" w:cs="宋体"/>
          <w:szCs w:val="21"/>
        </w:rPr>
        <w:t>1、违反买卖合同者，应承担违约责任，向对方支付合同金额</w:t>
      </w:r>
      <w:r>
        <w:rPr>
          <w:rFonts w:hint="eastAsia" w:ascii="宋体" w:hAnsi="宋体" w:eastAsia="宋体" w:cs="宋体"/>
          <w:szCs w:val="21"/>
          <w:lang w:val="en-US" w:eastAsia="zh-CN"/>
        </w:rPr>
        <w:t>3</w:t>
      </w:r>
      <w:r>
        <w:rPr>
          <w:rFonts w:ascii="宋体" w:hAnsi="宋体" w:cs="宋体"/>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380" w:lineRule="exact"/>
        <w:ind w:firstLine="486" w:firstLineChars="200"/>
        <w:rPr>
          <w:rFonts w:hint="default" w:ascii="宋体" w:hAnsi="宋体" w:cs="宋体"/>
          <w:szCs w:val="21"/>
        </w:rPr>
      </w:pPr>
      <w:r>
        <w:rPr>
          <w:rFonts w:ascii="宋体" w:hAnsi="宋体" w:cs="宋体"/>
          <w:szCs w:val="21"/>
        </w:rPr>
        <w:t>2、</w:t>
      </w:r>
      <w:r>
        <w:rPr>
          <w:rFonts w:ascii="宋体" w:hAnsi="宋体" w:cs="宋体"/>
          <w:szCs w:val="21"/>
          <w:u w:val="single"/>
        </w:rPr>
        <w:t>如有质量问题时需方可以按照供应方投标文件的服务承诺从质量保证金款项中扣除相关费用。</w:t>
      </w:r>
    </w:p>
    <w:p>
      <w:pPr>
        <w:spacing w:line="380" w:lineRule="exact"/>
        <w:ind w:firstLine="486" w:firstLineChars="200"/>
        <w:rPr>
          <w:rFonts w:hint="default" w:ascii="宋体" w:hAnsi="宋体" w:cs="宋体"/>
          <w:b/>
          <w:szCs w:val="21"/>
        </w:rPr>
      </w:pPr>
      <w:r>
        <w:rPr>
          <w:rFonts w:ascii="宋体" w:hAnsi="宋体" w:cs="宋体"/>
          <w:szCs w:val="21"/>
        </w:rPr>
        <w:t>3、其它违约，按《中华人民共和国合同法》的相关条款执行。</w:t>
      </w:r>
    </w:p>
    <w:p>
      <w:pPr>
        <w:spacing w:line="380" w:lineRule="exact"/>
        <w:rPr>
          <w:rFonts w:hint="default" w:ascii="宋体" w:hAnsi="宋体" w:cs="宋体"/>
          <w:b/>
          <w:szCs w:val="21"/>
        </w:rPr>
      </w:pPr>
      <w:r>
        <w:rPr>
          <w:rFonts w:ascii="宋体" w:hAnsi="宋体" w:cs="宋体"/>
          <w:b/>
          <w:szCs w:val="21"/>
        </w:rPr>
        <w:t>八、解决合同纠纷的方式</w:t>
      </w:r>
    </w:p>
    <w:p>
      <w:pPr>
        <w:spacing w:line="380" w:lineRule="exact"/>
        <w:ind w:firstLine="486"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pPr>
        <w:spacing w:line="380" w:lineRule="exact"/>
        <w:rPr>
          <w:rFonts w:hint="default" w:ascii="宋体" w:hAnsi="宋体" w:cs="宋体"/>
          <w:b/>
          <w:szCs w:val="21"/>
        </w:rPr>
      </w:pPr>
      <w:r>
        <w:rPr>
          <w:rFonts w:ascii="宋体" w:hAnsi="宋体" w:cs="宋体"/>
          <w:b/>
          <w:szCs w:val="21"/>
        </w:rPr>
        <w:t>九、技术协议</w:t>
      </w:r>
    </w:p>
    <w:p>
      <w:pPr>
        <w:spacing w:line="380" w:lineRule="exact"/>
        <w:ind w:firstLine="486" w:firstLineChars="200"/>
        <w:rPr>
          <w:rFonts w:hint="default" w:ascii="宋体" w:hAnsi="宋体" w:cs="宋体"/>
          <w:b/>
          <w:szCs w:val="21"/>
        </w:rPr>
      </w:pPr>
      <w:r>
        <w:rPr>
          <w:rFonts w:ascii="宋体" w:hAnsi="宋体" w:cs="宋体"/>
          <w:szCs w:val="21"/>
        </w:rPr>
        <w:t>附技术协议（另定）</w:t>
      </w:r>
    </w:p>
    <w:p>
      <w:pPr>
        <w:spacing w:line="380" w:lineRule="exact"/>
        <w:rPr>
          <w:rFonts w:hint="default" w:ascii="宋体" w:hAnsi="宋体" w:cs="宋体"/>
          <w:b/>
          <w:szCs w:val="21"/>
        </w:rPr>
      </w:pPr>
      <w:r>
        <w:rPr>
          <w:rFonts w:ascii="宋体" w:hAnsi="宋体" w:cs="宋体"/>
          <w:b/>
          <w:szCs w:val="21"/>
        </w:rPr>
        <w:t>十、其它约定事项</w:t>
      </w:r>
    </w:p>
    <w:p>
      <w:pPr>
        <w:spacing w:line="380" w:lineRule="exact"/>
        <w:ind w:firstLine="486" w:firstLineChars="200"/>
        <w:rPr>
          <w:rFonts w:hint="default" w:ascii="宋体" w:hAnsi="宋体" w:cs="宋体"/>
          <w:szCs w:val="21"/>
        </w:rPr>
      </w:pPr>
      <w:r>
        <w:rPr>
          <w:rFonts w:ascii="宋体" w:hAnsi="宋体" w:cs="宋体"/>
          <w:szCs w:val="21"/>
        </w:rPr>
        <w:t>1、本合同壹式叁份，经双方法定代表人或授权代理人签章，政府采购中心鉴证后生效。</w:t>
      </w:r>
    </w:p>
    <w:p>
      <w:pPr>
        <w:spacing w:line="380" w:lineRule="exact"/>
        <w:ind w:firstLine="486" w:firstLineChars="200"/>
        <w:rPr>
          <w:rFonts w:hint="default" w:ascii="宋体" w:hAnsi="宋体" w:cs="宋体"/>
          <w:szCs w:val="21"/>
        </w:rPr>
      </w:pPr>
      <w:r>
        <w:rPr>
          <w:rFonts w:ascii="宋体" w:hAnsi="宋体" w:cs="宋体"/>
          <w:szCs w:val="21"/>
        </w:rPr>
        <w:t>2、本合同一式三份，供应方执一份，需方执一份，鉴证方执一份。</w:t>
      </w:r>
    </w:p>
    <w:p>
      <w:pPr>
        <w:spacing w:line="380" w:lineRule="exact"/>
        <w:ind w:firstLine="486" w:firstLineChars="200"/>
        <w:rPr>
          <w:rFonts w:hint="default" w:ascii="宋体" w:hAnsi="宋体" w:cs="宋体"/>
          <w:szCs w:val="21"/>
        </w:rPr>
      </w:pPr>
      <w:r>
        <w:rPr>
          <w:rFonts w:ascii="宋体" w:hAnsi="宋体" w:cs="宋体"/>
          <w:szCs w:val="21"/>
        </w:rPr>
        <w:t>3、相关招标文件、投标文件与本合同具有同等法律效力。</w:t>
      </w:r>
    </w:p>
    <w:p>
      <w:pPr>
        <w:spacing w:line="380" w:lineRule="exact"/>
        <w:ind w:firstLine="729" w:firstLineChars="300"/>
        <w:rPr>
          <w:rFonts w:hint="default" w:ascii="宋体" w:hAnsi="宋体" w:cs="宋体"/>
          <w:szCs w:val="21"/>
        </w:rPr>
      </w:pPr>
      <w:r>
        <w:rPr>
          <w:rFonts w:ascii="宋体" w:hAnsi="宋体" w:cs="宋体"/>
          <w:szCs w:val="21"/>
        </w:rPr>
        <w:t>供  应  方：                               需     方：</w:t>
      </w:r>
    </w:p>
    <w:p>
      <w:pPr>
        <w:spacing w:line="380" w:lineRule="exact"/>
        <w:ind w:firstLine="729" w:firstLineChars="300"/>
        <w:rPr>
          <w:rFonts w:hint="default" w:ascii="宋体" w:hAnsi="宋体" w:cs="宋体"/>
          <w:szCs w:val="21"/>
        </w:rPr>
      </w:pPr>
      <w:r>
        <w:rPr>
          <w:rFonts w:ascii="宋体" w:hAnsi="宋体" w:cs="宋体"/>
          <w:szCs w:val="21"/>
        </w:rPr>
        <w:t>法定代表人：                               法定代表人：</w:t>
      </w:r>
    </w:p>
    <w:p>
      <w:pPr>
        <w:spacing w:line="380" w:lineRule="exact"/>
        <w:ind w:firstLine="729" w:firstLineChars="300"/>
        <w:rPr>
          <w:rFonts w:hint="default" w:ascii="宋体" w:hAnsi="宋体" w:cs="宋体"/>
          <w:szCs w:val="21"/>
        </w:rPr>
      </w:pPr>
      <w:r>
        <w:rPr>
          <w:rFonts w:ascii="宋体" w:hAnsi="宋体" w:cs="宋体"/>
          <w:szCs w:val="21"/>
        </w:rPr>
        <w:t>授权代理人：                               授权代理人：</w:t>
      </w:r>
    </w:p>
    <w:p>
      <w:pPr>
        <w:spacing w:line="380" w:lineRule="exact"/>
        <w:ind w:firstLine="729" w:firstLineChars="300"/>
        <w:rPr>
          <w:rFonts w:hint="default" w:ascii="宋体" w:hAnsi="宋体" w:cs="宋体"/>
          <w:szCs w:val="21"/>
        </w:rPr>
      </w:pPr>
      <w:r>
        <w:rPr>
          <w:rFonts w:ascii="宋体" w:hAnsi="宋体" w:cs="宋体"/>
          <w:szCs w:val="21"/>
        </w:rPr>
        <w:t>单位 地址：                                 单位 地址：</w:t>
      </w:r>
    </w:p>
    <w:p>
      <w:pPr>
        <w:spacing w:line="380" w:lineRule="exact"/>
        <w:ind w:firstLine="729" w:firstLineChars="300"/>
        <w:rPr>
          <w:rFonts w:hint="default" w:ascii="宋体" w:hAnsi="宋体" w:cs="宋体"/>
          <w:szCs w:val="21"/>
        </w:rPr>
      </w:pPr>
      <w:r>
        <w:rPr>
          <w:rFonts w:ascii="宋体" w:hAnsi="宋体" w:cs="宋体"/>
          <w:szCs w:val="21"/>
        </w:rPr>
        <w:t>联系 电话：                                 联系 电话：</w:t>
      </w:r>
    </w:p>
    <w:p>
      <w:pPr>
        <w:spacing w:line="380" w:lineRule="exact"/>
        <w:ind w:firstLine="729" w:firstLineChars="300"/>
        <w:rPr>
          <w:rFonts w:hint="default" w:ascii="宋体" w:hAnsi="宋体" w:cs="宋体"/>
          <w:szCs w:val="21"/>
        </w:rPr>
      </w:pPr>
      <w:r>
        <w:rPr>
          <w:rFonts w:ascii="宋体" w:hAnsi="宋体" w:cs="宋体"/>
          <w:szCs w:val="21"/>
        </w:rPr>
        <w:t>开户 银行：                                 开户 银行：</w:t>
      </w:r>
    </w:p>
    <w:p>
      <w:pPr>
        <w:spacing w:line="380" w:lineRule="exact"/>
        <w:ind w:firstLine="729" w:firstLineChars="300"/>
        <w:rPr>
          <w:rFonts w:hint="default" w:ascii="宋体" w:hAnsi="宋体" w:cs="宋体"/>
          <w:szCs w:val="21"/>
        </w:rPr>
      </w:pPr>
      <w:r>
        <w:rPr>
          <w:rFonts w:ascii="宋体" w:hAnsi="宋体" w:cs="宋体"/>
          <w:szCs w:val="21"/>
        </w:rPr>
        <w:t>账     号：                                 账     号：</w:t>
      </w:r>
    </w:p>
    <w:p>
      <w:pPr>
        <w:spacing w:line="380" w:lineRule="exact"/>
        <w:ind w:firstLine="729" w:firstLineChars="300"/>
        <w:rPr>
          <w:rFonts w:hint="default" w:ascii="宋体" w:hAnsi="宋体" w:cs="宋体"/>
          <w:szCs w:val="21"/>
        </w:rPr>
      </w:pPr>
      <w:r>
        <w:rPr>
          <w:rFonts w:ascii="宋体" w:hAnsi="宋体" w:cs="宋体"/>
          <w:szCs w:val="21"/>
        </w:rPr>
        <w:t>鉴  证  方（签字盖章）：</w:t>
      </w:r>
    </w:p>
    <w:p>
      <w:pPr>
        <w:spacing w:line="380" w:lineRule="exact"/>
        <w:ind w:firstLine="729" w:firstLineChars="30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ascii="宋体" w:hAnsi="宋体" w:cs="宋体"/>
          <w:szCs w:val="21"/>
        </w:rPr>
        <w:t>签约时间：                                   签约地点：</w:t>
      </w:r>
    </w:p>
    <w:p>
      <w:pPr>
        <w:pStyle w:val="33"/>
        <w:keepNext/>
        <w:keepLines/>
        <w:widowControl w:val="0"/>
        <w:numPr>
          <w:ilvl w:val="0"/>
          <w:numId w:val="0"/>
        </w:numPr>
        <w:shd w:val="clear" w:color="auto" w:fill="auto"/>
        <w:bidi w:val="0"/>
        <w:spacing w:before="0" w:after="1160" w:line="240" w:lineRule="auto"/>
        <w:ind w:right="0" w:rightChars="0"/>
        <w:jc w:val="both"/>
        <w:outlineLvl w:val="1"/>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pStyle w:val="33"/>
        <w:keepNext/>
        <w:keepLines/>
        <w:widowControl w:val="0"/>
        <w:numPr>
          <w:ilvl w:val="0"/>
          <w:numId w:val="0"/>
        </w:numPr>
        <w:shd w:val="clear" w:color="auto" w:fill="auto"/>
        <w:bidi w:val="0"/>
        <w:spacing w:before="0" w:after="1160" w:line="240" w:lineRule="auto"/>
        <w:ind w:right="0" w:rightChars="0" w:firstLine="1815" w:firstLineChars="500"/>
        <w:jc w:val="both"/>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54"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5"/>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54"/>
    <w:p>
      <w:pPr>
        <w:pStyle w:val="5"/>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55" w:name="_Toc18974"/>
      <w:bookmarkStart w:id="56" w:name="_Toc18694"/>
      <w:bookmarkStart w:id="57" w:name="_Toc8919"/>
      <w:bookmarkStart w:id="58" w:name="_Toc515647803"/>
    </w:p>
    <w:p>
      <w:pPr>
        <w:pStyle w:val="5"/>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p>
    <w:p>
      <w:pPr>
        <w:pStyle w:val="5"/>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p>
    <w:p>
      <w:pPr>
        <w:pStyle w:val="5"/>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p>
    <w:p>
      <w:pPr>
        <w:pStyle w:val="5"/>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55"/>
      <w:bookmarkEnd w:id="56"/>
      <w:bookmarkEnd w:id="57"/>
      <w:bookmarkEnd w:id="58"/>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14:textFill>
            <w14:solidFill>
              <w14:schemeClr w14:val="tx1"/>
            </w14:solidFill>
          </w14:textFill>
        </w:rPr>
      </w:pPr>
    </w:p>
    <w:p>
      <w:pPr>
        <w:numPr>
          <w:ilvl w:val="0"/>
          <w:numId w:val="13"/>
        </w:num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有效的三证合一营业执照副本（经营范围包括采购货物的生产或销售）</w:t>
      </w:r>
    </w:p>
    <w:p>
      <w:pPr>
        <w:numPr>
          <w:ilvl w:val="0"/>
          <w:numId w:val="13"/>
        </w:num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4、投标单位（供应商）针对本次采购项目《反商业贿赂承诺书》，《采购活动前三年内无重大违规记录承诺书》的书面声明。</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31"/>
        <w:rPr>
          <w:rFonts w:hint="eastAsia" w:ascii="仿宋" w:hAnsi="仿宋" w:eastAsia="仿宋" w:cs="仿宋"/>
          <w:b/>
          <w:bCs/>
          <w:color w:val="000000" w:themeColor="text1"/>
          <w:sz w:val="36"/>
          <w:szCs w:val="36"/>
          <w14:textFill>
            <w14:solidFill>
              <w14:schemeClr w14:val="tx1"/>
            </w14:solidFill>
          </w14:textFill>
        </w:rPr>
      </w:pPr>
    </w:p>
    <w:p>
      <w:pPr>
        <w:pStyle w:val="11"/>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bCs/>
          <w:color w:val="000000" w:themeColor="text1"/>
          <w:sz w:val="36"/>
          <w:szCs w:val="36"/>
          <w:lang w:val="en-US" w:eastAsia="zh-CN"/>
          <w14:textFill>
            <w14:solidFill>
              <w14:schemeClr w14:val="tx1"/>
            </w14:solidFill>
          </w14:textFill>
        </w:rPr>
      </w:pPr>
      <w:bookmarkStart w:id="59" w:name="_Toc4844"/>
      <w:bookmarkStart w:id="60" w:name="_Toc515647805"/>
      <w:bookmarkStart w:id="61" w:name="_Toc29899"/>
      <w:bookmarkStart w:id="62" w:name="_Toc17577"/>
    </w:p>
    <w:p>
      <w:pPr>
        <w:pStyle w:val="11"/>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11"/>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 xml:space="preserve">1、 </w:t>
      </w:r>
      <w:bookmarkEnd w:id="59"/>
      <w:bookmarkEnd w:id="60"/>
      <w:bookmarkEnd w:id="61"/>
      <w:bookmarkEnd w:id="62"/>
      <w:r>
        <w:rPr>
          <w:rFonts w:hint="eastAsia" w:ascii="仿宋" w:hAnsi="仿宋" w:eastAsia="仿宋" w:cs="仿宋"/>
          <w:b/>
          <w:bCs/>
          <w:color w:val="000000" w:themeColor="text1"/>
          <w:sz w:val="36"/>
          <w:szCs w:val="36"/>
          <w:lang w:val="en-US" w:eastAsia="zh-CN"/>
          <w14:textFill>
            <w14:solidFill>
              <w14:schemeClr w14:val="tx1"/>
            </w14:solidFill>
          </w14:textFill>
        </w:rPr>
        <w:t>具备三证合一营业执照副本（经营范围包括采购货物的生产或销售）</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31"/>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2-1</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numPr>
          <w:ilvl w:val="0"/>
          <w:numId w:val="0"/>
        </w:numPr>
        <w:ind w:left="486" w:leftChars="0" w:right="0" w:rightChars="0"/>
        <w:rPr>
          <w:rFonts w:hint="eastAsia"/>
        </w:rPr>
      </w:pP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9"/>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9"/>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9"/>
        <w:numPr>
          <w:ilvl w:val="0"/>
          <w:numId w:val="0"/>
        </w:numPr>
        <w:kinsoku w:val="0"/>
        <w:overflowPunct w:val="0"/>
        <w:spacing w:line="200" w:lineRule="atLeast"/>
        <w:ind w:right="0" w:right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360" w:lineRule="auto"/>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盖</w:t>
      </w:r>
      <w:r>
        <w:rPr>
          <w:rFonts w:hint="eastAsia" w:ascii="仿宋" w:hAnsi="仿宋" w:eastAsia="仿宋" w:cs="仿宋"/>
          <w:color w:val="000000" w:themeColor="text1"/>
          <w:kern w:val="0"/>
          <w:sz w:val="24"/>
          <w14:textFill>
            <w14:solidFill>
              <w14:schemeClr w14:val="tx1"/>
            </w14:solidFill>
          </w14:textFill>
        </w:rPr>
        <w:t>章）</w:t>
      </w:r>
    </w:p>
    <w:p>
      <w:pPr>
        <w:wordWrap w:val="0"/>
        <w:spacing w:line="360" w:lineRule="auto"/>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lang w:eastAsia="zh-CN"/>
          <w14:textFill>
            <w14:solidFill>
              <w14:schemeClr w14:val="tx1"/>
            </w14:solidFill>
          </w14:textFill>
        </w:rPr>
        <w:t>（采购人名称）</w:t>
      </w:r>
      <w:r>
        <w:rPr>
          <w:rFonts w:hint="eastAsia" w:ascii="仿宋" w:hAnsi="仿宋" w:eastAsia="仿宋" w:cs="仿宋"/>
          <w:color w:val="000000" w:themeColor="text1"/>
          <w:kern w:val="0"/>
          <w:sz w:val="24"/>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9"/>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9"/>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9"/>
                                <w:numPr>
                                  <w:ilvl w:val="0"/>
                                  <w:numId w:val="0"/>
                                </w:numPr>
                                <w:kinsoku w:val="0"/>
                                <w:overflowPunct w:val="0"/>
                                <w:spacing w:before="12"/>
                                <w:ind w:leftChars="0" w:right="0" w:rightChars="0"/>
                                <w:rPr>
                                  <w:rFonts w:hint="eastAsia"/>
                                  <w:sz w:val="28"/>
                                  <w:szCs w:val="28"/>
                                </w:rPr>
                              </w:pPr>
                            </w:p>
                            <w:p>
                              <w:pPr>
                                <w:pStyle w:val="9"/>
                                <w:numPr>
                                  <w:ilvl w:val="0"/>
                                  <w:numId w:val="0"/>
                                </w:numPr>
                                <w:kinsoku w:val="0"/>
                                <w:overflowPunct w:val="0"/>
                                <w:ind w:right="0" w:rightChars="0"/>
                                <w:jc w:val="center"/>
                                <w:rPr>
                                  <w:rFonts w:hint="eastAsia"/>
                                </w:rPr>
                              </w:pPr>
                            </w:p>
                            <w:p>
                              <w:pPr>
                                <w:pStyle w:val="9"/>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9"/>
                          <w:numPr>
                            <w:ilvl w:val="0"/>
                            <w:numId w:val="0"/>
                          </w:numPr>
                          <w:kinsoku w:val="0"/>
                          <w:overflowPunct w:val="0"/>
                          <w:spacing w:before="12"/>
                          <w:ind w:leftChars="0" w:right="0" w:rightChars="0"/>
                          <w:rPr>
                            <w:rFonts w:hint="eastAsia"/>
                            <w:sz w:val="28"/>
                            <w:szCs w:val="28"/>
                          </w:rPr>
                        </w:pPr>
                      </w:p>
                      <w:p>
                        <w:pPr>
                          <w:pStyle w:val="9"/>
                          <w:numPr>
                            <w:ilvl w:val="0"/>
                            <w:numId w:val="0"/>
                          </w:numPr>
                          <w:kinsoku w:val="0"/>
                          <w:overflowPunct w:val="0"/>
                          <w:ind w:right="0" w:rightChars="0"/>
                          <w:jc w:val="center"/>
                          <w:rPr>
                            <w:rFonts w:hint="eastAsia"/>
                          </w:rPr>
                        </w:pPr>
                      </w:p>
                      <w:p>
                        <w:pPr>
                          <w:pStyle w:val="9"/>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授权人身份证复印件（反面）</w:t>
                        </w:r>
                      </w:p>
                    </w:txbxContent>
                  </v:textbox>
                </v:shape>
                <w10:wrap type="none"/>
                <w10:anchorlock/>
              </v:group>
            </w:pict>
          </mc:Fallback>
        </mc:AlternateContent>
      </w:r>
    </w:p>
    <w:p>
      <w:pPr>
        <w:pStyle w:val="9"/>
        <w:numPr>
          <w:ilvl w:val="0"/>
          <w:numId w:val="0"/>
        </w:numPr>
        <w:kinsoku w:val="0"/>
        <w:overflowPunct w:val="0"/>
        <w:adjustRightInd w:val="0"/>
        <w:snapToGrid w:val="0"/>
        <w:spacing w:line="200" w:lineRule="atLeast"/>
        <w:ind w:right="0" w:rightChars="0"/>
        <w:jc w:val="left"/>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pPr>
        <w:pStyle w:val="9"/>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p>
    <w:p>
      <w:pPr>
        <w:pStyle w:val="9"/>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w:t>
      </w:r>
      <w:r>
        <w:rPr>
          <w:rFonts w:hint="eastAsia" w:ascii="仿宋" w:hAnsi="仿宋" w:eastAsia="仿宋" w:cs="仿宋"/>
          <w:color w:val="000000" w:themeColor="text1"/>
          <w:sz w:val="24"/>
          <w:lang w:val="en-US" w:eastAsia="zh-CN"/>
          <w14:textFill>
            <w14:solidFill>
              <w14:schemeClr w14:val="tx1"/>
            </w14:solidFill>
          </w14:textFill>
        </w:rPr>
        <w:t>字</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9"/>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9"/>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31"/>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both"/>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val="0"/>
          <w:color w:val="000000" w:themeColor="text1"/>
          <w:sz w:val="36"/>
          <w:szCs w:val="36"/>
          <w:u w:val="none"/>
          <w:lang w:val="en-US" w:eastAsia="zh-CN"/>
          <w14:textFill>
            <w14:solidFill>
              <w14:schemeClr w14:val="tx1"/>
            </w14:solidFill>
          </w14:textFill>
        </w:rPr>
      </w:pPr>
      <w:r>
        <w:rPr>
          <w:rFonts w:hint="eastAsia" w:ascii="仿宋" w:hAnsi="仿宋" w:eastAsia="仿宋" w:cs="仿宋"/>
          <w:b/>
          <w:bCs w:val="0"/>
          <w:color w:val="000000" w:themeColor="text1"/>
          <w:sz w:val="36"/>
          <w:szCs w:val="36"/>
          <w:u w:val="none"/>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both"/>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6"/>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7"/>
        <w:rPr>
          <w:rFonts w:hint="eastAsia"/>
          <w:lang w:val="en-US" w:eastAsia="zh-CN"/>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4、投标企业及其法人参加本次采购活动前三年内，在经营活动中没有重大违法记录的声明</w:t>
      </w:r>
    </w:p>
    <w:p>
      <w:pPr>
        <w:pStyle w:val="11"/>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autoSpaceDE w:val="0"/>
        <w:autoSpaceDN w:val="0"/>
        <w:spacing w:line="640" w:lineRule="exact"/>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我单位对上述声明的真实性负责。如有虚假，将依法承担相应责任。</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wordWrap/>
        <w:autoSpaceDE w:val="0"/>
        <w:autoSpaceDN w:val="0"/>
        <w:spacing w:line="588" w:lineRule="exact"/>
        <w:ind w:firstLine="3402" w:firstLineChars="1400"/>
        <w:jc w:val="left"/>
        <w:rPr>
          <w:rFonts w:hint="default" w:ascii="仿宋" w:hAnsi="仿宋" w:eastAsia="仿宋" w:cs="仿宋"/>
          <w:sz w:val="24"/>
          <w:szCs w:val="24"/>
          <w:u w:val="single"/>
          <w:lang w:val="en-US" w:eastAsia="zh-CN"/>
        </w:rPr>
      </w:pPr>
      <w:r>
        <w:rPr>
          <w:rFonts w:hint="eastAsia" w:ascii="仿宋" w:hAnsi="仿宋" w:eastAsia="仿宋" w:cs="仿宋"/>
          <w:sz w:val="24"/>
          <w:szCs w:val="24"/>
          <w:lang w:val="zh-CN"/>
        </w:rPr>
        <w:t>投标人名称（盖章）：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wordWrap w:val="0"/>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法定代表人（签章）：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wordWrap/>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授权代理人（签字）：</w:t>
      </w:r>
      <w:r>
        <w:rPr>
          <w:rFonts w:hint="eastAsia" w:ascii="仿宋" w:hAnsi="仿宋" w:eastAsia="仿宋" w:cs="仿宋"/>
          <w:sz w:val="24"/>
          <w:szCs w:val="24"/>
          <w:u w:val="single"/>
        </w:rPr>
        <w:t xml:space="preserve">                    </w:t>
      </w:r>
    </w:p>
    <w:p>
      <w:pPr>
        <w:autoSpaceDE w:val="0"/>
        <w:autoSpaceDN w:val="0"/>
        <w:spacing w:line="588" w:lineRule="exact"/>
        <w:jc w:val="left"/>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____年__月__日</w:t>
      </w: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5、反商业受贿承诺</w:t>
      </w:r>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（招标人名称）：</w:t>
      </w:r>
    </w:p>
    <w:p>
      <w:pPr>
        <w:pStyle w:val="6"/>
        <w:rPr>
          <w:rFonts w:hint="eastAsia" w:ascii="仿宋" w:hAnsi="仿宋" w:eastAsia="仿宋" w:cs="仿宋"/>
          <w:lang w:val="en-US" w:eastAsia="zh-CN"/>
        </w:rPr>
      </w:pPr>
      <w:r>
        <w:rPr>
          <w:rFonts w:hint="eastAsia" w:ascii="仿宋" w:hAnsi="仿宋" w:eastAsia="仿宋" w:cs="仿宋"/>
          <w:lang w:val="en-US"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6"/>
        <w:rPr>
          <w:rFonts w:hint="eastAsia" w:ascii="仿宋" w:hAnsi="仿宋" w:eastAsia="仿宋" w:cs="仿宋"/>
          <w:lang w:val="en-US" w:eastAsia="zh-CN"/>
        </w:rPr>
      </w:pPr>
      <w:r>
        <w:rPr>
          <w:rFonts w:hint="eastAsia" w:ascii="仿宋" w:hAnsi="仿宋" w:eastAsia="仿宋" w:cs="仿宋"/>
          <w:lang w:val="en-US"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6"/>
        <w:rPr>
          <w:rFonts w:hint="eastAsia" w:ascii="仿宋" w:hAnsi="仿宋" w:eastAsia="仿宋" w:cs="仿宋"/>
          <w:lang w:val="en-US" w:eastAsia="zh-CN"/>
        </w:rPr>
      </w:pPr>
      <w:r>
        <w:rPr>
          <w:rFonts w:hint="eastAsia" w:ascii="仿宋" w:hAnsi="仿宋" w:eastAsia="仿宋" w:cs="仿宋"/>
          <w:lang w:val="en-US" w:eastAsia="zh-CN"/>
        </w:rPr>
        <w:t>二、不向采购人、招标公司和评审专家提供任何形式的商业贿赂；对索取或接受商业贿赂的单位和个人，及时向主管部门和纪检监察机关举报。</w:t>
      </w:r>
    </w:p>
    <w:p>
      <w:pPr>
        <w:pStyle w:val="6"/>
        <w:rPr>
          <w:rFonts w:hint="eastAsia" w:ascii="仿宋" w:hAnsi="仿宋" w:eastAsia="仿宋" w:cs="仿宋"/>
          <w:lang w:val="en-US" w:eastAsia="zh-CN"/>
        </w:rPr>
      </w:pPr>
      <w:r>
        <w:rPr>
          <w:rFonts w:hint="eastAsia" w:ascii="仿宋" w:hAnsi="仿宋" w:eastAsia="仿宋" w:cs="仿宋"/>
          <w:lang w:val="en-US" w:eastAsia="zh-CN"/>
        </w:rPr>
        <w:t>三、不以提供虚假资质文件等形式参与招标活动，不以虚假材料谋取中标。</w:t>
      </w:r>
    </w:p>
    <w:p>
      <w:pPr>
        <w:pStyle w:val="6"/>
        <w:rPr>
          <w:rFonts w:hint="eastAsia" w:ascii="仿宋" w:hAnsi="仿宋" w:eastAsia="仿宋" w:cs="仿宋"/>
          <w:lang w:val="en-US" w:eastAsia="zh-CN"/>
        </w:rPr>
      </w:pPr>
      <w:r>
        <w:rPr>
          <w:rFonts w:hint="eastAsia" w:ascii="仿宋" w:hAnsi="仿宋" w:eastAsia="仿宋" w:cs="仿宋"/>
          <w:lang w:val="en-US" w:eastAsia="zh-CN"/>
        </w:rPr>
        <w:t>四、不采取不正当手段诋毁、排挤其他投标人，与其他参与招标活动投标人保持良性的竞争关系。</w:t>
      </w:r>
    </w:p>
    <w:p>
      <w:pPr>
        <w:pStyle w:val="6"/>
        <w:rPr>
          <w:rFonts w:hint="eastAsia" w:ascii="仿宋" w:hAnsi="仿宋" w:eastAsia="仿宋" w:cs="仿宋"/>
          <w:lang w:val="en-US" w:eastAsia="zh-CN"/>
        </w:rPr>
      </w:pPr>
      <w:r>
        <w:rPr>
          <w:rFonts w:hint="eastAsia" w:ascii="仿宋" w:hAnsi="仿宋" w:eastAsia="仿宋" w:cs="仿宋"/>
          <w:lang w:val="en-US" w:eastAsia="zh-CN"/>
        </w:rPr>
        <w:t>五、不与采购人、招标公司和评审专家恶意串通，自觉维护招标公平竞争的市场秩序。</w:t>
      </w:r>
    </w:p>
    <w:p>
      <w:pPr>
        <w:pStyle w:val="6"/>
        <w:rPr>
          <w:rFonts w:hint="eastAsia" w:ascii="仿宋" w:hAnsi="仿宋" w:eastAsia="仿宋" w:cs="仿宋"/>
          <w:lang w:val="en-US" w:eastAsia="zh-CN"/>
        </w:rPr>
      </w:pPr>
      <w:r>
        <w:rPr>
          <w:rFonts w:hint="eastAsia" w:ascii="仿宋" w:hAnsi="仿宋" w:eastAsia="仿宋" w:cs="仿宋"/>
          <w:lang w:val="en-US" w:eastAsia="zh-CN"/>
        </w:rPr>
        <w:t>六、不与其他投标人串通采取围标、陪标等商业欺诈手段谋取中标，积极维护国家利益、社会公共利益和采购人的合法权益。</w:t>
      </w:r>
    </w:p>
    <w:p>
      <w:pPr>
        <w:pStyle w:val="6"/>
        <w:rPr>
          <w:rFonts w:hint="eastAsia" w:ascii="仿宋" w:hAnsi="仿宋" w:eastAsia="仿宋" w:cs="仿宋"/>
          <w:lang w:val="en-US" w:eastAsia="zh-CN"/>
        </w:rPr>
      </w:pPr>
      <w:r>
        <w:rPr>
          <w:rFonts w:hint="eastAsia" w:ascii="仿宋" w:hAnsi="仿宋" w:eastAsia="仿宋" w:cs="仿宋"/>
          <w:lang w:val="en-US" w:eastAsia="zh-CN"/>
        </w:rPr>
        <w:t>七、严格履行招标合同约定义务，不在招标合同执行过程中采取降低质量或标准、减少数量、拖延交付时间等方式损害采购人的利益，并自觉承担违约责任。</w:t>
      </w:r>
    </w:p>
    <w:p>
      <w:pPr>
        <w:pStyle w:val="6"/>
        <w:rPr>
          <w:rFonts w:hint="eastAsia" w:ascii="仿宋" w:hAnsi="仿宋" w:eastAsia="仿宋" w:cs="仿宋"/>
          <w:lang w:val="en-US" w:eastAsia="zh-CN"/>
        </w:rPr>
      </w:pPr>
      <w:r>
        <w:rPr>
          <w:rFonts w:hint="eastAsia" w:ascii="仿宋" w:hAnsi="仿宋" w:eastAsia="仿宋" w:cs="仿宋"/>
          <w:lang w:val="en-US" w:eastAsia="zh-CN"/>
        </w:rPr>
        <w:t>八、自觉接受并积极配合主管部门和纪检监察机关依法实施的监督检查，如实反映情况，及时提供有关证明材料。</w:t>
      </w:r>
    </w:p>
    <w:p>
      <w:pPr>
        <w:pStyle w:val="6"/>
        <w:rPr>
          <w:rFonts w:hint="eastAsia" w:ascii="仿宋" w:hAnsi="仿宋" w:eastAsia="仿宋" w:cs="仿宋"/>
          <w:lang w:val="en-US" w:eastAsia="zh-CN"/>
        </w:rPr>
      </w:pPr>
    </w:p>
    <w:p>
      <w:pPr>
        <w:pStyle w:val="6"/>
        <w:ind w:firstLine="3584" w:firstLineChars="1475"/>
        <w:rPr>
          <w:rFonts w:hint="eastAsia" w:ascii="仿宋" w:hAnsi="仿宋" w:eastAsia="仿宋" w:cs="仿宋"/>
          <w:lang w:val="en-US" w:eastAsia="zh-CN"/>
        </w:rPr>
      </w:pPr>
    </w:p>
    <w:p>
      <w:pPr>
        <w:pStyle w:val="6"/>
        <w:spacing w:line="360" w:lineRule="auto"/>
        <w:ind w:firstLine="3827" w:firstLineChars="1575"/>
        <w:rPr>
          <w:rFonts w:hint="eastAsia" w:ascii="仿宋" w:hAnsi="仿宋" w:eastAsia="仿宋" w:cs="仿宋"/>
          <w:lang w:val="en-US" w:eastAsia="zh-CN"/>
        </w:rPr>
      </w:pPr>
      <w:r>
        <w:rPr>
          <w:rFonts w:hint="eastAsia" w:ascii="仿宋" w:hAnsi="仿宋" w:eastAsia="仿宋" w:cs="仿宋"/>
          <w:lang w:val="en-US" w:eastAsia="zh-CN"/>
        </w:rPr>
        <w:t>投标人名称（公章）：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6"/>
        <w:spacing w:line="360" w:lineRule="auto"/>
        <w:rPr>
          <w:rFonts w:hint="default" w:ascii="仿宋" w:hAnsi="仿宋" w:eastAsia="仿宋" w:cs="仿宋"/>
          <w:lang w:val="en-US" w:eastAsia="zh-CN"/>
        </w:rPr>
      </w:pPr>
      <w:r>
        <w:rPr>
          <w:rFonts w:hint="eastAsia" w:ascii="仿宋" w:hAnsi="仿宋" w:eastAsia="仿宋" w:cs="仿宋"/>
          <w:lang w:val="en-US" w:eastAsia="zh-CN"/>
        </w:rPr>
        <w:t xml:space="preserve">                            法定代表人（签章）：</w:t>
      </w:r>
      <w:r>
        <w:rPr>
          <w:rFonts w:hint="eastAsia" w:ascii="仿宋" w:hAnsi="仿宋" w:eastAsia="仿宋" w:cs="仿宋"/>
          <w:u w:val="single"/>
          <w:lang w:val="en-US" w:eastAsia="zh-CN"/>
        </w:rPr>
        <w:t xml:space="preserve">                     </w:t>
      </w:r>
    </w:p>
    <w:p>
      <w:pPr>
        <w:pStyle w:val="6"/>
        <w:spacing w:line="360" w:lineRule="auto"/>
        <w:ind w:firstLine="3827" w:firstLineChars="1575"/>
        <w:rPr>
          <w:rFonts w:hint="default" w:ascii="仿宋" w:hAnsi="仿宋" w:eastAsia="仿宋" w:cs="仿宋"/>
          <w:lang w:val="en-US" w:eastAsia="zh-CN"/>
        </w:rPr>
      </w:pPr>
      <w:r>
        <w:rPr>
          <w:rFonts w:hint="eastAsia" w:ascii="仿宋" w:hAnsi="仿宋" w:eastAsia="仿宋" w:cs="仿宋"/>
          <w:lang w:val="en-US" w:eastAsia="zh-CN"/>
        </w:rPr>
        <w:t>授权代表（签字）：</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 xml:space="preserve"> </w:t>
      </w:r>
    </w:p>
    <w:p>
      <w:pPr>
        <w:pStyle w:val="6"/>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____年__月__日</w:t>
      </w:r>
    </w:p>
    <w:p>
      <w:pPr>
        <w:pStyle w:val="6"/>
        <w:rPr>
          <w:rFonts w:hint="eastAsia"/>
          <w:lang w:val="en-US" w:eastAsia="zh-CN"/>
        </w:rPr>
      </w:pPr>
    </w:p>
    <w:p>
      <w:pPr>
        <w:pStyle w:val="5"/>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6、</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63" w:name="_Toc494296665"/>
      <w:bookmarkStart w:id="64" w:name="_Toc494296991"/>
    </w:p>
    <w:bookmarkEnd w:id="63"/>
    <w:bookmarkEnd w:id="64"/>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汇款凭证</w:t>
            </w:r>
          </w:p>
        </w:tc>
      </w:tr>
    </w:tbl>
    <w:p>
      <w:pPr>
        <w:pStyle w:val="6"/>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打款凭证</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hd w:val="clear" w:color="auto" w:fill="auto"/>
        <w:jc w:val="both"/>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7、</w:t>
      </w:r>
      <w:r>
        <w:rPr>
          <w:rFonts w:hint="eastAsia" w:ascii="仿宋" w:hAnsi="仿宋" w:eastAsia="仿宋" w:cs="仿宋"/>
          <w:b/>
          <w:bCs/>
          <w:color w:val="000000" w:themeColor="text1"/>
          <w:sz w:val="36"/>
          <w:szCs w:val="36"/>
          <w14:textFill>
            <w14:solidFill>
              <w14:schemeClr w14:val="tx1"/>
            </w14:solidFill>
          </w14:textFill>
        </w:rPr>
        <w:t>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1、中小微企业声明函</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2、投标人须知表内投标人须提供的其他资格证明</w:t>
      </w: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6"/>
          <w:szCs w:val="36"/>
          <w:highlight w:val="none"/>
          <w14:textFill>
            <w14:solidFill>
              <w14:schemeClr w14:val="tx1"/>
            </w14:solidFill>
          </w14:textFill>
        </w:rPr>
      </w:pPr>
    </w:p>
    <w:p>
      <w:pPr>
        <w:pStyle w:val="7"/>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7"/>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7"/>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7"/>
        <w:rPr>
          <w:rFonts w:hint="eastAsia"/>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bookmarkStart w:id="65" w:name="_Toc515647816"/>
      <w:bookmarkStart w:id="66" w:name="_Toc22967"/>
      <w:bookmarkStart w:id="67" w:name="_Toc5695"/>
      <w:bookmarkStart w:id="68" w:name="_Toc11180"/>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ascii="仿宋" w:hAnsi="仿宋" w:eastAsia="仿宋" w:cs="仿宋"/>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969" w:firstLineChars="300"/>
        <w:jc w:val="center"/>
        <w:textAlignment w:val="auto"/>
        <w:rPr>
          <w:rFonts w:hint="eastAsia" w:ascii="仿宋" w:hAnsi="仿宋" w:eastAsia="仿宋" w:cs="仿宋"/>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969" w:firstLineChars="300"/>
        <w:jc w:val="center"/>
        <w:textAlignment w:val="auto"/>
        <w:rPr>
          <w:rFonts w:hint="eastAsia" w:ascii="仿宋" w:hAnsi="仿宋" w:eastAsia="仿宋" w:cs="仿宋"/>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969" w:firstLineChars="3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65"/>
      <w:bookmarkEnd w:id="66"/>
      <w:bookmarkEnd w:id="67"/>
      <w:bookmarkEnd w:id="68"/>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31"/>
        <w:rPr>
          <w:rFonts w:hint="eastAsia" w:ascii="仿宋" w:hAnsi="仿宋" w:eastAsia="仿宋" w:cs="仿宋"/>
          <w:color w:val="auto"/>
          <w:sz w:val="24"/>
          <w:highlight w:val="none"/>
        </w:rPr>
      </w:pPr>
      <w:r>
        <w:rPr>
          <w:rFonts w:hint="eastAsia" w:ascii="仿宋" w:hAnsi="仿宋" w:eastAsia="仿宋" w:cs="仿宋"/>
        </w:rPr>
        <w:br w:type="page"/>
      </w:r>
    </w:p>
    <w:p>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20"/>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5"/>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3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3、货物说明一览表</w:t>
      </w:r>
    </w:p>
    <w:p>
      <w:pPr>
        <w:pStyle w:val="11"/>
        <w:shd w:val="clear" w:color="auto" w:fill="auto"/>
        <w:spacing w:line="240" w:lineRule="atLeast"/>
        <w:rPr>
          <w:rFonts w:hint="eastAsia" w:ascii="仿宋" w:hAnsi="仿宋" w:eastAsia="仿宋" w:cs="仿宋"/>
          <w:color w:val="auto"/>
          <w:sz w:val="24"/>
          <w:highlight w:val="none"/>
        </w:rPr>
      </w:pPr>
    </w:p>
    <w:p>
      <w:pPr>
        <w:pStyle w:val="11"/>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pPr>
        <w:pStyle w:val="11"/>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p>
    <w:tbl>
      <w:tblPr>
        <w:tblStyle w:val="20"/>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13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1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16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品牌</w:t>
            </w:r>
          </w:p>
        </w:tc>
        <w:tc>
          <w:tcPr>
            <w:tcW w:w="116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164" w:leftChars="257" w:hanging="540"/>
        <w:rPr>
          <w:rFonts w:hint="eastAsia" w:ascii="仿宋" w:hAnsi="仿宋" w:eastAsia="仿宋" w:cs="仿宋"/>
          <w:color w:val="auto"/>
          <w:sz w:val="24"/>
          <w:highlight w:val="none"/>
        </w:rPr>
      </w:pPr>
    </w:p>
    <w:p>
      <w:pPr>
        <w:pStyle w:val="11"/>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1"/>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1"/>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pPr>
        <w:pStyle w:val="11"/>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pPr>
        <w:pStyle w:val="11"/>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pPr>
        <w:pStyle w:val="11"/>
        <w:shd w:val="clear" w:color="auto" w:fill="auto"/>
        <w:spacing w:line="240" w:lineRule="atLeast"/>
        <w:ind w:left="1164" w:leftChars="257" w:hanging="540"/>
        <w:rPr>
          <w:rFonts w:hint="eastAsia" w:ascii="宋体" w:hAnsi="宋体" w:eastAsia="宋体" w:cs="宋体"/>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9" w:type="default"/>
          <w:footerReference r:id="rId10" w:type="default"/>
          <w:pgSz w:w="11905" w:h="16838"/>
          <w:pgMar w:top="1440" w:right="1108" w:bottom="1440" w:left="1797" w:header="850" w:footer="992" w:gutter="0"/>
          <w:pgNumType w:fmt="decimal"/>
          <w:cols w:space="720" w:num="1"/>
          <w:rtlGutter w:val="0"/>
          <w:docGrid w:type="linesAndChars" w:linePitch="325" w:charSpace="635"/>
        </w:sectPr>
      </w:pPr>
    </w:p>
    <w:p>
      <w:pPr>
        <w:pStyle w:val="3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pStyle w:val="11"/>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0"/>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47"/>
        <w:gridCol w:w="751"/>
        <w:gridCol w:w="664"/>
        <w:gridCol w:w="664"/>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pPr>
        <w:pStyle w:val="37"/>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pPr>
        <w:pStyle w:val="37"/>
        <w:keepNext w:val="0"/>
        <w:keepLines w:val="0"/>
        <w:widowControl w:val="0"/>
        <w:numPr>
          <w:ilvl w:val="0"/>
          <w:numId w:val="14"/>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7"/>
        <w:keepNext w:val="0"/>
        <w:keepLines w:val="0"/>
        <w:widowControl w:val="0"/>
        <w:numPr>
          <w:ilvl w:val="0"/>
          <w:numId w:val="14"/>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7"/>
        <w:keepNext w:val="0"/>
        <w:keepLines w:val="0"/>
        <w:widowControl w:val="0"/>
        <w:numPr>
          <w:ilvl w:val="0"/>
          <w:numId w:val="14"/>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9"/>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9"/>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9"/>
        <w:numPr>
          <w:ilvl w:val="0"/>
          <w:numId w:val="0"/>
        </w:numPr>
        <w:shd w:val="clear" w:color="auto" w:fill="auto"/>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9"/>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pPr>
        <w:pStyle w:val="3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hint="eastAsia" w:ascii="仿宋" w:hAnsi="仿宋" w:eastAsia="仿宋" w:cs="仿宋"/>
          <w:sz w:val="24"/>
        </w:rPr>
      </w:pPr>
    </w:p>
    <w:p>
      <w:pPr>
        <w:pStyle w:val="11"/>
        <w:tabs>
          <w:tab w:val="left" w:pos="5580"/>
        </w:tabs>
        <w:spacing w:line="360" w:lineRule="auto"/>
        <w:ind w:firstLine="3600" w:firstLineChars="1500"/>
        <w:rPr>
          <w:rFonts w:hint="eastAsia" w:ascii="仿宋" w:hAnsi="仿宋" w:eastAsia="仿宋" w:cs="仿宋"/>
          <w:sz w:val="24"/>
        </w:rPr>
      </w:pPr>
    </w:p>
    <w:p>
      <w:pPr>
        <w:pStyle w:val="11"/>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（盖章）                    </w:t>
      </w:r>
    </w:p>
    <w:p>
      <w:pPr>
        <w:pStyle w:val="11"/>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pPr>
        <w:pStyle w:val="11"/>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7"/>
        <w:rPr>
          <w:rFonts w:hint="eastAsia" w:ascii="仿宋" w:hAnsi="仿宋" w:eastAsia="仿宋" w:cs="仿宋"/>
          <w:b/>
          <w:bCs/>
          <w:sz w:val="36"/>
          <w:szCs w:val="36"/>
        </w:rPr>
      </w:pPr>
    </w:p>
    <w:p>
      <w:pPr>
        <w:rPr>
          <w:rFonts w:hint="eastAsia" w:ascii="仿宋" w:hAnsi="仿宋" w:eastAsia="仿宋" w:cs="仿宋"/>
        </w:rPr>
      </w:pP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4"/>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pPr>
        <w:pStyle w:val="3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9"/>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9"/>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9"/>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34"/>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5"/>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pPr>
        <w:pStyle w:val="9"/>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4"/>
              <w:rPr>
                <w:rFonts w:hint="eastAsia" w:ascii="仿宋" w:hAnsi="仿宋" w:eastAsia="仿宋" w:cs="仿宋"/>
                <w:b/>
                <w:bCs/>
                <w:sz w:val="20"/>
                <w:szCs w:val="20"/>
              </w:rPr>
            </w:pPr>
          </w:p>
          <w:p>
            <w:pPr>
              <w:pStyle w:val="38"/>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4"/>
              <w:rPr>
                <w:rFonts w:hint="eastAsia" w:ascii="仿宋" w:hAnsi="仿宋" w:eastAsia="仿宋" w:cs="仿宋"/>
                <w:b/>
                <w:bCs/>
                <w:sz w:val="20"/>
                <w:szCs w:val="20"/>
              </w:rPr>
            </w:pPr>
          </w:p>
          <w:p>
            <w:pPr>
              <w:pStyle w:val="38"/>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rPr>
                <w:rFonts w:hint="eastAsia" w:ascii="仿宋" w:hAnsi="仿宋" w:eastAsia="仿宋" w:cs="仿宋"/>
                <w:b/>
                <w:bCs/>
              </w:rPr>
            </w:pPr>
          </w:p>
          <w:p>
            <w:pPr>
              <w:pStyle w:val="38"/>
              <w:kinsoku w:val="0"/>
              <w:overflowPunct w:val="0"/>
              <w:rPr>
                <w:rFonts w:hint="eastAsia" w:ascii="仿宋" w:hAnsi="仿宋" w:eastAsia="仿宋" w:cs="仿宋"/>
                <w:b/>
                <w:bCs/>
              </w:rPr>
            </w:pPr>
          </w:p>
          <w:p>
            <w:pPr>
              <w:pStyle w:val="38"/>
              <w:kinsoku w:val="0"/>
              <w:overflowPunct w:val="0"/>
              <w:rPr>
                <w:rFonts w:hint="eastAsia" w:ascii="仿宋" w:hAnsi="仿宋" w:eastAsia="仿宋" w:cs="仿宋"/>
                <w:b/>
                <w:bCs/>
              </w:rPr>
            </w:pPr>
          </w:p>
          <w:p>
            <w:pPr>
              <w:pStyle w:val="38"/>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8"/>
              <w:kinsoku w:val="0"/>
              <w:overflowPunct w:val="0"/>
              <w:spacing w:before="144"/>
              <w:ind w:left="118"/>
              <w:jc w:val="center"/>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有健康证人</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lang w:val="en-US" w:eastAsia="zh-CN"/>
              </w:rPr>
            </w:pPr>
            <w:r>
              <w:rPr>
                <w:rFonts w:hint="eastAsia" w:ascii="仿宋" w:hAnsi="仿宋" w:eastAsia="仿宋" w:cs="仿宋"/>
                <w:lang w:eastAsia="zh-CN"/>
              </w:rPr>
              <w:t>（大于等于</w:t>
            </w:r>
            <w:r>
              <w:rPr>
                <w:rFonts w:hint="eastAsia" w:ascii="仿宋" w:hAnsi="仿宋" w:eastAsia="仿宋" w:cs="仿宋"/>
                <w:lang w:val="en-US" w:eastAsia="zh-CN"/>
              </w:rPr>
              <w:t>3人</w:t>
            </w:r>
            <w:r>
              <w:rPr>
                <w:rFonts w:hint="eastAsia" w:ascii="仿宋" w:hAnsi="仿宋" w:eastAsia="仿宋" w:cs="仿宋"/>
                <w:lang w:eastAsia="zh-CN"/>
              </w:rPr>
              <w:t>）</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8"/>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8"/>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8"/>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autoSpaceDE w:val="0"/>
        <w:autoSpaceDN w:val="0"/>
        <w:spacing w:line="6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pStyle w:val="7"/>
        <w:rPr>
          <w:rFonts w:hint="eastAsia" w:ascii="仿宋" w:hAnsi="仿宋" w:eastAsia="仿宋" w:cs="仿宋"/>
          <w:b/>
          <w:bCs/>
          <w:color w:val="000000"/>
          <w:spacing w:val="0"/>
          <w:w w:val="100"/>
          <w:position w:val="0"/>
          <w:sz w:val="36"/>
          <w:szCs w:val="36"/>
          <w:lang w:val="en-US" w:eastAsia="zh-CN"/>
        </w:rPr>
      </w:pPr>
    </w:p>
    <w:p>
      <w:pPr>
        <w:rPr>
          <w:rFonts w:hint="eastAsia"/>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5"/>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w:t>
      </w:r>
      <w:r>
        <w:rPr>
          <w:rFonts w:hint="eastAsia" w:ascii="仿宋" w:hAnsi="仿宋" w:eastAsia="仿宋" w:cs="仿宋"/>
          <w:color w:val="auto"/>
          <w:sz w:val="24"/>
          <w:highlight w:val="none"/>
          <w:lang w:val="en-US" w:eastAsia="zh-CN"/>
        </w:rPr>
        <w:t>项目保障及安全方案；</w:t>
      </w:r>
      <w:r>
        <w:rPr>
          <w:rFonts w:hint="eastAsia" w:ascii="仿宋" w:hAnsi="仿宋" w:eastAsia="仿宋" w:cs="仿宋"/>
          <w:color w:val="auto"/>
          <w:sz w:val="24"/>
          <w:highlight w:val="none"/>
          <w:lang w:eastAsia="zh-CN"/>
        </w:rPr>
        <w:t>培训计划；</w:t>
      </w:r>
      <w:r>
        <w:rPr>
          <w:rFonts w:hint="eastAsia" w:ascii="仿宋" w:hAnsi="仿宋" w:eastAsia="仿宋" w:cs="仿宋"/>
          <w:color w:val="auto"/>
          <w:sz w:val="24"/>
          <w:highlight w:val="none"/>
          <w:lang w:val="en-US" w:eastAsia="zh-CN"/>
        </w:rPr>
        <w:t>合理化建议</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章（自然人投标的无需盖章，需要签字）。</w:t>
      </w:r>
    </w:p>
    <w:p>
      <w:pPr>
        <w:pStyle w:val="7"/>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5"/>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pPr>
        <w:pStyle w:val="11"/>
        <w:shd w:val="clear" w:color="auto" w:fill="auto"/>
        <w:tabs>
          <w:tab w:val="left" w:pos="5580"/>
        </w:tabs>
        <w:spacing w:line="240" w:lineRule="atLeast"/>
        <w:rPr>
          <w:rFonts w:hint="eastAsia" w:ascii="仿宋" w:hAnsi="仿宋" w:eastAsia="仿宋" w:cs="仿宋"/>
          <w:color w:val="auto"/>
          <w:sz w:val="24"/>
          <w:highlight w:val="none"/>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w:t>
      </w:r>
      <w:r>
        <w:rPr>
          <w:rFonts w:hint="eastAsia" w:ascii="仿宋" w:hAnsi="仿宋" w:eastAsia="仿宋" w:cs="仿宋"/>
          <w:color w:val="auto"/>
          <w:sz w:val="24"/>
          <w:highlight w:val="none"/>
          <w:lang w:val="en-US" w:eastAsia="zh-CN"/>
        </w:rPr>
        <w:t>备品备件；</w:t>
      </w:r>
      <w:r>
        <w:rPr>
          <w:rFonts w:hint="eastAsia" w:ascii="仿宋" w:hAnsi="仿宋" w:eastAsia="仿宋" w:cs="仿宋"/>
          <w:color w:val="auto"/>
          <w:sz w:val="24"/>
          <w:highlight w:val="none"/>
          <w:lang w:eastAsia="zh-CN"/>
        </w:rPr>
        <w:t>交货期等）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6"/>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7"/>
        <w:rPr>
          <w:rFonts w:hint="eastAsia"/>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pStyle w:val="15"/>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2"/>
        <w:rPr>
          <w:rFonts w:hint="eastAsia"/>
        </w:rPr>
      </w:pPr>
    </w:p>
    <w:p>
      <w:pPr>
        <w:rPr>
          <w:rFonts w:hint="eastAsia"/>
        </w:rPr>
      </w:pPr>
    </w:p>
    <w:p>
      <w:pPr>
        <w:pStyle w:val="28"/>
        <w:rPr>
          <w:rFonts w:hint="eastAsia"/>
        </w:rPr>
      </w:pPr>
    </w:p>
    <w:p>
      <w:pPr>
        <w:rPr>
          <w:rFonts w:hint="eastAsia"/>
        </w:rPr>
      </w:pPr>
    </w:p>
    <w:p>
      <w:pPr>
        <w:pStyle w:val="28"/>
        <w:rPr>
          <w:rFonts w:hint="eastAsia"/>
        </w:rPr>
      </w:pPr>
    </w:p>
    <w:p>
      <w:pPr>
        <w:rPr>
          <w:rFonts w:hint="eastAsia"/>
        </w:rPr>
      </w:pPr>
    </w:p>
    <w:p>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69" w:name="_Hlk71925120"/>
      <w:r>
        <w:rPr>
          <w:rFonts w:hint="eastAsia" w:ascii="仿宋" w:hAnsi="仿宋" w:eastAsia="仿宋" w:cs="仿宋"/>
          <w:color w:val="auto"/>
          <w:sz w:val="24"/>
          <w:szCs w:val="24"/>
        </w:rPr>
        <w:t>《关于印发中小企业划型标准规定的通知》（工信部联企业〔2011〕300 号</w:t>
      </w:r>
      <w:bookmarkEnd w:id="69"/>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pPr>
        <w:rPr>
          <w:rFonts w:ascii="宋体" w:hAnsi="宋体" w:eastAsia="宋体"/>
          <w:b/>
          <w:color w:val="auto"/>
        </w:rPr>
      </w:pPr>
      <w:r>
        <w:rPr>
          <w:rFonts w:ascii="宋体" w:hAnsi="宋体" w:eastAsia="宋体"/>
          <w:b/>
          <w:color w:val="auto"/>
        </w:rPr>
        <w:br w:type="page"/>
      </w:r>
    </w:p>
    <w:p>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w:t>
      </w:r>
      <w:r>
        <w:rPr>
          <w:rFonts w:hint="eastAsia" w:ascii="仿宋" w:hAnsi="仿宋" w:eastAsia="仿宋" w:cs="仿宋"/>
          <w:color w:val="auto"/>
          <w:szCs w:val="21"/>
          <w:lang w:val="en-US" w:eastAsia="zh-CN"/>
        </w:rPr>
        <w:t>公司（联合体）</w:t>
      </w:r>
      <w:r>
        <w:rPr>
          <w:rFonts w:hint="eastAsia" w:ascii="仿宋" w:hAnsi="仿宋" w:eastAsia="仿宋" w:cs="仿宋"/>
          <w:color w:val="auto"/>
          <w:szCs w:val="21"/>
        </w:rPr>
        <w:t>郑重声明，根据《政府采购促进中小企业发展管理办法》（财库﹝2020﹞46 号）的规定，本</w:t>
      </w:r>
      <w:r>
        <w:rPr>
          <w:rFonts w:hint="eastAsia" w:ascii="仿宋" w:hAnsi="仿宋" w:eastAsia="仿宋" w:cs="仿宋"/>
          <w:color w:val="auto"/>
          <w:szCs w:val="21"/>
          <w:lang w:val="en-US" w:eastAsia="zh-CN"/>
        </w:rPr>
        <w:t>公司（联合体）</w:t>
      </w:r>
      <w:r>
        <w:rPr>
          <w:rFonts w:hint="eastAsia" w:ascii="仿宋" w:hAnsi="仿宋" w:eastAsia="仿宋" w:cs="仿宋"/>
          <w:color w:val="auto"/>
          <w:szCs w:val="21"/>
        </w:rPr>
        <w:t>参加</w:t>
      </w:r>
      <w:r>
        <w:rPr>
          <w:rFonts w:hint="eastAsia" w:ascii="仿宋" w:hAnsi="仿宋" w:eastAsia="仿宋" w:cs="仿宋"/>
          <w:b/>
          <w:bCs/>
          <w:color w:val="auto"/>
          <w:szCs w:val="21"/>
          <w:u w:val="single"/>
        </w:rPr>
        <w:t>（</w:t>
      </w:r>
      <w:r>
        <w:rPr>
          <w:rFonts w:hint="eastAsia" w:ascii="仿宋" w:hAnsi="仿宋" w:eastAsia="仿宋" w:cs="仿宋"/>
          <w:b/>
          <w:bCs/>
          <w:color w:val="auto"/>
          <w:szCs w:val="21"/>
          <w:u w:val="single"/>
          <w:lang w:val="en-US" w:eastAsia="zh-CN"/>
        </w:rPr>
        <w:t>单位</w:t>
      </w:r>
      <w:r>
        <w:rPr>
          <w:rFonts w:hint="eastAsia" w:ascii="仿宋" w:hAnsi="仿宋" w:eastAsia="仿宋" w:cs="仿宋"/>
          <w:b/>
          <w:bCs/>
          <w:color w:val="auto"/>
          <w:szCs w:val="21"/>
          <w:u w:val="single"/>
        </w:rPr>
        <w:t>名称）</w:t>
      </w:r>
      <w:r>
        <w:rPr>
          <w:rFonts w:hint="eastAsia" w:ascii="仿宋" w:hAnsi="仿宋" w:eastAsia="仿宋" w:cs="仿宋"/>
          <w:color w:val="auto"/>
          <w:szCs w:val="21"/>
        </w:rPr>
        <w:t>的</w:t>
      </w:r>
      <w:r>
        <w:rPr>
          <w:rFonts w:hint="eastAsia" w:ascii="仿宋" w:hAnsi="仿宋" w:eastAsia="仿宋" w:cs="仿宋"/>
          <w:b/>
          <w:bCs/>
          <w:color w:val="auto"/>
          <w:szCs w:val="21"/>
          <w:u w:val="single"/>
        </w:rPr>
        <w:t>（</w:t>
      </w:r>
      <w:r>
        <w:rPr>
          <w:rFonts w:hint="eastAsia" w:ascii="仿宋" w:hAnsi="仿宋" w:eastAsia="仿宋" w:cs="仿宋"/>
          <w:b/>
          <w:bCs/>
          <w:color w:val="auto"/>
          <w:szCs w:val="21"/>
          <w:u w:val="single"/>
          <w:lang w:val="en-US" w:eastAsia="zh-CN"/>
        </w:rPr>
        <w:t>项目</w:t>
      </w:r>
      <w:r>
        <w:rPr>
          <w:rFonts w:hint="eastAsia" w:ascii="仿宋" w:hAnsi="仿宋" w:eastAsia="仿宋" w:cs="仿宋"/>
          <w:b/>
          <w:bCs/>
          <w:color w:val="auto"/>
          <w:szCs w:val="21"/>
          <w:u w:val="single"/>
        </w:rPr>
        <w:t>名称）</w:t>
      </w:r>
      <w:r>
        <w:rPr>
          <w:rFonts w:hint="eastAsia" w:ascii="仿宋" w:hAnsi="仿宋" w:eastAsia="仿宋" w:cs="仿宋"/>
          <w:color w:val="auto"/>
          <w:szCs w:val="21"/>
        </w:rPr>
        <w:t>采购活动，提供的货物全部由符合政策要求的中小企业制造。相关企业的具体情况如下：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hd w:val="clear" w:color="auto" w:fill="auto"/>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u w:val="single"/>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pPr>
        <w:pStyle w:val="45"/>
        <w:numPr>
          <w:ilvl w:val="0"/>
          <w:numId w:val="0"/>
        </w:numPr>
        <w:ind w:firstLine="480" w:firstLineChars="200"/>
        <w:jc w:val="left"/>
        <w:rPr>
          <w:rFonts w:hint="eastAsia"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spacing w:after="60" w:afterLines="25" w:line="300" w:lineRule="auto"/>
        <w:ind w:firstLine="720" w:firstLineChars="300"/>
        <w:rPr>
          <w:rFonts w:hint="eastAsia" w:ascii="仿宋" w:hAnsi="仿宋" w:eastAsia="仿宋" w:cs="仿宋"/>
          <w:color w:val="auto"/>
          <w:szCs w:val="21"/>
        </w:rPr>
      </w:pPr>
    </w:p>
    <w:p>
      <w:pPr>
        <w:spacing w:after="60" w:afterLines="25" w:line="240" w:lineRule="auto"/>
        <w:ind w:right="420" w:firstLine="360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lang w:val="en-US" w:eastAsia="zh-CN"/>
        </w:rPr>
        <w:t>企业名称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spacing w:after="60" w:afterLines="25" w:line="240" w:lineRule="auto"/>
        <w:ind w:right="420" w:firstLine="3600" w:firstLineChars="1500"/>
        <w:rPr>
          <w:rFonts w:hint="eastAsia" w:ascii="仿宋" w:hAnsi="仿宋" w:eastAsia="仿宋" w:cs="仿宋"/>
          <w:color w:val="auto"/>
          <w:szCs w:val="21"/>
        </w:rPr>
      </w:pPr>
      <w:r>
        <w:rPr>
          <w:rFonts w:hint="eastAsia" w:ascii="仿宋" w:hAnsi="仿宋" w:eastAsia="仿宋" w:cs="仿宋"/>
          <w:color w:val="auto"/>
          <w:szCs w:val="21"/>
        </w:rPr>
        <w:t>日期：</w:t>
      </w:r>
    </w:p>
    <w:p>
      <w:pPr>
        <w:rPr>
          <w:rFonts w:ascii="宋体" w:hAnsi="宋体" w:eastAsia="宋体"/>
          <w:b/>
          <w:color w:val="auto"/>
        </w:rPr>
      </w:pPr>
      <w:r>
        <w:rPr>
          <w:color w:val="auto"/>
        </w:rPr>
        <w:br w:type="page"/>
      </w:r>
    </w:p>
    <w:p>
      <w:pPr>
        <w:spacing w:after="60" w:afterLines="25" w:line="300" w:lineRule="auto"/>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2.</w:t>
      </w:r>
      <w:r>
        <w:rPr>
          <w:rFonts w:hint="eastAsia" w:ascii="仿宋" w:hAnsi="仿宋" w:eastAsia="仿宋" w:cs="仿宋"/>
          <w:b/>
          <w:color w:val="auto"/>
          <w:sz w:val="36"/>
          <w:szCs w:val="36"/>
        </w:rPr>
        <w:t>残疾人福利性单位声明函（货物）</w:t>
      </w:r>
    </w:p>
    <w:p>
      <w:pPr>
        <w:spacing w:after="60" w:afterLines="25" w:line="300" w:lineRule="auto"/>
        <w:ind w:firstLine="480" w:firstLineChars="200"/>
        <w:rPr>
          <w:rFonts w:ascii="宋体" w:hAnsi="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采购活动，提供的货物全部由符合政策要求的残疾人福利性单位制造。相关残疾人福利性单位的具体情况如下：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bookmarkStart w:id="70" w:name="_Hlk73562331"/>
      <w:r>
        <w:rPr>
          <w:rFonts w:hint="eastAsia" w:ascii="仿宋" w:hAnsi="仿宋" w:eastAsia="仿宋" w:cs="仿宋"/>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bookmarkEnd w:id="70"/>
    </w:p>
    <w:p>
      <w:pPr>
        <w:spacing w:after="60" w:afterLines="25" w:line="24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8"/>
        <w:spacing w:line="24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spacing w:after="60" w:afterLines="25" w:line="240" w:lineRule="auto"/>
        <w:ind w:right="420" w:firstLine="5520" w:firstLineChars="2300"/>
        <w:rPr>
          <w:rFonts w:hint="eastAsia" w:ascii="仿宋" w:hAnsi="仿宋" w:eastAsia="仿宋" w:cs="仿宋"/>
          <w:color w:val="auto"/>
          <w:szCs w:val="21"/>
        </w:rPr>
      </w:pPr>
      <w:r>
        <w:rPr>
          <w:rFonts w:hint="eastAsia" w:ascii="仿宋" w:hAnsi="仿宋" w:eastAsia="仿宋" w:cs="仿宋"/>
          <w:color w:val="auto"/>
          <w:szCs w:val="21"/>
        </w:rPr>
        <w:t>日期：</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说明：根据财库〔2017〕141号文件的规定,享受政府采购</w:t>
      </w:r>
      <w:r>
        <w:rPr>
          <w:rFonts w:hint="eastAsia" w:ascii="仿宋" w:hAnsi="仿宋" w:eastAsia="仿宋" w:cs="仿宋"/>
          <w:b w:val="0"/>
          <w:bCs/>
          <w:color w:val="auto"/>
          <w:szCs w:val="21"/>
          <w:highlight w:val="none"/>
          <w:lang w:val="en-US" w:eastAsia="zh-CN"/>
        </w:rPr>
        <w:t>扶持</w:t>
      </w:r>
      <w:r>
        <w:rPr>
          <w:rFonts w:hint="eastAsia" w:ascii="仿宋" w:hAnsi="仿宋" w:eastAsia="仿宋" w:cs="仿宋"/>
          <w:b w:val="0"/>
          <w:bCs/>
          <w:color w:val="auto"/>
          <w:szCs w:val="21"/>
          <w:highlight w:val="none"/>
        </w:rPr>
        <w:t>政策的残疾人福利性单位应当同时满足以下条件：</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（一）安置的残疾人占本单位在职职工人数的比例不低于25%（含25%），并且安置的残疾人人数不少于10人（含10人）；</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（二）依法与安置的每位残疾人签订了一年以上（含一年）的劳动合同或服务协议；</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（三）为安置的每位残疾人按月足额缴纳了基本养老保险、基本医疗保险、失业保险、工伤保险和生育保险等社会保险费；</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auto"/>
          <w:szCs w:val="21"/>
        </w:rPr>
      </w:pPr>
      <w:r>
        <w:rPr>
          <w:rFonts w:hint="eastAsia" w:ascii="仿宋" w:hAnsi="仿宋" w:eastAsia="仿宋" w:cs="仿宋"/>
          <w:b w:val="0"/>
          <w:bCs/>
          <w:color w:val="auto"/>
          <w:szCs w:val="21"/>
          <w:highlight w:val="none"/>
        </w:rPr>
        <w:t>（五）提供本单位制造的货物、承担的工程或者服务（以下简称产品），或者提供其他残疾人福利性单位制造的</w:t>
      </w:r>
      <w:r>
        <w:rPr>
          <w:rFonts w:hint="eastAsia" w:ascii="仿宋" w:hAnsi="仿宋" w:eastAsia="仿宋" w:cs="仿宋"/>
          <w:b w:val="0"/>
          <w:bCs/>
          <w:color w:val="auto"/>
          <w:szCs w:val="21"/>
          <w:highlight w:val="none"/>
          <w:lang w:val="en-US" w:eastAsia="zh-CN"/>
        </w:rPr>
        <w:t>产品</w:t>
      </w:r>
      <w:r>
        <w:rPr>
          <w:rFonts w:hint="eastAsia" w:ascii="仿宋" w:hAnsi="仿宋" w:eastAsia="仿宋" w:cs="仿宋"/>
          <w:b w:val="0"/>
          <w:bCs/>
          <w:color w:val="auto"/>
          <w:szCs w:val="21"/>
          <w:highlight w:val="none"/>
        </w:rPr>
        <w:t>（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color w:val="auto"/>
        </w:rPr>
      </w:pPr>
      <w:r>
        <w:rPr>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监狱企业声明函（货物）</w:t>
      </w:r>
    </w:p>
    <w:p>
      <w:pPr>
        <w:pStyle w:val="45"/>
        <w:numPr>
          <w:ilvl w:val="0"/>
          <w:numId w:val="0"/>
        </w:numPr>
        <w:ind w:left="3600" w:leftChars="0"/>
        <w:jc w:val="both"/>
        <w:rPr>
          <w:color w:val="auto"/>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采购活动，提供的货物全部由符合政策要求的监狱企业制造。相关监狱企业的具体情况如下：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本投标人对上述声明内容的真实性负责。如有虚假，将依法承担相应责任。</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r>
        <w:rPr>
          <w:rFonts w:hint="eastAsia" w:ascii="仿宋" w:hAnsi="仿宋" w:eastAsia="仿宋" w:cs="仿宋"/>
          <w:b/>
          <w:color w:val="auto"/>
          <w:szCs w:val="21"/>
        </w:rPr>
        <w:t>附：省级以上监狱管理局、戒毒管理局（含新疆生产建设兵团）出具的监狱企业证明文件。</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p>
    <w:p>
      <w:pPr>
        <w:spacing w:after="60" w:afterLines="25" w:line="36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8"/>
        <w:spacing w:line="36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wordWrap w:val="0"/>
        <w:spacing w:after="60"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pPr>
        <w:rPr>
          <w:rFonts w:hint="eastAsia"/>
          <w:color w:val="auto"/>
        </w:rPr>
      </w:pPr>
    </w:p>
    <w:p>
      <w:pPr>
        <w:pStyle w:val="28"/>
        <w:rPr>
          <w:rFonts w:hint="eastAsia"/>
          <w:color w:val="auto"/>
        </w:rPr>
      </w:pPr>
    </w:p>
    <w:p>
      <w:pPr>
        <w:rPr>
          <w:rFonts w:hint="eastAsia"/>
        </w:rPr>
      </w:pPr>
    </w:p>
    <w:p>
      <w:pPr>
        <w:pStyle w:val="28"/>
        <w:rPr>
          <w:rFonts w:hint="eastAsia"/>
        </w:rPr>
      </w:pPr>
    </w:p>
    <w:p>
      <w:pPr>
        <w:rPr>
          <w:rFonts w:hint="eastAsia"/>
        </w:rPr>
      </w:pPr>
    </w:p>
    <w:p>
      <w:pPr>
        <w:pStyle w:val="28"/>
        <w:rPr>
          <w:rFonts w:hint="eastAsia"/>
        </w:rPr>
      </w:pPr>
    </w:p>
    <w:p>
      <w:pPr>
        <w:rPr>
          <w:rFonts w:hint="eastAsia"/>
        </w:rPr>
      </w:pPr>
    </w:p>
    <w:p>
      <w:pPr>
        <w:rPr>
          <w:rFonts w:hint="eastAsia"/>
        </w:rPr>
      </w:pPr>
    </w:p>
    <w:p>
      <w:pPr>
        <w:autoSpaceDE w:val="0"/>
        <w:autoSpaceDN w:val="0"/>
        <w:spacing w:before="120" w:after="120" w:line="300" w:lineRule="auto"/>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color w:val="FF0000"/>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A21AC"/>
    <w:multiLevelType w:val="singleLevel"/>
    <w:tmpl w:val="8D6A21AC"/>
    <w:lvl w:ilvl="0" w:tentative="0">
      <w:start w:val="2"/>
      <w:numFmt w:val="chineseCounting"/>
      <w:suff w:val="nothing"/>
      <w:lvlText w:val="%1、"/>
      <w:lvlJc w:val="left"/>
      <w:rPr>
        <w:rFonts w:hint="eastAsia"/>
      </w:rPr>
    </w:lvl>
  </w:abstractNum>
  <w:abstractNum w:abstractNumId="1">
    <w:nsid w:val="A3D494B5"/>
    <w:multiLevelType w:val="singleLevel"/>
    <w:tmpl w:val="A3D494B5"/>
    <w:lvl w:ilvl="0" w:tentative="0">
      <w:start w:val="1"/>
      <w:numFmt w:val="decimal"/>
      <w:suff w:val="nothing"/>
      <w:lvlText w:val="%1、"/>
      <w:lvlJc w:val="left"/>
    </w:lvl>
  </w:abstractNum>
  <w:abstractNum w:abstractNumId="2">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E6E0237"/>
    <w:multiLevelType w:val="singleLevel"/>
    <w:tmpl w:val="BE6E0237"/>
    <w:lvl w:ilvl="0" w:tentative="0">
      <w:start w:val="2"/>
      <w:numFmt w:val="chineseCounting"/>
      <w:suff w:val="nothing"/>
      <w:lvlText w:val="（%1）"/>
      <w:lvlJc w:val="left"/>
      <w:rPr>
        <w:rFonts w:hint="eastAsia"/>
      </w:rPr>
    </w:lvl>
  </w:abstractNum>
  <w:abstractNum w:abstractNumId="4">
    <w:nsid w:val="E0F1AB9D"/>
    <w:multiLevelType w:val="singleLevel"/>
    <w:tmpl w:val="E0F1AB9D"/>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9"/>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3EF8FC6"/>
    <w:multiLevelType w:val="singleLevel"/>
    <w:tmpl w:val="03EF8FC6"/>
    <w:lvl w:ilvl="0" w:tentative="0">
      <w:start w:val="1"/>
      <w:numFmt w:val="chineseCounting"/>
      <w:suff w:val="nothing"/>
      <w:lvlText w:val="%1、"/>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24E409BB"/>
    <w:multiLevelType w:val="multilevel"/>
    <w:tmpl w:val="24E409BB"/>
    <w:lvl w:ilvl="0" w:tentative="0">
      <w:start w:val="1"/>
      <w:numFmt w:val="decimal"/>
      <w:pStyle w:val="4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63CE7F2"/>
    <w:multiLevelType w:val="singleLevel"/>
    <w:tmpl w:val="263CE7F2"/>
    <w:lvl w:ilvl="0" w:tentative="0">
      <w:start w:val="1"/>
      <w:numFmt w:val="decimal"/>
      <w:suff w:val="nothing"/>
      <w:lvlText w:val="%1、"/>
      <w:lvlJc w:val="left"/>
    </w:lvl>
  </w:abstractNum>
  <w:abstractNum w:abstractNumId="10">
    <w:nsid w:val="2B77F302"/>
    <w:multiLevelType w:val="singleLevel"/>
    <w:tmpl w:val="2B77F302"/>
    <w:lvl w:ilvl="0" w:tentative="0">
      <w:start w:val="1"/>
      <w:numFmt w:val="decimal"/>
      <w:suff w:val="nothing"/>
      <w:lvlText w:val="%1、"/>
      <w:lvlJc w:val="left"/>
    </w:lvl>
  </w:abstractNum>
  <w:abstractNum w:abstractNumId="11">
    <w:nsid w:val="4F5B1F49"/>
    <w:multiLevelType w:val="singleLevel"/>
    <w:tmpl w:val="4F5B1F49"/>
    <w:lvl w:ilvl="0" w:tentative="0">
      <w:start w:val="3"/>
      <w:numFmt w:val="chineseCounting"/>
      <w:suff w:val="space"/>
      <w:lvlText w:val="第%1章"/>
      <w:lvlJc w:val="left"/>
      <w:rPr>
        <w:rFonts w:hint="eastAsia"/>
      </w:r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8"/>
  </w:num>
  <w:num w:numId="3">
    <w:abstractNumId w:val="6"/>
  </w:num>
  <w:num w:numId="4">
    <w:abstractNumId w:val="1"/>
  </w:num>
  <w:num w:numId="5">
    <w:abstractNumId w:val="0"/>
  </w:num>
  <w:num w:numId="6">
    <w:abstractNumId w:val="9"/>
  </w:num>
  <w:num w:numId="7">
    <w:abstractNumId w:val="12"/>
  </w:num>
  <w:num w:numId="8">
    <w:abstractNumId w:val="7"/>
  </w:num>
  <w:num w:numId="9">
    <w:abstractNumId w:val="13"/>
  </w:num>
  <w:num w:numId="10">
    <w:abstractNumId w:val="10"/>
  </w:num>
  <w:num w:numId="11">
    <w:abstractNumId w:val="3"/>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ZhMDQ2YjBmNDVmMzVkYzg2YzI1ODhjYjUwNjYifQ=="/>
  </w:docVars>
  <w:rsids>
    <w:rsidRoot w:val="430832B2"/>
    <w:rsid w:val="00036274"/>
    <w:rsid w:val="00292BAB"/>
    <w:rsid w:val="00661625"/>
    <w:rsid w:val="006C0C8C"/>
    <w:rsid w:val="007451B5"/>
    <w:rsid w:val="00BA3803"/>
    <w:rsid w:val="00F275F0"/>
    <w:rsid w:val="010351AA"/>
    <w:rsid w:val="01064C9A"/>
    <w:rsid w:val="0123584C"/>
    <w:rsid w:val="012D32ED"/>
    <w:rsid w:val="014D4D61"/>
    <w:rsid w:val="01532DBF"/>
    <w:rsid w:val="01B666C0"/>
    <w:rsid w:val="01E21263"/>
    <w:rsid w:val="01E44B68"/>
    <w:rsid w:val="01E52AC5"/>
    <w:rsid w:val="01F66ABD"/>
    <w:rsid w:val="021E42F5"/>
    <w:rsid w:val="021F6ED0"/>
    <w:rsid w:val="023C3AF8"/>
    <w:rsid w:val="025D6B3C"/>
    <w:rsid w:val="02B5111B"/>
    <w:rsid w:val="03120DC1"/>
    <w:rsid w:val="03140F5D"/>
    <w:rsid w:val="033C49A3"/>
    <w:rsid w:val="03465822"/>
    <w:rsid w:val="0361107C"/>
    <w:rsid w:val="036E1DB0"/>
    <w:rsid w:val="03732843"/>
    <w:rsid w:val="03882EF1"/>
    <w:rsid w:val="03AA5DB1"/>
    <w:rsid w:val="03C54999"/>
    <w:rsid w:val="03CA6F8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5A53F6"/>
    <w:rsid w:val="05681A7F"/>
    <w:rsid w:val="057B7A05"/>
    <w:rsid w:val="058645FB"/>
    <w:rsid w:val="05962A91"/>
    <w:rsid w:val="05CD222A"/>
    <w:rsid w:val="05CE725F"/>
    <w:rsid w:val="05E65C8D"/>
    <w:rsid w:val="05EC1991"/>
    <w:rsid w:val="05FC3F93"/>
    <w:rsid w:val="06141E47"/>
    <w:rsid w:val="063B7194"/>
    <w:rsid w:val="06700D33"/>
    <w:rsid w:val="069D7E4F"/>
    <w:rsid w:val="06C92CC5"/>
    <w:rsid w:val="06CB0127"/>
    <w:rsid w:val="06CF1CA7"/>
    <w:rsid w:val="06DD1E44"/>
    <w:rsid w:val="070465D0"/>
    <w:rsid w:val="0708176C"/>
    <w:rsid w:val="07097292"/>
    <w:rsid w:val="071F777F"/>
    <w:rsid w:val="072D77EE"/>
    <w:rsid w:val="073A569E"/>
    <w:rsid w:val="07487DBA"/>
    <w:rsid w:val="076A12ED"/>
    <w:rsid w:val="077361C1"/>
    <w:rsid w:val="07B539CB"/>
    <w:rsid w:val="07D4164E"/>
    <w:rsid w:val="07ED6EB8"/>
    <w:rsid w:val="082640DA"/>
    <w:rsid w:val="08323FEC"/>
    <w:rsid w:val="085D5AE7"/>
    <w:rsid w:val="086B1627"/>
    <w:rsid w:val="08744BDF"/>
    <w:rsid w:val="08B446D3"/>
    <w:rsid w:val="09045F63"/>
    <w:rsid w:val="0912700D"/>
    <w:rsid w:val="091D420B"/>
    <w:rsid w:val="09231976"/>
    <w:rsid w:val="092B5EB4"/>
    <w:rsid w:val="093F2ABC"/>
    <w:rsid w:val="094E71DE"/>
    <w:rsid w:val="09954C14"/>
    <w:rsid w:val="09CB62C3"/>
    <w:rsid w:val="0A0F4BBF"/>
    <w:rsid w:val="0A161583"/>
    <w:rsid w:val="0A2747A2"/>
    <w:rsid w:val="0A6446AF"/>
    <w:rsid w:val="0A6D5774"/>
    <w:rsid w:val="0A757F73"/>
    <w:rsid w:val="0A78055D"/>
    <w:rsid w:val="0A8F3F52"/>
    <w:rsid w:val="0A982D0F"/>
    <w:rsid w:val="0AEC1713"/>
    <w:rsid w:val="0AF3628F"/>
    <w:rsid w:val="0B213EE8"/>
    <w:rsid w:val="0B2F3756"/>
    <w:rsid w:val="0B5502C1"/>
    <w:rsid w:val="0B7C6285"/>
    <w:rsid w:val="0B9E39F1"/>
    <w:rsid w:val="0BB377CC"/>
    <w:rsid w:val="0BDC4F75"/>
    <w:rsid w:val="0BF26C44"/>
    <w:rsid w:val="0C1D1D2F"/>
    <w:rsid w:val="0C243E28"/>
    <w:rsid w:val="0C41127C"/>
    <w:rsid w:val="0C711B61"/>
    <w:rsid w:val="0C7B653C"/>
    <w:rsid w:val="0C8C4081"/>
    <w:rsid w:val="0CBF0B1F"/>
    <w:rsid w:val="0CC66073"/>
    <w:rsid w:val="0CDA7707"/>
    <w:rsid w:val="0CF167FE"/>
    <w:rsid w:val="0CF87B8D"/>
    <w:rsid w:val="0D2A08E4"/>
    <w:rsid w:val="0D3F57BC"/>
    <w:rsid w:val="0D5F1DE4"/>
    <w:rsid w:val="0D7B4BB0"/>
    <w:rsid w:val="0D9D470F"/>
    <w:rsid w:val="0DB41B10"/>
    <w:rsid w:val="0DB946A4"/>
    <w:rsid w:val="0DE941D3"/>
    <w:rsid w:val="0DFB6424"/>
    <w:rsid w:val="0E0367E9"/>
    <w:rsid w:val="0E122ED0"/>
    <w:rsid w:val="0E1F610A"/>
    <w:rsid w:val="0E335CF5"/>
    <w:rsid w:val="0E364E11"/>
    <w:rsid w:val="0E52151F"/>
    <w:rsid w:val="0E597477"/>
    <w:rsid w:val="0E5C414B"/>
    <w:rsid w:val="0E651252"/>
    <w:rsid w:val="0EE20AF5"/>
    <w:rsid w:val="0F0F7410"/>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1627CCB"/>
    <w:rsid w:val="119A7465"/>
    <w:rsid w:val="11AC2B71"/>
    <w:rsid w:val="11DC7A7D"/>
    <w:rsid w:val="12066F74"/>
    <w:rsid w:val="121A67F7"/>
    <w:rsid w:val="12282CC2"/>
    <w:rsid w:val="123B6A0E"/>
    <w:rsid w:val="126A32DB"/>
    <w:rsid w:val="128D6FC9"/>
    <w:rsid w:val="12A12B23"/>
    <w:rsid w:val="12A63F9E"/>
    <w:rsid w:val="12FC1CF7"/>
    <w:rsid w:val="130308CA"/>
    <w:rsid w:val="1312127D"/>
    <w:rsid w:val="136A730B"/>
    <w:rsid w:val="13725EDE"/>
    <w:rsid w:val="138F0B1F"/>
    <w:rsid w:val="139B227B"/>
    <w:rsid w:val="13F25918"/>
    <w:rsid w:val="140C2170"/>
    <w:rsid w:val="14237BE5"/>
    <w:rsid w:val="14587163"/>
    <w:rsid w:val="147F2942"/>
    <w:rsid w:val="148A5D2C"/>
    <w:rsid w:val="14902DA1"/>
    <w:rsid w:val="149E0ABD"/>
    <w:rsid w:val="14B41806"/>
    <w:rsid w:val="14BB0319"/>
    <w:rsid w:val="14C11E77"/>
    <w:rsid w:val="14C15ED1"/>
    <w:rsid w:val="14D47131"/>
    <w:rsid w:val="14EA425F"/>
    <w:rsid w:val="14FA7677"/>
    <w:rsid w:val="150712B5"/>
    <w:rsid w:val="1519076B"/>
    <w:rsid w:val="1525173B"/>
    <w:rsid w:val="153C6A85"/>
    <w:rsid w:val="154A1C7B"/>
    <w:rsid w:val="15516B16"/>
    <w:rsid w:val="15633946"/>
    <w:rsid w:val="15785D0F"/>
    <w:rsid w:val="157F5F94"/>
    <w:rsid w:val="15C545A9"/>
    <w:rsid w:val="15E839EB"/>
    <w:rsid w:val="16077093"/>
    <w:rsid w:val="160E0624"/>
    <w:rsid w:val="16117F11"/>
    <w:rsid w:val="163A0EA2"/>
    <w:rsid w:val="163B59D5"/>
    <w:rsid w:val="164A7250"/>
    <w:rsid w:val="16596861"/>
    <w:rsid w:val="167B61DA"/>
    <w:rsid w:val="169F551D"/>
    <w:rsid w:val="16A91EF8"/>
    <w:rsid w:val="16B52247"/>
    <w:rsid w:val="16D24FDB"/>
    <w:rsid w:val="16D64A56"/>
    <w:rsid w:val="16EA2C3C"/>
    <w:rsid w:val="16F47F84"/>
    <w:rsid w:val="16FC296F"/>
    <w:rsid w:val="17193F45"/>
    <w:rsid w:val="171F0B4E"/>
    <w:rsid w:val="17233A58"/>
    <w:rsid w:val="17294D2C"/>
    <w:rsid w:val="1746570F"/>
    <w:rsid w:val="175C542D"/>
    <w:rsid w:val="178A0DEB"/>
    <w:rsid w:val="17D11706"/>
    <w:rsid w:val="17D35235"/>
    <w:rsid w:val="17EB3771"/>
    <w:rsid w:val="17EF6030"/>
    <w:rsid w:val="17FB2C27"/>
    <w:rsid w:val="17FD6E5C"/>
    <w:rsid w:val="18070717"/>
    <w:rsid w:val="18262788"/>
    <w:rsid w:val="182E6B59"/>
    <w:rsid w:val="183B3024"/>
    <w:rsid w:val="187C3D68"/>
    <w:rsid w:val="1888270D"/>
    <w:rsid w:val="18B12486"/>
    <w:rsid w:val="18F674C7"/>
    <w:rsid w:val="18FE29CF"/>
    <w:rsid w:val="19102B0E"/>
    <w:rsid w:val="1910625E"/>
    <w:rsid w:val="19143794"/>
    <w:rsid w:val="19297320"/>
    <w:rsid w:val="193B3E75"/>
    <w:rsid w:val="193C52A5"/>
    <w:rsid w:val="193E101D"/>
    <w:rsid w:val="194E6C56"/>
    <w:rsid w:val="19791440"/>
    <w:rsid w:val="198D3D53"/>
    <w:rsid w:val="19AB65F7"/>
    <w:rsid w:val="19B80D30"/>
    <w:rsid w:val="19BD17EA"/>
    <w:rsid w:val="19C239FC"/>
    <w:rsid w:val="19D76D7C"/>
    <w:rsid w:val="19DE4AB3"/>
    <w:rsid w:val="19E6319E"/>
    <w:rsid w:val="19EF7E58"/>
    <w:rsid w:val="1A18361C"/>
    <w:rsid w:val="1A3F329F"/>
    <w:rsid w:val="1A5B4118"/>
    <w:rsid w:val="1A6A7BF0"/>
    <w:rsid w:val="1A733749"/>
    <w:rsid w:val="1A840CB2"/>
    <w:rsid w:val="1AA14F3E"/>
    <w:rsid w:val="1AC93CC6"/>
    <w:rsid w:val="1AD339E7"/>
    <w:rsid w:val="1AD67034"/>
    <w:rsid w:val="1AD936C6"/>
    <w:rsid w:val="1B473137"/>
    <w:rsid w:val="1B5F5CD0"/>
    <w:rsid w:val="1B6D7998"/>
    <w:rsid w:val="1B701236"/>
    <w:rsid w:val="1B8E6DB3"/>
    <w:rsid w:val="1B93587C"/>
    <w:rsid w:val="1BA92B24"/>
    <w:rsid w:val="1BC53330"/>
    <w:rsid w:val="1BE65325"/>
    <w:rsid w:val="1BFB4FA4"/>
    <w:rsid w:val="1C387FA6"/>
    <w:rsid w:val="1C3B1844"/>
    <w:rsid w:val="1C5835AA"/>
    <w:rsid w:val="1C752056"/>
    <w:rsid w:val="1C7D0F07"/>
    <w:rsid w:val="1C83378B"/>
    <w:rsid w:val="1C9A47BD"/>
    <w:rsid w:val="1CC7757C"/>
    <w:rsid w:val="1CCA0FFC"/>
    <w:rsid w:val="1CCF02AF"/>
    <w:rsid w:val="1D0E0D07"/>
    <w:rsid w:val="1D2A0508"/>
    <w:rsid w:val="1D5E787C"/>
    <w:rsid w:val="1DDA224E"/>
    <w:rsid w:val="1E1E31CB"/>
    <w:rsid w:val="1E29333F"/>
    <w:rsid w:val="1E2E3FC6"/>
    <w:rsid w:val="1E6813A9"/>
    <w:rsid w:val="1E967206"/>
    <w:rsid w:val="1EAD1969"/>
    <w:rsid w:val="1ECE4F82"/>
    <w:rsid w:val="1EDB10BC"/>
    <w:rsid w:val="1EE14925"/>
    <w:rsid w:val="1EE43ED9"/>
    <w:rsid w:val="1EE5064C"/>
    <w:rsid w:val="1EE72B5C"/>
    <w:rsid w:val="1F232690"/>
    <w:rsid w:val="1F3A2DA9"/>
    <w:rsid w:val="1F536EA5"/>
    <w:rsid w:val="1F5B26D6"/>
    <w:rsid w:val="1F6007D8"/>
    <w:rsid w:val="1F79582C"/>
    <w:rsid w:val="1F881244"/>
    <w:rsid w:val="1FAD2A59"/>
    <w:rsid w:val="1FB05EDC"/>
    <w:rsid w:val="1FB2006F"/>
    <w:rsid w:val="1FD20711"/>
    <w:rsid w:val="1FE30078"/>
    <w:rsid w:val="20192A20"/>
    <w:rsid w:val="20395EDD"/>
    <w:rsid w:val="205A4AEA"/>
    <w:rsid w:val="2070282A"/>
    <w:rsid w:val="20AF0A2F"/>
    <w:rsid w:val="212F063E"/>
    <w:rsid w:val="213F1DD6"/>
    <w:rsid w:val="21466CC1"/>
    <w:rsid w:val="21505D92"/>
    <w:rsid w:val="217A2E0F"/>
    <w:rsid w:val="218B6DCA"/>
    <w:rsid w:val="219F2875"/>
    <w:rsid w:val="21D0113C"/>
    <w:rsid w:val="21D30FDE"/>
    <w:rsid w:val="21DE339D"/>
    <w:rsid w:val="21E60015"/>
    <w:rsid w:val="222F3BF9"/>
    <w:rsid w:val="223E208E"/>
    <w:rsid w:val="22592A24"/>
    <w:rsid w:val="226450C5"/>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41C31FD"/>
    <w:rsid w:val="244250D8"/>
    <w:rsid w:val="24750609"/>
    <w:rsid w:val="247B5967"/>
    <w:rsid w:val="24A24B56"/>
    <w:rsid w:val="24A75DD1"/>
    <w:rsid w:val="24EF7670"/>
    <w:rsid w:val="25002F8D"/>
    <w:rsid w:val="25546BA5"/>
    <w:rsid w:val="25550156"/>
    <w:rsid w:val="256B47B5"/>
    <w:rsid w:val="257858B7"/>
    <w:rsid w:val="25AD5F64"/>
    <w:rsid w:val="26024DD2"/>
    <w:rsid w:val="26306CDC"/>
    <w:rsid w:val="263370CE"/>
    <w:rsid w:val="26612BE0"/>
    <w:rsid w:val="26797620"/>
    <w:rsid w:val="267D2FA7"/>
    <w:rsid w:val="26887D7C"/>
    <w:rsid w:val="26890B30"/>
    <w:rsid w:val="269229A8"/>
    <w:rsid w:val="26977FBF"/>
    <w:rsid w:val="26995AE5"/>
    <w:rsid w:val="26D37563"/>
    <w:rsid w:val="26F40A5C"/>
    <w:rsid w:val="26FD42C6"/>
    <w:rsid w:val="272356CA"/>
    <w:rsid w:val="272A101D"/>
    <w:rsid w:val="274517C9"/>
    <w:rsid w:val="27A209C9"/>
    <w:rsid w:val="27AC35F6"/>
    <w:rsid w:val="27B30E28"/>
    <w:rsid w:val="28242F36"/>
    <w:rsid w:val="283B62D5"/>
    <w:rsid w:val="283D072F"/>
    <w:rsid w:val="284F12A1"/>
    <w:rsid w:val="284F6DA3"/>
    <w:rsid w:val="285C7E68"/>
    <w:rsid w:val="286B44D3"/>
    <w:rsid w:val="28742CFD"/>
    <w:rsid w:val="28DC7F0B"/>
    <w:rsid w:val="28DD7494"/>
    <w:rsid w:val="291B7FFB"/>
    <w:rsid w:val="291C049E"/>
    <w:rsid w:val="29233D8C"/>
    <w:rsid w:val="29254262"/>
    <w:rsid w:val="29422464"/>
    <w:rsid w:val="29600B3C"/>
    <w:rsid w:val="29816745"/>
    <w:rsid w:val="2995587E"/>
    <w:rsid w:val="299C6253"/>
    <w:rsid w:val="299E3412"/>
    <w:rsid w:val="29AE68AC"/>
    <w:rsid w:val="29CA4159"/>
    <w:rsid w:val="29DC330F"/>
    <w:rsid w:val="29E76B67"/>
    <w:rsid w:val="2A2953D2"/>
    <w:rsid w:val="2A575917"/>
    <w:rsid w:val="2A6F2C28"/>
    <w:rsid w:val="2A816FBC"/>
    <w:rsid w:val="2A9C2048"/>
    <w:rsid w:val="2AAE58D7"/>
    <w:rsid w:val="2AAF3B29"/>
    <w:rsid w:val="2AB303AA"/>
    <w:rsid w:val="2ADE61BC"/>
    <w:rsid w:val="2AF4778E"/>
    <w:rsid w:val="2AF552B4"/>
    <w:rsid w:val="2AFF60FC"/>
    <w:rsid w:val="2B073965"/>
    <w:rsid w:val="2B1240B8"/>
    <w:rsid w:val="2B4C75CA"/>
    <w:rsid w:val="2B5D5848"/>
    <w:rsid w:val="2B6E5FE2"/>
    <w:rsid w:val="2B762634"/>
    <w:rsid w:val="2B7A67A5"/>
    <w:rsid w:val="2B8D373E"/>
    <w:rsid w:val="2BB530D5"/>
    <w:rsid w:val="2BD82C0B"/>
    <w:rsid w:val="2BF9798B"/>
    <w:rsid w:val="2C1005F7"/>
    <w:rsid w:val="2C332538"/>
    <w:rsid w:val="2C3343DB"/>
    <w:rsid w:val="2C37391B"/>
    <w:rsid w:val="2C3D33B6"/>
    <w:rsid w:val="2C754DAB"/>
    <w:rsid w:val="2C9F5E1F"/>
    <w:rsid w:val="2CD84964"/>
    <w:rsid w:val="2D102879"/>
    <w:rsid w:val="2D1B0C53"/>
    <w:rsid w:val="2D4744ED"/>
    <w:rsid w:val="2D4F7A91"/>
    <w:rsid w:val="2D5E5392"/>
    <w:rsid w:val="2D6F134E"/>
    <w:rsid w:val="2D7C3A6A"/>
    <w:rsid w:val="2D8F379E"/>
    <w:rsid w:val="2DA60AE7"/>
    <w:rsid w:val="2DC01BA9"/>
    <w:rsid w:val="2DD613CD"/>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938A6"/>
    <w:rsid w:val="2F8D6403"/>
    <w:rsid w:val="2FA50B1C"/>
    <w:rsid w:val="2FDA31FA"/>
    <w:rsid w:val="2FDA7F91"/>
    <w:rsid w:val="2FDE5635"/>
    <w:rsid w:val="2FE36023"/>
    <w:rsid w:val="2FF130FC"/>
    <w:rsid w:val="30077F63"/>
    <w:rsid w:val="300D4E4E"/>
    <w:rsid w:val="30406FD1"/>
    <w:rsid w:val="304C1E1A"/>
    <w:rsid w:val="305A62E5"/>
    <w:rsid w:val="305C1374"/>
    <w:rsid w:val="30CD458F"/>
    <w:rsid w:val="30D245A8"/>
    <w:rsid w:val="30DF67EA"/>
    <w:rsid w:val="30F71D86"/>
    <w:rsid w:val="30FB781C"/>
    <w:rsid w:val="311255A5"/>
    <w:rsid w:val="31592A40"/>
    <w:rsid w:val="315E30F3"/>
    <w:rsid w:val="31800A61"/>
    <w:rsid w:val="318F768C"/>
    <w:rsid w:val="31942EF0"/>
    <w:rsid w:val="31C54436"/>
    <w:rsid w:val="31D80638"/>
    <w:rsid w:val="32000EED"/>
    <w:rsid w:val="32386C49"/>
    <w:rsid w:val="326E7E26"/>
    <w:rsid w:val="327D275F"/>
    <w:rsid w:val="329655CE"/>
    <w:rsid w:val="329A6437"/>
    <w:rsid w:val="329B0E37"/>
    <w:rsid w:val="32D759FC"/>
    <w:rsid w:val="32DA05FC"/>
    <w:rsid w:val="32E36807"/>
    <w:rsid w:val="32F165AF"/>
    <w:rsid w:val="332B3F69"/>
    <w:rsid w:val="33445128"/>
    <w:rsid w:val="335C76C1"/>
    <w:rsid w:val="33784CD4"/>
    <w:rsid w:val="33835B53"/>
    <w:rsid w:val="338F44F8"/>
    <w:rsid w:val="33904B48"/>
    <w:rsid w:val="33AD2BD0"/>
    <w:rsid w:val="33CA751C"/>
    <w:rsid w:val="33CF2B46"/>
    <w:rsid w:val="33DC5E37"/>
    <w:rsid w:val="33E34843"/>
    <w:rsid w:val="33FF077A"/>
    <w:rsid w:val="340F4AB0"/>
    <w:rsid w:val="340F5638"/>
    <w:rsid w:val="342310E4"/>
    <w:rsid w:val="344A597B"/>
    <w:rsid w:val="345D0530"/>
    <w:rsid w:val="3464452F"/>
    <w:rsid w:val="34766943"/>
    <w:rsid w:val="34767465"/>
    <w:rsid w:val="34AC63E7"/>
    <w:rsid w:val="34BE1341"/>
    <w:rsid w:val="34C066CC"/>
    <w:rsid w:val="352E68BA"/>
    <w:rsid w:val="35427B0F"/>
    <w:rsid w:val="35470F7B"/>
    <w:rsid w:val="357E2A76"/>
    <w:rsid w:val="359B40E2"/>
    <w:rsid w:val="35AC165A"/>
    <w:rsid w:val="35C7360E"/>
    <w:rsid w:val="35CE57F4"/>
    <w:rsid w:val="35E008FF"/>
    <w:rsid w:val="3619279E"/>
    <w:rsid w:val="361D1D1B"/>
    <w:rsid w:val="36462E68"/>
    <w:rsid w:val="36545584"/>
    <w:rsid w:val="36575075"/>
    <w:rsid w:val="365A038B"/>
    <w:rsid w:val="36752578"/>
    <w:rsid w:val="368A2566"/>
    <w:rsid w:val="368C042F"/>
    <w:rsid w:val="36AA5E0A"/>
    <w:rsid w:val="36BE165F"/>
    <w:rsid w:val="370569BF"/>
    <w:rsid w:val="37195C13"/>
    <w:rsid w:val="37206A37"/>
    <w:rsid w:val="3721531B"/>
    <w:rsid w:val="3727713D"/>
    <w:rsid w:val="374B2E2B"/>
    <w:rsid w:val="378A41D6"/>
    <w:rsid w:val="378B76CC"/>
    <w:rsid w:val="37C84F25"/>
    <w:rsid w:val="37D44BCF"/>
    <w:rsid w:val="37E42938"/>
    <w:rsid w:val="37F52D97"/>
    <w:rsid w:val="37F91DFC"/>
    <w:rsid w:val="38083993"/>
    <w:rsid w:val="38107BD1"/>
    <w:rsid w:val="38161069"/>
    <w:rsid w:val="38333B29"/>
    <w:rsid w:val="38651CCB"/>
    <w:rsid w:val="386A108F"/>
    <w:rsid w:val="386F1796"/>
    <w:rsid w:val="38714F0C"/>
    <w:rsid w:val="388365F5"/>
    <w:rsid w:val="38962B9C"/>
    <w:rsid w:val="38B7004D"/>
    <w:rsid w:val="38BF6A16"/>
    <w:rsid w:val="38C56C0D"/>
    <w:rsid w:val="38CC03EE"/>
    <w:rsid w:val="3967385E"/>
    <w:rsid w:val="39736E5A"/>
    <w:rsid w:val="39820A82"/>
    <w:rsid w:val="39A700C1"/>
    <w:rsid w:val="39B27192"/>
    <w:rsid w:val="39E25570"/>
    <w:rsid w:val="3A0D16C8"/>
    <w:rsid w:val="3A1273C6"/>
    <w:rsid w:val="3A440D43"/>
    <w:rsid w:val="3A502ACB"/>
    <w:rsid w:val="3A5E69D2"/>
    <w:rsid w:val="3A6D4D1F"/>
    <w:rsid w:val="3A7D7055"/>
    <w:rsid w:val="3A810912"/>
    <w:rsid w:val="3AC16617"/>
    <w:rsid w:val="3AE06945"/>
    <w:rsid w:val="3B095B27"/>
    <w:rsid w:val="3B29564C"/>
    <w:rsid w:val="3B2A2336"/>
    <w:rsid w:val="3B3911ED"/>
    <w:rsid w:val="3B5B73B5"/>
    <w:rsid w:val="3B75052D"/>
    <w:rsid w:val="3BA42B0A"/>
    <w:rsid w:val="3BCE2E77"/>
    <w:rsid w:val="3BDA652C"/>
    <w:rsid w:val="3BF05D4F"/>
    <w:rsid w:val="3C1233C4"/>
    <w:rsid w:val="3C145EE2"/>
    <w:rsid w:val="3C274470"/>
    <w:rsid w:val="3C447E49"/>
    <w:rsid w:val="3C4D55F8"/>
    <w:rsid w:val="3C65673D"/>
    <w:rsid w:val="3C686F62"/>
    <w:rsid w:val="3C77021F"/>
    <w:rsid w:val="3C8F40C0"/>
    <w:rsid w:val="3CA827C1"/>
    <w:rsid w:val="3CAD59EE"/>
    <w:rsid w:val="3CD236E9"/>
    <w:rsid w:val="3CE5162C"/>
    <w:rsid w:val="3CE56AED"/>
    <w:rsid w:val="3CEE3787"/>
    <w:rsid w:val="3CF47AC1"/>
    <w:rsid w:val="3D751F42"/>
    <w:rsid w:val="3D7A7FC6"/>
    <w:rsid w:val="3DCC6348"/>
    <w:rsid w:val="3DD75419"/>
    <w:rsid w:val="3DED1853"/>
    <w:rsid w:val="3DF8713D"/>
    <w:rsid w:val="3E083824"/>
    <w:rsid w:val="3E2241BA"/>
    <w:rsid w:val="3E556F89"/>
    <w:rsid w:val="3E6F5651"/>
    <w:rsid w:val="3E8F1850"/>
    <w:rsid w:val="3E970704"/>
    <w:rsid w:val="3EDB5A73"/>
    <w:rsid w:val="3EF41F07"/>
    <w:rsid w:val="3F05037B"/>
    <w:rsid w:val="3F4D34B9"/>
    <w:rsid w:val="3F520ACF"/>
    <w:rsid w:val="3F532376"/>
    <w:rsid w:val="3F5465F5"/>
    <w:rsid w:val="3F5B3E28"/>
    <w:rsid w:val="3F6F1FDE"/>
    <w:rsid w:val="3F823162"/>
    <w:rsid w:val="3F875618"/>
    <w:rsid w:val="3FB31F29"/>
    <w:rsid w:val="3FCB25D5"/>
    <w:rsid w:val="3FDB5D2F"/>
    <w:rsid w:val="3FF103C4"/>
    <w:rsid w:val="4009055D"/>
    <w:rsid w:val="40271F5C"/>
    <w:rsid w:val="404E74E8"/>
    <w:rsid w:val="408E72C3"/>
    <w:rsid w:val="408E7BCF"/>
    <w:rsid w:val="40B26236"/>
    <w:rsid w:val="40C4275E"/>
    <w:rsid w:val="40CD48B1"/>
    <w:rsid w:val="40D875A6"/>
    <w:rsid w:val="40ED6D01"/>
    <w:rsid w:val="40ED7391"/>
    <w:rsid w:val="40F27185"/>
    <w:rsid w:val="40F523F9"/>
    <w:rsid w:val="40F57964"/>
    <w:rsid w:val="412A6FD3"/>
    <w:rsid w:val="41306BEE"/>
    <w:rsid w:val="41681350"/>
    <w:rsid w:val="416F668A"/>
    <w:rsid w:val="41850CE8"/>
    <w:rsid w:val="41967399"/>
    <w:rsid w:val="41984EBF"/>
    <w:rsid w:val="419F6662"/>
    <w:rsid w:val="41A72D03"/>
    <w:rsid w:val="41AA4BF2"/>
    <w:rsid w:val="41BC55E0"/>
    <w:rsid w:val="41CB669E"/>
    <w:rsid w:val="41CC6917"/>
    <w:rsid w:val="41D324B8"/>
    <w:rsid w:val="41DB56F8"/>
    <w:rsid w:val="41F06FCC"/>
    <w:rsid w:val="420B7389"/>
    <w:rsid w:val="421A3B26"/>
    <w:rsid w:val="423563C7"/>
    <w:rsid w:val="42360234"/>
    <w:rsid w:val="426052B1"/>
    <w:rsid w:val="42611561"/>
    <w:rsid w:val="42721D88"/>
    <w:rsid w:val="427D61B0"/>
    <w:rsid w:val="42846450"/>
    <w:rsid w:val="428F4BC4"/>
    <w:rsid w:val="42A47894"/>
    <w:rsid w:val="42B24CD6"/>
    <w:rsid w:val="42C57370"/>
    <w:rsid w:val="430832B2"/>
    <w:rsid w:val="43C26223"/>
    <w:rsid w:val="43E45962"/>
    <w:rsid w:val="44010EEF"/>
    <w:rsid w:val="44366C11"/>
    <w:rsid w:val="445769C9"/>
    <w:rsid w:val="446C618F"/>
    <w:rsid w:val="44740DA7"/>
    <w:rsid w:val="4476700E"/>
    <w:rsid w:val="44CB1108"/>
    <w:rsid w:val="45007E5B"/>
    <w:rsid w:val="45216F7A"/>
    <w:rsid w:val="45224346"/>
    <w:rsid w:val="45292FA8"/>
    <w:rsid w:val="454815E5"/>
    <w:rsid w:val="454B1D45"/>
    <w:rsid w:val="457C2033"/>
    <w:rsid w:val="458B6AE9"/>
    <w:rsid w:val="459C2AA4"/>
    <w:rsid w:val="45AC6CD2"/>
    <w:rsid w:val="45FB77CB"/>
    <w:rsid w:val="464166D9"/>
    <w:rsid w:val="46482B7D"/>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F210A1"/>
    <w:rsid w:val="47F53A1B"/>
    <w:rsid w:val="484C6A03"/>
    <w:rsid w:val="48836699"/>
    <w:rsid w:val="48A4249C"/>
    <w:rsid w:val="48AF2AEE"/>
    <w:rsid w:val="48B23078"/>
    <w:rsid w:val="48C20A74"/>
    <w:rsid w:val="48D32C81"/>
    <w:rsid w:val="48E46C3C"/>
    <w:rsid w:val="49025314"/>
    <w:rsid w:val="491164F6"/>
    <w:rsid w:val="494F67AB"/>
    <w:rsid w:val="49726A4B"/>
    <w:rsid w:val="49812259"/>
    <w:rsid w:val="49DE368B"/>
    <w:rsid w:val="49FE1F7F"/>
    <w:rsid w:val="4A8402EB"/>
    <w:rsid w:val="4A8C1339"/>
    <w:rsid w:val="4A9521D5"/>
    <w:rsid w:val="4AAC5537"/>
    <w:rsid w:val="4ABB577A"/>
    <w:rsid w:val="4ACB6BF6"/>
    <w:rsid w:val="4ADA167D"/>
    <w:rsid w:val="4AF33166"/>
    <w:rsid w:val="4B004857"/>
    <w:rsid w:val="4B2E0642"/>
    <w:rsid w:val="4B826F99"/>
    <w:rsid w:val="4B971FC5"/>
    <w:rsid w:val="4BB73B85"/>
    <w:rsid w:val="4BBA4CD9"/>
    <w:rsid w:val="4BDF15F4"/>
    <w:rsid w:val="4BE17F1F"/>
    <w:rsid w:val="4BF478AD"/>
    <w:rsid w:val="4C101AF6"/>
    <w:rsid w:val="4C17384D"/>
    <w:rsid w:val="4C1B2975"/>
    <w:rsid w:val="4C257A37"/>
    <w:rsid w:val="4C39729F"/>
    <w:rsid w:val="4C455201"/>
    <w:rsid w:val="4C6F4A6E"/>
    <w:rsid w:val="4C8E33F6"/>
    <w:rsid w:val="4CA961D2"/>
    <w:rsid w:val="4D084097"/>
    <w:rsid w:val="4D3F6B37"/>
    <w:rsid w:val="4D824513"/>
    <w:rsid w:val="4D896004"/>
    <w:rsid w:val="4DCD4142"/>
    <w:rsid w:val="4DF50B78"/>
    <w:rsid w:val="4DF72106"/>
    <w:rsid w:val="4E2A419F"/>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5166AD"/>
    <w:rsid w:val="4F56149D"/>
    <w:rsid w:val="4F5D25FD"/>
    <w:rsid w:val="4F7D56F4"/>
    <w:rsid w:val="4FB41D44"/>
    <w:rsid w:val="4FB61D55"/>
    <w:rsid w:val="4FDD0D75"/>
    <w:rsid w:val="4FE11F77"/>
    <w:rsid w:val="502A158D"/>
    <w:rsid w:val="50483F54"/>
    <w:rsid w:val="50804FC3"/>
    <w:rsid w:val="50850D04"/>
    <w:rsid w:val="50B67110"/>
    <w:rsid w:val="50BF6E81"/>
    <w:rsid w:val="50CA73A0"/>
    <w:rsid w:val="50F86721"/>
    <w:rsid w:val="512027DB"/>
    <w:rsid w:val="513F080C"/>
    <w:rsid w:val="514E61A7"/>
    <w:rsid w:val="515B2E61"/>
    <w:rsid w:val="515E7063"/>
    <w:rsid w:val="517E554E"/>
    <w:rsid w:val="51887260"/>
    <w:rsid w:val="519251CC"/>
    <w:rsid w:val="51AE16B6"/>
    <w:rsid w:val="51C31420"/>
    <w:rsid w:val="51C8534D"/>
    <w:rsid w:val="51F003FF"/>
    <w:rsid w:val="52157E66"/>
    <w:rsid w:val="523C1897"/>
    <w:rsid w:val="523E560F"/>
    <w:rsid w:val="52432C25"/>
    <w:rsid w:val="524463EE"/>
    <w:rsid w:val="5255400A"/>
    <w:rsid w:val="52567531"/>
    <w:rsid w:val="52654DCD"/>
    <w:rsid w:val="52CA0C50"/>
    <w:rsid w:val="5306542C"/>
    <w:rsid w:val="530A0261"/>
    <w:rsid w:val="531E7B67"/>
    <w:rsid w:val="533662E6"/>
    <w:rsid w:val="53390376"/>
    <w:rsid w:val="53994B4A"/>
    <w:rsid w:val="53A1623C"/>
    <w:rsid w:val="53A92F5C"/>
    <w:rsid w:val="53B53431"/>
    <w:rsid w:val="53BD2563"/>
    <w:rsid w:val="53CC27A6"/>
    <w:rsid w:val="53D33B35"/>
    <w:rsid w:val="53E45D42"/>
    <w:rsid w:val="53E618AC"/>
    <w:rsid w:val="53E977FC"/>
    <w:rsid w:val="53EC2E48"/>
    <w:rsid w:val="541000A5"/>
    <w:rsid w:val="544D0F50"/>
    <w:rsid w:val="545428EA"/>
    <w:rsid w:val="545B13B3"/>
    <w:rsid w:val="548968E9"/>
    <w:rsid w:val="548B08B3"/>
    <w:rsid w:val="54951751"/>
    <w:rsid w:val="54990008"/>
    <w:rsid w:val="54C55B73"/>
    <w:rsid w:val="54D438D0"/>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B4A2A"/>
    <w:rsid w:val="569A39A8"/>
    <w:rsid w:val="56F50266"/>
    <w:rsid w:val="570412E1"/>
    <w:rsid w:val="57156660"/>
    <w:rsid w:val="573C5F32"/>
    <w:rsid w:val="57454D4A"/>
    <w:rsid w:val="57566F57"/>
    <w:rsid w:val="577059BB"/>
    <w:rsid w:val="57932DC4"/>
    <w:rsid w:val="57B66C5A"/>
    <w:rsid w:val="57D53B7B"/>
    <w:rsid w:val="57F30C49"/>
    <w:rsid w:val="585D3F0C"/>
    <w:rsid w:val="58690F0C"/>
    <w:rsid w:val="589B2D6B"/>
    <w:rsid w:val="58B74741"/>
    <w:rsid w:val="58D04AE7"/>
    <w:rsid w:val="590B0730"/>
    <w:rsid w:val="596A4F3B"/>
    <w:rsid w:val="597933D0"/>
    <w:rsid w:val="598A2732"/>
    <w:rsid w:val="598D4786"/>
    <w:rsid w:val="59975605"/>
    <w:rsid w:val="59BD150F"/>
    <w:rsid w:val="59E22D24"/>
    <w:rsid w:val="59EE1654"/>
    <w:rsid w:val="5A04713E"/>
    <w:rsid w:val="5A380B96"/>
    <w:rsid w:val="5A673229"/>
    <w:rsid w:val="5A9B1124"/>
    <w:rsid w:val="5AAC262F"/>
    <w:rsid w:val="5AE0581C"/>
    <w:rsid w:val="5AF52F61"/>
    <w:rsid w:val="5AFF3461"/>
    <w:rsid w:val="5B341C7F"/>
    <w:rsid w:val="5B572E88"/>
    <w:rsid w:val="5B791466"/>
    <w:rsid w:val="5B7C4AB2"/>
    <w:rsid w:val="5B8A5421"/>
    <w:rsid w:val="5B91506F"/>
    <w:rsid w:val="5BC10366"/>
    <w:rsid w:val="5BE43388"/>
    <w:rsid w:val="5BE96C28"/>
    <w:rsid w:val="5BF3746A"/>
    <w:rsid w:val="5C0A47B4"/>
    <w:rsid w:val="5C14641E"/>
    <w:rsid w:val="5C292E8C"/>
    <w:rsid w:val="5C2A2CFF"/>
    <w:rsid w:val="5C6C0FCA"/>
    <w:rsid w:val="5C734107"/>
    <w:rsid w:val="5C7E485A"/>
    <w:rsid w:val="5C835A39"/>
    <w:rsid w:val="5C904CB9"/>
    <w:rsid w:val="5C9E6E1D"/>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4973A1"/>
    <w:rsid w:val="5F557AF4"/>
    <w:rsid w:val="5FC15189"/>
    <w:rsid w:val="5FD050B7"/>
    <w:rsid w:val="5FD41360"/>
    <w:rsid w:val="5FFB4B3F"/>
    <w:rsid w:val="601F4136"/>
    <w:rsid w:val="6051650D"/>
    <w:rsid w:val="60522285"/>
    <w:rsid w:val="608C1C3B"/>
    <w:rsid w:val="60B01DEF"/>
    <w:rsid w:val="60B151FE"/>
    <w:rsid w:val="60CC2CF9"/>
    <w:rsid w:val="6138252E"/>
    <w:rsid w:val="61500EBB"/>
    <w:rsid w:val="615F38A6"/>
    <w:rsid w:val="61730266"/>
    <w:rsid w:val="61785D1C"/>
    <w:rsid w:val="6182240A"/>
    <w:rsid w:val="61F061FA"/>
    <w:rsid w:val="61F8607C"/>
    <w:rsid w:val="625F6FAE"/>
    <w:rsid w:val="626B3D79"/>
    <w:rsid w:val="628C7CD0"/>
    <w:rsid w:val="62C531E2"/>
    <w:rsid w:val="62DF5507"/>
    <w:rsid w:val="62E82422"/>
    <w:rsid w:val="631101D6"/>
    <w:rsid w:val="63161C90"/>
    <w:rsid w:val="63275C4B"/>
    <w:rsid w:val="63464323"/>
    <w:rsid w:val="634A483E"/>
    <w:rsid w:val="63554566"/>
    <w:rsid w:val="635A354C"/>
    <w:rsid w:val="63627A46"/>
    <w:rsid w:val="63917BE0"/>
    <w:rsid w:val="63952BB5"/>
    <w:rsid w:val="63A21B0F"/>
    <w:rsid w:val="63BA261B"/>
    <w:rsid w:val="63BF40D6"/>
    <w:rsid w:val="63F0428F"/>
    <w:rsid w:val="641F4B74"/>
    <w:rsid w:val="642B45E0"/>
    <w:rsid w:val="645E73D4"/>
    <w:rsid w:val="64604EAC"/>
    <w:rsid w:val="64740A1C"/>
    <w:rsid w:val="64785187"/>
    <w:rsid w:val="64915A72"/>
    <w:rsid w:val="64C01EB3"/>
    <w:rsid w:val="64E742EF"/>
    <w:rsid w:val="65297A59"/>
    <w:rsid w:val="653D52B2"/>
    <w:rsid w:val="65C35516"/>
    <w:rsid w:val="65DD08D2"/>
    <w:rsid w:val="660425E3"/>
    <w:rsid w:val="661C699C"/>
    <w:rsid w:val="66457796"/>
    <w:rsid w:val="66624242"/>
    <w:rsid w:val="66646B63"/>
    <w:rsid w:val="66680A54"/>
    <w:rsid w:val="66726157"/>
    <w:rsid w:val="668A4527"/>
    <w:rsid w:val="668F4651"/>
    <w:rsid w:val="66970B7E"/>
    <w:rsid w:val="66A5387A"/>
    <w:rsid w:val="66AD6467"/>
    <w:rsid w:val="66D659BE"/>
    <w:rsid w:val="66EF19C1"/>
    <w:rsid w:val="675A3FC2"/>
    <w:rsid w:val="67656B1B"/>
    <w:rsid w:val="676762BB"/>
    <w:rsid w:val="67A07D7A"/>
    <w:rsid w:val="67AE419D"/>
    <w:rsid w:val="67B22635"/>
    <w:rsid w:val="6837324F"/>
    <w:rsid w:val="683769EB"/>
    <w:rsid w:val="683937C4"/>
    <w:rsid w:val="683F7593"/>
    <w:rsid w:val="684479D5"/>
    <w:rsid w:val="68470119"/>
    <w:rsid w:val="68531ADB"/>
    <w:rsid w:val="68E41A0F"/>
    <w:rsid w:val="68EC10AC"/>
    <w:rsid w:val="69033C37"/>
    <w:rsid w:val="690A194F"/>
    <w:rsid w:val="690F33FA"/>
    <w:rsid w:val="691B77CE"/>
    <w:rsid w:val="69286279"/>
    <w:rsid w:val="69390486"/>
    <w:rsid w:val="69855479"/>
    <w:rsid w:val="698C50B9"/>
    <w:rsid w:val="69D17EAA"/>
    <w:rsid w:val="69D47128"/>
    <w:rsid w:val="6A0A07B9"/>
    <w:rsid w:val="6A104B44"/>
    <w:rsid w:val="6A13098A"/>
    <w:rsid w:val="6A222CC8"/>
    <w:rsid w:val="6A2922A9"/>
    <w:rsid w:val="6A356EA0"/>
    <w:rsid w:val="6A880C15"/>
    <w:rsid w:val="6AC81C04"/>
    <w:rsid w:val="6ADE7537"/>
    <w:rsid w:val="6AE10DD5"/>
    <w:rsid w:val="6AF74155"/>
    <w:rsid w:val="6B1D45FA"/>
    <w:rsid w:val="6B221B0E"/>
    <w:rsid w:val="6B284B11"/>
    <w:rsid w:val="6B531523"/>
    <w:rsid w:val="6B574BF4"/>
    <w:rsid w:val="6BAA57BC"/>
    <w:rsid w:val="6BDC7881"/>
    <w:rsid w:val="6BFF1513"/>
    <w:rsid w:val="6C25714E"/>
    <w:rsid w:val="6C4C7320"/>
    <w:rsid w:val="6C7543E1"/>
    <w:rsid w:val="6C81017A"/>
    <w:rsid w:val="6C8B2DA7"/>
    <w:rsid w:val="6C963B87"/>
    <w:rsid w:val="6CA96079"/>
    <w:rsid w:val="6CAC1F8A"/>
    <w:rsid w:val="6CC60283"/>
    <w:rsid w:val="6CC67E96"/>
    <w:rsid w:val="6CC81EA4"/>
    <w:rsid w:val="6CDF6314"/>
    <w:rsid w:val="6D0524D7"/>
    <w:rsid w:val="6D062D75"/>
    <w:rsid w:val="6D37776E"/>
    <w:rsid w:val="6D481867"/>
    <w:rsid w:val="6D6A50B2"/>
    <w:rsid w:val="6D8C026B"/>
    <w:rsid w:val="6E557B10"/>
    <w:rsid w:val="6E591837"/>
    <w:rsid w:val="6E5D6C7A"/>
    <w:rsid w:val="6E896EA8"/>
    <w:rsid w:val="6E8A4677"/>
    <w:rsid w:val="6E9310B7"/>
    <w:rsid w:val="6EA14455"/>
    <w:rsid w:val="6F0D3F47"/>
    <w:rsid w:val="6F190B3E"/>
    <w:rsid w:val="6F530252"/>
    <w:rsid w:val="6F614293"/>
    <w:rsid w:val="6F881522"/>
    <w:rsid w:val="6FB01538"/>
    <w:rsid w:val="6FCB0599"/>
    <w:rsid w:val="6FFC5967"/>
    <w:rsid w:val="701D640C"/>
    <w:rsid w:val="70366B8A"/>
    <w:rsid w:val="704838FD"/>
    <w:rsid w:val="70763D6E"/>
    <w:rsid w:val="709119F6"/>
    <w:rsid w:val="70925B12"/>
    <w:rsid w:val="709C26F0"/>
    <w:rsid w:val="70A408DB"/>
    <w:rsid w:val="70A64653"/>
    <w:rsid w:val="70A97482"/>
    <w:rsid w:val="70C1323B"/>
    <w:rsid w:val="70DB10E0"/>
    <w:rsid w:val="711517D9"/>
    <w:rsid w:val="71163298"/>
    <w:rsid w:val="713D769E"/>
    <w:rsid w:val="714425EE"/>
    <w:rsid w:val="714E35C4"/>
    <w:rsid w:val="71681909"/>
    <w:rsid w:val="71AE02C6"/>
    <w:rsid w:val="71BD418E"/>
    <w:rsid w:val="71CF64C6"/>
    <w:rsid w:val="71E82A49"/>
    <w:rsid w:val="71F25676"/>
    <w:rsid w:val="71F7318A"/>
    <w:rsid w:val="72036E88"/>
    <w:rsid w:val="720B63C0"/>
    <w:rsid w:val="720E75BB"/>
    <w:rsid w:val="721A3870"/>
    <w:rsid w:val="724B2CFE"/>
    <w:rsid w:val="72BA43E6"/>
    <w:rsid w:val="72C25048"/>
    <w:rsid w:val="72C3785D"/>
    <w:rsid w:val="72DA76F9"/>
    <w:rsid w:val="72DB435C"/>
    <w:rsid w:val="72FD6BE2"/>
    <w:rsid w:val="73505E3C"/>
    <w:rsid w:val="736A17C6"/>
    <w:rsid w:val="73727874"/>
    <w:rsid w:val="737308E6"/>
    <w:rsid w:val="739641CD"/>
    <w:rsid w:val="73CD45CC"/>
    <w:rsid w:val="73D03795"/>
    <w:rsid w:val="73DE4104"/>
    <w:rsid w:val="73E442FB"/>
    <w:rsid w:val="73F73418"/>
    <w:rsid w:val="740F42BD"/>
    <w:rsid w:val="74130252"/>
    <w:rsid w:val="741B501D"/>
    <w:rsid w:val="741B7106"/>
    <w:rsid w:val="7472484C"/>
    <w:rsid w:val="747F532B"/>
    <w:rsid w:val="74EE4392"/>
    <w:rsid w:val="75AB1C93"/>
    <w:rsid w:val="75FE45EA"/>
    <w:rsid w:val="760F453B"/>
    <w:rsid w:val="761B163F"/>
    <w:rsid w:val="763E532E"/>
    <w:rsid w:val="76422E91"/>
    <w:rsid w:val="764467DA"/>
    <w:rsid w:val="767F1775"/>
    <w:rsid w:val="76810114"/>
    <w:rsid w:val="768D3BBF"/>
    <w:rsid w:val="769C3384"/>
    <w:rsid w:val="76B965AB"/>
    <w:rsid w:val="76BE1FCB"/>
    <w:rsid w:val="76C1645A"/>
    <w:rsid w:val="76E41762"/>
    <w:rsid w:val="77156AC5"/>
    <w:rsid w:val="7717316E"/>
    <w:rsid w:val="773A78A3"/>
    <w:rsid w:val="773D7394"/>
    <w:rsid w:val="77440722"/>
    <w:rsid w:val="775C3CBE"/>
    <w:rsid w:val="77603777"/>
    <w:rsid w:val="778123BB"/>
    <w:rsid w:val="77860D3A"/>
    <w:rsid w:val="778D20C9"/>
    <w:rsid w:val="77901BB9"/>
    <w:rsid w:val="77A15B74"/>
    <w:rsid w:val="77C7479C"/>
    <w:rsid w:val="77DF669D"/>
    <w:rsid w:val="780341D7"/>
    <w:rsid w:val="78381D1A"/>
    <w:rsid w:val="78451971"/>
    <w:rsid w:val="78615304"/>
    <w:rsid w:val="78857307"/>
    <w:rsid w:val="788D7EA7"/>
    <w:rsid w:val="788E3223"/>
    <w:rsid w:val="78BE4BF4"/>
    <w:rsid w:val="78E06AB0"/>
    <w:rsid w:val="78EA0495"/>
    <w:rsid w:val="78FD502C"/>
    <w:rsid w:val="7911009D"/>
    <w:rsid w:val="79270F6A"/>
    <w:rsid w:val="793C02BE"/>
    <w:rsid w:val="794C37FB"/>
    <w:rsid w:val="79515378"/>
    <w:rsid w:val="795B1D53"/>
    <w:rsid w:val="798E0318"/>
    <w:rsid w:val="79F06609"/>
    <w:rsid w:val="79F50E8F"/>
    <w:rsid w:val="79F87406"/>
    <w:rsid w:val="7A6B77DD"/>
    <w:rsid w:val="7AD93877"/>
    <w:rsid w:val="7ADB139D"/>
    <w:rsid w:val="7AF20495"/>
    <w:rsid w:val="7B122641"/>
    <w:rsid w:val="7B133AD1"/>
    <w:rsid w:val="7B304A74"/>
    <w:rsid w:val="7B4E1812"/>
    <w:rsid w:val="7B6273C9"/>
    <w:rsid w:val="7B7258DC"/>
    <w:rsid w:val="7B8F48CC"/>
    <w:rsid w:val="7BC251DF"/>
    <w:rsid w:val="7BE40725"/>
    <w:rsid w:val="7BFC0690"/>
    <w:rsid w:val="7C0829B8"/>
    <w:rsid w:val="7C120DEF"/>
    <w:rsid w:val="7C1745DC"/>
    <w:rsid w:val="7C182662"/>
    <w:rsid w:val="7C490589"/>
    <w:rsid w:val="7C4C5ED6"/>
    <w:rsid w:val="7C523B48"/>
    <w:rsid w:val="7C524105"/>
    <w:rsid w:val="7C6F7FEF"/>
    <w:rsid w:val="7C7E46D6"/>
    <w:rsid w:val="7C9A72BD"/>
    <w:rsid w:val="7CA85BD2"/>
    <w:rsid w:val="7CBD657D"/>
    <w:rsid w:val="7CC540BD"/>
    <w:rsid w:val="7CCA3116"/>
    <w:rsid w:val="7CCD740C"/>
    <w:rsid w:val="7D060495"/>
    <w:rsid w:val="7D423759"/>
    <w:rsid w:val="7D5A370F"/>
    <w:rsid w:val="7D695F1A"/>
    <w:rsid w:val="7DC05154"/>
    <w:rsid w:val="7DD30A52"/>
    <w:rsid w:val="7DD956AA"/>
    <w:rsid w:val="7DE93453"/>
    <w:rsid w:val="7DE95B7F"/>
    <w:rsid w:val="7E0E3838"/>
    <w:rsid w:val="7E176B90"/>
    <w:rsid w:val="7E2D5B39"/>
    <w:rsid w:val="7E517841"/>
    <w:rsid w:val="7E5971A9"/>
    <w:rsid w:val="7E8B290D"/>
    <w:rsid w:val="7E9278AE"/>
    <w:rsid w:val="7E9975A5"/>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autoRedefine/>
    <w:qFormat/>
    <w:uiPriority w:val="0"/>
    <w:pPr>
      <w:keepNext/>
      <w:keepLines/>
      <w:spacing w:line="360" w:lineRule="auto"/>
      <w:jc w:val="center"/>
      <w:outlineLvl w:val="0"/>
    </w:pPr>
    <w:rPr>
      <w:b/>
      <w:bCs/>
      <w:kern w:val="44"/>
      <w:sz w:val="44"/>
      <w:szCs w:val="44"/>
    </w:rPr>
  </w:style>
  <w:style w:type="paragraph" w:styleId="5">
    <w:name w:val="heading 2"/>
    <w:basedOn w:val="1"/>
    <w:next w:val="6"/>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szCs w:val="24"/>
    </w:rPr>
  </w:style>
  <w:style w:type="paragraph" w:styleId="3">
    <w:name w:val="Body Text Indent"/>
    <w:basedOn w:val="1"/>
    <w:autoRedefine/>
    <w:qFormat/>
    <w:uiPriority w:val="0"/>
    <w:pPr>
      <w:spacing w:after="120"/>
      <w:ind w:left="200" w:leftChars="200"/>
    </w:p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0"/>
    </w:rPr>
  </w:style>
  <w:style w:type="paragraph" w:styleId="9">
    <w:name w:val="Body Text"/>
    <w:basedOn w:val="1"/>
    <w:next w:val="10"/>
    <w:autoRedefine/>
    <w:qFormat/>
    <w:uiPriority w:val="99"/>
    <w:pPr>
      <w:numPr>
        <w:ilvl w:val="0"/>
        <w:numId w:val="1"/>
      </w:numPr>
      <w:tabs>
        <w:tab w:val="clear" w:pos="780"/>
      </w:tabs>
      <w:ind w:left="0" w:firstLine="0"/>
    </w:pPr>
    <w:rPr>
      <w:rFonts w:ascii="黑体" w:eastAsia="黑体"/>
      <w:sz w:val="22"/>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next w:val="12"/>
    <w:autoRedefine/>
    <w:qFormat/>
    <w:uiPriority w:val="0"/>
    <w:rPr>
      <w:rFonts w:ascii="宋体"/>
      <w:color w:val="000000"/>
      <w:szCs w:val="20"/>
      <w:u w:val="none" w:color="000000"/>
    </w:rPr>
  </w:style>
  <w:style w:type="paragraph" w:styleId="12">
    <w:name w:val="index 7"/>
    <w:basedOn w:val="1"/>
    <w:next w:val="1"/>
    <w:autoRedefine/>
    <w:qFormat/>
    <w:uiPriority w:val="0"/>
    <w:pPr>
      <w:autoSpaceDE/>
      <w:autoSpaceDN/>
      <w:adjustRightInd/>
      <w:ind w:left="1200" w:leftChars="1200"/>
    </w:pPr>
    <w:rPr>
      <w:color w:val="auto"/>
      <w:kern w:val="2"/>
      <w:szCs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semiHidden/>
    <w:unhideWhenUsed/>
    <w:qFormat/>
    <w:uiPriority w:val="99"/>
    <w:pPr>
      <w:snapToGrid w:val="0"/>
      <w:jc w:val="left"/>
    </w:pPr>
    <w:rPr>
      <w:sz w:val="18"/>
      <w:szCs w:val="18"/>
    </w:rPr>
  </w:style>
  <w:style w:type="paragraph" w:styleId="16">
    <w:name w:val="Body Text 2"/>
    <w:basedOn w:val="1"/>
    <w:autoRedefine/>
    <w:qFormat/>
    <w:uiPriority w:val="0"/>
    <w:pPr>
      <w:tabs>
        <w:tab w:val="left" w:pos="0"/>
      </w:tabs>
      <w:spacing w:line="400" w:lineRule="atLeast"/>
    </w:pPr>
    <w:rPr>
      <w:rFonts w:ascii="Arial" w:hAnsi="Arial"/>
      <w:color w:val="000000"/>
    </w:rPr>
  </w:style>
  <w:style w:type="paragraph" w:styleId="17">
    <w:name w:val="Normal (Web)"/>
    <w:basedOn w:val="1"/>
    <w:next w:val="18"/>
    <w:autoRedefine/>
    <w:qFormat/>
    <w:uiPriority w:val="99"/>
    <w:pPr>
      <w:widowControl/>
      <w:jc w:val="left"/>
    </w:pPr>
    <w:rPr>
      <w:rFonts w:ascii="宋体" w:hAnsi="宋体" w:eastAsia="宋体" w:cs="宋体"/>
      <w:kern w:val="0"/>
      <w:sz w:val="24"/>
      <w:szCs w:val="24"/>
    </w:rPr>
  </w:style>
  <w:style w:type="paragraph" w:customStyle="1" w:styleId="18">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First Indent"/>
    <w:basedOn w:val="9"/>
    <w:autoRedefine/>
    <w:qFormat/>
    <w:uiPriority w:val="0"/>
    <w:pPr>
      <w:tabs>
        <w:tab w:val="left" w:pos="780"/>
      </w:tabs>
      <w:autoSpaceDE w:val="0"/>
      <w:autoSpaceDN w:val="0"/>
      <w:adjustRightInd w:val="0"/>
      <w:spacing w:line="312" w:lineRule="atLeast"/>
      <w:ind w:firstLine="420"/>
    </w:pPr>
    <w:rPr>
      <w:rFonts w:ascii="宋体"/>
      <w:kern w:val="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Hyperlink"/>
    <w:autoRedefine/>
    <w:qFormat/>
    <w:uiPriority w:val="99"/>
    <w:rPr>
      <w:color w:val="0000FF"/>
      <w:u w:val="single"/>
    </w:rPr>
  </w:style>
  <w:style w:type="character" w:styleId="25">
    <w:name w:val="footnote reference"/>
    <w:basedOn w:val="22"/>
    <w:autoRedefine/>
    <w:semiHidden/>
    <w:unhideWhenUsed/>
    <w:qFormat/>
    <w:uiPriority w:val="99"/>
    <w:rPr>
      <w:vertAlign w:val="superscript"/>
    </w:rPr>
  </w:style>
  <w:style w:type="character" w:styleId="26">
    <w:name w:val="HTML Sample"/>
    <w:basedOn w:val="22"/>
    <w:autoRedefine/>
    <w:qFormat/>
    <w:uiPriority w:val="0"/>
    <w:rPr>
      <w:rFonts w:ascii="Courier New" w:hAnsi="Courier New"/>
    </w:rPr>
  </w:style>
  <w:style w:type="paragraph" w:customStyle="1" w:styleId="27">
    <w:name w:val="_Style 2"/>
    <w:basedOn w:val="4"/>
    <w:next w:val="1"/>
    <w:autoRedefine/>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3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2">
    <w:name w:val="文档正文"/>
    <w:basedOn w:val="6"/>
    <w:autoRedefine/>
    <w:qFormat/>
    <w:uiPriority w:val="0"/>
    <w:pPr>
      <w:spacing w:line="360" w:lineRule="auto"/>
    </w:pPr>
    <w:rPr>
      <w:rFonts w:ascii="宋体" w:hAnsi="宋体"/>
      <w:b/>
      <w:bCs/>
    </w:rPr>
  </w:style>
  <w:style w:type="paragraph" w:customStyle="1" w:styleId="33">
    <w:name w:val="Heading #2|1"/>
    <w:basedOn w:val="1"/>
    <w:autoRedefine/>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4">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5">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8">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0">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1">
    <w:name w:val="WPS Plain"/>
    <w:autoRedefine/>
    <w:qFormat/>
    <w:uiPriority w:val="0"/>
    <w:rPr>
      <w:rFonts w:ascii="Times New Roman" w:hAnsi="Times New Roman" w:eastAsia="宋体" w:cs="Times New Roman"/>
      <w:lang w:val="en-US" w:eastAsia="zh-CN" w:bidi="ar-SA"/>
    </w:rPr>
  </w:style>
  <w:style w:type="paragraph" w:customStyle="1" w:styleId="42">
    <w:name w:val="样式 左侧:  0 厘米 悬挂缩进: 2.5 字符"/>
    <w:basedOn w:val="1"/>
    <w:autoRedefine/>
    <w:qFormat/>
    <w:uiPriority w:val="0"/>
    <w:pPr>
      <w:ind w:left="525" w:hanging="525" w:hangingChars="250"/>
    </w:pPr>
    <w:rPr>
      <w:szCs w:val="20"/>
    </w:rPr>
  </w:style>
  <w:style w:type="character" w:customStyle="1" w:styleId="43">
    <w:name w:val="font11"/>
    <w:basedOn w:val="22"/>
    <w:autoRedefine/>
    <w:qFormat/>
    <w:uiPriority w:val="0"/>
    <w:rPr>
      <w:rFonts w:ascii="Calibri" w:hAnsi="Calibri" w:cs="Calibri"/>
      <w:color w:val="000000"/>
      <w:sz w:val="20"/>
      <w:szCs w:val="20"/>
      <w:u w:val="none"/>
    </w:rPr>
  </w:style>
  <w:style w:type="paragraph" w:customStyle="1" w:styleId="44">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45">
    <w:name w:val="表名称"/>
    <w:basedOn w:val="6"/>
    <w:autoRedefine/>
    <w:qFormat/>
    <w:uiPriority w:val="0"/>
    <w:pPr>
      <w:numPr>
        <w:ilvl w:val="0"/>
        <w:numId w:val="2"/>
      </w:numPr>
      <w:ind w:firstLine="0" w:firstLineChars="0"/>
      <w:jc w:val="center"/>
    </w:pPr>
  </w:style>
  <w:style w:type="character" w:customStyle="1" w:styleId="46">
    <w:name w:val="font01"/>
    <w:basedOn w:val="22"/>
    <w:autoRedefine/>
    <w:qFormat/>
    <w:uiPriority w:val="0"/>
    <w:rPr>
      <w:rFonts w:hint="eastAsia" w:ascii="宋体" w:hAnsi="宋体" w:eastAsia="宋体" w:cs="宋体"/>
      <w:color w:val="000000"/>
      <w:sz w:val="18"/>
      <w:szCs w:val="18"/>
      <w:u w:val="none"/>
    </w:rPr>
  </w:style>
  <w:style w:type="character" w:customStyle="1" w:styleId="47">
    <w:name w:val="font91"/>
    <w:basedOn w:val="22"/>
    <w:autoRedefine/>
    <w:qFormat/>
    <w:uiPriority w:val="0"/>
    <w:rPr>
      <w:rFonts w:hint="eastAsia" w:ascii="黑体" w:hAnsi="宋体" w:eastAsia="黑体" w:cs="黑体"/>
      <w:color w:val="FF0000"/>
      <w:sz w:val="20"/>
      <w:szCs w:val="20"/>
      <w:u w:val="none"/>
    </w:rPr>
  </w:style>
  <w:style w:type="character" w:customStyle="1" w:styleId="48">
    <w:name w:val="font21"/>
    <w:basedOn w:val="22"/>
    <w:autoRedefine/>
    <w:qFormat/>
    <w:uiPriority w:val="0"/>
    <w:rPr>
      <w:rFonts w:hint="eastAsia" w:ascii="黑体" w:hAnsi="宋体" w:eastAsia="黑体" w:cs="黑体"/>
      <w:color w:val="000000"/>
      <w:sz w:val="20"/>
      <w:szCs w:val="20"/>
      <w:u w:val="none"/>
    </w:rPr>
  </w:style>
  <w:style w:type="character" w:customStyle="1" w:styleId="49">
    <w:name w:val="font51"/>
    <w:basedOn w:val="22"/>
    <w:autoRedefine/>
    <w:qFormat/>
    <w:uiPriority w:val="0"/>
    <w:rPr>
      <w:rFonts w:hint="eastAsia" w:ascii="宋体" w:hAnsi="宋体" w:eastAsia="宋体" w:cs="宋体"/>
      <w:color w:val="000000"/>
      <w:sz w:val="22"/>
      <w:szCs w:val="22"/>
      <w:u w:val="none"/>
    </w:rPr>
  </w:style>
  <w:style w:type="character" w:customStyle="1" w:styleId="50">
    <w:name w:val="font81"/>
    <w:basedOn w:val="22"/>
    <w:autoRedefine/>
    <w:qFormat/>
    <w:uiPriority w:val="0"/>
    <w:rPr>
      <w:rFonts w:hint="eastAsia" w:ascii="宋体" w:hAnsi="宋体" w:eastAsia="宋体" w:cs="宋体"/>
      <w:color w:val="FF0000"/>
      <w:sz w:val="22"/>
      <w:szCs w:val="22"/>
      <w:u w:val="none"/>
    </w:rPr>
  </w:style>
  <w:style w:type="character" w:customStyle="1" w:styleId="51">
    <w:name w:val="font41"/>
    <w:basedOn w:val="22"/>
    <w:autoRedefine/>
    <w:qFormat/>
    <w:uiPriority w:val="0"/>
    <w:rPr>
      <w:rFonts w:hint="default" w:ascii="Times New Roman" w:hAnsi="Times New Roman" w:cs="Times New Roman"/>
      <w:color w:val="000000"/>
      <w:sz w:val="16"/>
      <w:szCs w:val="16"/>
      <w:u w:val="none"/>
    </w:rPr>
  </w:style>
  <w:style w:type="character" w:customStyle="1" w:styleId="52">
    <w:name w:val="font31"/>
    <w:basedOn w:val="22"/>
    <w:autoRedefine/>
    <w:qFormat/>
    <w:uiPriority w:val="0"/>
    <w:rPr>
      <w:rFonts w:hint="eastAsia" w:ascii="宋体" w:hAnsi="宋体" w:eastAsia="宋体" w:cs="宋体"/>
      <w:color w:val="000000"/>
      <w:sz w:val="16"/>
      <w:szCs w:val="16"/>
      <w:u w:val="none"/>
    </w:rPr>
  </w:style>
  <w:style w:type="character" w:customStyle="1" w:styleId="53">
    <w:name w:val="font71"/>
    <w:basedOn w:val="22"/>
    <w:autoRedefine/>
    <w:qFormat/>
    <w:uiPriority w:val="0"/>
    <w:rPr>
      <w:rFonts w:hint="eastAsia" w:ascii="宋体" w:hAnsi="宋体" w:eastAsia="宋体" w:cs="宋体"/>
      <w:color w:val="FF0000"/>
      <w:sz w:val="22"/>
      <w:szCs w:val="22"/>
      <w:u w:val="none"/>
    </w:rPr>
  </w:style>
  <w:style w:type="table" w:customStyle="1" w:styleId="5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189</Pages>
  <Words>49544</Words>
  <Characters>54624</Characters>
  <Lines>0</Lines>
  <Paragraphs>0</Paragraphs>
  <TotalTime>113</TotalTime>
  <ScaleCrop>false</ScaleCrop>
  <LinksUpToDate>false</LinksUpToDate>
  <CharactersWithSpaces>58711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cp:lastModifiedBy>
  <cp:lastPrinted>2024-05-21T11:17:00Z</cp:lastPrinted>
  <dcterms:modified xsi:type="dcterms:W3CDTF">2024-05-22T04:10:19Z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AA5DB661EDF0455587E5DCE05F529F99_13</vt:lpwstr>
  </property>
</Properties>
</file>