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bCs/>
          <w:color w:val="000000" w:themeColor="text1"/>
          <w:sz w:val="40"/>
          <w:szCs w:val="40"/>
          <w:lang w:eastAsia="zh-CN"/>
        </w:rPr>
      </w:pPr>
      <w:r>
        <w:rPr>
          <w:rFonts w:hint="eastAsia" w:ascii="仿宋" w:hAnsi="仿宋" w:eastAsia="仿宋" w:cs="仿宋"/>
          <w:b/>
          <w:bCs/>
          <w:color w:val="000000" w:themeColor="text1"/>
          <w:sz w:val="52"/>
          <w:szCs w:val="52"/>
          <w:lang w:eastAsia="zh-CN"/>
        </w:rPr>
        <w:t>乌恰县人民医院临床病区医疗设备采购（一包）</w:t>
      </w:r>
    </w:p>
    <w:p>
      <w:pPr>
        <w:spacing w:line="760" w:lineRule="exact"/>
        <w:jc w:val="center"/>
        <w:rPr>
          <w:rFonts w:hint="eastAsia" w:ascii="仿宋" w:hAnsi="仿宋" w:eastAsia="仿宋" w:cs="仿宋"/>
          <w:b/>
          <w:bCs/>
          <w:color w:val="000000" w:themeColor="text1"/>
          <w:sz w:val="40"/>
          <w:szCs w:val="40"/>
          <w:lang w:eastAsia="zh-CN"/>
        </w:rPr>
      </w:pPr>
    </w:p>
    <w:p>
      <w:pPr>
        <w:spacing w:line="760" w:lineRule="exact"/>
        <w:jc w:val="center"/>
        <w:rPr>
          <w:rFonts w:hint="default" w:ascii="仿宋" w:hAnsi="仿宋" w:eastAsia="仿宋" w:cs="仿宋"/>
          <w:b/>
          <w:bCs/>
          <w:color w:val="000000" w:themeColor="text1"/>
          <w:sz w:val="40"/>
          <w:szCs w:val="40"/>
          <w:lang w:val="en-US" w:eastAsia="zh-CN"/>
        </w:rPr>
      </w:pPr>
      <w:r>
        <w:rPr>
          <w:rFonts w:hint="eastAsia" w:ascii="仿宋" w:hAnsi="仿宋" w:eastAsia="仿宋" w:cs="仿宋"/>
          <w:b/>
          <w:bCs/>
          <w:color w:val="000000" w:themeColor="text1"/>
          <w:sz w:val="40"/>
          <w:szCs w:val="40"/>
          <w:lang w:eastAsia="zh-CN"/>
        </w:rPr>
        <w:t>项目编号：WQZFCG(ZB)-2024</w:t>
      </w:r>
      <w:r>
        <w:rPr>
          <w:rFonts w:hint="eastAsia" w:ascii="仿宋" w:hAnsi="仿宋" w:eastAsia="仿宋" w:cs="仿宋"/>
          <w:b/>
          <w:bCs/>
          <w:color w:val="000000" w:themeColor="text1"/>
          <w:sz w:val="40"/>
          <w:szCs w:val="40"/>
          <w:lang w:val="en-US" w:eastAsia="zh-CN"/>
        </w:rPr>
        <w:t>054</w:t>
      </w:r>
    </w:p>
    <w:p>
      <w:pPr>
        <w:pStyle w:val="2"/>
        <w:rPr>
          <w:rFonts w:ascii="仿宋" w:hAnsi="仿宋" w:eastAsia="仿宋" w:cs="仿宋"/>
          <w:color w:val="000000" w:themeColor="text1"/>
        </w:rPr>
      </w:pPr>
    </w:p>
    <w:p>
      <w:pPr>
        <w:pStyle w:val="2"/>
        <w:rPr>
          <w:rFonts w:ascii="仿宋" w:hAnsi="仿宋" w:eastAsia="仿宋" w:cs="仿宋"/>
          <w:color w:val="000000" w:themeColor="text1"/>
        </w:rPr>
      </w:pPr>
    </w:p>
    <w:p>
      <w:pPr>
        <w:pStyle w:val="2"/>
        <w:rPr>
          <w:rFonts w:ascii="仿宋" w:hAnsi="仿宋" w:eastAsia="仿宋" w:cs="仿宋"/>
          <w:color w:val="000000" w:themeColor="text1"/>
        </w:rPr>
      </w:pPr>
    </w:p>
    <w:p>
      <w:pPr>
        <w:pStyle w:val="2"/>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pPr>
        <w:pStyle w:val="2"/>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pPr>
        <w:pStyle w:val="2"/>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pPr>
        <w:pStyle w:val="2"/>
        <w:jc w:val="center"/>
        <w:rPr>
          <w:rFonts w:hint="eastAsia" w:ascii="仿宋" w:hAnsi="仿宋" w:eastAsia="仿宋" w:cs="仿宋"/>
          <w:color w:val="000000" w:themeColor="text1"/>
          <w:sz w:val="32"/>
          <w:szCs w:val="32"/>
          <w:lang w:eastAsia="zh-CN"/>
        </w:rPr>
      </w:pPr>
      <w:r>
        <w:rPr>
          <w:rFonts w:hint="eastAsia" w:ascii="仿宋" w:hAnsi="仿宋" w:eastAsia="仿宋" w:cs="仿宋"/>
          <w:b/>
          <w:bCs/>
          <w:color w:val="000000" w:themeColor="text1"/>
          <w:sz w:val="96"/>
          <w:szCs w:val="96"/>
        </w:rPr>
        <w:t>件</w:t>
      </w:r>
    </w:p>
    <w:p>
      <w:pPr>
        <w:spacing w:line="700" w:lineRule="exact"/>
        <w:rPr>
          <w:rFonts w:hint="eastAsia" w:ascii="仿宋" w:hAnsi="仿宋" w:eastAsia="仿宋" w:cs="仿宋"/>
          <w:color w:val="000000" w:themeColor="text1"/>
          <w:sz w:val="40"/>
          <w:szCs w:val="40"/>
          <w:lang w:eastAsia="zh-CN"/>
        </w:rPr>
      </w:pPr>
    </w:p>
    <w:p>
      <w:pPr>
        <w:spacing w:line="700" w:lineRule="exact"/>
        <w:rPr>
          <w:rFonts w:ascii="仿宋" w:hAnsi="仿宋" w:eastAsia="仿宋" w:cs="仿宋"/>
          <w:color w:val="000000" w:themeColor="text1"/>
          <w:sz w:val="40"/>
          <w:szCs w:val="40"/>
          <w:lang w:eastAsia="zh-CN"/>
        </w:rPr>
      </w:pPr>
      <w:r>
        <w:rPr>
          <w:rFonts w:hint="eastAsia" w:ascii="仿宋" w:hAnsi="仿宋" w:eastAsia="仿宋" w:cs="仿宋"/>
          <w:color w:val="000000" w:themeColor="text1"/>
          <w:sz w:val="40"/>
          <w:szCs w:val="40"/>
          <w:lang w:eastAsia="zh-CN"/>
        </w:rPr>
        <w:t xml:space="preserve">采购单位：乌恰县人民医院 </w:t>
      </w:r>
    </w:p>
    <w:p>
      <w:pPr>
        <w:spacing w:line="700" w:lineRule="exact"/>
        <w:rPr>
          <w:rFonts w:hint="eastAsia" w:ascii="仿宋" w:hAnsi="仿宋" w:eastAsia="仿宋" w:cs="仿宋"/>
          <w:color w:val="000000" w:themeColor="text1"/>
          <w:sz w:val="40"/>
          <w:szCs w:val="40"/>
          <w:lang w:val="en-US" w:eastAsia="zh-CN"/>
        </w:rPr>
      </w:pPr>
      <w:r>
        <w:rPr>
          <w:rFonts w:hint="eastAsia" w:ascii="仿宋" w:hAnsi="仿宋" w:eastAsia="仿宋" w:cs="仿宋"/>
          <w:color w:val="000000" w:themeColor="text1"/>
          <w:sz w:val="40"/>
          <w:szCs w:val="40"/>
          <w:lang w:eastAsia="zh-CN"/>
        </w:rPr>
        <w:t xml:space="preserve">联 系 人: </w:t>
      </w:r>
      <w:r>
        <w:rPr>
          <w:rFonts w:hint="eastAsia" w:ascii="仿宋" w:hAnsi="仿宋" w:eastAsia="仿宋" w:cs="仿宋"/>
          <w:color w:val="auto"/>
          <w:sz w:val="40"/>
          <w:szCs w:val="40"/>
          <w:lang w:val="en-US" w:eastAsia="zh-CN"/>
        </w:rPr>
        <w:t>张女士</w:t>
      </w:r>
      <w:r>
        <w:rPr>
          <w:rFonts w:hint="eastAsia" w:ascii="仿宋" w:hAnsi="仿宋" w:eastAsia="仿宋" w:cs="仿宋"/>
          <w:color w:val="0000FF"/>
          <w:sz w:val="40"/>
          <w:szCs w:val="40"/>
          <w:lang w:eastAsia="zh-CN"/>
        </w:rPr>
        <w:t xml:space="preserve"> </w:t>
      </w:r>
      <w:r>
        <w:rPr>
          <w:rFonts w:hint="eastAsia" w:ascii="仿宋" w:hAnsi="仿宋" w:eastAsia="仿宋" w:cs="仿宋"/>
          <w:color w:val="0000FF"/>
          <w:sz w:val="40"/>
          <w:szCs w:val="40"/>
          <w:lang w:val="en-US" w:eastAsia="zh-CN"/>
        </w:rPr>
        <w:t xml:space="preserve"> </w:t>
      </w:r>
      <w:r>
        <w:rPr>
          <w:rFonts w:hint="eastAsia" w:ascii="仿宋" w:hAnsi="仿宋" w:eastAsia="仿宋" w:cs="仿宋"/>
          <w:color w:val="auto"/>
          <w:sz w:val="40"/>
          <w:szCs w:val="40"/>
          <w:lang w:val="en-US" w:eastAsia="zh-CN"/>
        </w:rPr>
        <w:t xml:space="preserve">   </w:t>
      </w:r>
      <w:r>
        <w:rPr>
          <w:rFonts w:hint="eastAsia" w:ascii="仿宋" w:hAnsi="仿宋" w:eastAsia="仿宋" w:cs="仿宋"/>
          <w:color w:val="auto"/>
          <w:sz w:val="40"/>
          <w:szCs w:val="40"/>
          <w:lang w:eastAsia="zh-CN"/>
        </w:rPr>
        <w:t>联系电话：</w:t>
      </w:r>
      <w:r>
        <w:rPr>
          <w:rFonts w:hint="eastAsia" w:ascii="仿宋" w:hAnsi="仿宋" w:eastAsia="仿宋" w:cs="仿宋"/>
          <w:color w:val="auto"/>
          <w:sz w:val="40"/>
          <w:szCs w:val="40"/>
          <w:lang w:val="en-US" w:eastAsia="zh-CN"/>
        </w:rPr>
        <w:t>18709086880</w:t>
      </w:r>
      <w:r>
        <w:rPr>
          <w:rFonts w:hint="eastAsia" w:ascii="仿宋" w:hAnsi="仿宋" w:eastAsia="仿宋" w:cs="仿宋"/>
          <w:color w:val="000000" w:themeColor="text1"/>
          <w:sz w:val="40"/>
          <w:szCs w:val="40"/>
          <w:lang w:eastAsia="zh-CN"/>
        </w:rPr>
        <w:t>代理机构：</w:t>
      </w:r>
      <w:r>
        <w:rPr>
          <w:rFonts w:hint="eastAsia" w:ascii="仿宋" w:hAnsi="仿宋" w:eastAsia="仿宋" w:cs="仿宋"/>
          <w:color w:val="000000" w:themeColor="text1"/>
          <w:sz w:val="40"/>
          <w:szCs w:val="40"/>
          <w:lang w:val="en-US" w:eastAsia="zh-CN"/>
        </w:rPr>
        <w:t>新疆鑫润华工程项目管理有限公司</w:t>
      </w:r>
    </w:p>
    <w:p>
      <w:pPr>
        <w:spacing w:line="700" w:lineRule="exact"/>
        <w:rPr>
          <w:rFonts w:hint="default" w:ascii="仿宋" w:hAnsi="仿宋" w:eastAsia="仿宋" w:cs="仿宋"/>
          <w:b/>
          <w:color w:val="000000" w:themeColor="text1"/>
          <w:sz w:val="40"/>
          <w:szCs w:val="40"/>
          <w:lang w:val="en-US" w:eastAsia="zh-CN"/>
        </w:rPr>
      </w:pPr>
      <w:r>
        <w:rPr>
          <w:rFonts w:hint="eastAsia" w:ascii="仿宋" w:hAnsi="仿宋" w:eastAsia="仿宋" w:cs="仿宋"/>
          <w:color w:val="000000" w:themeColor="text1"/>
          <w:sz w:val="40"/>
          <w:szCs w:val="40"/>
          <w:lang w:eastAsia="zh-CN"/>
        </w:rPr>
        <w:t>联 系 人：</w:t>
      </w:r>
      <w:r>
        <w:rPr>
          <w:rFonts w:hint="eastAsia" w:ascii="仿宋" w:hAnsi="仿宋" w:eastAsia="仿宋" w:cs="仿宋"/>
          <w:color w:val="000000" w:themeColor="text1"/>
          <w:sz w:val="40"/>
          <w:szCs w:val="40"/>
          <w:lang w:val="en-US" w:eastAsia="zh-CN"/>
        </w:rPr>
        <w:t xml:space="preserve">魏女士     </w:t>
      </w:r>
      <w:r>
        <w:rPr>
          <w:rFonts w:hint="eastAsia" w:ascii="仿宋" w:hAnsi="仿宋" w:eastAsia="仿宋" w:cs="仿宋"/>
          <w:color w:val="000000" w:themeColor="text1"/>
          <w:sz w:val="40"/>
          <w:szCs w:val="40"/>
          <w:lang w:eastAsia="zh-CN"/>
        </w:rPr>
        <w:t xml:space="preserve">联系电话: </w:t>
      </w:r>
      <w:r>
        <w:rPr>
          <w:rFonts w:hint="eastAsia" w:ascii="仿宋" w:hAnsi="仿宋" w:eastAsia="仿宋" w:cs="仿宋"/>
          <w:color w:val="000000" w:themeColor="text1"/>
          <w:sz w:val="40"/>
          <w:szCs w:val="40"/>
          <w:lang w:val="en-US" w:eastAsia="zh-CN"/>
        </w:rPr>
        <w:t>17799081359</w:t>
      </w:r>
    </w:p>
    <w:p>
      <w:pPr>
        <w:jc w:val="both"/>
        <w:rPr>
          <w:rFonts w:hint="eastAsia" w:ascii="仿宋" w:hAnsi="仿宋" w:eastAsia="仿宋" w:cs="仿宋"/>
          <w:b w:val="0"/>
          <w:bCs/>
          <w:color w:val="000000" w:themeColor="text1"/>
          <w:sz w:val="36"/>
          <w:szCs w:val="36"/>
          <w:lang w:val="en-US" w:eastAsia="zh-CN"/>
        </w:rPr>
      </w:pPr>
    </w:p>
    <w:p>
      <w:pPr>
        <w:jc w:val="center"/>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2024年4月</w:t>
      </w:r>
    </w:p>
    <w:p>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NumType w:fmt="decimal" w:start="1"/>
          <w:cols w:space="720" w:num="1"/>
          <w:docGrid w:type="linesAndChars" w:linePitch="312" w:charSpace="0"/>
        </w:sectPr>
      </w:pPr>
    </w:p>
    <w:p>
      <w:pPr>
        <w:pStyle w:val="13"/>
        <w:rPr>
          <w:rFonts w:hint="eastAsia"/>
          <w:lang w:eastAsia="zh-CN"/>
        </w:rPr>
      </w:pPr>
    </w:p>
    <w:p>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388" w:type="dxa"/>
          </w:tcPr>
          <w:p>
            <w:pPr>
              <w:spacing w:line="500" w:lineRule="exact"/>
              <w:jc w:val="both"/>
              <w:rPr>
                <w:rFonts w:ascii="仿宋" w:hAnsi="仿宋" w:eastAsia="仿宋" w:cs="仿宋"/>
                <w:color w:val="000000" w:themeColor="text1"/>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采购单位：乌恰县人民医院</w:t>
            </w:r>
            <w:r>
              <w:rPr>
                <w:rFonts w:hint="eastAsia" w:ascii="仿宋" w:hAnsi="仿宋" w:eastAsia="仿宋" w:cs="仿宋"/>
                <w:color w:val="000000" w:themeColor="text1"/>
                <w:w w:val="95"/>
                <w:sz w:val="32"/>
                <w:szCs w:val="32"/>
                <w:lang w:eastAsia="zh-CN"/>
              </w:rPr>
              <w:t>（盖章）</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ind w:left="3520" w:hanging="3520" w:hangingChars="1100"/>
              <w:jc w:val="both"/>
              <w:rPr>
                <w:rFonts w:ascii="仿宋" w:hAnsi="仿宋" w:eastAsia="仿宋" w:cs="仿宋"/>
                <w:color w:val="000000" w:themeColor="text1"/>
                <w:sz w:val="32"/>
                <w:szCs w:val="32"/>
                <w:lang w:eastAsia="zh-CN"/>
              </w:rPr>
            </w:pPr>
          </w:p>
          <w:p>
            <w:pPr>
              <w:spacing w:line="500" w:lineRule="exact"/>
              <w:ind w:left="3520" w:hanging="3520" w:hangingChars="1100"/>
              <w:jc w:val="lef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采购项目名称：乌恰县人民医院临床病区医疗设备采购（一包）</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pPr>
              <w:pStyle w:val="8"/>
              <w:jc w:val="both"/>
              <w:outlineLvl w:val="2"/>
              <w:rPr>
                <w:rFonts w:ascii="仿宋" w:hAnsi="仿宋" w:eastAsia="仿宋" w:cs="仿宋"/>
                <w:color w:val="000000" w:themeColor="text1"/>
                <w:lang w:eastAsia="zh-CN"/>
              </w:rPr>
            </w:pPr>
          </w:p>
          <w:p>
            <w:pPr>
              <w:jc w:val="both"/>
              <w:rPr>
                <w:rFonts w:ascii="仿宋" w:hAnsi="仿宋" w:eastAsia="仿宋" w:cs="仿宋"/>
                <w:color w:val="000000" w:themeColor="text1"/>
                <w:lang w:eastAsia="zh-CN"/>
              </w:rPr>
            </w:pPr>
          </w:p>
          <w:p>
            <w:pPr>
              <w:pStyle w:val="8"/>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月</w:t>
            </w:r>
          </w:p>
          <w:p>
            <w:pPr>
              <w:pStyle w:val="8"/>
              <w:jc w:val="both"/>
              <w:outlineLvl w:val="2"/>
              <w:rPr>
                <w:rFonts w:ascii="仿宋" w:hAnsi="仿宋" w:eastAsia="仿宋" w:cs="仿宋"/>
                <w:color w:val="000000" w:themeColor="text1"/>
              </w:rPr>
            </w:pPr>
          </w:p>
        </w:tc>
      </w:tr>
    </w:tbl>
    <w:p>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NumType w:fmt="decimal"/>
          <w:cols w:space="720" w:num="1"/>
          <w:docGrid w:type="linesAndChars" w:linePitch="312" w:charSpace="0"/>
        </w:sectPr>
      </w:pPr>
    </w:p>
    <w:p>
      <w:pPr>
        <w:pStyle w:val="31"/>
        <w:spacing w:before="0" w:line="360" w:lineRule="auto"/>
        <w:jc w:val="both"/>
        <w:rPr>
          <w:rFonts w:ascii="仿宋" w:hAnsi="仿宋" w:eastAsia="仿宋" w:cs="仿宋"/>
          <w:color w:val="000000" w:themeColor="text1"/>
          <w:sz w:val="44"/>
          <w:szCs w:val="44"/>
          <w:lang w:val="zh-CN"/>
        </w:rPr>
      </w:pPr>
    </w:p>
    <w:p>
      <w:pPr>
        <w:pStyle w:val="31"/>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pPr>
        <w:widowControl/>
        <w:rPr>
          <w:rFonts w:ascii="仿宋" w:hAnsi="仿宋" w:eastAsia="仿宋" w:cs="仿宋"/>
          <w:color w:val="000000" w:themeColor="text1"/>
          <w:sz w:val="30"/>
          <w:szCs w:val="30"/>
        </w:rPr>
      </w:pP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第一部分  招标公告…………………………………………1</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r>
        <w:rPr>
          <w:rFonts w:hint="eastAsia" w:ascii="仿宋" w:hAnsi="仿宋" w:eastAsia="仿宋" w:cs="仿宋"/>
          <w:b/>
          <w:color w:val="000000" w:themeColor="text1"/>
          <w:sz w:val="30"/>
          <w:szCs w:val="30"/>
          <w:lang w:val="en-US" w:eastAsia="zh-CN"/>
        </w:rPr>
        <w:t>4</w:t>
      </w:r>
    </w:p>
    <w:p>
      <w:pPr>
        <w:spacing w:line="600" w:lineRule="auto"/>
        <w:ind w:firstLine="1050" w:firstLineChars="350"/>
        <w:jc w:val="both"/>
        <w:rPr>
          <w:rFonts w:hint="default"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r>
        <w:rPr>
          <w:rFonts w:hint="eastAsia" w:ascii="仿宋" w:hAnsi="仿宋" w:eastAsia="仿宋" w:cs="仿宋"/>
          <w:b/>
          <w:color w:val="000000" w:themeColor="text1"/>
          <w:sz w:val="30"/>
          <w:szCs w:val="30"/>
          <w:lang w:val="en-US" w:eastAsia="zh-CN"/>
        </w:rPr>
        <w:t>39</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 xml:space="preserve">第四部分  </w:t>
      </w:r>
      <w:r>
        <w:rPr>
          <w:rFonts w:hint="eastAsia" w:ascii="仿宋" w:hAnsi="仿宋" w:eastAsia="仿宋" w:cs="仿宋"/>
          <w:b/>
          <w:color w:val="000000" w:themeColor="text1"/>
          <w:sz w:val="30"/>
          <w:szCs w:val="30"/>
          <w:lang w:val="en-US" w:eastAsia="zh-CN"/>
        </w:rPr>
        <w:t>采购</w:t>
      </w:r>
      <w:r>
        <w:rPr>
          <w:rFonts w:hint="eastAsia" w:ascii="仿宋" w:hAnsi="仿宋" w:eastAsia="仿宋" w:cs="仿宋"/>
          <w:b/>
          <w:color w:val="000000" w:themeColor="text1"/>
          <w:sz w:val="30"/>
          <w:szCs w:val="30"/>
          <w:lang w:eastAsia="zh-CN"/>
        </w:rPr>
        <w:t>需求…………………………………………48</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r>
        <w:rPr>
          <w:rFonts w:hint="eastAsia" w:ascii="仿宋" w:hAnsi="仿宋" w:eastAsia="仿宋" w:cs="仿宋"/>
          <w:b/>
          <w:color w:val="000000" w:themeColor="text1"/>
          <w:sz w:val="30"/>
          <w:szCs w:val="30"/>
          <w:lang w:val="en-US" w:eastAsia="zh-CN"/>
        </w:rPr>
        <w:t>51</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r>
        <w:rPr>
          <w:rFonts w:hint="eastAsia" w:ascii="仿宋" w:hAnsi="仿宋" w:eastAsia="仿宋" w:cs="仿宋"/>
          <w:b/>
          <w:color w:val="000000" w:themeColor="text1"/>
          <w:sz w:val="30"/>
          <w:szCs w:val="30"/>
          <w:lang w:val="en-US" w:eastAsia="zh-CN"/>
        </w:rPr>
        <w:t>57</w:t>
      </w:r>
    </w:p>
    <w:p>
      <w:pPr>
        <w:pStyle w:val="12"/>
        <w:numPr>
          <w:ilvl w:val="0"/>
          <w:numId w:val="0"/>
        </w:numPr>
        <w:tabs>
          <w:tab w:val="clear" w:pos="780"/>
        </w:tabs>
        <w:spacing w:line="480" w:lineRule="auto"/>
        <w:rPr>
          <w:rFonts w:ascii="仿宋" w:hAnsi="仿宋" w:eastAsia="仿宋" w:cs="仿宋"/>
          <w:color w:val="000000" w:themeColor="text1"/>
          <w:lang w:eastAsia="zh-CN"/>
        </w:rPr>
      </w:pPr>
    </w:p>
    <w:p>
      <w:pPr>
        <w:spacing w:line="480" w:lineRule="auto"/>
        <w:rPr>
          <w:rFonts w:ascii="仿宋" w:hAnsi="仿宋" w:eastAsia="仿宋" w:cs="仿宋"/>
          <w:color w:val="000000" w:themeColor="text1"/>
          <w:lang w:eastAsia="zh-CN"/>
        </w:rPr>
      </w:pPr>
    </w:p>
    <w:p>
      <w:pPr>
        <w:pStyle w:val="8"/>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8"/>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8"/>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35"/>
        <w:keepNext/>
        <w:keepLines/>
        <w:spacing w:before="120" w:after="300"/>
        <w:jc w:val="both"/>
        <w:rPr>
          <w:rFonts w:ascii="仿宋" w:hAnsi="仿宋" w:eastAsia="仿宋" w:cs="仿宋"/>
          <w:b/>
          <w:bCs/>
          <w:color w:val="000000" w:themeColor="text1"/>
        </w:rPr>
        <w:sectPr>
          <w:footerReference r:id="rId6" w:type="default"/>
          <w:pgSz w:w="11906" w:h="16838"/>
          <w:pgMar w:top="1440" w:right="1134" w:bottom="1440" w:left="1134" w:header="851" w:footer="992" w:gutter="0"/>
          <w:pgNumType w:fmt="decimal"/>
          <w:cols w:space="720" w:num="1"/>
          <w:docGrid w:type="linesAndChars" w:linePitch="312" w:charSpace="0"/>
        </w:sectPr>
      </w:pPr>
    </w:p>
    <w:p>
      <w:pPr>
        <w:pStyle w:val="35"/>
        <w:keepNext/>
        <w:keepLines/>
        <w:numPr>
          <w:ilvl w:val="0"/>
          <w:numId w:val="0"/>
        </w:numPr>
        <w:spacing w:before="120" w:after="300"/>
        <w:ind w:firstLine="3240" w:firstLineChars="900"/>
        <w:jc w:val="both"/>
        <w:rPr>
          <w:rFonts w:hint="eastAsia" w:ascii="仿宋" w:hAnsi="仿宋" w:eastAsia="仿宋" w:cs="仿宋"/>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35393789"/>
      <w:bookmarkStart w:id="1" w:name="_Toc28359001"/>
    </w:p>
    <w:bookmarkEnd w:id="0"/>
    <w:bookmarkEnd w:id="1"/>
    <w:p>
      <w:pPr>
        <w:shd w:val="clear" w:color="auto" w:fill="auto"/>
        <w:adjustRightInd w:val="0"/>
        <w:spacing w:line="480" w:lineRule="auto"/>
        <w:jc w:val="center"/>
        <w:rPr>
          <w:rFonts w:hint="eastAsia"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lang w:val="en-US" w:eastAsia="zh-CN"/>
        </w:rPr>
        <w:t>新疆鑫润华工程项目管理有限公司关于乌恰县人民医院临床病区医疗设备采购（一包）的</w:t>
      </w:r>
      <w:r>
        <w:rPr>
          <w:rFonts w:hint="eastAsia" w:ascii="仿宋" w:hAnsi="仿宋" w:eastAsia="仿宋" w:cs="仿宋"/>
          <w:b/>
          <w:color w:val="auto"/>
          <w:sz w:val="32"/>
          <w:szCs w:val="32"/>
          <w:highlight w:val="none"/>
          <w:shd w:val="clear" w:color="auto" w:fill="FFFFFF"/>
        </w:rPr>
        <w:t>公开招标公告</w:t>
      </w:r>
    </w:p>
    <w:p>
      <w:pPr>
        <w:pStyle w:val="32"/>
        <w:keepNext w:val="0"/>
        <w:keepLines w:val="0"/>
        <w:pageBreakBefore w:val="0"/>
        <w:shd w:val="clear" w:color="auto" w:fill="auto"/>
        <w:kinsoku/>
        <w:wordWrap/>
        <w:overflowPunct/>
        <w:topLinePunct w:val="0"/>
        <w:autoSpaceDE/>
        <w:autoSpaceDN/>
        <w:bidi w:val="0"/>
        <w:spacing w:line="372" w:lineRule="auto"/>
        <w:rPr>
          <w:rFonts w:hint="eastAsia" w:ascii="仿宋" w:hAnsi="仿宋" w:eastAsia="仿宋" w:cs="仿宋"/>
          <w:color w:val="auto"/>
          <w:sz w:val="24"/>
          <w:szCs w:val="24"/>
          <w:highlight w:val="none"/>
        </w:rPr>
      </w:pPr>
    </w:p>
    <w:p>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Style w:val="21"/>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乌恰县人民医院临床病区医疗设备采购（一包）的潜在投标人应在供应商登陆政采云平台http://www.zcygov.cn/，在线获取招标文件（登录政府采购云平台 → 项目采购 → 获取招标文件，</w:t>
      </w:r>
      <w:r>
        <w:rPr>
          <w:rFonts w:hint="eastAsia" w:ascii="仿宋" w:hAnsi="仿宋" w:eastAsia="仿宋" w:cs="仿宋"/>
          <w:color w:val="auto"/>
          <w:sz w:val="24"/>
          <w:szCs w:val="24"/>
          <w:highlight w:val="none"/>
          <w:u w:val="none"/>
        </w:rPr>
        <w:t>如有操作性问题，可与政采云在线客服进行咨询，咨询电话：</w:t>
      </w:r>
      <w:r>
        <w:rPr>
          <w:rFonts w:hint="eastAsia" w:ascii="仿宋" w:hAnsi="仿宋" w:eastAsia="仿宋" w:cs="仿宋"/>
          <w:color w:val="auto"/>
          <w:sz w:val="24"/>
          <w:szCs w:val="24"/>
          <w:highlight w:val="none"/>
          <w:u w:val="none"/>
          <w:lang w:val="en-US" w:eastAsia="zh-CN"/>
        </w:rPr>
        <w:t>95763</w:t>
      </w:r>
      <w:r>
        <w:rPr>
          <w:rFonts w:hint="eastAsia" w:ascii="仿宋" w:hAnsi="仿宋" w:eastAsia="仿宋" w:cs="仿宋"/>
          <w:color w:val="auto"/>
          <w:sz w:val="24"/>
          <w:szCs w:val="24"/>
          <w:highlight w:val="none"/>
          <w:u w:val="none"/>
        </w:rPr>
        <w:t>）获取招标文件，并</w:t>
      </w:r>
      <w:r>
        <w:rPr>
          <w:rFonts w:hint="eastAsia" w:ascii="仿宋" w:hAnsi="仿宋" w:eastAsia="仿宋" w:cs="仿宋"/>
          <w:color w:val="000000"/>
          <w:sz w:val="24"/>
          <w:szCs w:val="24"/>
          <w:highlight w:val="none"/>
          <w:u w:val="none"/>
        </w:rPr>
        <w:t>于</w:t>
      </w:r>
      <w:r>
        <w:rPr>
          <w:rFonts w:hint="eastAsia" w:ascii="仿宋" w:hAnsi="仿宋" w:eastAsia="仿宋" w:cs="仿宋"/>
          <w:color w:val="auto"/>
          <w:sz w:val="24"/>
          <w:szCs w:val="24"/>
          <w:highlight w:val="none"/>
          <w:u w:val="none"/>
        </w:rPr>
        <w:t>202</w:t>
      </w:r>
      <w:r>
        <w:rPr>
          <w:rFonts w:hint="eastAsia" w:ascii="仿宋" w:hAnsi="仿宋" w:eastAsia="仿宋" w:cs="仿宋"/>
          <w:b w:val="0"/>
          <w:bCs w:val="0"/>
          <w:color w:val="auto"/>
          <w:sz w:val="24"/>
          <w:szCs w:val="24"/>
          <w:highlight w:val="none"/>
          <w:u w:val="none"/>
          <w:lang w:val="en-US" w:eastAsia="zh-CN"/>
        </w:rPr>
        <w:t>4</w:t>
      </w:r>
      <w:r>
        <w:rPr>
          <w:rFonts w:hint="eastAsia" w:ascii="仿宋" w:hAnsi="仿宋" w:eastAsia="仿宋" w:cs="仿宋"/>
          <w:b w:val="0"/>
          <w:bCs w:val="0"/>
          <w:color w:val="auto"/>
          <w:sz w:val="24"/>
          <w:szCs w:val="24"/>
          <w:highlight w:val="none"/>
          <w:u w:val="none"/>
        </w:rPr>
        <w:t>年</w:t>
      </w:r>
      <w:r>
        <w:rPr>
          <w:rFonts w:hint="eastAsia" w:ascii="仿宋" w:hAnsi="仿宋" w:eastAsia="仿宋" w:cs="仿宋"/>
          <w:b w:val="0"/>
          <w:bCs w:val="0"/>
          <w:color w:val="auto"/>
          <w:sz w:val="24"/>
          <w:szCs w:val="24"/>
          <w:highlight w:val="none"/>
          <w:u w:val="none"/>
          <w:lang w:val="en-US" w:eastAsia="zh-CN"/>
        </w:rPr>
        <w:t>5</w:t>
      </w:r>
      <w:r>
        <w:rPr>
          <w:rFonts w:hint="eastAsia" w:ascii="仿宋" w:hAnsi="仿宋" w:eastAsia="仿宋" w:cs="仿宋"/>
          <w:b w:val="0"/>
          <w:bCs w:val="0"/>
          <w:color w:val="auto"/>
          <w:sz w:val="24"/>
          <w:szCs w:val="24"/>
          <w:highlight w:val="none"/>
          <w:u w:val="none"/>
        </w:rPr>
        <w:t>月</w:t>
      </w:r>
      <w:r>
        <w:rPr>
          <w:rFonts w:hint="eastAsia" w:ascii="仿宋" w:hAnsi="仿宋" w:eastAsia="仿宋" w:cs="仿宋"/>
          <w:b w:val="0"/>
          <w:bCs w:val="0"/>
          <w:color w:val="auto"/>
          <w:sz w:val="24"/>
          <w:szCs w:val="24"/>
          <w:highlight w:val="none"/>
          <w:u w:val="none"/>
          <w:lang w:val="en-US" w:eastAsia="zh-CN"/>
        </w:rPr>
        <w:t xml:space="preserve">23 </w:t>
      </w:r>
      <w:r>
        <w:rPr>
          <w:rFonts w:hint="eastAsia" w:ascii="仿宋" w:hAnsi="仿宋" w:eastAsia="仿宋" w:cs="仿宋"/>
          <w:b w:val="0"/>
          <w:bCs w:val="0"/>
          <w:color w:val="auto"/>
          <w:sz w:val="24"/>
          <w:szCs w:val="24"/>
          <w:highlight w:val="none"/>
          <w:u w:val="none"/>
        </w:rPr>
        <w:t>日</w:t>
      </w:r>
      <w:r>
        <w:rPr>
          <w:rFonts w:hint="eastAsia" w:ascii="仿宋" w:hAnsi="仿宋" w:eastAsia="仿宋" w:cs="仿宋"/>
          <w:color w:val="000000"/>
          <w:sz w:val="24"/>
          <w:szCs w:val="24"/>
          <w:highlight w:val="none"/>
          <w:u w:val="none"/>
        </w:rPr>
        <w:t xml:space="preserve"> 1</w:t>
      </w:r>
      <w:r>
        <w:rPr>
          <w:rFonts w:hint="eastAsia" w:ascii="仿宋" w:hAnsi="仿宋" w:eastAsia="仿宋" w:cs="仿宋"/>
          <w:color w:val="000000"/>
          <w:sz w:val="24"/>
          <w:szCs w:val="24"/>
          <w:highlight w:val="none"/>
          <w:u w:val="none"/>
          <w:lang w:val="en-US" w:eastAsia="zh-CN"/>
        </w:rPr>
        <w:t>0</w:t>
      </w:r>
      <w:r>
        <w:rPr>
          <w:rFonts w:hint="eastAsia" w:ascii="仿宋" w:hAnsi="仿宋" w:eastAsia="仿宋" w:cs="仿宋"/>
          <w:color w:val="000000"/>
          <w:sz w:val="24"/>
          <w:szCs w:val="24"/>
          <w:highlight w:val="none"/>
          <w:u w:val="none"/>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0（北京时间）前递交投标文件。</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项目编号：WQZFCG(ZB)-202</w:t>
      </w:r>
      <w:r>
        <w:rPr>
          <w:rFonts w:hint="eastAsia" w:ascii="仿宋" w:hAnsi="仿宋" w:eastAsia="仿宋" w:cs="仿宋"/>
          <w:sz w:val="24"/>
          <w:szCs w:val="24"/>
          <w:lang w:val="en-US" w:eastAsia="zh-CN"/>
        </w:rPr>
        <w:t>4054</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color w:val="auto"/>
          <w:sz w:val="24"/>
          <w:szCs w:val="24"/>
          <w:highlight w:val="none"/>
          <w:lang w:eastAsia="zh-CN"/>
        </w:rPr>
        <w:t>乌恰县人民医院临床病区医疗设备采购（一包）</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eastAsia="zh-CN"/>
        </w:rPr>
        <w:t>公开招标</w:t>
      </w:r>
      <w:r>
        <w:rPr>
          <w:rFonts w:hint="eastAsia" w:ascii="仿宋" w:hAnsi="仿宋" w:eastAsia="仿宋" w:cs="仿宋"/>
          <w:sz w:val="24"/>
          <w:szCs w:val="24"/>
          <w:lang w:val="en-US" w:eastAsia="zh-CN"/>
        </w:rPr>
        <w:t xml:space="preserve">  </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预算金额（元）：3567000</w:t>
      </w:r>
      <w:r>
        <w:rPr>
          <w:rFonts w:hint="eastAsia" w:ascii="仿宋" w:hAnsi="仿宋" w:eastAsia="仿宋" w:cs="仿宋"/>
          <w:sz w:val="24"/>
          <w:szCs w:val="24"/>
          <w:lang w:val="en-US" w:eastAsia="zh-CN"/>
        </w:rPr>
        <w:t>.00</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最高限价（元）：3567000</w:t>
      </w:r>
      <w:r>
        <w:rPr>
          <w:rFonts w:hint="eastAsia" w:ascii="仿宋" w:hAnsi="仿宋" w:eastAsia="仿宋" w:cs="仿宋"/>
          <w:sz w:val="24"/>
          <w:szCs w:val="24"/>
          <w:lang w:val="en-US" w:eastAsia="zh-CN"/>
        </w:rPr>
        <w:t>.00</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采购需求：</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z w:val="24"/>
          <w:szCs w:val="24"/>
          <w:lang w:val="en-US" w:eastAsia="zh-CN"/>
        </w:rPr>
        <w:t>标项名称:</w:t>
      </w:r>
      <w:r>
        <w:rPr>
          <w:rFonts w:hint="eastAsia" w:ascii="仿宋" w:hAnsi="仿宋" w:eastAsia="仿宋" w:cs="仿宋"/>
          <w:color w:val="auto"/>
          <w:sz w:val="24"/>
          <w:szCs w:val="24"/>
          <w:highlight w:val="none"/>
          <w:lang w:eastAsia="zh-CN"/>
        </w:rPr>
        <w:t>乌恰县人民医院临床病区医疗设备采购（一包）</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数量:1批</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预算金额（元）：3567000.00</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简要规格描述或项目基本概况介绍、用途：</w:t>
      </w:r>
      <w:r>
        <w:rPr>
          <w:rFonts w:hint="eastAsia" w:ascii="仿宋" w:hAnsi="仿宋" w:eastAsia="仿宋" w:cs="仿宋"/>
          <w:color w:val="auto"/>
          <w:sz w:val="24"/>
          <w:szCs w:val="24"/>
          <w:highlight w:val="none"/>
          <w:lang w:eastAsia="zh-CN"/>
        </w:rPr>
        <w:t>医疗设备</w:t>
      </w:r>
      <w:r>
        <w:rPr>
          <w:rFonts w:hint="eastAsia" w:ascii="仿宋" w:hAnsi="仿宋" w:eastAsia="仿宋" w:cs="仿宋"/>
          <w:sz w:val="24"/>
          <w:szCs w:val="24"/>
          <w:lang w:val="en-US" w:eastAsia="zh-CN"/>
        </w:rPr>
        <w:t>1批。</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备注：具体详见招标文件</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合同履约期限：签订合同</w:t>
      </w:r>
      <w:r>
        <w:rPr>
          <w:rFonts w:hint="eastAsia" w:ascii="仿宋" w:hAnsi="仿宋" w:eastAsia="仿宋" w:cs="仿宋"/>
          <w:sz w:val="24"/>
          <w:szCs w:val="24"/>
          <w:lang w:val="en-US" w:eastAsia="zh-CN"/>
        </w:rPr>
        <w:t>后20日内完成供货</w:t>
      </w:r>
      <w:r>
        <w:rPr>
          <w:rFonts w:hint="eastAsia" w:ascii="仿宋" w:hAnsi="仿宋" w:eastAsia="仿宋" w:cs="仿宋"/>
          <w:sz w:val="24"/>
          <w:szCs w:val="24"/>
        </w:rPr>
        <w:t>。</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否</w:t>
      </w:r>
      <w:r>
        <w:rPr>
          <w:rFonts w:hint="eastAsia" w:ascii="仿宋" w:hAnsi="仿宋" w:eastAsia="仿宋" w:cs="仿宋"/>
          <w:sz w:val="24"/>
          <w:szCs w:val="24"/>
        </w:rPr>
        <w:t>）接受联合体投标。</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Style w:val="27"/>
          <w:rFonts w:hint="eastAsia" w:ascii="仿宋" w:hAnsi="仿宋" w:eastAsia="仿宋" w:cs="仿宋"/>
          <w:sz w:val="24"/>
          <w:szCs w:val="24"/>
        </w:rPr>
        <w:t>二、申请人的资格要求：</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Theme="minorEastAsia" w:hAnsiTheme="minorEastAsia" w:eastAsiaTheme="minorEastAsia" w:cstheme="minorEastAsia"/>
          <w:b w:val="0"/>
          <w:bCs w:val="0"/>
          <w:sz w:val="24"/>
          <w:szCs w:val="24"/>
          <w:highlight w:val="yellow"/>
        </w:rPr>
      </w:pPr>
      <w:r>
        <w:rPr>
          <w:rFonts w:hint="eastAsia" w:ascii="仿宋" w:hAnsi="仿宋" w:eastAsia="仿宋" w:cs="仿宋"/>
          <w:sz w:val="24"/>
          <w:szCs w:val="24"/>
        </w:rPr>
        <w:t>2.落实政府采购政策需满足的资格要求：供应商为中小企业。</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3.本项目的特定资格要求：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1)具备三证合一营业执照副本；</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2)法定代表人投标须提供法定代表人资格证明书，委托代理人投标须提供法定代表人授权委托书；</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w:t>
      </w:r>
      <w:r>
        <w:rPr>
          <w:rFonts w:hint="eastAsia" w:ascii="仿宋" w:hAnsi="仿宋" w:eastAsia="仿宋" w:cs="仿宋"/>
          <w:i w:val="0"/>
          <w:iCs w:val="0"/>
          <w:caps w:val="0"/>
          <w:color w:val="000000"/>
          <w:spacing w:val="0"/>
          <w:sz w:val="24"/>
          <w:szCs w:val="24"/>
          <w:lang w:eastAsia="zh-CN"/>
        </w:rPr>
        <w:t>投标企业须提供投标人（被授权在职人员）近6个月有效的社保证明</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投标企业需提供参加本次采购活动前三年内未被“信用中国”（www.creditchina.gov.cn）、中国政府采购网（www.ccgp.gov.cn）列入失信被执行人、重大税收违法案件当事人名单、政府采购严重违法失信行为记录名单；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5）投标企业须提供有效的《医疗器械生产许可证》或《医疗器械经营许可证》。  </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7"/>
          <w:rFonts w:hint="eastAsia" w:ascii="仿宋" w:hAnsi="仿宋" w:eastAsia="仿宋" w:cs="仿宋"/>
          <w:sz w:val="24"/>
          <w:szCs w:val="24"/>
        </w:rPr>
        <w:t>三、获取招标文件</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日至202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10</w:t>
      </w:r>
      <w:r>
        <w:rPr>
          <w:rFonts w:hint="eastAsia" w:ascii="仿宋" w:hAnsi="仿宋" w:eastAsia="仿宋" w:cs="仿宋"/>
          <w:color w:val="auto"/>
          <w:spacing w:val="-6"/>
          <w:sz w:val="24"/>
          <w:szCs w:val="24"/>
        </w:rPr>
        <w:t>日，每天上午10:00至</w:t>
      </w:r>
      <w:r>
        <w:rPr>
          <w:rFonts w:hint="eastAsia" w:ascii="仿宋" w:hAnsi="仿宋" w:eastAsia="仿宋" w:cs="仿宋"/>
          <w:color w:val="auto"/>
          <w:spacing w:val="-6"/>
          <w:sz w:val="24"/>
          <w:szCs w:val="24"/>
          <w:lang w:val="en-US" w:eastAsia="zh-CN"/>
        </w:rPr>
        <w:t>14：0</w:t>
      </w:r>
      <w:r>
        <w:rPr>
          <w:rFonts w:hint="eastAsia" w:ascii="仿宋" w:hAnsi="仿宋" w:eastAsia="仿宋" w:cs="仿宋"/>
          <w:color w:val="auto"/>
          <w:spacing w:val="-6"/>
          <w:sz w:val="24"/>
          <w:szCs w:val="24"/>
        </w:rPr>
        <w:t>0，下午16:</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0至</w:t>
      </w:r>
      <w:r>
        <w:rPr>
          <w:rFonts w:hint="eastAsia" w:ascii="仿宋" w:hAnsi="仿宋" w:eastAsia="仿宋" w:cs="仿宋"/>
          <w:color w:val="auto"/>
          <w:spacing w:val="-6"/>
          <w:sz w:val="24"/>
          <w:szCs w:val="24"/>
          <w:lang w:val="en-US" w:eastAsia="zh-CN"/>
        </w:rPr>
        <w:t>19：30</w:t>
      </w:r>
      <w:r>
        <w:rPr>
          <w:rFonts w:hint="eastAsia" w:ascii="仿宋" w:hAnsi="仿宋" w:eastAsia="仿宋" w:cs="仿宋"/>
          <w:color w:val="auto"/>
          <w:spacing w:val="-6"/>
          <w:sz w:val="24"/>
          <w:szCs w:val="24"/>
        </w:rPr>
        <w:t>（北京时间，法定节假日除外）</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4"/>
          <w:szCs w:val="24"/>
          <w:lang w:val="en-US" w:eastAsia="zh-CN"/>
        </w:rPr>
        <w:t>95763</w:t>
      </w:r>
      <w:r>
        <w:rPr>
          <w:rFonts w:hint="eastAsia" w:ascii="仿宋" w:hAnsi="仿宋" w:eastAsia="仿宋" w:cs="仿宋"/>
          <w:spacing w:val="-6"/>
          <w:sz w:val="24"/>
          <w:szCs w:val="24"/>
        </w:rPr>
        <w:t>）</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方式：</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（2）供应商获取招标文件前应注册成为政府采购云平台正式供应商。</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售价（元）：0</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7"/>
          <w:rFonts w:hint="eastAsia" w:ascii="仿宋" w:hAnsi="仿宋" w:eastAsia="仿宋" w:cs="仿宋"/>
          <w:spacing w:val="-6"/>
          <w:sz w:val="24"/>
          <w:szCs w:val="24"/>
        </w:rPr>
        <w:t>四、提交投标文件截止时间、开标时间和地点</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spacing w:val="-6"/>
          <w:sz w:val="24"/>
          <w:szCs w:val="24"/>
        </w:rPr>
        <w:t>提交投标文件截止时间：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23 </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23</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7"/>
          <w:rFonts w:hint="eastAsia" w:ascii="仿宋" w:hAnsi="仿宋" w:eastAsia="仿宋" w:cs="仿宋"/>
          <w:spacing w:val="-6"/>
          <w:sz w:val="24"/>
          <w:szCs w:val="24"/>
        </w:rPr>
        <w:t>五、公告期限</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pPr>
        <w:pStyle w:val="21"/>
        <w:keepNext w:val="0"/>
        <w:keepLines w:val="0"/>
        <w:pageBreakBefore w:val="0"/>
        <w:widowControl/>
        <w:numPr>
          <w:ilvl w:val="0"/>
          <w:numId w:val="2"/>
        </w:numPr>
        <w:suppressLineNumbers w:val="0"/>
        <w:kinsoku/>
        <w:wordWrap/>
        <w:overflowPunct/>
        <w:topLinePunct w:val="0"/>
        <w:autoSpaceDE/>
        <w:autoSpaceDN/>
        <w:bidi w:val="0"/>
        <w:adjustRightInd/>
        <w:snapToGrid/>
        <w:spacing w:line="372" w:lineRule="auto"/>
        <w:textAlignment w:val="auto"/>
        <w:rPr>
          <w:rStyle w:val="27"/>
          <w:rFonts w:hint="eastAsia" w:ascii="仿宋" w:hAnsi="仿宋" w:eastAsia="仿宋" w:cs="仿宋"/>
          <w:spacing w:val="-6"/>
          <w:sz w:val="24"/>
          <w:szCs w:val="24"/>
        </w:rPr>
      </w:pPr>
      <w:r>
        <w:rPr>
          <w:rStyle w:val="27"/>
          <w:rFonts w:hint="eastAsia" w:ascii="仿宋" w:hAnsi="仿宋" w:eastAsia="仿宋" w:cs="仿宋"/>
          <w:spacing w:val="-6"/>
          <w:sz w:val="24"/>
          <w:szCs w:val="24"/>
        </w:rPr>
        <w:t>其他补充事宜</w:t>
      </w:r>
    </w:p>
    <w:p>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sz w:val="24"/>
          <w:szCs w:val="24"/>
        </w:rPr>
      </w:pPr>
      <w:r>
        <w:rPr>
          <w:rStyle w:val="27"/>
          <w:rFonts w:hint="eastAsia" w:ascii="仿宋" w:hAnsi="仿宋" w:eastAsia="仿宋" w:cs="仿宋"/>
          <w:spacing w:val="-6"/>
          <w:sz w:val="24"/>
          <w:szCs w:val="24"/>
          <w:lang w:val="en-US" w:eastAsia="zh-CN"/>
        </w:rPr>
        <w:t>无</w:t>
      </w:r>
    </w:p>
    <w:p>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line="372" w:lineRule="auto"/>
        <w:textAlignment w:val="auto"/>
        <w:rPr>
          <w:rStyle w:val="27"/>
          <w:rFonts w:hint="eastAsia" w:ascii="仿宋" w:hAnsi="仿宋" w:eastAsia="仿宋" w:cs="仿宋"/>
          <w:b w:val="0"/>
          <w:bCs w:val="0"/>
          <w:sz w:val="24"/>
          <w:szCs w:val="24"/>
        </w:rPr>
      </w:pPr>
      <w:r>
        <w:rPr>
          <w:rFonts w:hint="eastAsia" w:ascii="仿宋" w:hAnsi="仿宋" w:eastAsia="仿宋" w:cs="仿宋"/>
          <w:sz w:val="24"/>
          <w:szCs w:val="24"/>
        </w:rPr>
        <w:t>特别提示：</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1"/>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2、对于未预留份额专门面向中小企业的采购项目，以及预留份额项目中的非预留部分采购包，采购人、采购代理机构应当对符合规定的小微企业报价给予10%~20%（工程项</w:t>
      </w:r>
    </w:p>
    <w:p>
      <w:pPr>
        <w:pStyle w:val="21"/>
        <w:keepNext w:val="0"/>
        <w:keepLines w:val="0"/>
        <w:widowControl/>
        <w:suppressLineNumbers w:val="0"/>
        <w:spacing w:line="360" w:lineRule="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1"/>
        <w:keepNext w:val="0"/>
        <w:keepLines w:val="0"/>
        <w:widowControl/>
        <w:suppressLineNumbers w:val="0"/>
        <w:spacing w:line="360" w:lineRule="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1"/>
        <w:keepNext w:val="0"/>
        <w:keepLines w:val="0"/>
        <w:widowControl/>
        <w:suppressLineNumbers w:val="0"/>
        <w:spacing w:line="360" w:lineRule="auto"/>
        <w:rPr>
          <w:rFonts w:hint="eastAsia" w:ascii="仿宋" w:hAnsi="仿宋" w:eastAsia="仿宋" w:cs="仿宋"/>
          <w:b/>
          <w:bCs/>
          <w:sz w:val="24"/>
          <w:szCs w:val="24"/>
        </w:rPr>
      </w:pPr>
      <w:r>
        <w:rPr>
          <w:rStyle w:val="27"/>
          <w:rFonts w:hint="eastAsia" w:ascii="仿宋" w:hAnsi="仿宋" w:eastAsia="仿宋" w:cs="仿宋"/>
          <w:b/>
          <w:bCs/>
          <w:sz w:val="24"/>
          <w:szCs w:val="24"/>
        </w:rPr>
        <w:t>七、对本次采购提出询问，请按以下方式联系</w:t>
      </w:r>
    </w:p>
    <w:p>
      <w:pPr>
        <w:pStyle w:val="21"/>
        <w:keepNext w:val="0"/>
        <w:keepLines w:val="0"/>
        <w:widowControl/>
        <w:suppressLineNumbers w:val="0"/>
        <w:spacing w:line="360" w:lineRule="auto"/>
        <w:ind w:left="0"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pPr>
        <w:pStyle w:val="21"/>
        <w:keepNext w:val="0"/>
        <w:keepLines w:val="0"/>
        <w:widowControl/>
        <w:suppressLineNumbers w:val="0"/>
        <w:spacing w:line="360" w:lineRule="auto"/>
        <w:ind w:left="0" w:firstLine="420"/>
        <w:rPr>
          <w:rFonts w:hint="eastAsia" w:ascii="仿宋" w:hAnsi="仿宋" w:eastAsia="仿宋" w:cs="仿宋"/>
          <w:sz w:val="24"/>
          <w:szCs w:val="24"/>
          <w:lang w:eastAsia="zh-CN"/>
        </w:rPr>
      </w:pPr>
      <w:r>
        <w:rPr>
          <w:rFonts w:hint="eastAsia" w:ascii="仿宋" w:hAnsi="仿宋" w:eastAsia="仿宋" w:cs="仿宋"/>
          <w:sz w:val="24"/>
          <w:szCs w:val="24"/>
        </w:rPr>
        <w:t>名 称：乌恰县人民医院</w:t>
      </w:r>
    </w:p>
    <w:p>
      <w:pPr>
        <w:pStyle w:val="21"/>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址：乌恰县幸福路</w:t>
      </w:r>
    </w:p>
    <w:p>
      <w:pPr>
        <w:pStyle w:val="21"/>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联系方式：18709086880</w:t>
      </w:r>
    </w:p>
    <w:p>
      <w:pPr>
        <w:pStyle w:val="21"/>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21"/>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pPr>
        <w:pStyle w:val="21"/>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pPr>
        <w:pStyle w:val="21"/>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pPr>
        <w:pStyle w:val="21"/>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3.项目联系方式</w:t>
      </w:r>
    </w:p>
    <w:p>
      <w:pPr>
        <w:pStyle w:val="21"/>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pPr>
        <w:pStyle w:val="21"/>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电 话：</w:t>
      </w:r>
      <w:r>
        <w:rPr>
          <w:rStyle w:val="30"/>
          <w:rFonts w:hint="eastAsia" w:ascii="仿宋" w:hAnsi="仿宋" w:eastAsia="仿宋" w:cs="仿宋"/>
          <w:sz w:val="24"/>
          <w:szCs w:val="24"/>
          <w:lang w:val="en-US" w:eastAsia="zh-CN"/>
        </w:rPr>
        <w:t>17799081359</w:t>
      </w:r>
    </w:p>
    <w:p>
      <w:pPr>
        <w:bidi w:val="0"/>
        <w:jc w:val="center"/>
        <w:rPr>
          <w:rFonts w:hint="eastAsia" w:ascii="仿宋" w:hAnsi="仿宋" w:eastAsia="仿宋" w:cs="仿宋"/>
          <w:lang w:val="en-US" w:eastAsia="zh-CN"/>
        </w:rPr>
      </w:pPr>
    </w:p>
    <w:p>
      <w:pPr>
        <w:spacing w:line="360" w:lineRule="auto"/>
        <w:jc w:val="center"/>
        <w:rPr>
          <w:rFonts w:hint="eastAsia" w:ascii="仿宋" w:hAnsi="仿宋" w:eastAsia="仿宋" w:cs="仿宋"/>
          <w:b/>
          <w:bCs/>
          <w:color w:val="000000" w:themeColor="text1"/>
          <w:sz w:val="36"/>
          <w:szCs w:val="36"/>
        </w:rPr>
      </w:pPr>
    </w:p>
    <w:p>
      <w:pPr>
        <w:pStyle w:val="4"/>
        <w:rPr>
          <w:rFonts w:hint="eastAsia"/>
        </w:rPr>
      </w:pPr>
    </w:p>
    <w:p>
      <w:pPr>
        <w:pStyle w:val="14"/>
        <w:ind w:left="0" w:leftChars="0" w:firstLine="0" w:firstLineChars="0"/>
        <w:rPr>
          <w:rFonts w:hint="eastAsia"/>
        </w:rPr>
      </w:pPr>
    </w:p>
    <w:p>
      <w:pPr>
        <w:pStyle w:val="14"/>
        <w:rPr>
          <w:rFonts w:hint="eastAsia"/>
        </w:rPr>
      </w:pPr>
    </w:p>
    <w:p>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4"/>
        <w:tblW w:w="9945" w:type="dxa"/>
        <w:jc w:val="center"/>
        <w:tblLayout w:type="fixed"/>
        <w:tblCellMar>
          <w:top w:w="0" w:type="dxa"/>
          <w:left w:w="108" w:type="dxa"/>
          <w:bottom w:w="0" w:type="dxa"/>
          <w:right w:w="108" w:type="dxa"/>
        </w:tblCellMar>
      </w:tblPr>
      <w:tblGrid>
        <w:gridCol w:w="638"/>
        <w:gridCol w:w="1485"/>
        <w:gridCol w:w="7822"/>
      </w:tblGrid>
      <w:tr>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tblPrEx>
          <w:tblCellMar>
            <w:top w:w="0" w:type="dxa"/>
            <w:left w:w="108" w:type="dxa"/>
            <w:bottom w:w="0" w:type="dxa"/>
            <w:right w:w="108" w:type="dxa"/>
          </w:tblCellMar>
        </w:tblPrEx>
        <w:trPr>
          <w:trHeight w:val="175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pPr>
              <w:pStyle w:val="32"/>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pPr>
              <w:pStyle w:val="32"/>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pPr>
              <w:pStyle w:val="32"/>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质保</w:t>
            </w:r>
            <w:r>
              <w:rPr>
                <w:rFonts w:hint="eastAsia" w:ascii="仿宋" w:hAnsi="仿宋" w:eastAsia="仿宋" w:cs="仿宋"/>
                <w:color w:val="000000" w:themeColor="text1"/>
                <w:lang w:eastAsia="zh-CN"/>
              </w:rPr>
              <w:t>期：</w:t>
            </w:r>
          </w:p>
          <w:p>
            <w:pPr>
              <w:pStyle w:val="32"/>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r>
              <w:rPr>
                <w:rFonts w:hint="eastAsia" w:ascii="仿宋" w:hAnsi="仿宋" w:eastAsia="仿宋" w:cs="仿宋"/>
                <w:color w:val="auto"/>
                <w:sz w:val="24"/>
                <w:szCs w:val="24"/>
                <w:highlight w:val="none"/>
                <w:lang w:eastAsia="zh-CN"/>
              </w:rPr>
              <w:t>乌恰县人民医院临床病区医疗设备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（一包）</w:t>
            </w:r>
            <w:r>
              <w:rPr>
                <w:rFonts w:hint="eastAsia" w:ascii="仿宋" w:hAnsi="仿宋" w:eastAsia="仿宋" w:cs="仿宋"/>
                <w:color w:val="000000" w:themeColor="text1"/>
                <w:lang w:eastAsia="zh-CN"/>
              </w:rPr>
              <w:t xml:space="preserve">  </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项目编号：</w:t>
            </w:r>
            <w:r>
              <w:rPr>
                <w:rFonts w:hint="eastAsia" w:ascii="仿宋" w:hAnsi="仿宋" w:eastAsia="仿宋" w:cs="仿宋"/>
                <w:b/>
                <w:bCs/>
                <w:color w:val="FF0000"/>
                <w:lang w:eastAsia="zh-CN"/>
              </w:rPr>
              <w:t>WQZFCG(ZB)-2024</w:t>
            </w:r>
            <w:r>
              <w:rPr>
                <w:rFonts w:hint="eastAsia" w:ascii="仿宋" w:hAnsi="仿宋" w:eastAsia="仿宋" w:cs="仿宋"/>
                <w:b/>
                <w:bCs/>
                <w:color w:val="FF0000"/>
                <w:lang w:val="en-US" w:eastAsia="zh-CN"/>
              </w:rPr>
              <w:t>054</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w:t>
            </w:r>
            <w:r>
              <w:rPr>
                <w:rFonts w:hint="eastAsia" w:ascii="仿宋" w:hAnsi="仿宋" w:eastAsia="仿宋" w:cs="仿宋"/>
                <w:sz w:val="22"/>
                <w:szCs w:val="22"/>
                <w:lang w:val="en-US" w:eastAsia="zh-CN"/>
              </w:rPr>
              <w:t>医疗设备1批。</w:t>
            </w:r>
            <w:r>
              <w:rPr>
                <w:rFonts w:hint="eastAsia" w:ascii="仿宋" w:hAnsi="仿宋" w:eastAsia="仿宋" w:cs="仿宋"/>
                <w:color w:val="000000" w:themeColor="text1"/>
                <w:lang w:eastAsia="zh-CN"/>
              </w:rPr>
              <w:t>（具体详见服务需求)</w:t>
            </w:r>
            <w:r>
              <w:rPr>
                <w:rFonts w:hint="eastAsia" w:ascii="仿宋" w:hAnsi="仿宋" w:eastAsia="仿宋" w:cs="仿宋"/>
                <w:color w:val="000000" w:themeColor="text1"/>
                <w:lang w:val="en-US" w:eastAsia="zh-CN"/>
              </w:rPr>
              <w:t>.</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FF0000"/>
                <w:lang w:val="en-US" w:eastAsia="zh-CN"/>
              </w:rPr>
              <w:t>质保</w:t>
            </w:r>
            <w:r>
              <w:rPr>
                <w:rFonts w:hint="eastAsia" w:ascii="仿宋" w:hAnsi="仿宋" w:eastAsia="仿宋" w:cs="仿宋"/>
                <w:b/>
                <w:bCs/>
                <w:color w:val="FF0000"/>
                <w:lang w:eastAsia="zh-CN"/>
              </w:rPr>
              <w:t>期：3年(起止时间</w:t>
            </w:r>
            <w:r>
              <w:rPr>
                <w:rFonts w:hint="eastAsia" w:ascii="仿宋" w:hAnsi="仿宋" w:eastAsia="仿宋" w:cs="仿宋"/>
                <w:b/>
                <w:bCs/>
                <w:color w:val="FF0000"/>
                <w:lang w:val="en-US" w:eastAsia="zh-CN"/>
              </w:rPr>
              <w:t>以</w:t>
            </w:r>
            <w:r>
              <w:rPr>
                <w:rFonts w:hint="eastAsia" w:ascii="仿宋" w:hAnsi="仿宋" w:eastAsia="仿宋" w:cs="仿宋"/>
                <w:b/>
                <w:bCs/>
                <w:color w:val="FF0000"/>
                <w:lang w:eastAsia="zh-CN"/>
              </w:rPr>
              <w:t>甲乙双方</w:t>
            </w:r>
            <w:r>
              <w:rPr>
                <w:rFonts w:hint="eastAsia" w:ascii="仿宋" w:hAnsi="仿宋" w:eastAsia="仿宋" w:cs="仿宋"/>
                <w:b/>
                <w:bCs/>
                <w:color w:val="FF0000"/>
                <w:lang w:val="en-US" w:eastAsia="zh-CN"/>
              </w:rPr>
              <w:t>签订的合同</w:t>
            </w:r>
            <w:r>
              <w:rPr>
                <w:rFonts w:hint="eastAsia" w:ascii="仿宋" w:hAnsi="仿宋" w:eastAsia="仿宋" w:cs="仿宋"/>
                <w:b/>
                <w:bCs/>
                <w:color w:val="FF0000"/>
                <w:lang w:eastAsia="zh-CN"/>
              </w:rPr>
              <w:t>约定</w:t>
            </w:r>
            <w:r>
              <w:rPr>
                <w:rFonts w:hint="eastAsia" w:ascii="仿宋" w:hAnsi="仿宋" w:eastAsia="仿宋" w:cs="仿宋"/>
                <w:b/>
                <w:bCs/>
                <w:color w:val="FF0000"/>
                <w:lang w:val="en-US" w:eastAsia="zh-CN"/>
              </w:rPr>
              <w:t>为准</w:t>
            </w:r>
            <w:r>
              <w:rPr>
                <w:rFonts w:hint="eastAsia" w:ascii="仿宋" w:hAnsi="仿宋" w:eastAsia="仿宋" w:cs="仿宋"/>
                <w:b/>
                <w:bCs/>
                <w:color w:val="FF0000"/>
                <w:lang w:eastAsia="zh-CN"/>
              </w:rPr>
              <w:t>)</w:t>
            </w:r>
          </w:p>
        </w:tc>
      </w:tr>
      <w:tr>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名  称：</w:t>
            </w:r>
            <w:r>
              <w:rPr>
                <w:rFonts w:hint="eastAsia" w:ascii="仿宋" w:hAnsi="仿宋" w:eastAsia="仿宋" w:cs="仿宋"/>
                <w:sz w:val="24"/>
                <w:szCs w:val="24"/>
              </w:rPr>
              <w:t>乌恰县人民医院</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b w:val="0"/>
                <w:bCs w:val="0"/>
                <w:color w:val="auto"/>
                <w:lang w:val="en-US" w:eastAsia="zh-CN"/>
              </w:rPr>
              <w:t>张女士</w:t>
            </w:r>
            <w:r>
              <w:rPr>
                <w:rFonts w:hint="eastAsia" w:ascii="仿宋" w:hAnsi="仿宋" w:eastAsia="仿宋" w:cs="仿宋"/>
                <w:b w:val="0"/>
                <w:bCs w:val="0"/>
                <w:color w:val="auto"/>
                <w:lang w:eastAsia="zh-CN"/>
              </w:rPr>
              <w:t xml:space="preserve">  </w:t>
            </w:r>
            <w:r>
              <w:rPr>
                <w:rFonts w:hint="eastAsia" w:ascii="仿宋" w:hAnsi="仿宋" w:eastAsia="仿宋" w:cs="仿宋"/>
                <w:b/>
                <w:bCs/>
                <w:color w:val="FF0000"/>
                <w:lang w:eastAsia="zh-CN"/>
              </w:rPr>
              <w:t xml:space="preserve"> </w:t>
            </w: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lang w:val="en-US" w:eastAsia="zh-CN"/>
              </w:rPr>
              <w:t xml:space="preserve">  </w:t>
            </w:r>
            <w:r>
              <w:rPr>
                <w:rFonts w:hint="eastAsia" w:ascii="仿宋" w:hAnsi="仿宋" w:eastAsia="仿宋" w:cs="仿宋"/>
                <w:color w:val="000000" w:themeColor="text1"/>
                <w:lang w:eastAsia="zh-CN"/>
              </w:rPr>
              <w:t>电  话：18709086880</w:t>
            </w:r>
          </w:p>
        </w:tc>
      </w:tr>
      <w:tr>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FF0000"/>
                <w:lang w:val="en-US" w:eastAsia="zh-CN"/>
              </w:rPr>
              <w:t>甲方指定的任何地点</w:t>
            </w:r>
          </w:p>
        </w:tc>
      </w:tr>
      <w:tr>
        <w:tblPrEx>
          <w:tblCellMar>
            <w:top w:w="0" w:type="dxa"/>
            <w:left w:w="108" w:type="dxa"/>
            <w:bottom w:w="0" w:type="dxa"/>
            <w:right w:w="108" w:type="dxa"/>
          </w:tblCellMar>
        </w:tblPrEx>
        <w:trPr>
          <w:trHeight w:val="6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highlight w:val="yellow"/>
                <w:lang w:eastAsia="zh-CN"/>
              </w:rPr>
            </w:pPr>
            <w:r>
              <w:rPr>
                <w:rFonts w:hint="eastAsia" w:ascii="仿宋" w:hAnsi="仿宋" w:eastAsia="仿宋" w:cs="仿宋"/>
                <w:color w:val="000000" w:themeColor="text1"/>
                <w:lang w:eastAsia="zh-CN"/>
              </w:rPr>
              <w:t>2.落实政府采购政策需满足的资格要求：</w:t>
            </w:r>
            <w:r>
              <w:rPr>
                <w:rFonts w:hint="eastAsia" w:ascii="仿宋" w:hAnsi="仿宋" w:eastAsia="仿宋" w:cs="仿宋"/>
                <w:color w:val="auto"/>
                <w:highlight w:val="none"/>
                <w:lang w:eastAsia="zh-CN"/>
              </w:rPr>
              <w:t>供应商为中小企业</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（1）具备合格的（三证合一）营业执照副本；</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（2）法定代表人投标时须提供法定代表人资格证明书，被委托代理人投标时须提供法定代表人授权委托书及被委托人身份证明；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（3）投标企业须提供投标人（被授权在职人员）近6个月有效的社保证明；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（4）投标企业须提供有效的《医疗器械生产许可证》或《医疗器械经营许可证》；</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4.本项目不接受联合体投标；</w:t>
            </w:r>
          </w:p>
        </w:tc>
      </w:tr>
      <w:tr>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b w:val="0"/>
                <w:bCs w:val="0"/>
                <w:color w:val="auto"/>
                <w:lang w:eastAsia="zh-CN"/>
              </w:rPr>
            </w:pPr>
            <w:r>
              <w:rPr>
                <w:rFonts w:hint="eastAsia" w:ascii="仿宋" w:hAnsi="仿宋" w:eastAsia="仿宋" w:cs="仿宋"/>
                <w:b w:val="0"/>
                <w:bCs w:val="0"/>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援疆资金</w:t>
            </w:r>
          </w:p>
        </w:tc>
      </w:tr>
      <w:tr>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 xml:space="preserve"> 5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27</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r>
              <w:rPr>
                <w:rFonts w:hint="eastAsia" w:ascii="仿宋" w:hAnsi="仿宋" w:eastAsia="仿宋" w:cs="仿宋"/>
                <w:color w:val="000000" w:themeColor="text1"/>
                <w:lang w:eastAsia="zh-CN"/>
              </w:rPr>
              <w:t>）</w:t>
            </w:r>
          </w:p>
        </w:tc>
      </w:tr>
      <w:tr>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投标保证金缴纳方式：投标保证金应当以支票、汇票、本票、网上银行支付等方式，优先推荐金融机构、担保机构出具的保函等非现金形式缴纳</w:t>
            </w:r>
            <w:r>
              <w:rPr>
                <w:rFonts w:hint="eastAsia" w:ascii="仿宋" w:hAnsi="仿宋" w:eastAsia="仿宋" w:cs="仿宋"/>
                <w:color w:val="000000" w:themeColor="text1"/>
                <w:lang w:eastAsia="zh-CN"/>
              </w:rPr>
              <w:t>。</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000000" w:themeColor="text1"/>
                <w:lang w:eastAsia="zh-CN"/>
              </w:rPr>
              <w:t>投标保证金的金额：</w:t>
            </w:r>
            <w:r>
              <w:rPr>
                <w:rFonts w:hint="eastAsia" w:ascii="仿宋" w:hAnsi="仿宋" w:eastAsia="仿宋" w:cs="仿宋"/>
                <w:b/>
                <w:bCs/>
                <w:color w:val="FF0000"/>
                <w:lang w:val="en-US" w:eastAsia="zh-CN"/>
              </w:rPr>
              <w:t>70000.00</w:t>
            </w:r>
            <w:r>
              <w:rPr>
                <w:rFonts w:hint="eastAsia" w:ascii="仿宋" w:hAnsi="仿宋" w:eastAsia="仿宋" w:cs="仿宋"/>
                <w:b/>
                <w:bCs/>
                <w:color w:val="FF0000"/>
                <w:lang w:eastAsia="zh-CN"/>
              </w:rPr>
              <w:t>（</w:t>
            </w:r>
            <w:r>
              <w:rPr>
                <w:rFonts w:hint="eastAsia" w:ascii="仿宋" w:hAnsi="仿宋" w:eastAsia="仿宋" w:cs="仿宋"/>
                <w:b/>
                <w:bCs/>
                <w:color w:val="FF0000"/>
                <w:lang w:val="en-US" w:eastAsia="zh-CN"/>
              </w:rPr>
              <w:t>柒</w:t>
            </w:r>
            <w:r>
              <w:rPr>
                <w:rFonts w:hint="eastAsia" w:ascii="仿宋" w:hAnsi="仿宋" w:eastAsia="仿宋" w:cs="仿宋"/>
                <w:b/>
                <w:bCs/>
                <w:color w:val="FF0000"/>
                <w:lang w:eastAsia="zh-CN"/>
              </w:rPr>
              <w:t>万</w:t>
            </w:r>
            <w:r>
              <w:rPr>
                <w:rFonts w:hint="eastAsia" w:ascii="仿宋" w:hAnsi="仿宋" w:eastAsia="仿宋" w:cs="仿宋"/>
                <w:b/>
                <w:bCs/>
                <w:color w:val="FF0000"/>
                <w:lang w:val="en-US" w:eastAsia="zh-CN"/>
              </w:rPr>
              <w:t>圆</w:t>
            </w:r>
            <w:r>
              <w:rPr>
                <w:rFonts w:hint="eastAsia" w:ascii="仿宋" w:hAnsi="仿宋" w:eastAsia="仿宋" w:cs="仿宋"/>
                <w:b/>
                <w:bCs/>
                <w:color w:val="FF0000"/>
                <w:lang w:eastAsia="zh-CN"/>
              </w:rPr>
              <w:t>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1、投标保证金以电汇、网银等转账形式提交的，应在投标截止时间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 xml:space="preserve"> 5</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 xml:space="preserve"> 27日</w:t>
            </w:r>
            <w:r>
              <w:rPr>
                <w:rFonts w:hint="eastAsia" w:ascii="仿宋" w:hAnsi="仿宋" w:eastAsia="仿宋" w:cs="仿宋"/>
                <w:b/>
                <w:bCs/>
                <w:color w:val="FF0000"/>
                <w:u w:val="single"/>
                <w:lang w:eastAsia="zh-CN"/>
              </w:rPr>
              <w:t>上午1</w:t>
            </w:r>
            <w:r>
              <w:rPr>
                <w:rFonts w:hint="eastAsia" w:ascii="仿宋" w:hAnsi="仿宋" w:eastAsia="仿宋" w:cs="仿宋"/>
                <w:b/>
                <w:bCs/>
                <w:color w:val="FF0000"/>
                <w:u w:val="single"/>
                <w:lang w:val="en-US" w:eastAsia="zh-CN"/>
              </w:rPr>
              <w:t>0</w:t>
            </w:r>
            <w:r>
              <w:rPr>
                <w:rFonts w:hint="eastAsia" w:ascii="仿宋" w:hAnsi="仿宋" w:eastAsia="仿宋" w:cs="仿宋"/>
                <w:b/>
                <w:bCs/>
                <w:color w:val="FF0000"/>
                <w:u w:val="single"/>
                <w:lang w:eastAsia="zh-CN"/>
              </w:rPr>
              <w:t>：</w:t>
            </w:r>
            <w:r>
              <w:rPr>
                <w:rFonts w:hint="eastAsia" w:ascii="仿宋" w:hAnsi="仿宋" w:eastAsia="仿宋" w:cs="仿宋"/>
                <w:b/>
                <w:bCs/>
                <w:color w:val="FF0000"/>
                <w:u w:val="single"/>
                <w:lang w:val="en-US" w:eastAsia="zh-CN"/>
              </w:rPr>
              <w:t>3</w:t>
            </w:r>
            <w:r>
              <w:rPr>
                <w:rFonts w:hint="eastAsia" w:ascii="仿宋" w:hAnsi="仿宋" w:eastAsia="仿宋" w:cs="仿宋"/>
                <w:b/>
                <w:bCs/>
                <w:color w:val="FF0000"/>
                <w:u w:val="single"/>
                <w:lang w:eastAsia="zh-CN"/>
              </w:rPr>
              <w:t>0时</w:t>
            </w:r>
            <w:r>
              <w:rPr>
                <w:rFonts w:hint="eastAsia" w:ascii="仿宋" w:hAnsi="仿宋" w:eastAsia="仿宋" w:cs="仿宋"/>
                <w:b/>
                <w:bCs/>
                <w:color w:val="FF0000"/>
                <w:lang w:eastAsia="zh-CN"/>
              </w:rPr>
              <w:t>（</w:t>
            </w:r>
            <w:r>
              <w:rPr>
                <w:rFonts w:hint="eastAsia" w:ascii="仿宋" w:hAnsi="仿宋" w:eastAsia="仿宋" w:cs="仿宋"/>
                <w:color w:val="auto"/>
                <w:lang w:eastAsia="zh-CN"/>
              </w:rPr>
              <w:t>北京时间）前以总公司的基本账户一次性汇入指定账户（以到账时间为准），不接受现金及任何个人汇款。确认到账后，持银行交款单、基本户开户许可证（基本存款账户信息</w:t>
            </w:r>
            <w:r>
              <w:rPr>
                <w:rFonts w:hint="eastAsia" w:ascii="仿宋" w:hAnsi="仿宋" w:eastAsia="仿宋" w:cs="仿宋"/>
                <w:color w:val="auto"/>
                <w:lang w:val="en-US" w:eastAsia="zh-CN"/>
              </w:rPr>
              <w:t>/开户许可证复印件</w:t>
            </w:r>
            <w:r>
              <w:rPr>
                <w:rFonts w:hint="eastAsia" w:ascii="仿宋" w:hAnsi="仿宋" w:eastAsia="仿宋" w:cs="仿宋"/>
                <w:color w:val="auto"/>
                <w:lang w:eastAsia="zh-CN"/>
              </w:rPr>
              <w:t>）和银行电子回单复印件加盖企业公章到乌恰县政务服务和公共资源交易中心二楼换取票据收据，项目开具的票据收据原件须扫描上传，标书内附有此票据收据。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2、投标保证金以保函等票据形式提交的，金融机构、担保机构出具的票据原件须扫描上传，标书内附有此票据。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3、有效投标保证金成功交纳后，截止开标时间，供应商无正当理由不参加该项目投标且不递交弃标函，投标保证金不予退还。</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户名：乌恰县政务服务和公共资源交易中心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账号：30470101040018134</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行名：中国农业银行乌恰县支行</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联系人：唐先生</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电话：0908-4623359、15509080607</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（备注：必须写清楚某某公司某某项目保证金）</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投标退保证金需准备以下相关资料：</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1．本单位给投标公司开的收据原件；5日内办理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2．投标公司请给我单位反开收据原件；5日内办理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3．开户许可证复印件及联系方式</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4．银行打保证金的电子回单复印件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5．中标企业需提供合同</w:t>
            </w:r>
          </w:p>
          <w:p>
            <w:pPr>
              <w:keepNext w:val="0"/>
              <w:keepLines w:val="0"/>
              <w:pageBreakBefore w:val="0"/>
              <w:numPr>
                <w:ilvl w:val="0"/>
                <w:numId w:val="0"/>
              </w:numPr>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auto"/>
                <w:lang w:eastAsia="zh-CN"/>
              </w:rPr>
              <w:t>因供应商自身原因耽搁领取，超过退还时限，不承担延后退还责任。</w:t>
            </w:r>
            <w:r>
              <w:rPr>
                <w:rFonts w:hint="eastAsia" w:ascii="仿宋" w:hAnsi="仿宋" w:eastAsia="仿宋" w:cs="仿宋"/>
                <w:color w:val="000000" w:themeColor="text1"/>
                <w:lang w:eastAsia="zh-CN"/>
              </w:rPr>
              <w:t xml:space="preserve">         </w:t>
            </w:r>
          </w:p>
        </w:tc>
      </w:tr>
      <w:tr>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30</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5</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 xml:space="preserve"> 10 </w:t>
            </w:r>
            <w:r>
              <w:rPr>
                <w:rFonts w:hint="eastAsia" w:ascii="仿宋" w:hAnsi="仿宋" w:eastAsia="仿宋" w:cs="仿宋"/>
                <w:b/>
                <w:bCs/>
                <w:color w:val="FF0000"/>
                <w:u w:val="single"/>
                <w:lang w:eastAsia="zh-CN"/>
              </w:rPr>
              <w:t>日</w:t>
            </w:r>
            <w:r>
              <w:rPr>
                <w:rFonts w:hint="eastAsia" w:ascii="仿宋" w:hAnsi="仿宋" w:eastAsia="仿宋" w:cs="仿宋"/>
                <w:color w:val="000000" w:themeColor="text1"/>
                <w:lang w:eastAsia="zh-CN"/>
              </w:rPr>
              <w:t>，每天上午10:00至1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0，下午16:</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19</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lang w:eastAsia="zh-CN"/>
              </w:rPr>
              <w:t>0（北京时间，节假日除外）</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采购人代表</w:t>
            </w:r>
            <w:r>
              <w:rPr>
                <w:rFonts w:hint="eastAsia" w:ascii="仿宋" w:hAnsi="仿宋" w:eastAsia="仿宋" w:cs="仿宋"/>
                <w:b/>
                <w:bCs/>
                <w:color w:val="000000" w:themeColor="text1"/>
                <w:lang w:val="en-US" w:eastAsia="zh-CN"/>
              </w:rPr>
              <w:t>1</w:t>
            </w:r>
            <w:r>
              <w:rPr>
                <w:rFonts w:hint="eastAsia" w:ascii="仿宋" w:hAnsi="仿宋" w:eastAsia="仿宋" w:cs="仿宋"/>
                <w:b/>
                <w:bCs/>
                <w:color w:val="000000" w:themeColor="text1"/>
                <w:lang w:val="zh-CN" w:eastAsia="zh-CN"/>
              </w:rPr>
              <w:t>人，评审专家</w:t>
            </w:r>
            <w:r>
              <w:rPr>
                <w:rFonts w:hint="eastAsia" w:ascii="仿宋" w:hAnsi="仿宋" w:eastAsia="仿宋" w:cs="仿宋"/>
                <w:b/>
                <w:bCs/>
                <w:color w:val="000000" w:themeColor="text1"/>
                <w:lang w:val="en-US" w:eastAsia="zh-CN"/>
              </w:rPr>
              <w:t>4</w:t>
            </w:r>
            <w:r>
              <w:rPr>
                <w:rFonts w:hint="eastAsia" w:ascii="仿宋" w:hAnsi="仿宋" w:eastAsia="仿宋" w:cs="仿宋"/>
                <w:b/>
                <w:bCs/>
                <w:color w:val="000000" w:themeColor="text1"/>
                <w:lang w:val="zh-CN" w:eastAsia="zh-CN"/>
              </w:rPr>
              <w:t>人，共</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5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27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w:t>
            </w:r>
            <w:r>
              <w:rPr>
                <w:rFonts w:hint="eastAsia" w:ascii="仿宋" w:hAnsi="仿宋" w:eastAsia="仿宋" w:cs="仿宋"/>
                <w:color w:val="000000" w:themeColor="text1"/>
                <w:lang w:eastAsia="zh-CN"/>
              </w:rPr>
              <w:t>（北京时间）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7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b/>
                <w:bCs/>
                <w:color w:val="FF0000"/>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5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27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r>
              <w:rPr>
                <w:rFonts w:hint="eastAsia" w:ascii="仿宋" w:hAnsi="仿宋" w:eastAsia="仿宋" w:cs="仿宋"/>
                <w:color w:val="000000" w:themeColor="text1"/>
                <w:lang w:val="en-US" w:eastAsia="zh-CN"/>
              </w:rPr>
              <w:t>根据</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发改</w:t>
            </w:r>
            <w:r>
              <w:rPr>
                <w:rFonts w:hint="eastAsia" w:ascii="仿宋" w:hAnsi="仿宋" w:eastAsia="仿宋" w:cs="仿宋"/>
                <w:color w:val="000000" w:themeColor="text1"/>
                <w:lang w:eastAsia="zh-CN"/>
              </w:rPr>
              <w:t>价格[20</w:t>
            </w:r>
            <w:r>
              <w:rPr>
                <w:rFonts w:hint="eastAsia" w:ascii="仿宋" w:hAnsi="仿宋" w:eastAsia="仿宋" w:cs="仿宋"/>
                <w:color w:val="000000" w:themeColor="text1"/>
                <w:lang w:val="en-US" w:eastAsia="zh-CN"/>
              </w:rPr>
              <w:t>15</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299</w:t>
            </w:r>
            <w:r>
              <w:rPr>
                <w:rFonts w:hint="eastAsia" w:ascii="仿宋" w:hAnsi="仿宋" w:eastAsia="仿宋" w:cs="仿宋"/>
                <w:color w:val="000000" w:themeColor="text1"/>
                <w:lang w:eastAsia="zh-CN"/>
              </w:rPr>
              <w:t>号）</w:t>
            </w:r>
            <w:r>
              <w:rPr>
                <w:rFonts w:hint="eastAsia" w:ascii="仿宋" w:hAnsi="仿宋" w:eastAsia="仿宋" w:cs="仿宋"/>
                <w:color w:val="000000" w:themeColor="text1"/>
                <w:lang w:val="en-US" w:eastAsia="zh-CN"/>
              </w:rPr>
              <w:t>及新建招协</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2024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4号文件规定</w:t>
            </w:r>
            <w:r>
              <w:rPr>
                <w:rFonts w:hint="eastAsia" w:ascii="仿宋" w:hAnsi="仿宋" w:eastAsia="仿宋" w:cs="仿宋"/>
                <w:color w:val="000000" w:themeColor="text1"/>
                <w:lang w:eastAsia="zh-CN"/>
              </w:rPr>
              <w:t>由中标单位向招标代理机构支付本项目代理费。收费标准如下：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招标代理服务收费标准</w:t>
            </w:r>
          </w:p>
          <w:tbl>
            <w:tblPr>
              <w:tblStyle w:val="24"/>
              <w:tblW w:w="6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0.84</w:t>
                  </w:r>
                  <w:r>
                    <w:rPr>
                      <w:rFonts w:hint="eastAsia" w:ascii="仿宋" w:hAnsi="仿宋" w:eastAsia="仿宋" w:cs="仿宋"/>
                      <w:color w:val="000000" w:themeColor="text1"/>
                      <w:lang w:eastAsia="zh-CN"/>
                    </w:rPr>
                    <w:t>%</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62</w:t>
                  </w:r>
                  <w:r>
                    <w:rPr>
                      <w:rFonts w:hint="eastAsia" w:ascii="仿宋" w:hAnsi="仿宋" w:eastAsia="仿宋" w:cs="仿宋"/>
                      <w:color w:val="000000" w:themeColor="text1"/>
                      <w:lang w:eastAsia="zh-CN"/>
                    </w:rPr>
                    <w:t>%</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35</w:t>
                  </w:r>
                  <w:r>
                    <w:rPr>
                      <w:rFonts w:hint="eastAsia" w:ascii="仿宋" w:hAnsi="仿宋" w:eastAsia="仿宋" w:cs="仿宋"/>
                      <w:color w:val="000000" w:themeColor="text1"/>
                      <w:lang w:eastAsia="zh-CN"/>
                    </w:rPr>
                    <w:t>%</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w:t>
            </w:r>
            <w:r>
              <w:rPr>
                <w:rFonts w:hint="eastAsia" w:ascii="仿宋" w:hAnsi="仿宋" w:eastAsia="仿宋" w:cs="仿宋"/>
                <w:color w:val="000000" w:themeColor="text1"/>
                <w:lang w:val="en-US" w:eastAsia="zh-CN"/>
              </w:rPr>
              <w:t>58</w:t>
            </w: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00）万元×1.1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4.64</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0）万元×0.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4.65</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000）万元×0.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24.4</w:t>
            </w:r>
            <w:r>
              <w:rPr>
                <w:rFonts w:hint="eastAsia" w:ascii="仿宋" w:hAnsi="仿宋" w:eastAsia="仿宋" w:cs="仿宋"/>
                <w:color w:val="000000" w:themeColor="text1"/>
                <w:lang w:eastAsia="zh-CN"/>
              </w:rPr>
              <w:t>（万元）</w:t>
            </w:r>
          </w:p>
        </w:tc>
      </w:tr>
      <w:tr>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lang w:eastAsia="zh-CN"/>
              </w:rPr>
              <w:t>3567000</w:t>
            </w:r>
            <w:r>
              <w:rPr>
                <w:rFonts w:hint="eastAsia" w:ascii="仿宋" w:hAnsi="仿宋" w:eastAsia="仿宋" w:cs="仿宋"/>
                <w:b/>
                <w:bCs/>
                <w:color w:val="FF0000"/>
                <w:lang w:val="en-US" w:eastAsia="zh-CN"/>
              </w:rPr>
              <w:t>.00</w:t>
            </w:r>
            <w:r>
              <w:rPr>
                <w:rFonts w:hint="eastAsia" w:ascii="仿宋" w:hAnsi="仿宋" w:eastAsia="仿宋" w:cs="仿宋"/>
                <w:b/>
                <w:bCs/>
                <w:color w:val="FF0000"/>
                <w:sz w:val="22"/>
                <w:szCs w:val="22"/>
                <w:lang w:val="en-US" w:eastAsia="zh-CN"/>
              </w:rPr>
              <w:t>元、</w:t>
            </w:r>
            <w:r>
              <w:rPr>
                <w:rFonts w:hint="eastAsia" w:ascii="仿宋" w:hAnsi="仿宋" w:eastAsia="仿宋" w:cs="仿宋"/>
                <w:b/>
                <w:bCs/>
                <w:color w:val="FF0000"/>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工程、货物</w:t>
            </w:r>
            <w:r>
              <w:rPr>
                <w:rFonts w:hint="eastAsia" w:ascii="仿宋" w:hAnsi="仿宋" w:eastAsia="仿宋" w:cs="仿宋"/>
                <w:b w:val="0"/>
                <w:bCs w:val="0"/>
                <w:color w:val="000000" w:themeColor="text1"/>
                <w:lang w:eastAsia="zh-CN"/>
              </w:rPr>
              <w:t>）》。</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bCs/>
                <w:color w:val="000000" w:themeColor="text1"/>
                <w:lang w:val="en-US" w:eastAsia="zh-CN"/>
              </w:rPr>
              <w:t>工业</w:t>
            </w:r>
          </w:p>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（2）供应商提供《中小企业声明函》时，必须将招标文件第四章采购内容及商务技术要求所列的采购标的物全部列入《中小企业声明函》，否则专门面向中小企业的项目做废标处理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w:t>
            </w:r>
            <w:r>
              <w:rPr>
                <w:rFonts w:hint="eastAsia" w:ascii="仿宋" w:hAnsi="仿宋" w:eastAsia="仿宋" w:cs="仿宋"/>
                <w:b/>
                <w:bCs/>
                <w:color w:val="000000" w:themeColor="text1"/>
                <w:lang w:eastAsia="zh-CN"/>
              </w:rPr>
              <w:t>办理履约保证金，</w:t>
            </w:r>
            <w:r>
              <w:rPr>
                <w:rFonts w:hint="eastAsia" w:ascii="仿宋" w:hAnsi="仿宋" w:eastAsia="仿宋" w:cs="仿宋"/>
                <w:b/>
                <w:bCs/>
                <w:color w:val="000000" w:themeColor="text1"/>
                <w:lang w:val="en-US" w:eastAsia="zh-CN"/>
              </w:rPr>
              <w:t>方式以保函形式。</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296602429"/>
      <w:bookmarkStart w:id="4" w:name="_Toc247513962"/>
      <w:bookmarkStart w:id="5" w:name="_Toc144974507"/>
      <w:bookmarkStart w:id="6" w:name="_Toc247527563"/>
      <w:bookmarkStart w:id="7" w:name="_Toc247592876"/>
      <w:bookmarkStart w:id="8" w:name="_Toc152045539"/>
      <w:bookmarkStart w:id="9" w:name="_Toc152042315"/>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247527564"/>
      <w:bookmarkStart w:id="11" w:name="_Toc247513963"/>
      <w:bookmarkStart w:id="12" w:name="_Toc144974508"/>
      <w:bookmarkStart w:id="13" w:name="_Toc152045540"/>
      <w:bookmarkStart w:id="14" w:name="_Toc296602430"/>
      <w:bookmarkStart w:id="15" w:name="_Toc152042316"/>
      <w:bookmarkStart w:id="16" w:name="_Toc247592877"/>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pPr>
        <w:pStyle w:val="5"/>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pPr>
        <w:spacing w:line="400" w:lineRule="exact"/>
        <w:jc w:val="both"/>
        <w:rPr>
          <w:rFonts w:hint="eastAsia" w:ascii="仿宋" w:hAnsi="仿宋" w:eastAsia="仿宋" w:cs="仿宋"/>
          <w:b/>
          <w:color w:val="000000" w:themeColor="text1"/>
          <w:sz w:val="28"/>
          <w:szCs w:val="28"/>
          <w:lang w:eastAsia="zh-CN"/>
        </w:rPr>
      </w:pPr>
    </w:p>
    <w:p>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pPr>
        <w:pStyle w:val="13"/>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本采购文件由委托的招标代理机构（或招标人）负责解释。</w:t>
      </w:r>
    </w:p>
    <w:p>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3、法定代表人授权委托书；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4、投标保证金缴纳依据（汇款凭证）或保函等票据；</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5、投标企业须提供投标人（被授权在职人员）近6个月有效的社保证明;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6、投标企业须提供有效的《医疗器械生产许可证》或《医疗器械经营许可证》；</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7、中小企业声明函</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8、未被“信用中国”（www.creditchina.gov.cn）、中国政府采购网（www.ccgp.gov.cn）列入失信被执行人、重大税收违法案件当事人名单、政府采购严重违法失信行为记录名单；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9、投标人须知资料表要求的其他资格证明文件。</w:t>
      </w:r>
    </w:p>
    <w:p>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22.2投标报价表上应清楚地标明投标人拟提供货物的名称、型号、品牌、生产厂家、数量、单价和总价。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pPr>
        <w:pStyle w:val="6"/>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739301695@qq.com ，逾期发送或未发送的视为无异议。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31.1评标委员会成员由采购人代表1名和随机抽取有关方面的专家4名组成，成员为5人，评标委员会的成员在评标过程中必须严格遵守政府采购的有关规定。</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5</w:t>
      </w:r>
      <w:r>
        <w:rPr>
          <w:rFonts w:hint="eastAsia" w:ascii="仿宋" w:hAnsi="仿宋" w:eastAsia="仿宋" w:cs="仿宋"/>
          <w:b/>
          <w:bCs/>
          <w:color w:val="auto"/>
          <w:szCs w:val="21"/>
          <w:lang w:eastAsia="zh-CN"/>
        </w:rPr>
        <w:t>%的履约保证金</w:t>
      </w:r>
      <w:r>
        <w:rPr>
          <w:rFonts w:hint="eastAsia" w:ascii="仿宋" w:hAnsi="仿宋" w:eastAsia="仿宋" w:cs="仿宋"/>
          <w:b/>
          <w:bCs/>
          <w:color w:val="000000" w:themeColor="text1"/>
          <w:lang w:eastAsia="zh-CN"/>
        </w:rPr>
        <w:t>办理履约保证金，</w:t>
      </w:r>
      <w:r>
        <w:rPr>
          <w:rFonts w:hint="eastAsia" w:ascii="仿宋" w:hAnsi="仿宋" w:eastAsia="仿宋" w:cs="仿宋"/>
          <w:b/>
          <w:bCs/>
          <w:color w:val="000000" w:themeColor="text1"/>
          <w:lang w:val="en-US" w:eastAsia="zh-CN"/>
        </w:rPr>
        <w:t>方式以保函形式。</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r>
        <w:rPr>
          <w:rFonts w:hint="eastAsia" w:ascii="仿宋" w:hAnsi="仿宋" w:eastAsia="仿宋" w:cs="仿宋"/>
          <w:color w:val="000000" w:themeColor="text1"/>
          <w:szCs w:val="21"/>
          <w:lang w:eastAsia="zh-CN"/>
        </w:rPr>
        <w:t>）。</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49.5供应商有下列情形之一的，采购代理机构将报告克州财政局，将其列入不良行为记录名单：</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pPr>
        <w:spacing w:line="400" w:lineRule="exact"/>
        <w:jc w:val="center"/>
        <w:rPr>
          <w:rFonts w:ascii="仿宋" w:hAnsi="仿宋" w:eastAsia="仿宋" w:cs="仿宋"/>
          <w:color w:val="000000" w:themeColor="text1"/>
          <w:u w:val="single"/>
          <w:lang w:eastAsia="zh-CN"/>
        </w:rPr>
      </w:pPr>
      <w:r>
        <w:rPr>
          <w:rFonts w:hint="eastAsia" w:ascii="仿宋" w:hAnsi="仿宋" w:eastAsia="仿宋" w:cs="仿宋"/>
          <w:b/>
          <w:bCs/>
          <w:color w:val="000000" w:themeColor="text1"/>
          <w:sz w:val="28"/>
          <w:szCs w:val="28"/>
          <w:lang w:eastAsia="zh-CN"/>
        </w:rPr>
        <w:t>政府采购投诉书（范本）</w:t>
      </w:r>
    </w:p>
    <w:p>
      <w:pPr>
        <w:spacing w:line="400" w:lineRule="exact"/>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委托代理人姓名：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职务：</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住址：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联系电话：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被投诉人：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电话：</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我公司参加了</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年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日被投诉人组织的</w:t>
      </w:r>
      <w:r>
        <w:rPr>
          <w:rFonts w:hint="eastAsia" w:ascii="仿宋" w:hAnsi="仿宋" w:eastAsia="仿宋" w:cs="仿宋"/>
          <w:color w:val="000000" w:themeColor="text1"/>
          <w:u w:val="single"/>
          <w:lang w:eastAsia="zh-CN"/>
        </w:rPr>
        <w:t>（采购人）（项目名称）（项目编号）</w:t>
      </w:r>
      <w:r>
        <w:rPr>
          <w:rFonts w:hint="eastAsia" w:ascii="仿宋" w:hAnsi="仿宋" w:eastAsia="仿宋" w:cs="仿宋"/>
          <w:color w:val="000000" w:themeColor="text1"/>
          <w:lang w:eastAsia="zh-CN"/>
        </w:rPr>
        <w:t>的采购活动，我公司认为该项目的</w:t>
      </w:r>
      <w:r>
        <w:rPr>
          <w:rFonts w:hint="eastAsia" w:ascii="仿宋" w:hAnsi="仿宋" w:eastAsia="仿宋" w:cs="仿宋"/>
          <w:color w:val="000000" w:themeColor="text1"/>
          <w:u w:val="single"/>
          <w:lang w:eastAsia="zh-CN"/>
        </w:rPr>
        <w:t>（采购文件/采购过程/中标（中标）结果）</w:t>
      </w:r>
      <w:r>
        <w:rPr>
          <w:rFonts w:hint="eastAsia" w:ascii="仿宋" w:hAnsi="仿宋" w:eastAsia="仿宋" w:cs="仿宋"/>
          <w:color w:val="000000" w:themeColor="text1"/>
          <w:lang w:eastAsia="zh-CN"/>
        </w:rPr>
        <w:t>损害了我公司权益，对此，我公司于</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日向</w:t>
      </w:r>
      <w:r>
        <w:rPr>
          <w:rFonts w:hint="eastAsia" w:ascii="仿宋" w:hAnsi="仿宋" w:eastAsia="仿宋" w:cs="仿宋"/>
          <w:color w:val="000000" w:themeColor="text1"/>
          <w:u w:val="single"/>
          <w:lang w:eastAsia="zh-CN"/>
        </w:rPr>
        <w:t>（采购人或者政府采购代理机构）</w:t>
      </w:r>
      <w:r>
        <w:rPr>
          <w:rFonts w:hint="eastAsia" w:ascii="仿宋" w:hAnsi="仿宋" w:eastAsia="仿宋" w:cs="仿宋"/>
          <w:color w:val="000000" w:themeColor="text1"/>
          <w:lang w:eastAsia="zh-CN"/>
        </w:rPr>
        <w:t>提出了质疑，</w:t>
      </w:r>
      <w:r>
        <w:rPr>
          <w:rFonts w:hint="eastAsia" w:ascii="仿宋" w:hAnsi="仿宋" w:eastAsia="仿宋" w:cs="仿宋"/>
          <w:color w:val="000000" w:themeColor="text1"/>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000000" w:themeColor="text1"/>
          <w:lang w:eastAsia="zh-CN"/>
        </w:rPr>
        <w:t>，现向贵机关提起投诉：</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r>
        <w:rPr>
          <w:rFonts w:hint="eastAsia" w:ascii="仿宋" w:hAnsi="仿宋" w:eastAsia="仿宋" w:cs="仿宋"/>
          <w:color w:val="000000" w:themeColor="text1"/>
          <w:u w:val="single"/>
          <w:lang w:eastAsia="zh-CN"/>
        </w:rPr>
        <w:t>具体的投诉事项及事实依据；</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u w:val="single"/>
          <w:lang w:eastAsia="zh-CN"/>
        </w:rPr>
        <w:t>质疑和质疑答复情况简要描述；</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u w:val="single"/>
          <w:lang w:eastAsia="zh-CN"/>
        </w:rPr>
        <w:t>投诉请求。</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附件：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1.质疑书和质疑答复书；</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2.证据材料（需注明证据来源），证人的姓名、住址和联系方式等；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3.营业执照；</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4.法定代表人身份证明函</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5.法定代表人授权委托书（包含法定代表人和委托代理人的身份证复印件）；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6.政府采购监管部门认为应当提供的其它材料。</w:t>
      </w:r>
    </w:p>
    <w:p>
      <w:pPr>
        <w:spacing w:line="400" w:lineRule="exact"/>
        <w:jc w:val="center"/>
        <w:rPr>
          <w:rFonts w:ascii="仿宋" w:hAnsi="仿宋" w:eastAsia="仿宋" w:cs="仿宋"/>
          <w:color w:val="000000" w:themeColor="text1"/>
          <w:lang w:eastAsia="zh-CN"/>
        </w:rPr>
      </w:pPr>
    </w:p>
    <w:p>
      <w:pPr>
        <w:spacing w:line="400" w:lineRule="exact"/>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投诉供应商：（盖章）</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法定代表人（或主要负责人）：（签章）</w:t>
      </w:r>
    </w:p>
    <w:p>
      <w:pPr>
        <w:spacing w:line="400" w:lineRule="exact"/>
        <w:ind w:firstLine="3840" w:firstLineChars="16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spacing w:line="400" w:lineRule="exact"/>
        <w:rPr>
          <w:rFonts w:ascii="仿宋" w:hAnsi="仿宋" w:eastAsia="仿宋" w:cs="仿宋"/>
          <w:color w:val="000000" w:themeColor="text1"/>
          <w:lang w:eastAsia="zh-CN"/>
        </w:rPr>
      </w:pPr>
    </w:p>
    <w:p>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本投诉书正本叁份，副本</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份并附电子文档。</w:t>
      </w:r>
      <w:bookmarkStart w:id="27" w:name="_Toc17515"/>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27"/>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pPr>
        <w:numPr>
          <w:ilvl w:val="0"/>
          <w:numId w:val="3"/>
        </w:numPr>
        <w:spacing w:line="400" w:lineRule="exact"/>
        <w:ind w:left="4569" w:leftChars="304" w:hanging="3840" w:hangingChars="1600"/>
        <w:outlineLvl w:val="0"/>
        <w:rPr>
          <w:rFonts w:ascii="仿宋" w:hAnsi="仿宋" w:eastAsia="仿宋" w:cs="仿宋"/>
          <w:b/>
          <w:bCs/>
          <w:color w:val="000000" w:themeColor="text1"/>
        </w:rPr>
      </w:pPr>
      <w:bookmarkStart w:id="28" w:name="_Toc11499"/>
      <w:r>
        <w:rPr>
          <w:rFonts w:hint="eastAsia" w:ascii="仿宋" w:hAnsi="仿宋" w:eastAsia="仿宋" w:cs="仿宋"/>
          <w:b/>
          <w:bCs/>
          <w:color w:val="000000" w:themeColor="text1"/>
        </w:rPr>
        <w:t>质疑前置及时间要求</w:t>
      </w:r>
      <w:bookmarkEnd w:id="28"/>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29" w:name="_Toc13508"/>
      <w:r>
        <w:rPr>
          <w:rFonts w:hint="eastAsia" w:ascii="仿宋" w:hAnsi="仿宋" w:eastAsia="仿宋" w:cs="仿宋"/>
          <w:b/>
          <w:bCs/>
          <w:color w:val="000000" w:themeColor="text1"/>
          <w:sz w:val="21"/>
          <w:szCs w:val="21"/>
          <w:lang w:eastAsia="zh-CN"/>
        </w:rPr>
        <w:t>二、书面方式</w:t>
      </w:r>
      <w:bookmarkEnd w:id="29"/>
    </w:p>
    <w:p>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pPr>
        <w:numPr>
          <w:ilvl w:val="0"/>
          <w:numId w:val="4"/>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30" w:name="_Toc5978"/>
      <w:r>
        <w:rPr>
          <w:rFonts w:hint="eastAsia" w:ascii="仿宋" w:hAnsi="仿宋" w:eastAsia="仿宋" w:cs="仿宋"/>
          <w:b/>
          <w:bCs/>
          <w:color w:val="000000" w:themeColor="text1"/>
          <w:lang w:eastAsia="zh-CN"/>
        </w:rPr>
        <w:t>三、虚假、恶意投诉法律责任</w:t>
      </w:r>
      <w:bookmarkEnd w:id="30"/>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pPr>
        <w:spacing w:line="400" w:lineRule="exact"/>
        <w:rPr>
          <w:rFonts w:ascii="仿宋" w:hAnsi="仿宋" w:eastAsia="仿宋" w:cs="仿宋"/>
          <w:color w:val="000000" w:themeColor="text1"/>
          <w:sz w:val="21"/>
          <w:szCs w:val="21"/>
          <w:lang w:eastAsia="zh-CN"/>
        </w:rPr>
      </w:pPr>
    </w:p>
    <w:p>
      <w:pPr>
        <w:spacing w:line="400" w:lineRule="exact"/>
        <w:rPr>
          <w:rFonts w:ascii="仿宋" w:hAnsi="仿宋" w:eastAsia="仿宋" w:cs="仿宋"/>
          <w:color w:val="000000" w:themeColor="text1"/>
          <w:sz w:val="21"/>
          <w:szCs w:val="21"/>
          <w:lang w:eastAsia="zh-CN"/>
        </w:rPr>
      </w:pPr>
    </w:p>
    <w:p>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w:t>
      </w:r>
      <w:r>
        <w:rPr>
          <w:rFonts w:hint="eastAsia" w:ascii="仿宋" w:hAnsi="仿宋" w:eastAsia="仿宋" w:cs="仿宋"/>
          <w:color w:val="000000" w:themeColor="text1"/>
          <w:lang w:val="en-US" w:eastAsia="zh-CN"/>
        </w:rPr>
        <w:t>乌恰县</w:t>
      </w:r>
      <w:r>
        <w:rPr>
          <w:rFonts w:hint="eastAsia" w:ascii="仿宋" w:hAnsi="仿宋" w:eastAsia="仿宋" w:cs="仿宋"/>
          <w:color w:val="000000" w:themeColor="text1"/>
          <w:lang w:eastAsia="zh-CN"/>
        </w:rPr>
        <w:t>政府采购办监管办公室</w:t>
      </w:r>
    </w:p>
    <w:p>
      <w:pPr>
        <w:jc w:val="right"/>
        <w:rPr>
          <w:rFonts w:ascii="仿宋" w:hAnsi="仿宋" w:eastAsia="仿宋" w:cs="仿宋"/>
          <w:color w:val="000000" w:themeColor="text1"/>
          <w:sz w:val="32"/>
          <w:szCs w:val="32"/>
          <w:lang w:eastAsia="zh-CN"/>
        </w:rPr>
      </w:pPr>
    </w:p>
    <w:p>
      <w:pPr>
        <w:spacing w:line="540" w:lineRule="exact"/>
        <w:jc w:val="center"/>
        <w:rPr>
          <w:rFonts w:ascii="仿宋" w:hAnsi="仿宋" w:eastAsia="仿宋" w:cs="仿宋"/>
          <w:b/>
          <w:bCs/>
          <w:color w:val="000000" w:themeColor="text1"/>
          <w:sz w:val="44"/>
          <w:szCs w:val="44"/>
          <w:lang w:eastAsia="zh-CN"/>
        </w:rPr>
      </w:pPr>
    </w:p>
    <w:p>
      <w:pPr>
        <w:spacing w:line="540" w:lineRule="exact"/>
        <w:jc w:val="both"/>
        <w:rPr>
          <w:rFonts w:ascii="仿宋" w:hAnsi="仿宋" w:eastAsia="仿宋" w:cs="仿宋"/>
          <w:b/>
          <w:bCs/>
          <w:color w:val="000000" w:themeColor="text1"/>
          <w:sz w:val="44"/>
          <w:szCs w:val="44"/>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bookmarkStart w:id="31" w:name="_Toc1697"/>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pStyle w:val="13"/>
        <w:rPr>
          <w:rFonts w:hint="eastAsia" w:ascii="仿宋" w:hAnsi="仿宋" w:eastAsia="仿宋" w:cs="仿宋"/>
          <w:b/>
          <w:bCs/>
          <w:color w:val="000000" w:themeColor="text1"/>
          <w:sz w:val="32"/>
          <w:szCs w:val="32"/>
          <w:lang w:eastAsia="zh-CN"/>
        </w:rPr>
      </w:pPr>
    </w:p>
    <w:p>
      <w:pPr>
        <w:pStyle w:val="14"/>
        <w:rPr>
          <w:rFonts w:hint="eastAsia" w:ascii="仿宋" w:hAnsi="仿宋" w:eastAsia="仿宋" w:cs="仿宋"/>
          <w:b/>
          <w:bCs/>
          <w:color w:val="000000" w:themeColor="text1"/>
          <w:sz w:val="32"/>
          <w:szCs w:val="32"/>
          <w:lang w:eastAsia="zh-CN"/>
        </w:rPr>
      </w:pPr>
    </w:p>
    <w:p>
      <w:pPr>
        <w:rPr>
          <w:rFonts w:hint="eastAsia" w:ascii="仿宋" w:hAnsi="仿宋" w:eastAsia="仿宋" w:cs="仿宋"/>
          <w:b/>
          <w:bCs/>
          <w:color w:val="000000" w:themeColor="text1"/>
          <w:sz w:val="32"/>
          <w:szCs w:val="32"/>
          <w:lang w:eastAsia="zh-CN"/>
        </w:rPr>
      </w:pPr>
    </w:p>
    <w:p>
      <w:pPr>
        <w:pStyle w:val="13"/>
        <w:rPr>
          <w:rFonts w:hint="eastAsia"/>
          <w:lang w:eastAsia="zh-CN"/>
        </w:rPr>
      </w:pPr>
    </w:p>
    <w:p>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31"/>
    </w:p>
    <w:p>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32" w:name="_Toc9061"/>
      <w:r>
        <w:rPr>
          <w:rFonts w:hint="eastAsia" w:ascii="仿宋" w:hAnsi="仿宋" w:eastAsia="仿宋" w:cs="仿宋"/>
          <w:bCs/>
          <w:color w:val="000000" w:themeColor="text1"/>
          <w:lang w:eastAsia="zh-CN"/>
        </w:rPr>
        <w:t>一、质疑供应商基本信息</w:t>
      </w:r>
      <w:bookmarkEnd w:id="32"/>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3" w:name="_Toc15938"/>
      <w:r>
        <w:rPr>
          <w:rFonts w:hint="eastAsia" w:ascii="仿宋" w:hAnsi="仿宋" w:eastAsia="仿宋" w:cs="仿宋"/>
          <w:bCs/>
          <w:color w:val="000000" w:themeColor="text1"/>
          <w:lang w:eastAsia="zh-CN"/>
        </w:rPr>
        <w:t>二、质疑项目基本情况</w:t>
      </w:r>
      <w:bookmarkEnd w:id="33"/>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4" w:name="_Toc18271"/>
      <w:r>
        <w:rPr>
          <w:rFonts w:hint="eastAsia" w:ascii="仿宋" w:hAnsi="仿宋" w:eastAsia="仿宋" w:cs="仿宋"/>
          <w:bCs/>
          <w:color w:val="000000" w:themeColor="text1"/>
          <w:lang w:eastAsia="zh-CN"/>
        </w:rPr>
        <w:t>三、质疑事项具体内容</w:t>
      </w:r>
      <w:bookmarkEnd w:id="34"/>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5" w:name="_Toc22365"/>
      <w:r>
        <w:rPr>
          <w:rFonts w:hint="eastAsia" w:ascii="仿宋" w:hAnsi="仿宋" w:eastAsia="仿宋" w:cs="仿宋"/>
          <w:bCs/>
          <w:color w:val="000000" w:themeColor="text1"/>
          <w:lang w:eastAsia="zh-CN"/>
        </w:rPr>
        <w:t>四、与质疑事项相关的质疑请求</w:t>
      </w:r>
      <w:bookmarkEnd w:id="35"/>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pPr>
        <w:spacing w:line="540" w:lineRule="exact"/>
        <w:ind w:firstLine="420" w:firstLineChars="200"/>
        <w:rPr>
          <w:rFonts w:ascii="仿宋" w:hAnsi="仿宋" w:eastAsia="仿宋" w:cs="仿宋"/>
          <w:b/>
          <w:bCs/>
          <w:color w:val="000000" w:themeColor="text1"/>
          <w:sz w:val="21"/>
          <w:szCs w:val="21"/>
          <w:lang w:eastAsia="zh-CN"/>
        </w:rPr>
      </w:pPr>
    </w:p>
    <w:p>
      <w:pPr>
        <w:pageBreakBefore/>
        <w:spacing w:line="440" w:lineRule="exact"/>
        <w:jc w:val="center"/>
        <w:outlineLvl w:val="0"/>
        <w:rPr>
          <w:rFonts w:ascii="仿宋" w:hAnsi="仿宋" w:eastAsia="仿宋" w:cs="仿宋"/>
          <w:b/>
          <w:bCs/>
          <w:color w:val="000000" w:themeColor="text1"/>
          <w:sz w:val="30"/>
          <w:szCs w:val="30"/>
          <w:lang w:eastAsia="zh-CN"/>
        </w:rPr>
      </w:pPr>
      <w:bookmarkStart w:id="36" w:name="_Toc469495731"/>
      <w:r>
        <w:rPr>
          <w:rFonts w:hint="eastAsia" w:ascii="仿宋" w:hAnsi="仿宋" w:eastAsia="仿宋" w:cs="仿宋"/>
          <w:b/>
          <w:bCs/>
          <w:color w:val="000000" w:themeColor="text1"/>
          <w:sz w:val="30"/>
          <w:szCs w:val="30"/>
          <w:lang w:eastAsia="zh-CN"/>
        </w:rPr>
        <w:t>第三部分  评标办法</w:t>
      </w:r>
      <w:bookmarkEnd w:id="36"/>
    </w:p>
    <w:p>
      <w:pPr>
        <w:jc w:val="center"/>
        <w:outlineLvl w:val="1"/>
        <w:rPr>
          <w:rFonts w:ascii="仿宋" w:hAnsi="仿宋" w:eastAsia="仿宋" w:cs="仿宋"/>
          <w:b/>
          <w:color w:val="000000" w:themeColor="text1"/>
          <w:sz w:val="28"/>
          <w:szCs w:val="28"/>
          <w:lang w:eastAsia="zh-CN"/>
        </w:rPr>
      </w:pPr>
      <w:bookmarkStart w:id="37" w:name="_Toc469495733"/>
      <w:bookmarkStart w:id="38" w:name="_Toc362983802"/>
      <w:bookmarkStart w:id="39" w:name="_Toc267320058"/>
      <w:bookmarkStart w:id="40" w:name="_Toc363135205"/>
      <w:r>
        <w:rPr>
          <w:rFonts w:hint="eastAsia" w:ascii="仿宋" w:hAnsi="仿宋" w:eastAsia="仿宋" w:cs="仿宋"/>
          <w:b/>
          <w:color w:val="000000" w:themeColor="text1"/>
          <w:sz w:val="28"/>
          <w:szCs w:val="28"/>
          <w:lang w:eastAsia="zh-CN"/>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pPr>
        <w:pStyle w:val="41"/>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pPr>
        <w:pStyle w:val="41"/>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pPr>
        <w:pStyle w:val="41"/>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pPr>
        <w:pStyle w:val="41"/>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footerReference r:id="rId7" w:type="default"/>
          <w:pgSz w:w="11906" w:h="16838"/>
          <w:pgMar w:top="1134" w:right="1080" w:bottom="1440" w:left="1080" w:header="851" w:footer="992" w:gutter="0"/>
          <w:pgNumType w:fmt="decimal"/>
          <w:cols w:space="720" w:num="1"/>
          <w:docGrid w:type="linesAndChars" w:linePitch="312" w:charSpace="0"/>
        </w:sectPr>
      </w:pP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pPr>
        <w:pStyle w:val="20"/>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37"/>
      <w:bookmarkEnd w:id="38"/>
    </w:p>
    <w:p>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pPr>
              <w:rPr>
                <w:rFonts w:ascii="仿宋" w:hAnsi="仿宋" w:eastAsia="仿宋" w:cs="仿宋"/>
                <w:color w:val="000000" w:themeColor="text1"/>
                <w:sz w:val="18"/>
                <w:szCs w:val="21"/>
              </w:rPr>
            </w:pPr>
          </w:p>
        </w:tc>
        <w:tc>
          <w:tcPr>
            <w:tcW w:w="7491" w:type="dxa"/>
            <w:gridSpan w:val="2"/>
            <w:vMerge w:val="continue"/>
          </w:tcPr>
          <w:p>
            <w:pPr>
              <w:rPr>
                <w:rFonts w:ascii="仿宋" w:hAnsi="仿宋" w:eastAsia="仿宋" w:cs="仿宋"/>
                <w:color w:val="000000" w:themeColor="text1"/>
                <w:sz w:val="18"/>
                <w:szCs w:val="21"/>
              </w:rPr>
            </w:pPr>
          </w:p>
        </w:tc>
        <w:tc>
          <w:tcPr>
            <w:tcW w:w="555"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pPr>
              <w:jc w:val="center"/>
              <w:rPr>
                <w:rFonts w:hint="eastAsia" w:ascii="仿宋" w:hAnsi="仿宋" w:eastAsia="仿宋" w:cs="仿宋"/>
                <w:color w:val="000000" w:themeColor="text1"/>
                <w:szCs w:val="21"/>
                <w:lang w:eastAsia="zh-CN"/>
              </w:rPr>
            </w:pPr>
          </w:p>
        </w:tc>
        <w:tc>
          <w:tcPr>
            <w:tcW w:w="495" w:type="dxa"/>
            <w:vAlign w:val="center"/>
          </w:tcPr>
          <w:p>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pPr>
              <w:widowControl/>
              <w:textAlignment w:val="center"/>
              <w:rPr>
                <w:rFonts w:ascii="仿宋" w:hAnsi="仿宋" w:eastAsia="仿宋" w:cs="仿宋"/>
                <w:color w:val="000000" w:themeColor="text1"/>
                <w:lang w:eastAsia="zh-CN"/>
              </w:rPr>
            </w:pPr>
            <w:r>
              <w:rPr>
                <w:rStyle w:val="27"/>
                <w:rFonts w:hint="eastAsia" w:ascii="仿宋" w:hAnsi="仿宋" w:eastAsia="仿宋" w:cs="仿宋"/>
                <w:b w:val="0"/>
                <w:bCs w:val="0"/>
                <w:sz w:val="22"/>
                <w:szCs w:val="22"/>
                <w:lang w:eastAsia="zh-CN"/>
              </w:rPr>
              <w:t>投标企业须提供投标人（被授权在职人员）近6个月有效的社保证明</w:t>
            </w:r>
            <w:r>
              <w:rPr>
                <w:rFonts w:hint="eastAsia" w:ascii="仿宋" w:hAnsi="仿宋" w:eastAsia="仿宋" w:cs="仿宋"/>
                <w:color w:val="000000" w:themeColor="text1"/>
                <w:lang w:eastAsia="zh-CN"/>
              </w:rPr>
              <w:t>；</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投标企业须提供有效的《医疗器械生产许可证》或《医疗器械经营许可证》</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6</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7</w:t>
            </w:r>
          </w:p>
        </w:tc>
        <w:tc>
          <w:tcPr>
            <w:tcW w:w="6996" w:type="dxa"/>
            <w:vAlign w:val="center"/>
          </w:tcPr>
          <w:p>
            <w:pPr>
              <w:widowControl/>
              <w:textAlignment w:val="center"/>
              <w:rPr>
                <w:rFonts w:hint="eastAsia" w:ascii="仿宋" w:hAnsi="仿宋" w:eastAsia="仿宋" w:cs="仿宋"/>
                <w:color w:val="000000" w:themeColor="text1"/>
                <w:highlight w:val="yellow"/>
                <w:lang w:val="en-US" w:eastAsia="zh-CN"/>
              </w:rPr>
            </w:pPr>
            <w:r>
              <w:rPr>
                <w:rFonts w:hint="eastAsia" w:ascii="仿宋" w:hAnsi="仿宋" w:eastAsia="仿宋" w:cs="仿宋"/>
                <w:color w:val="000000" w:themeColor="text1"/>
                <w:highlight w:val="none"/>
                <w:lang w:val="en-US" w:eastAsia="zh-CN"/>
              </w:rPr>
              <w:t>供应商为中小企业</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pPr>
              <w:jc w:val="center"/>
              <w:rPr>
                <w:rFonts w:ascii="仿宋" w:hAnsi="仿宋" w:eastAsia="仿宋" w:cs="仿宋"/>
                <w:color w:val="000000" w:themeColor="text1"/>
                <w:szCs w:val="21"/>
                <w:lang w:eastAsia="zh-CN"/>
              </w:rPr>
            </w:pPr>
          </w:p>
        </w:tc>
        <w:tc>
          <w:tcPr>
            <w:tcW w:w="495" w:type="dxa"/>
          </w:tcPr>
          <w:p>
            <w:pPr>
              <w:spacing w:line="440" w:lineRule="exact"/>
              <w:rPr>
                <w:rFonts w:ascii="仿宋" w:hAnsi="仿宋" w:eastAsia="仿宋" w:cs="仿宋"/>
                <w:color w:val="000000" w:themeColor="text1"/>
                <w:szCs w:val="21"/>
                <w:lang w:eastAsia="zh-CN"/>
              </w:rPr>
            </w:pPr>
          </w:p>
        </w:tc>
        <w:tc>
          <w:tcPr>
            <w:tcW w:w="6996" w:type="dxa"/>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pPr>
              <w:rPr>
                <w:rFonts w:ascii="仿宋" w:hAnsi="仿宋" w:eastAsia="仿宋" w:cs="仿宋"/>
                <w:color w:val="000000" w:themeColor="text1"/>
                <w:szCs w:val="21"/>
                <w:lang w:eastAsia="zh-CN"/>
              </w:rPr>
            </w:pPr>
          </w:p>
        </w:tc>
      </w:tr>
    </w:tbl>
    <w:p>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000000" w:themeColor="text1"/>
              </w:rPr>
            </w:pPr>
          </w:p>
        </w:tc>
        <w:tc>
          <w:tcPr>
            <w:tcW w:w="6975" w:type="dxa"/>
            <w:gridSpan w:val="2"/>
            <w:vMerge w:val="continue"/>
            <w:tcBorders>
              <w:bottom w:val="single" w:color="auto" w:sz="4" w:space="0"/>
            </w:tcBorders>
          </w:tcPr>
          <w:p>
            <w:pPr>
              <w:rPr>
                <w:rFonts w:ascii="仿宋" w:hAnsi="仿宋" w:eastAsia="仿宋" w:cs="仿宋"/>
                <w:color w:val="000000" w:themeColor="text1"/>
              </w:rPr>
            </w:pPr>
          </w:p>
        </w:tc>
        <w:tc>
          <w:tcPr>
            <w:tcW w:w="749" w:type="dxa"/>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pPr>
              <w:rPr>
                <w:rFonts w:ascii="仿宋" w:hAnsi="仿宋" w:eastAsia="仿宋" w:cs="仿宋"/>
                <w:color w:val="000000" w:themeColor="text1"/>
                <w:szCs w:val="21"/>
              </w:rPr>
            </w:pPr>
          </w:p>
        </w:tc>
        <w:tc>
          <w:tcPr>
            <w:tcW w:w="617" w:type="dxa"/>
            <w:tcBorders>
              <w:right w:val="single" w:color="auto" w:sz="4" w:space="0"/>
            </w:tcBorders>
          </w:tcPr>
          <w:p>
            <w:pPr>
              <w:rPr>
                <w:rFonts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对招标文件规定的招标内容全部作出响应。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bl>
    <w:p>
      <w:pPr>
        <w:rPr>
          <w:rFonts w:ascii="仿宋" w:hAnsi="仿宋" w:eastAsia="仿宋" w:cs="仿宋"/>
          <w:color w:val="000000" w:themeColor="text1"/>
          <w:lang w:eastAsia="zh-CN"/>
        </w:rPr>
      </w:pP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000000" w:themeColor="text1"/>
          <w:lang w:eastAsia="zh-CN"/>
        </w:rPr>
      </w:pPr>
      <w:bookmarkStart w:id="41" w:name="_Toc469495734"/>
      <w:bookmarkStart w:id="42" w:name="_Toc362983803"/>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41"/>
      <w:bookmarkEnd w:id="42"/>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仿宋" w:hAnsi="仿宋" w:eastAsia="仿宋" w:cs="仿宋"/>
          <w:b/>
          <w:color w:val="000000" w:themeColor="text1"/>
          <w:lang w:eastAsia="zh-CN"/>
        </w:rPr>
      </w:pPr>
      <w:bookmarkStart w:id="43" w:name="_Toc469495735"/>
      <w:r>
        <w:rPr>
          <w:rFonts w:hint="eastAsia" w:ascii="仿宋" w:hAnsi="仿宋" w:eastAsia="仿宋" w:cs="仿宋"/>
          <w:b/>
          <w:color w:val="000000" w:themeColor="text1"/>
          <w:lang w:eastAsia="zh-CN"/>
        </w:rPr>
        <w:t>四 比较与评价</w:t>
      </w:r>
      <w:bookmarkEnd w:id="43"/>
    </w:p>
    <w:p>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44" w:name="_Toc469495736"/>
      <w:bookmarkStart w:id="45" w:name="_Toc362983805"/>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pPr>
        <w:rPr>
          <w:rFonts w:hint="eastAsia"/>
          <w:lang w:eastAsia="zh-CN"/>
        </w:rPr>
      </w:pPr>
    </w:p>
    <w:p>
      <w:pPr>
        <w:pStyle w:val="9"/>
        <w:numPr>
          <w:ilvl w:val="0"/>
          <w:numId w:val="6"/>
        </w:numPr>
        <w:spacing w:line="400" w:lineRule="exact"/>
        <w:ind w:left="300" w:leftChars="0" w:firstLineChars="0"/>
        <w:rPr>
          <w:rFonts w:hint="eastAsia" w:ascii="仿宋" w:hAnsi="仿宋" w:eastAsia="仿宋" w:cs="仿宋"/>
          <w:b/>
          <w:bCs/>
          <w:color w:val="000000" w:themeColor="text1"/>
          <w:sz w:val="28"/>
          <w:szCs w:val="21"/>
          <w:lang w:eastAsia="zh-CN"/>
        </w:rPr>
      </w:pPr>
      <w:r>
        <w:rPr>
          <w:rFonts w:hint="eastAsia" w:ascii="仿宋" w:hAnsi="仿宋" w:eastAsia="仿宋" w:cs="仿宋"/>
          <w:color w:val="000000" w:themeColor="text1"/>
          <w:szCs w:val="21"/>
          <w:lang w:eastAsia="zh-CN" w:bidi="ar-SA"/>
        </w:rPr>
        <w:t>评分标准和细则（综合评分法评分标准）</w:t>
      </w:r>
    </w:p>
    <w:p>
      <w:pPr>
        <w:pStyle w:val="9"/>
        <w:jc w:val="center"/>
        <w:rPr>
          <w:rFonts w:hint="eastAsia"/>
          <w:b w:val="0"/>
          <w:bCs w:val="0"/>
          <w:color w:val="auto"/>
          <w:lang w:eastAsia="zh-CN"/>
        </w:rPr>
      </w:pPr>
      <w:r>
        <w:rPr>
          <w:rFonts w:hint="eastAsia" w:ascii="仿宋" w:hAnsi="仿宋" w:eastAsia="仿宋" w:cs="仿宋"/>
          <w:b w:val="0"/>
          <w:bCs w:val="0"/>
          <w:color w:val="auto"/>
          <w:sz w:val="28"/>
          <w:szCs w:val="21"/>
          <w:lang w:eastAsia="zh-CN"/>
        </w:rPr>
        <w:t>评分标准</w:t>
      </w:r>
    </w:p>
    <w:bookmarkEnd w:id="39"/>
    <w:bookmarkEnd w:id="44"/>
    <w:bookmarkEnd w:id="45"/>
    <w:p>
      <w:pPr>
        <w:pStyle w:val="12"/>
        <w:numPr>
          <w:ilvl w:val="0"/>
          <w:numId w:val="0"/>
        </w:numPr>
        <w:ind w:leftChars="0"/>
        <w:rPr>
          <w:rFonts w:hint="eastAsia"/>
        </w:rPr>
      </w:pPr>
    </w:p>
    <w:tbl>
      <w:tblPr>
        <w:tblStyle w:val="2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336"/>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90" w:type="dxa"/>
            <w:vAlign w:val="center"/>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评分</w:t>
            </w:r>
          </w:p>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因素</w:t>
            </w:r>
          </w:p>
        </w:tc>
        <w:tc>
          <w:tcPr>
            <w:tcW w:w="1336" w:type="dxa"/>
            <w:vAlign w:val="center"/>
          </w:tcPr>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分值</w:t>
            </w:r>
          </w:p>
        </w:tc>
        <w:tc>
          <w:tcPr>
            <w:tcW w:w="7055" w:type="dxa"/>
            <w:vAlign w:val="center"/>
          </w:tcPr>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90" w:type="dxa"/>
            <w:vAlign w:val="center"/>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报价得分（30分）</w:t>
            </w:r>
          </w:p>
        </w:tc>
        <w:tc>
          <w:tcPr>
            <w:tcW w:w="1336" w:type="dxa"/>
            <w:vAlign w:val="center"/>
          </w:tcPr>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30分</w:t>
            </w:r>
          </w:p>
        </w:tc>
        <w:tc>
          <w:tcPr>
            <w:tcW w:w="7055" w:type="dxa"/>
          </w:tcPr>
          <w:p>
            <w:pPr>
              <w:pStyle w:val="21"/>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390" w:type="dxa"/>
            <w:vMerge w:val="restart"/>
            <w:vAlign w:val="center"/>
          </w:tcPr>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技术部分</w:t>
            </w:r>
          </w:p>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（45分）</w:t>
            </w:r>
          </w:p>
          <w:p>
            <w:pPr>
              <w:shd w:val="clear" w:color="auto" w:fill="auto"/>
              <w:spacing w:line="360" w:lineRule="auto"/>
              <w:ind w:firstLine="616" w:firstLineChars="257"/>
              <w:jc w:val="center"/>
              <w:rPr>
                <w:rFonts w:hint="eastAsia" w:ascii="仿宋" w:hAnsi="仿宋" w:eastAsia="仿宋" w:cs="仿宋"/>
                <w:color w:val="000000" w:themeColor="text1"/>
                <w:sz w:val="24"/>
                <w:szCs w:val="24"/>
                <w:highlight w:val="none"/>
                <w:lang w:val="en-US" w:eastAsia="zh-CN" w:bidi="ar-SA"/>
              </w:rPr>
            </w:pPr>
          </w:p>
          <w:p>
            <w:pPr>
              <w:shd w:val="clear" w:color="auto" w:fill="auto"/>
              <w:spacing w:line="360" w:lineRule="auto"/>
              <w:ind w:firstLine="616" w:firstLineChars="257"/>
              <w:jc w:val="center"/>
              <w:rPr>
                <w:rFonts w:hint="eastAsia" w:ascii="仿宋" w:hAnsi="仿宋" w:eastAsia="仿宋" w:cs="仿宋"/>
                <w:color w:val="000000" w:themeColor="text1"/>
                <w:sz w:val="24"/>
                <w:szCs w:val="24"/>
                <w:highlight w:val="none"/>
                <w:lang w:val="en-US" w:eastAsia="zh-CN" w:bidi="ar-SA"/>
              </w:rPr>
            </w:pPr>
          </w:p>
        </w:tc>
        <w:tc>
          <w:tcPr>
            <w:tcW w:w="1336" w:type="dxa"/>
            <w:vAlign w:val="center"/>
          </w:tcPr>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zh-CN" w:eastAsia="zh-CN" w:bidi="ar-SA"/>
              </w:rPr>
            </w:pPr>
            <w:r>
              <w:rPr>
                <w:rFonts w:hint="eastAsia" w:ascii="仿宋" w:hAnsi="仿宋" w:eastAsia="仿宋" w:cs="仿宋"/>
                <w:color w:val="000000" w:themeColor="text1"/>
                <w:sz w:val="24"/>
                <w:szCs w:val="24"/>
                <w:highlight w:val="none"/>
                <w:lang w:val="zh-CN" w:eastAsia="zh-CN" w:bidi="ar-SA"/>
              </w:rPr>
              <w:t>技术指标、参数响应情况</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（40分）</w:t>
            </w:r>
          </w:p>
        </w:tc>
        <w:tc>
          <w:tcPr>
            <w:tcW w:w="7055" w:type="dxa"/>
            <w:vAlign w:val="top"/>
          </w:tcPr>
          <w:p>
            <w:pPr>
              <w:shd w:val="clear" w:color="auto" w:fill="auto"/>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1.技术参数完全满足招标文件要求得35分；参数中不允许出现负偏离，如有负偏离作废标处理。</w:t>
            </w:r>
          </w:p>
          <w:p>
            <w:pPr>
              <w:pStyle w:val="13"/>
              <w:spacing w:line="360" w:lineRule="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bidi="ar-SA"/>
              </w:rPr>
              <w:t>2.投标人技术参数优于招标参数的每条加1分，最高5分。（需提供相关证明材料，否则不加分）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90" w:type="dxa"/>
            <w:vMerge w:val="continue"/>
            <w:vAlign w:val="center"/>
          </w:tcPr>
          <w:p>
            <w:pPr>
              <w:shd w:val="clear" w:color="auto" w:fill="auto"/>
              <w:spacing w:line="360" w:lineRule="auto"/>
              <w:ind w:firstLine="616" w:firstLineChars="257"/>
              <w:rPr>
                <w:rFonts w:hint="eastAsia" w:ascii="仿宋" w:hAnsi="仿宋" w:eastAsia="仿宋" w:cs="仿宋"/>
                <w:color w:val="000000" w:themeColor="text1"/>
                <w:sz w:val="24"/>
                <w:szCs w:val="24"/>
                <w:highlight w:val="none"/>
                <w:lang w:val="en-US" w:eastAsia="zh-CN" w:bidi="ar-SA"/>
              </w:rPr>
            </w:pPr>
          </w:p>
        </w:tc>
        <w:tc>
          <w:tcPr>
            <w:tcW w:w="1336" w:type="dxa"/>
            <w:vAlign w:val="center"/>
          </w:tcPr>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产品质量保障措施</w:t>
            </w:r>
          </w:p>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（5分）</w:t>
            </w:r>
          </w:p>
        </w:tc>
        <w:tc>
          <w:tcPr>
            <w:tcW w:w="7055" w:type="dxa"/>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根据本项目具体特点及实际需求、设备质量、各个阶段进度、安全措施、紧急保障措施描述详细，切实可行，保障性强，进行比较 。优的得5分，良好的得2分，一般的得1分。差或未提供不得分。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0" w:type="dxa"/>
            <w:vMerge w:val="restart"/>
            <w:vAlign w:val="center"/>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商务部分</w:t>
            </w:r>
          </w:p>
          <w:p>
            <w:pPr>
              <w:pStyle w:val="13"/>
              <w:spacing w:line="360" w:lineRule="auto"/>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lang w:val="en-US" w:eastAsia="zh-CN" w:bidi="ar-SA"/>
              </w:rPr>
              <w:t>（25分）</w:t>
            </w:r>
          </w:p>
        </w:tc>
        <w:tc>
          <w:tcPr>
            <w:tcW w:w="1336" w:type="dxa"/>
            <w:vMerge w:val="restart"/>
            <w:vAlign w:val="center"/>
          </w:tcPr>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供货、安装、调试、应急预案（7分）</w:t>
            </w:r>
          </w:p>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p>
        </w:tc>
        <w:tc>
          <w:tcPr>
            <w:tcW w:w="7055" w:type="dxa"/>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货物的供货、培训、安装及调试（包括项目实施进度保障、实施质量保障、培训计划方案、安装调试、验收、人员在项目各阶段投入计划、应急服务方案等内容）：根据各项方案、措施的科学、合理以及供货的应急预案措施完善，能够结合项目实际情况编制，为项目提出合理化建议。优的得5分，良好的得2分，一般的得1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90" w:type="dxa"/>
            <w:vMerge w:val="continue"/>
            <w:vAlign w:val="center"/>
          </w:tcPr>
          <w:p>
            <w:pPr>
              <w:shd w:val="clear" w:color="auto" w:fill="auto"/>
              <w:spacing w:line="360" w:lineRule="auto"/>
              <w:ind w:firstLine="616" w:firstLineChars="257"/>
              <w:rPr>
                <w:rFonts w:hint="eastAsia" w:ascii="仿宋" w:hAnsi="仿宋" w:eastAsia="仿宋" w:cs="仿宋"/>
                <w:color w:val="000000" w:themeColor="text1"/>
                <w:sz w:val="24"/>
                <w:szCs w:val="24"/>
                <w:highlight w:val="none"/>
                <w:lang w:val="en-US" w:eastAsia="zh-CN" w:bidi="ar-SA"/>
              </w:rPr>
            </w:pPr>
          </w:p>
        </w:tc>
        <w:tc>
          <w:tcPr>
            <w:tcW w:w="1336" w:type="dxa"/>
            <w:vMerge w:val="continue"/>
            <w:vAlign w:val="center"/>
          </w:tcPr>
          <w:p>
            <w:pPr>
              <w:shd w:val="clear" w:color="auto" w:fill="auto"/>
              <w:spacing w:line="360" w:lineRule="auto"/>
              <w:jc w:val="center"/>
              <w:rPr>
                <w:rFonts w:hint="eastAsia" w:ascii="仿宋" w:hAnsi="仿宋" w:eastAsia="仿宋" w:cs="仿宋"/>
                <w:color w:val="000000" w:themeColor="text1"/>
                <w:sz w:val="24"/>
                <w:szCs w:val="24"/>
                <w:highlight w:val="none"/>
                <w:lang w:val="en-US" w:eastAsia="zh-CN" w:bidi="ar-SA"/>
              </w:rPr>
            </w:pPr>
          </w:p>
        </w:tc>
        <w:tc>
          <w:tcPr>
            <w:tcW w:w="7055" w:type="dxa"/>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应急保障：当有紧急情况发生时，可保障采购人同等设备的使用，有应急保障能力，并提供应急保障方案，应急保障措施完善、可行、针对性强得2分，一般得1分，未提供不得分。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390" w:type="dxa"/>
            <w:vMerge w:val="continue"/>
            <w:vAlign w:val="center"/>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p>
        </w:tc>
        <w:tc>
          <w:tcPr>
            <w:tcW w:w="1336" w:type="dxa"/>
            <w:vAlign w:val="center"/>
          </w:tcPr>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生产进度计划和交货日期（3分）</w:t>
            </w:r>
          </w:p>
        </w:tc>
        <w:tc>
          <w:tcPr>
            <w:tcW w:w="7055" w:type="dxa"/>
            <w:vAlign w:val="center"/>
          </w:tcPr>
          <w:p>
            <w:pPr>
              <w:shd w:val="clear" w:color="auto" w:fill="auto"/>
              <w:spacing w:line="360" w:lineRule="auto"/>
              <w:ind w:left="0" w:leftChars="0" w:right="0" w:rightChars="0" w:firstLine="0" w:firstLineChars="0"/>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生产计划和进度保障措施具体全面,各环节描述清晰。同时，根据投标人提供的交货期情况（以采购人要求的交货期为基准）进行比较。在招标人要求交货期的基础上提前5天的得3分，提前2天的得1分.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90" w:type="dxa"/>
            <w:vMerge w:val="continue"/>
            <w:vAlign w:val="center"/>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p>
        </w:tc>
        <w:tc>
          <w:tcPr>
            <w:tcW w:w="1336" w:type="dxa"/>
            <w:vAlign w:val="center"/>
          </w:tcPr>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售后服务质量保证</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（12分）</w:t>
            </w:r>
          </w:p>
        </w:tc>
        <w:tc>
          <w:tcPr>
            <w:tcW w:w="7055" w:type="dxa"/>
            <w:vAlign w:val="center"/>
          </w:tcPr>
          <w:p>
            <w:pPr>
              <w:shd w:val="clear" w:color="auto" w:fill="auto"/>
              <w:spacing w:line="360" w:lineRule="auto"/>
              <w:ind w:left="0" w:leftChars="0" w:right="0" w:rightChars="0" w:firstLine="0" w:firstLineChars="0"/>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甲方正常使用乙方所供产品出现损坏需要维修时，乙方须在30分钟内响应，12小时内到达现场进行处理，一般24小时内解决故障问题，重大故障48小时内解决故障问题；且售后服务体系有技术人员及联系电话（需提供相关证明材料、租赁合同及承诺书（含人员资质、劳动合同、社保证明等信息），以上内容完整、优秀的得12分，一般的得6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390" w:type="dxa"/>
            <w:vMerge w:val="continue"/>
            <w:vAlign w:val="center"/>
          </w:tcPr>
          <w:p>
            <w:pPr>
              <w:shd w:val="clear" w:color="auto" w:fill="auto"/>
              <w:spacing w:line="360" w:lineRule="auto"/>
              <w:rPr>
                <w:rFonts w:hint="eastAsia" w:ascii="仿宋" w:hAnsi="仿宋" w:eastAsia="仿宋" w:cs="仿宋"/>
                <w:color w:val="000000" w:themeColor="text1"/>
                <w:sz w:val="24"/>
                <w:szCs w:val="24"/>
                <w:highlight w:val="none"/>
                <w:lang w:val="en-US" w:eastAsia="zh-CN" w:bidi="ar-SA"/>
              </w:rPr>
            </w:pPr>
          </w:p>
        </w:tc>
        <w:tc>
          <w:tcPr>
            <w:tcW w:w="1336" w:type="dxa"/>
            <w:vAlign w:val="center"/>
          </w:tcPr>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类似</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业绩</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(3分）</w:t>
            </w:r>
          </w:p>
        </w:tc>
        <w:tc>
          <w:tcPr>
            <w:tcW w:w="7055" w:type="dxa"/>
            <w:vAlign w:val="center"/>
          </w:tcPr>
          <w:p>
            <w:pPr>
              <w:shd w:val="clear" w:color="auto" w:fill="auto"/>
              <w:spacing w:line="360" w:lineRule="auto"/>
              <w:ind w:left="0" w:leftChars="0" w:right="0" w:rightChars="0" w:firstLine="0" w:firstLineChars="0"/>
              <w:rPr>
                <w:rFonts w:hint="eastAsia" w:ascii="仿宋" w:hAnsi="仿宋" w:eastAsia="仿宋" w:cs="仿宋"/>
                <w:color w:val="000000" w:themeColor="text1"/>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bidi="ar-SA"/>
              </w:rPr>
              <w:t>供应商需提供近三年类似项目业绩，每提供1项业绩得1分，最多得3分。(需提供中标通知书和合同，不提供不得分）</w:t>
            </w:r>
          </w:p>
        </w:tc>
      </w:tr>
    </w:tbl>
    <w:p>
      <w:pPr>
        <w:rPr>
          <w:rFonts w:hint="eastAsia"/>
        </w:rPr>
      </w:pPr>
    </w:p>
    <w:p>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44"/>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w:t>
      </w:r>
      <w:r>
        <w:rPr>
          <w:rFonts w:hint="eastAsia" w:ascii="仿宋" w:hAnsi="仿宋" w:eastAsia="仿宋" w:cs="仿宋"/>
          <w:b/>
          <w:bCs/>
          <w:color w:val="000000" w:themeColor="text1"/>
          <w:szCs w:val="21"/>
          <w:highlight w:val="none"/>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footerReference r:id="rId8" w:type="default"/>
          <w:pgSz w:w="11906" w:h="16838"/>
          <w:pgMar w:top="1134" w:right="1080" w:bottom="1440" w:left="1080" w:header="851" w:footer="992" w:gutter="0"/>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w:t>
      </w:r>
    </w:p>
    <w:p>
      <w:pPr>
        <w:spacing w:line="460" w:lineRule="exact"/>
        <w:jc w:val="both"/>
        <w:rPr>
          <w:rFonts w:hint="eastAsia" w:ascii="仿宋" w:hAnsi="仿宋" w:eastAsia="仿宋" w:cs="仿宋"/>
          <w:b/>
          <w:color w:val="auto"/>
          <w:sz w:val="32"/>
          <w:szCs w:val="32"/>
          <w:lang w:eastAsia="zh-CN"/>
        </w:rPr>
      </w:pPr>
    </w:p>
    <w:p>
      <w:pPr>
        <w:numPr>
          <w:ilvl w:val="0"/>
          <w:numId w:val="7"/>
        </w:numPr>
        <w:spacing w:line="46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采购</w:t>
      </w:r>
      <w:r>
        <w:rPr>
          <w:rFonts w:hint="eastAsia" w:ascii="仿宋" w:hAnsi="仿宋" w:eastAsia="仿宋" w:cs="仿宋"/>
          <w:b/>
          <w:color w:val="auto"/>
          <w:sz w:val="32"/>
          <w:szCs w:val="32"/>
          <w:lang w:eastAsia="zh-CN"/>
        </w:rPr>
        <w:t>需求</w:t>
      </w:r>
    </w:p>
    <w:p>
      <w:pPr>
        <w:pStyle w:val="6"/>
        <w:numPr>
          <w:ilvl w:val="0"/>
          <w:numId w:val="0"/>
        </w:numPr>
        <w:spacing w:line="240" w:lineRule="auto"/>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一、采购需求：</w:t>
      </w:r>
    </w:p>
    <w:tbl>
      <w:tblPr>
        <w:tblStyle w:val="24"/>
        <w:tblpPr w:leftFromText="180" w:rightFromText="180" w:vertAnchor="text" w:horzAnchor="page" w:tblpX="937" w:tblpY="565"/>
        <w:tblOverlap w:val="never"/>
        <w:tblW w:w="10783" w:type="dxa"/>
        <w:tblInd w:w="0" w:type="dxa"/>
        <w:tblLayout w:type="fixed"/>
        <w:tblCellMar>
          <w:top w:w="0" w:type="dxa"/>
          <w:left w:w="108" w:type="dxa"/>
          <w:bottom w:w="0" w:type="dxa"/>
          <w:right w:w="108" w:type="dxa"/>
        </w:tblCellMar>
      </w:tblPr>
      <w:tblGrid>
        <w:gridCol w:w="649"/>
        <w:gridCol w:w="944"/>
        <w:gridCol w:w="8111"/>
        <w:gridCol w:w="494"/>
        <w:gridCol w:w="585"/>
      </w:tblGrid>
      <w:tr>
        <w:tblPrEx>
          <w:tblCellMar>
            <w:top w:w="0" w:type="dxa"/>
            <w:left w:w="108" w:type="dxa"/>
            <w:bottom w:w="0" w:type="dxa"/>
            <w:right w:w="108" w:type="dxa"/>
          </w:tblCellMar>
        </w:tblPrEx>
        <w:trPr>
          <w:trHeight w:val="560" w:hRule="atLeast"/>
        </w:trPr>
        <w:tc>
          <w:tcPr>
            <w:tcW w:w="10783"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4"/>
                <w:szCs w:val="24"/>
                <w:highlight w:val="none"/>
                <w:lang w:eastAsia="zh-CN" w:bidi="ar"/>
              </w:rPr>
            </w:pPr>
            <w:r>
              <w:rPr>
                <w:rFonts w:hint="eastAsia" w:ascii="仿宋" w:hAnsi="仿宋" w:eastAsia="仿宋" w:cs="仿宋"/>
                <w:b/>
                <w:bCs/>
                <w:color w:val="000000"/>
                <w:kern w:val="0"/>
                <w:sz w:val="24"/>
                <w:szCs w:val="24"/>
                <w:highlight w:val="none"/>
                <w:lang w:val="en-US" w:eastAsia="zh-CN" w:bidi="ar"/>
              </w:rPr>
              <w:t>系统</w:t>
            </w:r>
            <w:r>
              <w:rPr>
                <w:rFonts w:hint="eastAsia" w:ascii="仿宋" w:hAnsi="仿宋" w:eastAsia="仿宋" w:cs="仿宋"/>
                <w:b/>
                <w:bCs/>
                <w:color w:val="000000"/>
                <w:kern w:val="0"/>
                <w:sz w:val="24"/>
                <w:szCs w:val="24"/>
                <w:highlight w:val="none"/>
                <w:lang w:eastAsia="zh-CN" w:bidi="ar"/>
              </w:rPr>
              <w:t>清单</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系统</w:t>
            </w:r>
          </w:p>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名称</w:t>
            </w:r>
          </w:p>
        </w:tc>
        <w:tc>
          <w:tcPr>
            <w:tcW w:w="811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规格及参数</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kern w:val="0"/>
                <w:sz w:val="24"/>
                <w:szCs w:val="24"/>
                <w:highlight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kern w:val="0"/>
                <w:sz w:val="24"/>
                <w:szCs w:val="24"/>
                <w:highlight w:val="none"/>
                <w:lang w:val="en-US" w:eastAsia="zh-CN" w:bidi="ar"/>
              </w:rPr>
              <w:t>数量</w:t>
            </w:r>
          </w:p>
        </w:tc>
      </w:tr>
      <w:tr>
        <w:tblPrEx>
          <w:tblCellMar>
            <w:top w:w="0" w:type="dxa"/>
            <w:left w:w="108" w:type="dxa"/>
            <w:bottom w:w="0" w:type="dxa"/>
            <w:right w:w="108" w:type="dxa"/>
          </w:tblCellMar>
        </w:tblPrEx>
        <w:trPr>
          <w:trHeight w:val="1937"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上肢康复训练系统</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技术参数：</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1、电源：交流220V ±22V、50Hz±1Hz</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2、额定输入功率：150VA</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3、握力大小评估范围：0～30kg</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4、上臂长度手动调节范围不小于200～300mm,允差±5%</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5、前臂长度手动调节范围不小于240～400mm,允差±5%</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6、机械臂高度电动调节范围不小于900～1300mm,允差±5%</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7、机械臂左右手动调节范围不小于0～550mm,允差±5%</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8、肩关节内收角度调节范围：≥80°，肩关节外展角度调节范围：≥90°，允差±2°</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9、肩关节前屈角度调节范围：45°～125°，允差±2°</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10、肘关节屈曲角度调节范围：0°～180°，允差±2°</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11、尺桡关节旋前角度调节范围：0°～90°，允差±2°</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12、尺桡关节旋后角度调节范围：0°～90°，允差±2°</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13、上臂重力补偿范围：0～6kg可调，允差±2%</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14、前臂重力补偿范围：0～4kg可调，允差±2%</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15、训练方式：左手或右手独立训练</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16、主机有患者病例管理功能</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17、训练设置</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评估握力大小：根据握力传感器可以评测患者握力大小，并能记录握力大小</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训练难度：分低、中、高三个等级</w:t>
            </w:r>
            <w:r>
              <w:rPr>
                <w:rFonts w:hint="eastAsia" w:ascii="仿宋" w:hAnsi="仿宋" w:eastAsia="仿宋" w:cs="仿宋"/>
                <w:b w:val="0"/>
                <w:bCs w:val="0"/>
                <w:color w:val="000000"/>
                <w:kern w:val="0"/>
                <w:sz w:val="24"/>
                <w:szCs w:val="24"/>
                <w:highlight w:val="none"/>
                <w:lang w:eastAsia="zh-CN" w:bidi="ar"/>
              </w:rPr>
              <w:t>。</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18、训练模式分为一维单关节训练、二维多关节训练、三维多关节训练，可以患者情况选择通过多种不同游戏模式进性训练。</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19、训练信息：可通过编号、姓名、训练名称进行查询，查询训练信息结果：可查出编号、姓名、游戏、左/右肢、模式、难度、握力、成绩、训练时间、训练日期。</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20、评估系统评估活动范围：分为肩关节内收外展、肩关节前屈、肘关节屈曲、尺桡关节旋前旋后、握力五个关节活动范围。握力大小评估范围：0～30kg。</w:t>
            </w:r>
          </w:p>
          <w:p>
            <w:pPr>
              <w:pStyle w:val="54"/>
              <w:autoSpaceDE w:val="0"/>
              <w:ind w:left="0" w:leftChars="0" w:firstLine="0" w:firstLineChars="0"/>
              <w:jc w:val="left"/>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21、评估过程：在计算机软件上检测某一关节活动范围，通过工作台来实施操作反馈评估范围，并保存数据生成评估报告。</w:t>
            </w:r>
          </w:p>
          <w:p>
            <w:pPr>
              <w:pStyle w:val="54"/>
              <w:autoSpaceDE w:val="0"/>
              <w:ind w:left="0" w:leftChars="0" w:firstLine="0" w:firstLineChars="0"/>
              <w:jc w:val="left"/>
              <w:rPr>
                <w:rFonts w:hint="eastAsia" w:ascii="仿宋" w:hAnsi="仿宋" w:eastAsia="仿宋" w:cs="仿宋"/>
                <w:b/>
                <w:bCs/>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22、患者评估工具、患者个人数据库、全程自动记录信息训练、训练模式：一维、二维、三维、视觉。</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下肢康复训练系统（下肢智能反馈训练系统） </w:t>
            </w:r>
          </w:p>
        </w:tc>
        <w:tc>
          <w:tcPr>
            <w:tcW w:w="8111" w:type="dxa"/>
            <w:tcBorders>
              <w:top w:val="single" w:color="000000" w:sz="4" w:space="0"/>
              <w:left w:val="single" w:color="000000" w:sz="4" w:space="0"/>
              <w:bottom w:val="single" w:color="000000" w:sz="4" w:space="0"/>
              <w:right w:val="single" w:color="000000" w:sz="4" w:space="0"/>
            </w:tcBorders>
            <w:vAlign w:val="center"/>
          </w:tcPr>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1、电源：a.c.220V±22V  频率：50Hz±1Hz  功率：780VA</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2、床面平齐升降范围：0～300mm，允差±20mm</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3、训练时间：0～99min任意可调，级差1min，允差±30s</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4、起立角度：0～90°可点动操作，允差±3°；上身床板前倾角度：0～15°任意调节，允差±2°，后仰角度0～10°任意调节，允差±2°</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5、踏步角度：0～30°可调，允差±3°</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6、踏步速度：1～80步／min任意可调，允差±5步/min</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7、踏板板长短可电动伸缩调节范围：0～200mm ，允差±10mm，电动减重伸缩调节范围：0～150mm，允差±10mm</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8、脚踏板上下活动角度±15°，允差±3°</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9、吊带额定载荷：200kg，允差±10kg</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10、采用15寸大屏幕彩色触摸液晶显示窗口</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11、训练驱动装置：采用直流变频驱动松下伺服系统，运行噪音低，幅度精确</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12、可检测下肢痉挛，痉挛灵敏度调节：50Nm～140Nm可调，痉挛间歇时间：10s～120s可调。</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13、语言生物反馈：模仿真人发音，轻松掌握设备运行状态</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14、动力部分：优质伺服电机两个，优质直线电机五个</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15、软件所需操作系统：Windows10 ，32位；分辨率 1024*768；</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16、训练驱动模式：模拟人体步行曲线函数，在液晶屏上直接显示</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17、起立踏步训练系统为直立床与下肢关节康复训练的完善结合，同时对膝关节、踝关节做主动和被动训练。适用于长期卧床不起的病人，适用于踝关节恢复训练</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18、起立角度和床面升降可点动控制操作，简便、方便患者转移</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19、脚踏板电动伸缩装置，可根据患者身高，做灵活调节，并可对患者下肢施加压力</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20、具有电动减重功能，在训练过程中可调节负重大小，可单独形式训练，也可选择组合训练</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21、具有主动功能及被动功能训练</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22、安全保护装置：紧急制动按钮，紧急复位手柄。</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23、床体：应采用抗菌耐磨高弹力材料，具备高阻燃性、抗菌、耐温、防划、床体弹力好、舒适等特点</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24、训练器床面和调节部位承重分别为：125kg和50kg</w:t>
            </w:r>
          </w:p>
          <w:p>
            <w:pPr>
              <w:spacing w:line="360" w:lineRule="auto"/>
              <w:outlineLvl w:val="1"/>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25、可外接情景互动，提高患者主动训练的积极性。</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超声治疗仪 </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1、输入电压：220V±22V</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2、输入频率：50Hz±1Hz</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3、输入功率：50VA</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4、输出通道：单路输出</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5、显示方式：液晶显示</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6、声工作频率：1MHz±10%</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7、输出模式：</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a)连续输出；</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b)断续1：输出1s，间歇1s；</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c)断续2：输出0.5s，间歇0.5s；</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 xml:space="preserve">d)断续3：输出0.3s，间歇0.3s。 </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8、有效声强：0～1.5W/cm²。</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 xml:space="preserve">9、定时范围：1～30min </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10、尺寸：380mm×310mm×135mm</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11、最大输出功率：6W，允差±20%。</w:t>
            </w:r>
          </w:p>
          <w:p>
            <w:pPr>
              <w:pStyle w:val="54"/>
              <w:ind w:left="0" w:leftChars="0" w:firstLine="0" w:firstLineChars="0"/>
              <w:rPr>
                <w:rFonts w:hint="eastAsia" w:ascii="仿宋" w:hAnsi="仿宋" w:eastAsia="仿宋" w:cs="仿宋"/>
                <w:color w:val="000000"/>
                <w:sz w:val="24"/>
                <w:szCs w:val="24"/>
                <w:lang w:val="en"/>
              </w:rPr>
            </w:pPr>
            <w:r>
              <w:rPr>
                <w:rFonts w:hint="eastAsia" w:ascii="仿宋" w:hAnsi="仿宋" w:eastAsia="仿宋" w:cs="仿宋"/>
                <w:color w:val="000000"/>
                <w:sz w:val="24"/>
                <w:szCs w:val="24"/>
                <w:lang w:val="en"/>
              </w:rPr>
              <w:t>12、有效辐射面积：4cm²。</w:t>
            </w:r>
          </w:p>
          <w:p>
            <w:pPr>
              <w:pStyle w:val="54"/>
              <w:ind w:left="0" w:leftChars="0" w:firstLine="0" w:firstLineChars="0"/>
              <w:rPr>
                <w:rFonts w:hint="eastAsia" w:ascii="仿宋" w:hAnsi="仿宋" w:eastAsia="仿宋" w:cs="仿宋"/>
                <w:b/>
                <w:bCs/>
                <w:color w:val="000000"/>
                <w:kern w:val="0"/>
                <w:sz w:val="24"/>
                <w:szCs w:val="24"/>
                <w:highlight w:val="none"/>
                <w:lang w:bidi="ar"/>
              </w:rPr>
            </w:pPr>
            <w:r>
              <w:rPr>
                <w:rFonts w:hint="eastAsia" w:ascii="仿宋" w:hAnsi="仿宋" w:eastAsia="仿宋" w:cs="仿宋"/>
                <w:color w:val="000000"/>
                <w:sz w:val="24"/>
                <w:szCs w:val="24"/>
                <w:lang w:val="en"/>
              </w:rPr>
              <w:t>13、波束不均匀性系数RBN：不超过8.0。</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电动间歇式牵引系统</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1、电源电压：220V   50Hz</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2、额定输入功率：100VA  （允差±15%）</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3、腰椎牵引行程：0～200mm，允差±10mm</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4、腰椎牵引总时间：0～99min范围内设定，级差1min，允差不大于30s</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5、腰椎牵引力：0～990N范围内可调，级差10N，实际输出的牵引力与预置值的偏差不大于：牵引力不大于200N时，允差：±10％或±10N取大值；牵引力大于200N时，允差：±20％或±50N取小值</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6、牵引时间：0～9min范围内设定，级差1min，误差不大于30s</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7、间歇时间：0～9min范围内设定，级差1min，误差不大于30s</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8、颈椎牵引力：0～300N范围内可调，级差10N，实际输出的牵引力与预置值的偏差不大于：牵引力不大于200N时，允差：±10％或±10N取大值；牵引力大于200N时，允差：±20％或±50N取小值</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9、颈椎牵引行程：0～300mm，允差±10mm</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10、颈椎牵引总时间：0～99min范围内设定，级差1min，允差不大于30s</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11、成角动作范围：-10°～+30°连续可调*，允差±2°，成角零位误差不大于±1°，上成角保持稳定。</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12、旋转动作范围：左右各25°连续可调*，允差±2°，左右旋转动作速度：165°/min，允差±15%</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13、牵引床加热功能：床面工作温度45℃，允差±3℃。</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14、三维立体牵引，可做平面纵向牵引、上成角牵引、下成角牵引、自动旋转侧扳牵引，上述三种功能可单独使用，也可组合使用；牵引床腰椎牵引具有8种牵引模式； 牵引力自动补偿功能；</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15、20种治疗方案存储并读取；</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16、颈腰椎一体化牵引，可以针对两个患者分别或同时进行颈椎或腰椎牵引；</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17、多种安全设计（最大牵引力990N，患者应急线控手柄开关、医务人员操作急退键）。</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内热式针灸治疗仪</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1、适用于医疗单位对患者进行颈肩腰腿痛的针灸治疗，用于人体体表穴位（含耳穴）不同深度的侵入式刺激及供软组织损伤性病变和骨关节病变非直视下松解术用；</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2、明确产品组成：由主机、内热针具和连接导线组成；</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3、针体全段恒温发热内热针具，对浅层及深层病灶炎症兼顾治疗；</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4、整机工作无噪音设计，自然散热，主机使用寿命延长至10年；</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5、增加束线管:5线一束，共8束线管40路；</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6、特有的按键设置模式，操作便捷明了，增加冬季温度补偿功能；</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7、开机、设置输入、工作结束具备有声提示，工作状态采用灯光指示；</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8、一键启动操作有效控制内热针的治疗温度，自动检测并数字显示当前治疗温度；</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9、可根据治疗情况，任意设置治疗时间及治疗温度；</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10、输入功率： 整机≤100VA；单通道≤1.5W，输入电压： AC220V  50HZ/AC110V  60HZ；</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11、工作时间设定范围：00.00～99.00min，加热温度设置范围：38～60℃；</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w:t>
            </w:r>
          </w:p>
        </w:tc>
      </w:tr>
      <w:tr>
        <w:tblPrEx>
          <w:tblCellMar>
            <w:top w:w="0" w:type="dxa"/>
            <w:left w:w="108" w:type="dxa"/>
            <w:bottom w:w="0" w:type="dxa"/>
            <w:right w:w="108" w:type="dxa"/>
          </w:tblCellMar>
        </w:tblPrEx>
        <w:trPr>
          <w:trHeight w:val="868"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悬吊康复训练系统（悬吊康复床）</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1、尺寸：2310×1520×2500;悬吊训练装置位移量0～1800mm；拉力装置移动范围0～1500mm最大承重150公斤,拉绳无延展；每个悬吊训练器具有两组定滑轮；两根绳具备任意滑动位置随时锁定效果。</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2、吊带：不同尺寸的吊带可以满足身体不同部分的训练需求。这些吊带都有容易固定、耐用和使用方便的特点。</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不同规格的悬带，便于悬吊起身体不同部位</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窄悬带：尺寸980*100mm，允差±10%，最大承重80公斤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宽悬带：尺寸880*235mm，允差±10%，最大承重80公斤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中分带：尺寸750*50*100mm，允差±10%，最大承重80公斤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长悬带：尺寸1185*200mm，允差±10%，最大承重80公斤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T型带：尺寸310*50*100mm，允差±10%，最大承重80公斤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面部悬带：尺寸677*215*100*140，允差±10%，最大承重80公斤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把手: 尺寸250*145，允差±10%，最大承重80公斤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3、瑜伽坐垫：直径33cm，允差±10%；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4、柱形垫：直径25cm、长70cm，允差±10%。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5、绳索、吊索自由组合，训练形式及配合生物反馈多样组合，根据不同规格的拉绳可以满足不同的训练要求。</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带卡绳器登山扣弹力绳：长30cm、直径8mm，允差±10%，最大承重30公斤；　</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带卡绳器登山扣红绳：长30cm、直径8mm，允差±10%，最大承重100公斤；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带卡绳器登山扣弹力绳：长60cm、直径8mm，允差±10%，最大承重30公斤；　</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带卡绳器登山扣红绳：长60cm、直径8mm，允差±10%，最大承重100公斤；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带卡绳器登山扣弹力绳：长80cm、直径8mm，允差±10%，最大承重30公斤；　</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带卡绳器登山扣红绳：长80cm、直径8mm，允差±10%，最大承重100公斤；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6、配多体位医用诊疗床，可配合进行患者多体位的训练，尺寸1970*660*570，头部段面相对平行面调节角度：-20°~ +30°，腰胸段面相对水平调节角度0°~+25°，下身段面相对水平面调节角度-25°~+40，床面升降行程0~300mm。</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7、训练过程无痛、舒适、起效快；绳索、吊索和悬带自由组合，训练形式多样。</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8、既可以使用开链运动，也可以使用闭链运动。</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中频电疗仪（动态干扰电）</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1、外形尺寸（长宽高）：360×340×205mm。</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2、输出通道：四路中频加透热输出、四路离子导入直流输出、两路干扰电输出。</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3、中频频率：1kHz～10kHz，单一频率允差±10%。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4、调制频率：0～150Hz，单一频率允差±10%或±1Hz取大值。</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5、中频载波波形：双向方波。</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6、调制波形：正弦波、方波、三角波、指数波、锯齿波、尖波、等幅波。</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7、调制方式：连续、断续、间歇、变频、疏密和交替调制。</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8、脉宽：50μs～500μs，允差±10%。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9、中频调幅度：0%、25%、50%、75%、100%，允差±5%。</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10、干扰电性能</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10.1、工作频率：4kHz，允差±10%。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10.2、调制频率：0.125Hz，允差±10%。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10.3、差频频率范围：0～112Hz，允差±10%或±1Hz取较大值。</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10.4、调幅度：0%、100%，允差±5%。</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10.5、差频变化周期：5.5s、32s，允差±10%。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11、触控操作显示。</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12、处方：≥99个固定处方（中频电疗处方30个，音频电疗处方10个，正弦电流疗法处方10个，脉冲调制中频电流疗法处方20个，干扰电流疗法处方29个）。</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13、中频输出电流：在500Ω的负载下，每路输出电流不大于100mA。输出强度分0～99级可调。</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14、中频输出峰值电压：在开路条件下测量时，中频输出峰值电压不得超过500V。</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15、运行：输出设定到最大值时，将输出端开路运行10min后再短路运行5min，治疗仪应能正常工作。</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16、电极板温度：38℃～55℃，分6档可调，允差±3℃。</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17、离子导入输出直流电流：在500Ω的负载下，每路输出电流不超过50mA，分0～99级可调。</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18、治疗时间：治疗时间根据处方不同为20min、25min、30min、40min、45min，治疗时间到了有音响提示，并停止输出，时间允差±1min。</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智能整脊脉冲枪</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1、输入电压：a.c.220V</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2、输入频率：60/50Hz</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 xml:space="preserve">3、耗电量：14.2/11W </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4、重量：900g</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5、尺寸规格：190mm*210mm*50mm</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6、提供精确、舒适的脊柱矫正体验，设计简洁，易于操作</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7、配备≥4个治疗头，适用于人体不同部位，符合人体工程学原理</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auto"/>
                <w:kern w:val="0"/>
                <w:sz w:val="24"/>
                <w:szCs w:val="24"/>
                <w:highlight w:val="none"/>
                <w:lang w:bidi="ar"/>
              </w:rPr>
              <w:t>8、具有三挡强弱调节功能，高速低幅脉冲力设计，在肌肉产生紧张和对抗之前引起共振。</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便携式手持式按摩器（三维振动理疗仪）</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1、适用范围：适用于颈椎病、肩关节周围炎、慢性软组织损伤引起的疼痛和关节活动受限的辅助治疗。</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2、主机尺寸：（长宽高150mm×61mm×328mm，允差：±20mm），显示方式：液晶触控显示屏。实时显示当前转速、电量，方便医生了解治疗强度及剩余电量。</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3、电源：采用高能锂电池，内部直流电源，</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a、24V，允差±10%，</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b、电池容量：2600mAh（6节），电能62.4Wh，允差±10%；</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4、转速：400-4000rpm可调；最高振动频率：70Hz，最大振幅可达到10mm。</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5、≥20个档位可调，满足不同病人，不同治疗部位的个性化治疗方案的设置。</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auto"/>
                <w:kern w:val="0"/>
                <w:sz w:val="24"/>
                <w:szCs w:val="24"/>
                <w:highlight w:val="none"/>
                <w:lang w:bidi="ar"/>
              </w:rPr>
              <w:t>6、按摩头：≥10种按摩头，根据不同的治疗需要，部位进行选择，满足不同治疗要求。可通过更换按摩头种类，模拟传统按摩手法。</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熏蒸治疗机</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1、电源电压：交流电压220V，频率50Hz。</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2、额定输入功率：1500W。</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3、床体尺寸：长2010mm，宽720mm，高1070mm，允差±10%。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4、操作台尺寸：长460mm，宽370mm，高860mm，允差±10%。</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5、微电脑控制操作系统，具有自动定时、自动控温、自动漏电保护、过载保护，治疗结束自动提示。</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 xml:space="preserve">6、治疗机温度：可在1～99℃范围设定，室温～45℃为熏蒸温度，步进1℃，允差为±5℃，46～99℃为煎药温度。 </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7、治疗机治疗时间控制：治疗总时间可在1～99min内设定，允差±30s，治疗时间达到设定时间时，有蜂鸣提示音，加热装置自动断电。</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8、上水方式为自动，加液量：4.5L。</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9、中药药液雾化功能：单区雾化量大于40mL/h；使蒸汽携药能力大大增强，真正充分发挥温度、药度、湿度、中药离子渗疗的熏蒸治疗效果</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10、运行模式：连续运行。</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11、自动控温：舱内温度达到设定值时，加热管自动断电，使温度降低。温度低于设定值时，加热管自动加热，使温度升高。</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12、熏蒸加热区为三区，加热方式为厚膜管状加热器。三温区温度独立控制调节，同时使用三温区熏蒸时，可根据不同熏蒸部位针对温度耐受不同而设置不同的温度，使熏蒸时更加舒适有效。</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13、双重超温保护功能：治疗机超过工作温度设定值时，第一路保护装置应启动，停止加热。当温度降低到设定值以下后可以恢复加热。如果第一路保护装置失效造成温度升高至50℃时，第二路保护装置立即启动，切断电源。</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14、熏蒸面积：1530mm*340mm，根据人体工程学，熏蒸垫可任意组合；</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15、自动吹送蒸汽，可均匀中药蒸汽温度，确保湿度恒定；</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16、治疗机防干烧装置：当药液加热器无液体时，不能加热，并有提示信息。</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17、独立的操作控制台，机电分离式设计，单独停止加热按钮。</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18、臭氧消毒功能：</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a.开启臭氧消毒功能10min，臭氧浓度应不低于30mg/m³；</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b.正常工作是臭氧气体外泄露量应不大于0.15mg/m³。</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11</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电子艾灸仪（红外光灸疗机） </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适用范围：红外光装置用于腰间盘突出症引起疼痛的辅助治疗；灸疗装置用于做中医灸疗的工具。</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 xml:space="preserve">1、电源电压：交流电压220V，频率50Hz           </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2、额定输入功率：500VA</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3外形尺寸：长455mm，宽405mm，高850mm</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4、治疗时间：0-99分钟可调</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5、光功率调节：1-3档可调</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6、光闪频率：5hz、10hz、25hz、50hz、60hz、常亮可调</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7、红外光波长范围：580nm-900nm</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8、灸疗加热温度：100-170℃可调</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9、运行模式：灸疗或者灸疗光疗一体</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10、显示方式：数码管显示，按键修改参数</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11、具有三维立体灯头旋转方向</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12、红外光表面最大温度220℃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13、耐高温灯罩，保证红外光安全距离</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14、灯罩出风口二路保护，防止出风口温度过高</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15、防倾倒设置，倾倒自动断电</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16、后盖磁吸式设计方便更换艾饼</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17、具有自动漏电保护</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超短波电疗仪</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1、额定输入功率：700VA</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2、输出功率：</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a)多档可调</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b)输出功率的稳定性：治疗仪连续工作30min，输出功率变化不大于±10%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3、治疗时间：分10min、15min、20min、25min、30min五档可调，各档允差±5%，预热时间≤120s.治疗结束后有蜂鸣声提示治疗结束</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4、外形尺寸：长mm×宽mm×高mm =430mm*330mm*830mm，允差±15％</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5、工作频率：27.12MHz,允差±1.5％</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6、输出线长度：1100mm，允差±10％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7、脉冲模式</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a) 脉冲调制频率：疏波MF 70Hz，密波DF 350Hz，允差±10%；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b) 调制波形：方波；</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c) 调制脉冲脉宽：疏波2.0ms，密波1.8ms，允差±20%；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d) 调制度：100%。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8、机器配带三种方型硅胶电极板：</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4个电子管，大中小电极板各一对，大中小毡垫各一对，大中小布套各一对；</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9、智能化管理系统，治疗结束后有声音提示并断开输出；</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10、治疗模式分为连续和脉冲两种，满足不同治疗需求；</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11、指示灯条指示输出强度</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13</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电脑中频药物导入治疗仪</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1、产品尺寸（长宽高）：420×360×230mm，允差±10%。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2、治疗模式：按摩、导入。</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按摩输出：对称脉冲波形，幅度差不大于2V。</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导入输出：非对称脉冲波形。</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3、输出通道：两通道输出。</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4、中频载波波形：正弦波。</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5、调制波波形：方波。</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6、输出频率：中频载波频率：2000Hz±10%；调制波频率：75Hz±10%。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7、调幅度：35%～65%。</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8、中频脉冲电压：中频脉冲最大输出峰峰值99V，允差±10%，分0～99级显示。最大输出电流：40mA，允差±10%。</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9、定时范围：1～60min连续可调，开机默认值25min。</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bidi="ar"/>
              </w:rPr>
              <w:t>10、电极片辅助温热温度：43℃，允差±3℃。</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w:t>
            </w:r>
          </w:p>
        </w:tc>
      </w:tr>
      <w:tr>
        <w:tblPrEx>
          <w:tblCellMar>
            <w:top w:w="0" w:type="dxa"/>
            <w:left w:w="108" w:type="dxa"/>
            <w:bottom w:w="0" w:type="dxa"/>
            <w:right w:w="108" w:type="dxa"/>
          </w:tblCellMar>
        </w:tblPrEx>
        <w:trPr>
          <w:trHeight w:val="2866"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中药实木柜子</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sz w:val="28"/>
                <w:szCs w:val="28"/>
                <w:lang w:val="en-US" w:eastAsia="zh-CN"/>
              </w:rPr>
              <w:t>1</w:t>
            </w:r>
            <w:r>
              <w:rPr>
                <w:rFonts w:hint="eastAsia" w:ascii="仿宋" w:hAnsi="仿宋" w:eastAsia="仿宋" w:cs="仿宋"/>
                <w:b w:val="0"/>
                <w:bCs w:val="0"/>
                <w:color w:val="000000"/>
                <w:kern w:val="0"/>
                <w:sz w:val="24"/>
                <w:szCs w:val="24"/>
                <w:highlight w:val="none"/>
                <w:lang w:val="en-US" w:eastAsia="zh-CN" w:bidi="ar"/>
              </w:rPr>
              <w:t>.产品材质：樟松木</w:t>
            </w:r>
          </w:p>
          <w:p>
            <w:pPr>
              <w:pStyle w:val="54"/>
              <w:ind w:left="0" w:leftChars="0" w:firstLine="0" w:firstLine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2.产品结构: 榫卯结构 </w:t>
            </w:r>
          </w:p>
          <w:p>
            <w:pPr>
              <w:pStyle w:val="54"/>
              <w:ind w:left="0" w:leftChars="0" w:firstLine="0" w:firstLine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3.单组产品整体尺寸：长147cm*宽60cm *高215cm允差5%</w:t>
            </w:r>
          </w:p>
          <w:p>
            <w:pPr>
              <w:pStyle w:val="54"/>
              <w:ind w:left="0" w:leftChars="0" w:firstLine="0" w:firstLineChars="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4.产品规格：横七竖八排列，抽屉数量≥50个</w:t>
            </w:r>
          </w:p>
          <w:p>
            <w:pPr>
              <w:pStyle w:val="54"/>
              <w:ind w:left="0" w:leftChars="0" w:firstLine="0" w:firstLineChars="0"/>
              <w:rPr>
                <w:rFonts w:hint="eastAsia" w:ascii="仿宋" w:hAnsi="仿宋" w:eastAsia="仿宋" w:cs="仿宋"/>
                <w:b/>
                <w:bCs/>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val="en-US" w:eastAsia="zh-CN" w:bidi="ar"/>
              </w:rPr>
              <w:t>5.可存放≥150味中药</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组</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6</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15</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智能康养艾灸床</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autoSpaceDE w:val="0"/>
              <w:ind w:left="0" w:leftChars="0" w:firstLine="0" w:firstLineChars="0"/>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加宽加大设备</w:t>
            </w:r>
          </w:p>
          <w:p>
            <w:pPr>
              <w:pStyle w:val="54"/>
              <w:autoSpaceDE w:val="0"/>
              <w:ind w:left="0" w:leftChars="0" w:firstLine="0" w:firstLineChars="0"/>
              <w:rPr>
                <w:rFonts w:hint="eastAsia" w:ascii="仿宋" w:hAnsi="仿宋" w:eastAsia="仿宋" w:cs="仿宋"/>
                <w:b w:val="0"/>
                <w:bCs w:val="0"/>
                <w:color w:val="auto"/>
                <w:kern w:val="0"/>
                <w:sz w:val="24"/>
                <w:szCs w:val="24"/>
                <w:highlight w:val="none"/>
                <w:lang w:eastAsia="zh-CN" w:bidi="ar"/>
              </w:rPr>
            </w:pPr>
            <w:r>
              <w:rPr>
                <w:rFonts w:hint="eastAsia" w:ascii="仿宋" w:hAnsi="仿宋" w:eastAsia="仿宋" w:cs="仿宋"/>
                <w:b w:val="0"/>
                <w:bCs w:val="0"/>
                <w:color w:val="auto"/>
                <w:kern w:val="0"/>
                <w:sz w:val="24"/>
                <w:szCs w:val="24"/>
                <w:highlight w:val="none"/>
                <w:lang w:bidi="ar"/>
              </w:rPr>
              <w:t>长</w:t>
            </w:r>
            <w:r>
              <w:rPr>
                <w:rFonts w:hint="eastAsia" w:ascii="仿宋" w:hAnsi="仿宋" w:eastAsia="仿宋" w:cs="仿宋"/>
                <w:b w:val="0"/>
                <w:bCs w:val="0"/>
                <w:color w:val="auto"/>
                <w:kern w:val="0"/>
                <w:sz w:val="24"/>
                <w:szCs w:val="24"/>
                <w:highlight w:val="none"/>
                <w:lang w:val="en-US" w:eastAsia="zh-CN" w:bidi="ar"/>
              </w:rPr>
              <w:t>2米</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宽</w:t>
            </w:r>
            <w:r>
              <w:rPr>
                <w:rFonts w:hint="eastAsia" w:ascii="仿宋" w:hAnsi="仿宋" w:eastAsia="仿宋" w:cs="仿宋"/>
                <w:b w:val="0"/>
                <w:bCs w:val="0"/>
                <w:color w:val="auto"/>
                <w:kern w:val="0"/>
                <w:sz w:val="24"/>
                <w:szCs w:val="24"/>
                <w:highlight w:val="none"/>
                <w:lang w:val="en-US" w:eastAsia="zh-CN" w:bidi="ar"/>
              </w:rPr>
              <w:t>80、</w:t>
            </w:r>
            <w:r>
              <w:rPr>
                <w:rFonts w:hint="eastAsia" w:ascii="仿宋" w:hAnsi="仿宋" w:eastAsia="仿宋" w:cs="仿宋"/>
                <w:b w:val="0"/>
                <w:bCs w:val="0"/>
                <w:color w:val="auto"/>
                <w:kern w:val="0"/>
                <w:sz w:val="24"/>
                <w:szCs w:val="24"/>
                <w:highlight w:val="none"/>
                <w:lang w:bidi="ar"/>
              </w:rPr>
              <w:t>高</w:t>
            </w:r>
            <w:r>
              <w:rPr>
                <w:rFonts w:hint="eastAsia" w:ascii="仿宋" w:hAnsi="仿宋" w:eastAsia="仿宋" w:cs="仿宋"/>
                <w:b w:val="0"/>
                <w:bCs w:val="0"/>
                <w:color w:val="auto"/>
                <w:kern w:val="0"/>
                <w:sz w:val="24"/>
                <w:szCs w:val="24"/>
                <w:highlight w:val="none"/>
                <w:lang w:val="en-US" w:eastAsia="zh-CN" w:bidi="ar"/>
              </w:rPr>
              <w:t>64</w:t>
            </w:r>
          </w:p>
          <w:p>
            <w:pPr>
              <w:pStyle w:val="54"/>
              <w:autoSpaceDE w:val="0"/>
              <w:ind w:left="0" w:leftChars="0" w:firstLine="0" w:firstLineChars="0"/>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重量：150公斤</w:t>
            </w:r>
          </w:p>
          <w:p>
            <w:pPr>
              <w:pStyle w:val="54"/>
              <w:autoSpaceDE w:val="0"/>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功率：2000瓦</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张</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16</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4K荧光腹腔镜系统 </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设备总体要求：本次采购的内窥镜系统设备中</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摄像主机</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光源、腹腔镜、气腹机同一品牌，以医疗器械注册证注册人名称相同为同一品牌。</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一 、 医用内窥镜摄像系统一台</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1、摄像主机液晶屏触摸屏≥7 寸</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2、超高清 4K 摄像头水平分辨力≥3700 线，数字信号，图像传输 CMOS 传感器</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3、具有荧光功能，医疗器械注册证可体现</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4、具备≥5种色调调节功能，具备≥10种自定义预设手术模式及场景选择功能。</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5、摄像主机支持存储位置选择：自动存储和外部存储，自动存储：内置或外部存储≥2T：USB.3.0接口用于数据的存储，刻录并存储静态图片和动态视频的像素为≥3840×2160</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6、具有消除摩尔纹功能，支持≥3种模式选择</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7、具备影像增益，亮度，影像锐度等功能调节，调节范围≥10 档</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8、视频输出：支持 3G-SDI、DVI、12G-SDI 和 HDMI 2.0 、等输出接口</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9、支持医用内窥镜摄像系统通过串行控制接口控制光源亮度</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10、白平衡：支持自动白平衡（AWB、ATW）</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11、摄像头和光学接口分体设计，具有≥2 倍光学变焦接口。可选配定焦光学接口</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12、摄像头具备≥IPX8 级防水性能，摄像头可支持低温等离子灭菌</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13、摄像头≥4个按键,支持≥15 种功能</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14、设备类型CF型，保证可用于直接接触心脏的手术需要</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15、产品具有电子放大功能，最大电子放大倍率≥3倍</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二 、LED医用内窥镜冷光源一台</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1、液晶触屏设计，具有白光和荧光双功能。屏幕可显示光亮强度。</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2、LED发光寿命≥7万小时。</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3、色温4400K-6600K，通透性好。</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4、可连接最大孔径为12.2mm±0.5mm的导光束。</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5、显色指数≥92。</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6、导光束；长度；4mm*3000mm</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7、光源输出总光通量≥2000lm</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8、设备类型I类CF型，保证可用于直接接触心脏的手术需要。</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三</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专业LED显示器一台</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 ≥32寸4K 液晶显示器</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2、比例：16:9</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3、分辨率：≥3840×2160</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4、色域标准：BT.2020</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5、亮度：≥400cd/m2</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6、对比度；≥1000:1</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7、信号接口：DVI 、HDMI、3G-SDI、 12G-SDI、 DP</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8、视角：178/178</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四 、4K腹腔镜2根</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 同摄像主机同一品牌 ， 10mm 30 ° 4K腹腔镜2根</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 、可高温高压</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低温等离子</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 xml:space="preserve">熏蒸等多种消毒方式 </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五、气腹机1台</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 同摄像主机同一品牌</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流量：≥40升/分 ,最小流量≤1 升/min</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2、最大压力：≥30mmHg</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3、气腹机具有气体加热功能，末端输出气体温度为37℃（人体伦理温度）</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4、数字显示实际的流量及腹压</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5、具有过压自动泄压保护功能</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六、高频电刀</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1、满足腹腔镜手术需要</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2、具有单极和双极功能</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七、腹腔镜手术器械</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1、5mm,10mm,穿刺器各 4套</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2、L 型直角电凝钩 2把</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3、直角分离钳 2把</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4、弯剪2把</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5、胆囊抓钳2把</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6、强力抓钳2把</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7、无损伤抓钳2把</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8、吸引器2把</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八、超声切割止血刀系统</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1、主机具有彩色液晶显示器，显示清晰鲜艳，工作状态可视角度更佳、更清晰，且有功率大小的档位显示；振动频率：55.5KHZ±1K Hz. 输出功率：最大50W持续，30-80kHz（工作时55.5kHz）</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2、主机具有开机智能自检系统，自检时间＜5秒</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3具有主机、手柄和刀头的自动化故障检测功能，可根据显示屏文字提示，方便地进行故障排除，确保手术安全；</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4、主机操作系统自带音声反馈，确保操作时的正确和安全，且输出过程中，可调节提示音量大小。</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5、可连接“手控”“脚控”，根据术者习惯进行随时切换。</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6、主机设备可通过U盘更新系统软件版本。</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7、主机：功能控制需独立的按键控制，方便临床便捷操作。</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8、主机内置频率跟踪算法，控制输出能量的稳定性，可有效延长刀头使用寿命，提高刀头切割和凝血能力。</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9、主机采用过载保护技术，有效降低手术中垫片过热融化的风险，保障手术安全。</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10、智能的组织感应技术，能根据所夹持组织的状态变化相应的调整能量输出，提高手术效率确保手术安全；</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11、刀头振幅:刀头振动幅度为55—95um，具有独特的空洞化效应保证有最佳的切割凝血效果。</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12、超声刀头有六种规格，两款剪刀式，四款枪式，可适用于各种开放以及腔镜手术，45厘米的刀头，满足肥胖病人腔镜手术的需要；</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13、14、刀头的振动频率为55.5KHZ，保证最佳的切割与凝血效果(最大可安全处理5mm及以下血管)；</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14、刀头可完美匹配市场主流品牌主机；</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15、一体式手柄，内置芯片计数功能，可在主机上显示已使用次数。可提供枪式手柄和剪刀式手柄两种手柄</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16、手柄具有较强兼容性，无需转换器，可适配主流进口品牌主机。</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17、只计次不限制使用次数，降低医疗成本。</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九、台车</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1、多层设计</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方便移动，具有静音、带锁轮；</w:t>
            </w:r>
          </w:p>
          <w:p>
            <w:pPr>
              <w:pStyle w:val="54"/>
              <w:ind w:left="0" w:leftChars="0" w:firstLine="0" w:firstLineChars="0"/>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2、托板间距可自行调整</w:t>
            </w:r>
          </w:p>
          <w:p>
            <w:pPr>
              <w:pStyle w:val="54"/>
              <w:ind w:left="0" w:leftChars="0" w:firstLine="0" w:firstLineChars="0"/>
              <w:rPr>
                <w:rFonts w:hint="eastAsia" w:ascii="仿宋" w:hAnsi="仿宋" w:eastAsia="仿宋" w:cs="仿宋"/>
                <w:b w:val="0"/>
                <w:bCs w:val="0"/>
                <w:color w:val="000000"/>
                <w:kern w:val="0"/>
                <w:sz w:val="24"/>
                <w:szCs w:val="24"/>
                <w:highlight w:val="none"/>
                <w:lang w:bidi="ar"/>
              </w:rPr>
            </w:pPr>
            <w:r>
              <w:rPr>
                <w:rFonts w:hint="eastAsia" w:ascii="仿宋" w:hAnsi="仿宋" w:eastAsia="仿宋" w:cs="仿宋"/>
                <w:b w:val="0"/>
                <w:bCs w:val="0"/>
                <w:color w:val="auto"/>
                <w:kern w:val="0"/>
                <w:sz w:val="24"/>
                <w:szCs w:val="24"/>
                <w:highlight w:val="none"/>
                <w:lang w:bidi="ar"/>
              </w:rPr>
              <w:t>3、适用于内窥镜设备摆放，移动。</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17</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床旁血气分析仪</w:t>
            </w:r>
          </w:p>
        </w:tc>
        <w:tc>
          <w:tcPr>
            <w:tcW w:w="8111"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检测项目pH, pCO2, pO2，Glu, Lac，cNa+, cK+, cCa2+, cCl-，ctHb, sO2, ctBil，HbF, O2Hb, HHb, metHb, COHb等不少于10项；</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乳酸测量范围0.3-30mmol/L；</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检测全部参数，出结果时间≤60秒；</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用血量 (全参数)要求：用血量不高于70 µL</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进样要求：注射器模式、毛细管模式；进样口可适配微量毛细采血管；</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耗材要求：测试卡、试剂包独立包装；</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单个测试卡最小规格不低于50人份</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测试卡上机使用时间要求：上机后效期不小于30天；</w:t>
            </w:r>
          </w:p>
          <w:p>
            <w:pPr>
              <w:numPr>
                <w:ilvl w:val="0"/>
                <w:numId w:val="8"/>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质控要求：提供每天3个水平自动质控，并有对应的三个具体质控数据，且不消耗测试数；</w:t>
            </w:r>
          </w:p>
          <w:p>
            <w:pPr>
              <w:numPr>
                <w:ilvl w:val="0"/>
                <w:numId w:val="8"/>
              </w:numPr>
              <w:spacing w:line="360" w:lineRule="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sz w:val="24"/>
                <w:szCs w:val="24"/>
                <w:lang w:val="en-US" w:eastAsia="zh-CN"/>
              </w:rPr>
              <w:t>配备血气分析软件，具有血气报告分析、解读功能，提供结果趋势图，并可以打印报告。</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195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18</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动态血压检测仪</w:t>
            </w:r>
          </w:p>
        </w:tc>
        <w:tc>
          <w:tcPr>
            <w:tcW w:w="811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ind w:leftChars="0"/>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一、</w:t>
            </w:r>
            <w:r>
              <w:rPr>
                <w:rFonts w:hint="eastAsia" w:ascii="仿宋" w:hAnsi="仿宋" w:eastAsia="仿宋" w:cs="仿宋"/>
                <w:color w:val="000000"/>
                <w:kern w:val="0"/>
                <w:szCs w:val="21"/>
              </w:rPr>
              <w:t>采集盒：</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全玻璃面板，体积小，重量＜16</w:t>
            </w:r>
            <w:r>
              <w:rPr>
                <w:rFonts w:hint="eastAsia" w:ascii="仿宋" w:hAnsi="仿宋" w:eastAsia="仿宋" w:cs="仿宋"/>
                <w:color w:val="000000"/>
                <w:kern w:val="0"/>
                <w:szCs w:val="21"/>
                <w:lang w:eastAsia="zh-CN"/>
              </w:rPr>
              <w:t>4</w:t>
            </w:r>
            <w:r>
              <w:rPr>
                <w:rFonts w:hint="eastAsia" w:ascii="仿宋" w:hAnsi="仿宋" w:eastAsia="仿宋" w:cs="仿宋"/>
                <w:color w:val="000000"/>
                <w:kern w:val="0"/>
                <w:szCs w:val="21"/>
              </w:rPr>
              <w:t>g，方便受检者佩戴</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b w:val="0"/>
                <w:bCs w:val="0"/>
                <w:color w:val="auto"/>
                <w:sz w:val="24"/>
                <w:szCs w:val="24"/>
              </w:rPr>
              <w:t>★</w:t>
            </w:r>
            <w:r>
              <w:rPr>
                <w:rFonts w:hint="eastAsia" w:ascii="仿宋" w:hAnsi="仿宋" w:eastAsia="仿宋" w:cs="仿宋"/>
                <w:color w:val="000000"/>
                <w:kern w:val="0"/>
                <w:szCs w:val="21"/>
              </w:rPr>
              <w:t>OLED彩色屏幕显示，能够清晰显示时间、电池电量、血压测量结果</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扇形设计的袖带和手臂的贴合，保证患者佩戴舒适性；袖带延长管连接处采用自锁结构，能够快速连接、更换袖带</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灵活的数据传输方式，支持type C的方式进行数据传输、读取</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b w:val="0"/>
                <w:bCs w:val="0"/>
                <w:color w:val="auto"/>
                <w:sz w:val="24"/>
                <w:szCs w:val="24"/>
              </w:rPr>
              <w:t>★</w:t>
            </w:r>
            <w:r>
              <w:rPr>
                <w:rFonts w:hint="eastAsia" w:ascii="仿宋" w:hAnsi="仿宋" w:eastAsia="仿宋" w:cs="仿宋"/>
                <w:color w:val="000000"/>
                <w:kern w:val="0"/>
                <w:szCs w:val="21"/>
              </w:rPr>
              <w:t>防水等级：支持IP22防水等级</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供电要求：直流电源，2节AA电池供电</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电池仓拉绳设计，方便医生日常电池的更换；</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支持事件记录功能，结合事件记录对血压数据进行分析</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支持体位记录功能，能够辅助临床判断患者血压测量时的体位情况</w:t>
            </w:r>
          </w:p>
          <w:p>
            <w:pPr>
              <w:numPr>
                <w:ilvl w:val="0"/>
                <w:numId w:val="9"/>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数据存储器：闪存储存，至少可存储300组数据</w:t>
            </w:r>
          </w:p>
          <w:p>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二、测量范围</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测量方法：示波法</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量程：0 mmHg~300 mmHg，精度：±3 mmHg (±0.4kPa)</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b w:val="0"/>
                <w:bCs w:val="0"/>
                <w:color w:val="auto"/>
                <w:sz w:val="24"/>
                <w:szCs w:val="24"/>
              </w:rPr>
              <w:t>★</w:t>
            </w:r>
            <w:r>
              <w:rPr>
                <w:rFonts w:hint="eastAsia" w:ascii="仿宋" w:hAnsi="仿宋" w:eastAsia="仿宋" w:cs="仿宋"/>
                <w:color w:val="000000"/>
                <w:kern w:val="0"/>
                <w:szCs w:val="21"/>
              </w:rPr>
              <w:t>压力测量范围：10 mmHg~290 mmHg，</w:t>
            </w:r>
            <w:r>
              <w:rPr>
                <w:rFonts w:hint="eastAsia" w:ascii="仿宋" w:hAnsi="仿宋" w:eastAsia="仿宋" w:cs="仿宋"/>
                <w:color w:val="000000"/>
              </w:rPr>
              <w:t>最大平均误差：±5 mmHg（0.67kPa），最大标准偏差：8 mmHg（1.07kPa）</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b w:val="0"/>
                <w:bCs w:val="0"/>
                <w:color w:val="auto"/>
                <w:sz w:val="24"/>
                <w:szCs w:val="24"/>
              </w:rPr>
              <w:t>★</w:t>
            </w:r>
            <w:r>
              <w:rPr>
                <w:rFonts w:hint="eastAsia" w:ascii="仿宋" w:hAnsi="仿宋" w:eastAsia="仿宋" w:cs="仿宋"/>
                <w:color w:val="000000"/>
                <w:kern w:val="0"/>
                <w:szCs w:val="21"/>
              </w:rPr>
              <w:t>脉率测量范围：40 bpm~240 bpm</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过压保护：当血压测量压力值超过297mmHg±3mmHg时，开启过压保护 </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监测时长：24小时</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监测间隔：5分钟、10分钟、15分钟、20分钟、30分钟、45分钟、60分钟、90分钟、120分钟</w:t>
            </w:r>
          </w:p>
          <w:p>
            <w:pPr>
              <w:numPr>
                <w:ilvl w:val="0"/>
                <w:numId w:val="10"/>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安全系统：最大充气气压为300 mmHg，最大测量时常为120 s</w:t>
            </w:r>
          </w:p>
          <w:p>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三、分析软件</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能够自动生成解释性总结，提供诊断术语库，方便医生快速编写诊断结论</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具有智能检索功能，支持对病例进行快速查找</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可自动删除已读取数据，防止病人数据混淆</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具有数据表、统计表、直方图、饼图、昼夜节律图等分析工具，能够更加直观的分析数据</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支持</w:t>
            </w:r>
            <w:r>
              <w:rPr>
                <w:rFonts w:hint="eastAsia" w:ascii="仿宋" w:hAnsi="仿宋" w:eastAsia="仿宋" w:cs="仿宋"/>
                <w:color w:val="000000"/>
              </w:rPr>
              <w:t>平均压、测量比较功能、</w:t>
            </w:r>
            <w:r>
              <w:rPr>
                <w:rFonts w:hint="eastAsia" w:ascii="仿宋" w:hAnsi="仿宋" w:eastAsia="仿宋" w:cs="仿宋"/>
                <w:color w:val="000000"/>
                <w:kern w:val="0"/>
                <w:szCs w:val="21"/>
              </w:rPr>
              <w:t>脉压分析、动态动脉硬化指数分析、晨峰血压分析、白大衣分析，多种分析功能辅助医生分析诊断</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相关图分析：可查看收缩压和舒张压相关性，查看全部和部分相关图，数据范围可支持总体、白天、夜间</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提供病人信息、管理列表、报告内容自定义配置，灵活的配置满足多样化的需求</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数据管理和报告打印：用户可以编辑、存储、打印病人的血压、数据表、直方图、饼图、昼夜节律图等信息</w:t>
            </w:r>
          </w:p>
          <w:p>
            <w:pPr>
              <w:numPr>
                <w:ilvl w:val="0"/>
                <w:numId w:val="11"/>
              </w:num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支持与同品牌信息化系统集成，可实现数据传输功能</w:t>
            </w:r>
          </w:p>
          <w:p>
            <w:pPr>
              <w:numPr>
                <w:ilvl w:val="0"/>
                <w:numId w:val="0"/>
              </w:numPr>
              <w:spacing w:line="360" w:lineRule="auto"/>
              <w:ind w:leftChars="0"/>
              <w:rPr>
                <w:rFonts w:hint="eastAsia" w:ascii="仿宋" w:hAnsi="仿宋" w:eastAsia="仿宋" w:cs="仿宋"/>
                <w:b w:val="0"/>
                <w:bCs w:val="0"/>
                <w:color w:val="auto"/>
                <w:kern w:val="0"/>
                <w:sz w:val="28"/>
                <w:szCs w:val="28"/>
                <w:highlight w:val="none"/>
                <w:lang w:bidi="ar"/>
              </w:rPr>
            </w:pPr>
            <w:r>
              <w:rPr>
                <w:rFonts w:hint="eastAsia" w:ascii="仿宋" w:hAnsi="仿宋" w:eastAsia="仿宋" w:cs="仿宋"/>
                <w:color w:val="auto"/>
                <w:sz w:val="24"/>
                <w:szCs w:val="21"/>
                <w:lang w:val="en-US" w:eastAsia="zh-CN"/>
              </w:rPr>
              <w:t>10. 配套工作站</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w:t>
            </w:r>
          </w:p>
        </w:tc>
      </w:tr>
      <w:tr>
        <w:tblPrEx>
          <w:tblCellMar>
            <w:top w:w="0" w:type="dxa"/>
            <w:left w:w="108" w:type="dxa"/>
            <w:bottom w:w="0" w:type="dxa"/>
            <w:right w:w="108" w:type="dxa"/>
          </w:tblCellMar>
        </w:tblPrEx>
        <w:trPr>
          <w:trHeight w:val="1649"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19</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动态心电图检测仪</w:t>
            </w:r>
          </w:p>
        </w:tc>
        <w:tc>
          <w:tcPr>
            <w:tcW w:w="8111" w:type="dxa"/>
            <w:tcBorders>
              <w:top w:val="single" w:color="000000" w:sz="4" w:space="0"/>
              <w:left w:val="single" w:color="000000" w:sz="4" w:space="0"/>
              <w:bottom w:val="single" w:color="000000" w:sz="4" w:space="0"/>
              <w:right w:val="single" w:color="000000" w:sz="4" w:space="0"/>
            </w:tcBorders>
            <w:vAlign w:val="center"/>
          </w:tcPr>
          <w:p>
            <w:pPr>
              <w:numPr>
                <w:ilvl w:val="0"/>
                <w:numId w:val="12"/>
              </w:numPr>
              <w:spacing w:line="360" w:lineRule="auto"/>
              <w:rPr>
                <w:rFonts w:hint="eastAsia" w:ascii="仿宋" w:hAnsi="仿宋" w:eastAsia="仿宋" w:cs="仿宋"/>
              </w:rPr>
            </w:pPr>
            <w:r>
              <w:rPr>
                <w:rFonts w:hint="eastAsia" w:ascii="仿宋" w:hAnsi="仿宋" w:eastAsia="仿宋" w:cs="仿宋"/>
              </w:rPr>
              <w:t>采集盒：</w:t>
            </w:r>
          </w:p>
          <w:p>
            <w:pPr>
              <w:spacing w:line="360" w:lineRule="auto"/>
              <w:rPr>
                <w:rFonts w:hint="eastAsia" w:ascii="仿宋" w:hAnsi="仿宋" w:eastAsia="仿宋" w:cs="仿宋"/>
              </w:rPr>
            </w:pPr>
            <w:r>
              <w:rPr>
                <w:rFonts w:hint="eastAsia" w:ascii="仿宋" w:hAnsi="仿宋" w:eastAsia="仿宋" w:cs="仿宋"/>
              </w:rPr>
              <w:t xml:space="preserve">1.1外形精巧，体积小，重量≤75g，方便受检者佩戴; </w:t>
            </w:r>
          </w:p>
          <w:p>
            <w:pPr>
              <w:spacing w:line="360" w:lineRule="auto"/>
              <w:rPr>
                <w:rFonts w:hint="eastAsia" w:ascii="仿宋" w:hAnsi="仿宋" w:eastAsia="仿宋" w:cs="仿宋"/>
              </w:rPr>
            </w:pPr>
            <w:r>
              <w:rPr>
                <w:rFonts w:hint="eastAsia" w:ascii="仿宋" w:hAnsi="仿宋" w:eastAsia="仿宋" w:cs="仿宋"/>
              </w:rPr>
              <w:t>1.2 SD卡存储，容量≥1G</w:t>
            </w:r>
          </w:p>
          <w:p>
            <w:pPr>
              <w:spacing w:line="360" w:lineRule="auto"/>
              <w:rPr>
                <w:rFonts w:hint="eastAsia" w:ascii="仿宋" w:hAnsi="仿宋" w:eastAsia="仿宋" w:cs="仿宋"/>
              </w:rPr>
            </w:pPr>
            <w:r>
              <w:rPr>
                <w:rFonts w:hint="eastAsia" w:ascii="仿宋" w:hAnsi="仿宋" w:eastAsia="仿宋" w:cs="仿宋"/>
              </w:rPr>
              <w:t xml:space="preserve">1.3 </w:t>
            </w:r>
            <w:r>
              <w:rPr>
                <w:rFonts w:hint="eastAsia" w:ascii="仿宋" w:hAnsi="仿宋" w:eastAsia="仿宋" w:cs="仿宋"/>
                <w:b w:val="0"/>
                <w:bCs w:val="0"/>
                <w:color w:val="auto"/>
                <w:lang w:val="en-US" w:eastAsia="zh-CN"/>
              </w:rPr>
              <w:t>1.</w:t>
            </w:r>
            <w:r>
              <w:rPr>
                <w:rFonts w:hint="eastAsia" w:ascii="仿宋" w:hAnsi="仿宋" w:eastAsia="仿宋" w:cs="仿宋"/>
                <w:b w:val="0"/>
                <w:bCs w:val="0"/>
                <w:color w:val="auto"/>
              </w:rPr>
              <w:t xml:space="preserve">46 </w:t>
            </w:r>
            <w:r>
              <w:rPr>
                <w:rFonts w:hint="eastAsia" w:ascii="仿宋" w:hAnsi="仿宋" w:eastAsia="仿宋" w:cs="仿宋"/>
              </w:rPr>
              <w:t>寸全彩LCD液晶屏幕可显示波形、电池电量、记录时间、记录状态、病人信息、事件标记、起搏状态等信息</w:t>
            </w:r>
          </w:p>
          <w:p>
            <w:pPr>
              <w:spacing w:line="360" w:lineRule="auto"/>
              <w:rPr>
                <w:rFonts w:hint="eastAsia" w:ascii="仿宋" w:hAnsi="仿宋" w:eastAsia="仿宋" w:cs="仿宋"/>
              </w:rPr>
            </w:pPr>
            <w:r>
              <w:rPr>
                <w:rFonts w:hint="eastAsia" w:ascii="仿宋" w:hAnsi="仿宋" w:eastAsia="仿宋" w:cs="仿宋"/>
                <w:b w:val="0"/>
                <w:bCs w:val="0"/>
                <w:color w:val="auto"/>
                <w:sz w:val="24"/>
                <w:szCs w:val="24"/>
              </w:rPr>
              <w:t>★</w:t>
            </w:r>
            <w:r>
              <w:rPr>
                <w:rFonts w:hint="eastAsia" w:ascii="仿宋" w:hAnsi="仿宋" w:eastAsia="仿宋" w:cs="仿宋"/>
              </w:rPr>
              <w:t>1.4 配备3键键盘，方便设置记录器的记录参数、波形切换等操作；具有事件按钮，可以准确记录事件发生的时间</w:t>
            </w:r>
          </w:p>
          <w:p>
            <w:pPr>
              <w:spacing w:line="360" w:lineRule="auto"/>
              <w:rPr>
                <w:rFonts w:hint="eastAsia" w:ascii="仿宋" w:hAnsi="仿宋" w:eastAsia="仿宋" w:cs="仿宋"/>
              </w:rPr>
            </w:pPr>
            <w:r>
              <w:rPr>
                <w:rFonts w:hint="eastAsia" w:ascii="仿宋" w:hAnsi="仿宋" w:eastAsia="仿宋" w:cs="仿宋"/>
              </w:rPr>
              <w:t>1.5灵活的数据传输方式，同时支持SD卡和USB2.0高速传输、读取数据</w:t>
            </w:r>
          </w:p>
          <w:p>
            <w:pPr>
              <w:spacing w:line="360" w:lineRule="auto"/>
              <w:rPr>
                <w:rFonts w:hint="eastAsia" w:ascii="仿宋" w:hAnsi="仿宋" w:eastAsia="仿宋" w:cs="仿宋"/>
              </w:rPr>
            </w:pPr>
            <w:r>
              <w:rPr>
                <w:rFonts w:hint="eastAsia" w:ascii="仿宋" w:hAnsi="仿宋" w:eastAsia="仿宋" w:cs="仿宋"/>
              </w:rPr>
              <w:t>1.6病历保护功能，如果监测到记录器中含有没有分析的数据，记录盒会报警提示，保证数据不丢失</w:t>
            </w:r>
          </w:p>
          <w:p>
            <w:pPr>
              <w:spacing w:line="360" w:lineRule="auto"/>
              <w:rPr>
                <w:rFonts w:hint="eastAsia" w:ascii="仿宋" w:hAnsi="仿宋" w:eastAsia="仿宋" w:cs="仿宋"/>
              </w:rPr>
            </w:pPr>
            <w:r>
              <w:rPr>
                <w:rFonts w:hint="eastAsia" w:ascii="仿宋" w:hAnsi="仿宋" w:eastAsia="仿宋" w:cs="仿宋"/>
              </w:rPr>
              <w:t>1.8电极脱落提示</w:t>
            </w:r>
          </w:p>
          <w:p>
            <w:pPr>
              <w:spacing w:line="360" w:lineRule="auto"/>
              <w:rPr>
                <w:rFonts w:hint="eastAsia" w:ascii="仿宋" w:hAnsi="仿宋" w:eastAsia="仿宋" w:cs="仿宋"/>
              </w:rPr>
            </w:pPr>
            <w:r>
              <w:rPr>
                <w:rFonts w:hint="eastAsia" w:ascii="仿宋" w:hAnsi="仿宋" w:eastAsia="仿宋" w:cs="仿宋"/>
              </w:rPr>
              <w:t>1.9 功耗低，1节AAA电池可支持不少于144小时的动态心电记录，有效避免记录过程中更换电池而影响数据采集的连续性</w:t>
            </w:r>
          </w:p>
          <w:p>
            <w:pPr>
              <w:numPr>
                <w:ilvl w:val="0"/>
                <w:numId w:val="0"/>
              </w:numPr>
              <w:spacing w:line="360" w:lineRule="auto"/>
              <w:ind w:leftChars="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信号处理</w:t>
            </w:r>
          </w:p>
          <w:p>
            <w:pPr>
              <w:spacing w:line="360" w:lineRule="auto"/>
              <w:rPr>
                <w:rFonts w:hint="eastAsia" w:ascii="仿宋" w:hAnsi="仿宋" w:eastAsia="仿宋" w:cs="仿宋"/>
              </w:rPr>
            </w:pPr>
            <w:r>
              <w:rPr>
                <w:rFonts w:hint="eastAsia" w:ascii="仿宋" w:hAnsi="仿宋" w:eastAsia="仿宋" w:cs="仿宋"/>
              </w:rPr>
              <w:t xml:space="preserve">2.1频率响应：0.05～60Hz </w:t>
            </w:r>
          </w:p>
          <w:p>
            <w:pPr>
              <w:spacing w:line="360" w:lineRule="auto"/>
              <w:rPr>
                <w:rFonts w:hint="eastAsia" w:ascii="仿宋" w:hAnsi="仿宋" w:eastAsia="仿宋" w:cs="仿宋"/>
              </w:rPr>
            </w:pPr>
            <w:r>
              <w:rPr>
                <w:rFonts w:hint="eastAsia" w:ascii="仿宋" w:hAnsi="仿宋" w:eastAsia="仿宋" w:cs="仿宋"/>
              </w:rPr>
              <w:t>2.2输入阻抗：≥20MΩ</w:t>
            </w:r>
          </w:p>
          <w:p>
            <w:pPr>
              <w:spacing w:line="360" w:lineRule="auto"/>
              <w:rPr>
                <w:rFonts w:hint="eastAsia" w:ascii="仿宋" w:hAnsi="仿宋" w:eastAsia="仿宋" w:cs="仿宋"/>
              </w:rPr>
            </w:pPr>
            <w:r>
              <w:rPr>
                <w:rFonts w:hint="eastAsia" w:ascii="仿宋" w:hAnsi="仿宋" w:eastAsia="仿宋" w:cs="仿宋"/>
              </w:rPr>
              <w:t xml:space="preserve">2.3输入回路电流：≤0.1μA   </w:t>
            </w:r>
          </w:p>
          <w:p>
            <w:pPr>
              <w:spacing w:line="360" w:lineRule="auto"/>
              <w:rPr>
                <w:rFonts w:hint="eastAsia" w:ascii="仿宋" w:hAnsi="仿宋" w:eastAsia="仿宋" w:cs="仿宋"/>
              </w:rPr>
            </w:pPr>
            <w:r>
              <w:rPr>
                <w:rFonts w:hint="eastAsia" w:ascii="仿宋" w:hAnsi="仿宋" w:eastAsia="仿宋" w:cs="仿宋"/>
              </w:rPr>
              <w:t>2.4噪声电平：≤50μVp-p</w:t>
            </w:r>
          </w:p>
          <w:p>
            <w:pPr>
              <w:spacing w:line="360" w:lineRule="auto"/>
              <w:rPr>
                <w:rFonts w:hint="eastAsia" w:ascii="仿宋" w:hAnsi="仿宋" w:eastAsia="仿宋" w:cs="仿宋"/>
              </w:rPr>
            </w:pPr>
            <w:r>
              <w:rPr>
                <w:rFonts w:hint="eastAsia" w:ascii="仿宋" w:hAnsi="仿宋" w:eastAsia="仿宋" w:cs="仿宋"/>
              </w:rPr>
              <w:t xml:space="preserve">2.5极化电压：±300mV          </w:t>
            </w:r>
          </w:p>
          <w:p>
            <w:pPr>
              <w:spacing w:line="360" w:lineRule="auto"/>
              <w:rPr>
                <w:rFonts w:hint="eastAsia" w:ascii="仿宋" w:hAnsi="仿宋" w:eastAsia="仿宋" w:cs="仿宋"/>
              </w:rPr>
            </w:pPr>
            <w:r>
              <w:rPr>
                <w:rFonts w:hint="eastAsia" w:ascii="仿宋" w:hAnsi="仿宋" w:eastAsia="仿宋" w:cs="仿宋"/>
              </w:rPr>
              <w:t>2.6共模抑制比（CMRR）：≥100dB</w:t>
            </w:r>
          </w:p>
          <w:p>
            <w:pPr>
              <w:spacing w:line="360" w:lineRule="auto"/>
              <w:rPr>
                <w:rFonts w:hint="eastAsia" w:ascii="仿宋" w:hAnsi="仿宋" w:eastAsia="仿宋" w:cs="仿宋"/>
              </w:rPr>
            </w:pPr>
            <w:r>
              <w:rPr>
                <w:rFonts w:hint="eastAsia" w:ascii="仿宋" w:hAnsi="仿宋" w:eastAsia="仿宋" w:cs="仿宋"/>
              </w:rPr>
              <w:t xml:space="preserve">2.7时间常数：≥3.2s                </w:t>
            </w:r>
          </w:p>
          <w:p>
            <w:pPr>
              <w:spacing w:line="360" w:lineRule="auto"/>
              <w:rPr>
                <w:rFonts w:hint="eastAsia" w:ascii="仿宋" w:hAnsi="仿宋" w:eastAsia="仿宋" w:cs="仿宋"/>
              </w:rPr>
            </w:pPr>
            <w:r>
              <w:rPr>
                <w:rFonts w:hint="eastAsia" w:ascii="仿宋" w:hAnsi="仿宋" w:eastAsia="仿宋" w:cs="仿宋"/>
              </w:rPr>
              <w:t>2.8增益：5mm/mV、10mm/mV、20mm/mV</w:t>
            </w:r>
          </w:p>
          <w:p>
            <w:pPr>
              <w:spacing w:line="360" w:lineRule="auto"/>
              <w:rPr>
                <w:rFonts w:hint="eastAsia" w:ascii="仿宋" w:hAnsi="仿宋" w:eastAsia="仿宋" w:cs="仿宋"/>
              </w:rPr>
            </w:pPr>
            <w:r>
              <w:rPr>
                <w:rFonts w:hint="eastAsia" w:ascii="仿宋" w:hAnsi="仿宋" w:eastAsia="仿宋" w:cs="仿宋"/>
              </w:rPr>
              <w:t xml:space="preserve">2.9记录通道：12导、3导二合一，自动识别导联类型、完成记录模式切换           </w:t>
            </w:r>
          </w:p>
          <w:p>
            <w:pPr>
              <w:spacing w:line="360" w:lineRule="auto"/>
              <w:rPr>
                <w:rFonts w:hint="eastAsia" w:ascii="仿宋" w:hAnsi="仿宋" w:eastAsia="仿宋" w:cs="仿宋"/>
              </w:rPr>
            </w:pPr>
            <w:r>
              <w:rPr>
                <w:rFonts w:hint="eastAsia" w:ascii="仿宋" w:hAnsi="仿宋" w:eastAsia="仿宋" w:cs="仿宋"/>
                <w:b w:val="0"/>
                <w:bCs w:val="0"/>
                <w:color w:val="auto"/>
                <w:sz w:val="24"/>
                <w:szCs w:val="24"/>
              </w:rPr>
              <w:t>★</w:t>
            </w:r>
            <w:r>
              <w:rPr>
                <w:rFonts w:hint="eastAsia" w:ascii="仿宋" w:hAnsi="仿宋" w:eastAsia="仿宋" w:cs="仿宋"/>
              </w:rPr>
              <w:t xml:space="preserve">2.10采样率：25600 Hz  </w:t>
            </w:r>
          </w:p>
          <w:p>
            <w:pPr>
              <w:spacing w:line="360" w:lineRule="auto"/>
              <w:rPr>
                <w:rFonts w:hint="eastAsia" w:ascii="仿宋" w:hAnsi="仿宋" w:eastAsia="仿宋" w:cs="仿宋"/>
              </w:rPr>
            </w:pPr>
            <w:r>
              <w:rPr>
                <w:rFonts w:hint="eastAsia" w:ascii="仿宋" w:hAnsi="仿宋" w:eastAsia="仿宋" w:cs="仿宋"/>
                <w:b w:val="0"/>
                <w:bCs w:val="0"/>
                <w:color w:val="auto"/>
                <w:sz w:val="24"/>
                <w:szCs w:val="24"/>
              </w:rPr>
              <w:t>★</w:t>
            </w:r>
            <w:r>
              <w:rPr>
                <w:rFonts w:hint="eastAsia" w:ascii="仿宋" w:hAnsi="仿宋" w:eastAsia="仿宋" w:cs="仿宋"/>
              </w:rPr>
              <w:t>2.11 A/D转换精度：24位</w:t>
            </w:r>
          </w:p>
          <w:p>
            <w:pPr>
              <w:spacing w:line="360" w:lineRule="auto"/>
              <w:rPr>
                <w:rFonts w:hint="eastAsia" w:ascii="仿宋" w:hAnsi="仿宋" w:eastAsia="仿宋" w:cs="仿宋"/>
              </w:rPr>
            </w:pPr>
            <w:r>
              <w:rPr>
                <w:rFonts w:hint="eastAsia" w:ascii="仿宋" w:hAnsi="仿宋" w:eastAsia="仿宋" w:cs="仿宋"/>
              </w:rPr>
              <w:t>2.12记录天数：0、1、2天可调</w:t>
            </w:r>
          </w:p>
          <w:p>
            <w:pPr>
              <w:spacing w:line="360" w:lineRule="auto"/>
              <w:rPr>
                <w:rFonts w:hint="eastAsia" w:ascii="仿宋" w:hAnsi="仿宋" w:eastAsia="仿宋" w:cs="仿宋"/>
              </w:rPr>
            </w:pPr>
            <w:r>
              <w:rPr>
                <w:rFonts w:hint="eastAsia" w:ascii="仿宋" w:hAnsi="仿宋" w:eastAsia="仿宋" w:cs="仿宋"/>
              </w:rPr>
              <w:t>2.13起搏检测：多通道同时检测，可识别±2mV~±200mV, 0.1~2.0ms的起搏信号</w:t>
            </w:r>
          </w:p>
          <w:p>
            <w:pPr>
              <w:numPr>
                <w:ilvl w:val="0"/>
                <w:numId w:val="0"/>
              </w:numPr>
              <w:spacing w:line="360" w:lineRule="auto"/>
              <w:ind w:leftChars="0"/>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分析软件</w:t>
            </w:r>
          </w:p>
          <w:p>
            <w:pPr>
              <w:spacing w:line="360" w:lineRule="auto"/>
              <w:rPr>
                <w:rFonts w:hint="eastAsia" w:ascii="仿宋" w:hAnsi="仿宋" w:eastAsia="仿宋" w:cs="仿宋"/>
              </w:rPr>
            </w:pPr>
            <w:r>
              <w:rPr>
                <w:rFonts w:hint="eastAsia" w:ascii="仿宋" w:hAnsi="仿宋" w:eastAsia="仿宋" w:cs="仿宋"/>
              </w:rPr>
              <w:t>3.1 软件同时兼容3/12导联记录盒</w:t>
            </w:r>
          </w:p>
          <w:p>
            <w:pPr>
              <w:spacing w:line="360" w:lineRule="auto"/>
              <w:rPr>
                <w:rFonts w:hint="eastAsia" w:ascii="仿宋" w:hAnsi="仿宋" w:eastAsia="仿宋" w:cs="仿宋"/>
              </w:rPr>
            </w:pPr>
            <w:r>
              <w:rPr>
                <w:rFonts w:hint="eastAsia" w:ascii="仿宋" w:hAnsi="仿宋" w:eastAsia="仿宋" w:cs="仿宋"/>
              </w:rPr>
              <w:t>3.3 专用儿童模式：提供针对儿童的特异性分析算法来进行儿童患者的数据分析，提高分析的准确性</w:t>
            </w:r>
          </w:p>
          <w:p>
            <w:pPr>
              <w:spacing w:line="360" w:lineRule="auto"/>
              <w:rPr>
                <w:rFonts w:hint="eastAsia" w:ascii="仿宋" w:hAnsi="仿宋" w:eastAsia="仿宋" w:cs="仿宋"/>
              </w:rPr>
            </w:pPr>
            <w:r>
              <w:rPr>
                <w:rFonts w:hint="eastAsia" w:ascii="仿宋" w:hAnsi="仿宋" w:eastAsia="仿宋" w:cs="仿宋"/>
                <w:b w:val="0"/>
                <w:bCs w:val="0"/>
                <w:color w:val="auto"/>
                <w:sz w:val="24"/>
                <w:szCs w:val="24"/>
              </w:rPr>
              <w:t>★</w:t>
            </w:r>
            <w:r>
              <w:rPr>
                <w:rFonts w:hint="eastAsia" w:ascii="仿宋" w:hAnsi="仿宋" w:eastAsia="仿宋" w:cs="仿宋"/>
              </w:rPr>
              <w:t>3.4 心电数据滤波：提供工频滤波、基线漂移滤波、低通滤波等多种滤波功能，提高所采集的心电信号质量</w:t>
            </w:r>
          </w:p>
          <w:p>
            <w:pPr>
              <w:spacing w:line="360" w:lineRule="auto"/>
              <w:rPr>
                <w:rFonts w:hint="eastAsia" w:ascii="仿宋" w:hAnsi="仿宋" w:eastAsia="仿宋" w:cs="仿宋"/>
              </w:rPr>
            </w:pPr>
            <w:r>
              <w:rPr>
                <w:rFonts w:hint="eastAsia" w:ascii="仿宋" w:hAnsi="仿宋" w:eastAsia="仿宋" w:cs="仿宋"/>
              </w:rPr>
              <w:t>3.8 丰富的心律失常分析手段：自动识别各类心律失常，可根据需要修改心律失常的自动判别参数，支持自定义心律失常事件</w:t>
            </w:r>
          </w:p>
          <w:p>
            <w:pPr>
              <w:spacing w:line="360" w:lineRule="auto"/>
              <w:rPr>
                <w:rFonts w:hint="eastAsia" w:ascii="仿宋" w:hAnsi="仿宋" w:eastAsia="仿宋" w:cs="仿宋"/>
              </w:rPr>
            </w:pPr>
            <w:r>
              <w:rPr>
                <w:rFonts w:hint="eastAsia" w:ascii="仿宋" w:hAnsi="仿宋" w:eastAsia="仿宋" w:cs="仿宋"/>
              </w:rPr>
              <w:t>3.9 准确的QRS形态分类，可自动识别正常、房早、室早、插入性室早、起搏、伪差等心拍类型，并支持不少于20种模板分类选项</w:t>
            </w:r>
          </w:p>
          <w:p>
            <w:pPr>
              <w:spacing w:line="360" w:lineRule="auto"/>
              <w:rPr>
                <w:rFonts w:hint="eastAsia" w:ascii="仿宋" w:hAnsi="仿宋" w:eastAsia="仿宋" w:cs="仿宋"/>
              </w:rPr>
            </w:pPr>
            <w:r>
              <w:rPr>
                <w:rFonts w:hint="eastAsia" w:ascii="仿宋" w:hAnsi="仿宋" w:eastAsia="仿宋" w:cs="仿宋"/>
              </w:rPr>
              <w:t>3.10 模板编辑功能：具有模板合并和拆分功能，方便医生进行快速归类，并对编辑过的模板进行标记</w:t>
            </w:r>
          </w:p>
          <w:p>
            <w:pPr>
              <w:spacing w:line="360" w:lineRule="auto"/>
              <w:rPr>
                <w:rFonts w:hint="eastAsia" w:ascii="仿宋" w:hAnsi="仿宋" w:eastAsia="仿宋" w:cs="仿宋"/>
              </w:rPr>
            </w:pPr>
            <w:r>
              <w:rPr>
                <w:rFonts w:hint="eastAsia" w:ascii="仿宋" w:hAnsi="仿宋" w:eastAsia="仿宋" w:cs="仿宋"/>
              </w:rPr>
              <w:t>3.12 散点图分析：可以提供Lorenz散点图、差值散点图、24小时散点图、小时散点图、时序散点图等多种散点图工具，支持散点图反向定位心搏操作，帮助医生快速诊断异常心搏；支持任意时间段散点图显示，实现快速编辑和确认短暂房颤、短阵过速心律失常现象</w:t>
            </w:r>
          </w:p>
          <w:p>
            <w:pPr>
              <w:spacing w:line="360" w:lineRule="auto"/>
              <w:rPr>
                <w:rFonts w:hint="eastAsia" w:ascii="仿宋" w:hAnsi="仿宋" w:eastAsia="仿宋" w:cs="仿宋"/>
              </w:rPr>
            </w:pPr>
            <w:r>
              <w:rPr>
                <w:rFonts w:hint="eastAsia" w:ascii="仿宋" w:hAnsi="仿宋" w:eastAsia="仿宋" w:cs="仿宋"/>
              </w:rPr>
              <w:t>3.13 叠加图分析：提供心搏叠加窗口，具有反混淆分析功能，能根据心搏形态差异对异常心搏（特别是宽QRS波群或伪差）进行快速分辨、圈选，并加以修改</w:t>
            </w:r>
          </w:p>
          <w:p>
            <w:pPr>
              <w:spacing w:line="360" w:lineRule="auto"/>
              <w:rPr>
                <w:rFonts w:hint="eastAsia" w:ascii="仿宋" w:hAnsi="仿宋" w:eastAsia="仿宋" w:cs="仿宋"/>
              </w:rPr>
            </w:pPr>
            <w:r>
              <w:rPr>
                <w:rFonts w:hint="eastAsia" w:ascii="仿宋" w:hAnsi="仿宋" w:eastAsia="仿宋" w:cs="仿宋"/>
              </w:rPr>
              <w:t>3.14 散点+叠加图分析：同屏显示所选模板的散点图+叠加图，同时结合RR间期和波形形态实现心拍的快速分类，大大提高工作效率</w:t>
            </w:r>
          </w:p>
          <w:p>
            <w:pPr>
              <w:spacing w:line="360" w:lineRule="auto"/>
              <w:rPr>
                <w:rFonts w:hint="eastAsia" w:ascii="仿宋" w:hAnsi="仿宋" w:eastAsia="仿宋" w:cs="仿宋"/>
              </w:rPr>
            </w:pPr>
            <w:r>
              <w:rPr>
                <w:rFonts w:hint="eastAsia" w:ascii="仿宋" w:hAnsi="仿宋" w:eastAsia="仿宋" w:cs="仿宋"/>
              </w:rPr>
              <w:t>3.15 直方图分析：可以提供R-R间期、R-V间期、R-R提前量、R-V提前量、RR间期比、起搏到起搏等20多种常用分布直方图分析工具</w:t>
            </w:r>
          </w:p>
          <w:p>
            <w:pPr>
              <w:spacing w:line="360" w:lineRule="auto"/>
              <w:rPr>
                <w:rFonts w:hint="eastAsia" w:ascii="仿宋" w:hAnsi="仿宋" w:eastAsia="仿宋" w:cs="仿宋"/>
              </w:rPr>
            </w:pPr>
            <w:r>
              <w:rPr>
                <w:rFonts w:hint="eastAsia" w:ascii="仿宋" w:hAnsi="仿宋" w:eastAsia="仿宋" w:cs="仿宋"/>
              </w:rPr>
              <w:t>3.16 房颤/房扑自动分析：一键自动检测房颤/房扑，列表显示房颤/房扑发生的时间、持续时间等，支持对房颤/房扑事件的手动修改</w:t>
            </w:r>
          </w:p>
          <w:p>
            <w:pPr>
              <w:spacing w:line="360" w:lineRule="auto"/>
              <w:rPr>
                <w:rFonts w:hint="eastAsia" w:ascii="仿宋" w:hAnsi="仿宋" w:eastAsia="仿宋" w:cs="仿宋"/>
              </w:rPr>
            </w:pPr>
            <w:r>
              <w:rPr>
                <w:rFonts w:hint="eastAsia" w:ascii="仿宋" w:hAnsi="仿宋" w:eastAsia="仿宋" w:cs="仿宋"/>
              </w:rPr>
              <w:t xml:space="preserve"> 3.17 ST段分析：软件支持对全导联ST段抬高、压低情况进行自动列表统计，并显示ST段变化的趋势，方便快速地查找各个时间点心电图和ST段变化；可手动修改/添加/删除ST事件；支持单独界面的ST段重分析操作，有效避免重分析操作对已修改模板的影响</w:t>
            </w:r>
          </w:p>
          <w:p>
            <w:pPr>
              <w:spacing w:line="360" w:lineRule="auto"/>
              <w:rPr>
                <w:rFonts w:hint="eastAsia" w:ascii="仿宋" w:hAnsi="仿宋" w:eastAsia="仿宋" w:cs="仿宋"/>
              </w:rPr>
            </w:pPr>
            <w:r>
              <w:rPr>
                <w:rFonts w:hint="eastAsia" w:ascii="仿宋" w:hAnsi="仿宋" w:eastAsia="仿宋" w:cs="仿宋"/>
              </w:rPr>
              <w:t>3.18 多通道采集起搏器脉冲信号，并可对AOO、VOO、AAI、VVI、DDD等十六种起搏器进行分析</w:t>
            </w:r>
          </w:p>
          <w:p>
            <w:pPr>
              <w:spacing w:line="360" w:lineRule="auto"/>
              <w:rPr>
                <w:rFonts w:hint="eastAsia" w:ascii="仿宋" w:hAnsi="仿宋" w:eastAsia="仿宋" w:cs="仿宋"/>
              </w:rPr>
            </w:pPr>
            <w:r>
              <w:rPr>
                <w:rFonts w:hint="eastAsia" w:ascii="仿宋" w:hAnsi="仿宋" w:eastAsia="仿宋" w:cs="仿宋"/>
              </w:rPr>
              <w:t>3.19 支持心率变异自动分析：从R-R间期散点图、时域趋势图、频域趋势图、时域趋势表、频域趋势表、长时程心率变异、心率变异三维图、心律减速力等多个方面进行分析</w:t>
            </w:r>
          </w:p>
          <w:p>
            <w:pPr>
              <w:spacing w:line="360" w:lineRule="auto"/>
              <w:rPr>
                <w:rFonts w:hint="eastAsia" w:ascii="仿宋" w:hAnsi="仿宋" w:eastAsia="仿宋" w:cs="仿宋"/>
                <w:lang w:eastAsia="zh-CN"/>
              </w:rPr>
            </w:pPr>
            <w:r>
              <w:rPr>
                <w:rFonts w:hint="eastAsia" w:ascii="仿宋" w:hAnsi="仿宋" w:eastAsia="仿宋" w:cs="仿宋"/>
              </w:rPr>
              <w:t>3.20 具有QT分析功能：可提供QT趋表、QT直方图、QT离散度等多种分析工具</w:t>
            </w:r>
            <w:r>
              <w:rPr>
                <w:rFonts w:hint="eastAsia" w:ascii="仿宋" w:hAnsi="仿宋" w:eastAsia="仿宋" w:cs="仿宋"/>
                <w:lang w:eastAsia="zh-CN"/>
              </w:rPr>
              <w:t>。</w:t>
            </w:r>
          </w:p>
          <w:p>
            <w:pPr>
              <w:pStyle w:val="12"/>
              <w:numPr>
                <w:ilvl w:val="0"/>
                <w:numId w:val="0"/>
              </w:numPr>
              <w:tabs>
                <w:tab w:val="clear" w:pos="780"/>
              </w:tabs>
              <w:spacing w:line="360" w:lineRule="auto"/>
              <w:ind w:leftChars="0"/>
              <w:rPr>
                <w:rFonts w:hint="eastAsia"/>
                <w:lang w:val="en-US" w:eastAsia="zh-CN"/>
              </w:rPr>
            </w:pPr>
            <w:r>
              <w:rPr>
                <w:rFonts w:hint="eastAsia" w:ascii="仿宋" w:hAnsi="仿宋" w:eastAsia="仿宋" w:cs="仿宋"/>
                <w:color w:val="auto"/>
                <w:sz w:val="24"/>
                <w:szCs w:val="21"/>
                <w:lang w:val="en-US" w:eastAsia="zh-CN"/>
              </w:rPr>
              <w:t>3.21配套工作站</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5</w:t>
            </w:r>
          </w:p>
        </w:tc>
      </w:tr>
      <w:tr>
        <w:tblPrEx>
          <w:tblCellMar>
            <w:top w:w="0" w:type="dxa"/>
            <w:left w:w="108" w:type="dxa"/>
            <w:bottom w:w="0" w:type="dxa"/>
            <w:right w:w="108" w:type="dxa"/>
          </w:tblCellMar>
        </w:tblPrEx>
        <w:trPr>
          <w:trHeight w:val="1649"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空气波压力治疗仪</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★1、适用于脑血管意外、脑外伤、脑手术后、脊髓病变引起的肢体功能障碍和外周非栓塞性脉管炎的辅助治疗，以及预防静脉血栓的形成，减轻肢体水肿。</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★2、操作方式：7寸彩色液晶人体仿生触摸屏操作，具有自适应全自动血液回盈侦测功能，自定义按压周期。</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3、通道数：两路物理通道</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★4、气囊腔道数：4腔气囊或者8腔气囊可选，支持每腔压力单独可调，也可设置创面零压跳过功能。</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 xml:space="preserve">5、气囊自动识别：支持实时快速的识别气囊种类，并快速定位治疗类型， 实现一键治疗，屏幕界面旋转功能：支持屏幕旋转功能，方便临床操作使用，可悬挂于床内侧或外侧 </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★6、压力范围：0-240mmHg，压力1mmhg可调</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7、充气速度：充气速度1-6级可调，最大充气速度下，充满单腔的时间18s内，也可间断加压：加压保持时间0-12S，间隔时间0-60S。</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8、治疗时间：治疗时间1-600分钟可调，支持不间断治疗</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9、治疗模式：支持标准治疗、梯度治疗以及高级治疗模式</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10、治疗方案：支持24种治疗方案</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11、安全防护功能:</w:t>
            </w:r>
            <w:r>
              <w:rPr>
                <w:rFonts w:hint="eastAsia" w:ascii="仿宋" w:hAnsi="仿宋" w:eastAsia="仿宋" w:cs="仿宋"/>
                <w:color w:val="auto"/>
                <w:sz w:val="24"/>
                <w:szCs w:val="21"/>
                <w:lang w:val="en-US" w:eastAsia="zh-CN"/>
              </w:rPr>
              <w:tab/>
            </w:r>
            <w:r>
              <w:rPr>
                <w:rFonts w:hint="eastAsia" w:ascii="仿宋" w:hAnsi="仿宋" w:eastAsia="仿宋" w:cs="仿宋"/>
                <w:color w:val="auto"/>
                <w:sz w:val="24"/>
                <w:szCs w:val="21"/>
                <w:lang w:val="en-US" w:eastAsia="zh-CN"/>
              </w:rPr>
              <w:t>当达到阈值时、突然断电或中断治疗时，可自动泄压，避免对病人意外伤害，提示功能：具有过压、欠压、脱落等安全提示功能</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★12、支持WIFI，提供医疗数据采集、用户行为搜索，支持空气波中央工作站、远程监测多台空气波，便于医院打造无栓病房。</w:t>
            </w:r>
          </w:p>
          <w:p>
            <w:pPr>
              <w:pStyle w:val="12"/>
              <w:numPr>
                <w:ilvl w:val="0"/>
                <w:numId w:val="0"/>
              </w:numPr>
              <w:tabs>
                <w:tab w:val="clear" w:pos="780"/>
              </w:tabs>
              <w:spacing w:line="360" w:lineRule="auto"/>
              <w:ind w:leftChars="0"/>
              <w:rPr>
                <w:rFonts w:hint="eastAsia" w:ascii="仿宋" w:hAnsi="仿宋" w:eastAsia="仿宋" w:cs="仿宋"/>
                <w:color w:val="FF0000"/>
                <w:sz w:val="24"/>
                <w:szCs w:val="21"/>
                <w:lang w:val="en-US" w:eastAsia="zh-CN"/>
              </w:rPr>
            </w:pPr>
            <w:r>
              <w:rPr>
                <w:rFonts w:hint="eastAsia" w:ascii="仿宋" w:hAnsi="仿宋" w:eastAsia="仿宋" w:cs="仿宋"/>
                <w:color w:val="auto"/>
                <w:sz w:val="24"/>
                <w:szCs w:val="21"/>
                <w:lang w:val="en-US" w:eastAsia="zh-CN"/>
              </w:rPr>
              <w:t>13、气囊种类支持：腿部四腔气囊（拉链套筒式）、腿部八腔重叠气囊（拉链套筒式）、臂部四腔气囊（套筒式）、腿部三腔气囊（分体式）、臂部三腔气囊（分体式）、背部四腔气囊、左手气囊、右手气囊、左脚气囊、右脚气囊、手部气囊（KF）。</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384"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21</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电动吸痰器</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技术规格：</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电源：AC220V±22V 50Hz±1Hz   DC 12V 7Ah</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抽气速率：≥15L/min</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★负压调节范围：0.02 M Pa～0.08 M Pa</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噪声：≤65dB</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输入功率：150VA</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吸液瓶：1000ml</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工作制：间隙加载连续运行</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产品的材质：外壳采用优质ABS工程塑料制作，轻便坚固，手提式。</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产品性能：</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1、便携式吸引器，可用于医疗单位吸痰和粘质分泌物，也可用于家庭急救吸痰。</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2、无油泵，免维护，无油雾污染，泵体为单向式，无正压产生。</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3、溢流保护装置，防止液体进入泵体。</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4、高分子吸引瓶，易消毒、清洗。</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五、基本配置</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一次性吸管      1根</w:t>
            </w:r>
          </w:p>
          <w:p>
            <w:pPr>
              <w:pStyle w:val="12"/>
              <w:numPr>
                <w:ilvl w:val="0"/>
                <w:numId w:val="0"/>
              </w:numPr>
              <w:tabs>
                <w:tab w:val="clear" w:pos="780"/>
              </w:tabs>
              <w:spacing w:line="360" w:lineRule="auto"/>
              <w:ind w:left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吸引管          1根</w:t>
            </w:r>
          </w:p>
          <w:p>
            <w:pPr>
              <w:pStyle w:val="12"/>
              <w:numPr>
                <w:ilvl w:val="0"/>
                <w:numId w:val="0"/>
              </w:numPr>
              <w:tabs>
                <w:tab w:val="clear" w:pos="780"/>
              </w:tabs>
              <w:spacing w:line="360" w:lineRule="auto"/>
              <w:ind w:leftChars="0"/>
              <w:rPr>
                <w:rFonts w:hint="eastAsia" w:ascii="仿宋" w:hAnsi="仿宋" w:eastAsia="仿宋" w:cs="仿宋"/>
                <w:color w:val="FF0000"/>
                <w:sz w:val="24"/>
                <w:szCs w:val="21"/>
                <w:lang w:val="en-US" w:eastAsia="zh-CN"/>
              </w:rPr>
            </w:pPr>
            <w:r>
              <w:rPr>
                <w:rFonts w:hint="eastAsia" w:ascii="仿宋" w:hAnsi="仿宋" w:eastAsia="仿宋" w:cs="仿宋"/>
                <w:color w:val="auto"/>
                <w:sz w:val="24"/>
                <w:szCs w:val="21"/>
                <w:lang w:val="en-US" w:eastAsia="zh-CN"/>
              </w:rPr>
              <w:t>熔丝管          2个</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1274"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22</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防褥疮气垫</w:t>
            </w:r>
          </w:p>
        </w:tc>
        <w:tc>
          <w:tcPr>
            <w:tcW w:w="8111" w:type="dxa"/>
            <w:tcBorders>
              <w:top w:val="single" w:color="000000" w:sz="4" w:space="0"/>
              <w:left w:val="single" w:color="000000" w:sz="4" w:space="0"/>
              <w:bottom w:val="single" w:color="000000" w:sz="4" w:space="0"/>
              <w:right w:val="single" w:color="000000" w:sz="4" w:space="0"/>
            </w:tcBorders>
            <w:vAlign w:val="center"/>
          </w:tcPr>
          <w:p>
            <w:pPr>
              <w:pStyle w:val="12"/>
              <w:numPr>
                <w:ilvl w:val="0"/>
                <w:numId w:val="0"/>
              </w:numPr>
              <w:tabs>
                <w:tab w:val="clear" w:pos="780"/>
              </w:tabs>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气泵尺寸：25*12*10cm</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充气后尺寸：230*95cm</w:t>
            </w:r>
          </w:p>
          <w:p>
            <w:pPr>
              <w:pStyle w:val="6"/>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气垫床结构：130个气囊，26排5列</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气泵重量：0.97KG</w:t>
            </w:r>
          </w:p>
          <w:p>
            <w:pPr>
              <w:pStyle w:val="6"/>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气垫床重量：2.2KG</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气垫床承重：≦135KG</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功率：≦20W</w:t>
            </w:r>
          </w:p>
          <w:p>
            <w:pPr>
              <w:pStyle w:val="6"/>
              <w:jc w:val="left"/>
              <w:rPr>
                <w:rFonts w:hint="eastAsia"/>
                <w:sz w:val="24"/>
                <w:szCs w:val="24"/>
                <w:lang w:val="en-US" w:eastAsia="zh-CN"/>
              </w:rPr>
            </w:pPr>
            <w:r>
              <w:rPr>
                <w:rFonts w:hint="eastAsia" w:ascii="仿宋" w:hAnsi="仿宋" w:eastAsia="仿宋" w:cs="仿宋"/>
                <w:b w:val="0"/>
                <w:bCs w:val="0"/>
                <w:sz w:val="24"/>
                <w:szCs w:val="24"/>
                <w:lang w:val="en-US" w:eastAsia="zh-CN"/>
              </w:rPr>
              <w:t>交替充气时间：12min</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6</w:t>
            </w:r>
          </w:p>
        </w:tc>
      </w:tr>
      <w:bookmarkEnd w:id="40"/>
    </w:tbl>
    <w:p>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实施（供货）期 ：</w:t>
      </w:r>
      <w:r>
        <w:rPr>
          <w:rFonts w:hint="eastAsia" w:ascii="仿宋" w:hAnsi="仿宋" w:eastAsia="仿宋" w:cs="仿宋"/>
          <w:b/>
          <w:bCs/>
          <w:color w:val="FF0000"/>
          <w:highlight w:val="none"/>
          <w:lang w:val="en-US" w:eastAsia="zh-CN"/>
        </w:rPr>
        <w:t>签订合同后20天内完成供货。</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（二）实施（交货）地点 </w:t>
      </w:r>
      <w:r>
        <w:rPr>
          <w:rFonts w:hint="eastAsia" w:ascii="仿宋" w:hAnsi="仿宋" w:eastAsia="仿宋" w:cs="仿宋"/>
          <w:b/>
          <w:bCs/>
          <w:lang w:val="en-US" w:eastAsia="zh-CN"/>
        </w:rPr>
        <w:t>：中标单位将货物送到甲方指定的任何地点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（四）质保要求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1、质量保修期</w:t>
      </w:r>
      <w:r>
        <w:rPr>
          <w:rFonts w:hint="eastAsia" w:ascii="仿宋" w:hAnsi="仿宋" w:eastAsia="仿宋" w:cs="仿宋"/>
          <w:color w:val="FF0000"/>
          <w:lang w:val="en-US" w:eastAsia="zh-CN"/>
        </w:rPr>
        <w:t>：</w:t>
      </w:r>
      <w:r>
        <w:rPr>
          <w:rFonts w:hint="eastAsia" w:ascii="仿宋" w:hAnsi="仿宋" w:eastAsia="仿宋" w:cs="仿宋"/>
          <w:b/>
          <w:bCs/>
          <w:color w:val="FF0000"/>
          <w:lang w:val="en-US" w:eastAsia="zh-CN"/>
        </w:rPr>
        <w:t>3年，保修期内供应商免费提供保修服务。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2、质保期内乙方负责设备免费维修及抢修。</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3.供应方在交付货物的同时应提供国家规定的检验合格证明等文件。</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（五）售后服务、理赔、质量技术及验收保证的承诺</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1、售后服务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1.1质保期内，当采购人遇到使用及技术问题电话咨询不能解决的，须在12小时内到达现场进行处理。    </w:t>
      </w:r>
    </w:p>
    <w:p>
      <w:pPr>
        <w:spacing w:line="360" w:lineRule="auto"/>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1.2质保期内，设备出现故障，须在30分钟内响应，12小时内到达现场，一般故障24小时内解决问题，重大故障48小时内解决问题。每年提供不少于4次回访。</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2、交货时应提供以下技术或培训资料（如涉及）</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2.1原产地证明书(由制造厂签发)；</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2.2提供主机及配套设备的安装图纸及说明；</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2.3提供主机及配套设备使用说明书、维护手册；</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2.4备件手册、零件及易损件的图纸及相关资料；</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2.5其它相关技术资料。</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3、设备到场后，供应商需至少派1名工程师现场指导安装调试。</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4、投标人设有健全的售后服务机构网点，终端售后服务机构网点有明细以便监督（包括电话、地址、店名、联系人）(附有效的证明资料；如房屋租赁合同或产权证)。如发生以下情况，及时响应并解决故障。</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5、在质保期内，如果投标人的产品技术升级，投标人应及时通知采购人，如采购人有相应要求，投标人应对采购人购买的产品进行升级服务。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6、质保期过后，投标人应同样提供免费电话咨询服务，并应承诺提供该产品上门维护服务。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（六）验收</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1、供应商提供的产品为全新未使用且符合相关法律法规要求的合格产品；</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2、供应商提供的产品型号、规格等特性需与投标文件、合同规定内容完全一致，且满足采购方提出的采购需求。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3、供应商提供的产品需经采购人验收小组验收，进行试验检测，按照技术要求逐项进行测试，测试结果应满足相关要求，试验通过并满足要求为验收合格。</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（七）付款方式</w:t>
      </w:r>
    </w:p>
    <w:p>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以甲乙双方签定的合同为准。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（八）知识产权</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仿宋" w:hAnsi="仿宋" w:eastAsia="仿宋" w:cs="仿宋"/>
          <w:lang w:val="en-US" w:eastAsia="zh-CN"/>
        </w:rPr>
      </w:pPr>
      <w:bookmarkStart w:id="46" w:name="_Toc20832"/>
      <w:bookmarkStart w:id="47" w:name="_Toc7598"/>
      <w:bookmarkStart w:id="48" w:name="_Toc12239"/>
      <w:bookmarkStart w:id="49" w:name="_Toc267320054"/>
      <w:bookmarkStart w:id="50" w:name="_Toc12840_WPSOffice_Level1"/>
      <w:bookmarkStart w:id="51" w:name="_Toc439255252"/>
      <w:bookmarkStart w:id="52" w:name="_Toc469495740"/>
      <w:r>
        <w:rPr>
          <w:rFonts w:hint="eastAsia" w:ascii="仿宋" w:hAnsi="仿宋" w:eastAsia="仿宋" w:cs="仿宋"/>
          <w:lang w:val="en-US" w:eastAsia="zh-CN"/>
        </w:rPr>
        <w:t>（九）其他</w:t>
      </w:r>
      <w:bookmarkEnd w:id="46"/>
      <w:bookmarkEnd w:id="47"/>
      <w:bookmarkEnd w:id="48"/>
    </w:p>
    <w:bookmarkEnd w:id="49"/>
    <w:bookmarkEnd w:id="50"/>
    <w:bookmarkEnd w:id="51"/>
    <w:p>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1、投标人必须在投标文件中对以上条款和服务承诺明确列出，承诺内容必须达到本篇及招标文件其他条款的要求。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2、中标人与采购人签订《协议》后，须与用户方签订《货物采购供应合同》（包括供货范围、需求数量、单价等），明确具体供货数量、供货时间、送达地点等内容。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3、其他未尽事宜由供需双方在采购合同中详细约定。</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4、 若供应商不能按招标文件规定的交货期正常交货，采购方有权终止采购合同，并将相关情况上报给采购计划主管部门，取消其中标资格。</w:t>
      </w:r>
    </w:p>
    <w:p>
      <w:pPr>
        <w:spacing w:line="360" w:lineRule="auto"/>
        <w:rPr>
          <w:rFonts w:hint="eastAsia" w:ascii="宋体" w:hAnsi="Times New Roman" w:eastAsia="Times New Roman" w:cs="Times New Roman"/>
          <w:b/>
          <w:color w:val="000000" w:themeColor="text1"/>
          <w:sz w:val="30"/>
          <w:szCs w:val="30"/>
          <w:highlight w:val="none"/>
          <w:lang w:val="en-US" w:eastAsia="zh-CN"/>
        </w:rPr>
      </w:pPr>
      <w:r>
        <w:rPr>
          <w:rFonts w:hint="eastAsia" w:ascii="仿宋" w:hAnsi="仿宋" w:eastAsia="仿宋" w:cs="仿宋"/>
          <w:lang w:val="en-US" w:eastAsia="zh-CN"/>
        </w:rPr>
        <w:t>5、其他未尽事宜由供需双方在采购合同中详细约定。</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pStyle w:val="6"/>
        <w:rPr>
          <w:rFonts w:hint="eastAsia" w:ascii="宋体" w:hAnsi="Times New Roman" w:eastAsia="Times New Roman" w:cs="Times New Roman"/>
          <w:b/>
          <w:color w:val="000000" w:themeColor="text1"/>
          <w:sz w:val="30"/>
          <w:szCs w:val="30"/>
          <w:highlight w:val="none"/>
          <w:lang w:val="en-US" w:eastAsia="zh-CN"/>
        </w:rPr>
      </w:pPr>
    </w:p>
    <w:p>
      <w:pPr>
        <w:rPr>
          <w:rFonts w:hint="eastAsia" w:ascii="宋体" w:hAnsi="Times New Roman" w:eastAsia="Times New Roman" w:cs="Times New Roman"/>
          <w:b/>
          <w:color w:val="000000" w:themeColor="text1"/>
          <w:sz w:val="30"/>
          <w:szCs w:val="30"/>
          <w:highlight w:val="none"/>
          <w:lang w:val="en-US" w:eastAsia="zh-CN"/>
        </w:rPr>
      </w:pPr>
    </w:p>
    <w:p>
      <w:pPr>
        <w:pStyle w:val="6"/>
        <w:rPr>
          <w:rFonts w:hint="eastAsia" w:ascii="宋体" w:hAnsi="Times New Roman" w:eastAsia="Times New Roman" w:cs="Times New Roman"/>
          <w:b/>
          <w:color w:val="000000" w:themeColor="text1"/>
          <w:sz w:val="30"/>
          <w:szCs w:val="30"/>
          <w:highlight w:val="none"/>
          <w:lang w:val="en-US" w:eastAsia="zh-CN"/>
        </w:rPr>
      </w:pPr>
    </w:p>
    <w:p>
      <w:pPr>
        <w:rPr>
          <w:rFonts w:hint="eastAsia" w:ascii="宋体" w:hAnsi="Times New Roman" w:eastAsia="Times New Roman" w:cs="Times New Roman"/>
          <w:b/>
          <w:color w:val="000000" w:themeColor="text1"/>
          <w:sz w:val="30"/>
          <w:szCs w:val="30"/>
          <w:highlight w:val="none"/>
          <w:lang w:val="en-US" w:eastAsia="zh-CN"/>
        </w:rPr>
      </w:pPr>
    </w:p>
    <w:p>
      <w:pPr>
        <w:pStyle w:val="6"/>
        <w:rPr>
          <w:rFonts w:hint="eastAsia" w:ascii="宋体" w:hAnsi="Times New Roman" w:eastAsia="Times New Roman" w:cs="Times New Roman"/>
          <w:b/>
          <w:color w:val="000000" w:themeColor="text1"/>
          <w:sz w:val="30"/>
          <w:szCs w:val="30"/>
          <w:highlight w:val="none"/>
          <w:lang w:val="en-US" w:eastAsia="zh-CN"/>
        </w:rPr>
      </w:pPr>
    </w:p>
    <w:p>
      <w:pPr>
        <w:rPr>
          <w:rFonts w:hint="eastAsia" w:ascii="宋体" w:hAnsi="Times New Roman" w:eastAsia="Times New Roman" w:cs="Times New Roman"/>
          <w:b/>
          <w:color w:val="000000" w:themeColor="text1"/>
          <w:sz w:val="30"/>
          <w:szCs w:val="30"/>
          <w:highlight w:val="none"/>
          <w:lang w:val="en-US" w:eastAsia="zh-CN"/>
        </w:rPr>
      </w:pPr>
    </w:p>
    <w:p>
      <w:pPr>
        <w:pStyle w:val="6"/>
        <w:rPr>
          <w:rFonts w:hint="eastAsia" w:ascii="宋体" w:hAnsi="Times New Roman" w:eastAsia="Times New Roman" w:cs="Times New Roman"/>
          <w:b/>
          <w:color w:val="000000" w:themeColor="text1"/>
          <w:sz w:val="30"/>
          <w:szCs w:val="30"/>
          <w:highlight w:val="none"/>
          <w:lang w:val="en-US" w:eastAsia="zh-CN"/>
        </w:rPr>
      </w:pPr>
    </w:p>
    <w:p>
      <w:pPr>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212" w:firstLineChars="400"/>
        <w:jc w:val="center"/>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53" w:name="_Toc20669"/>
    </w:p>
    <w:p>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53"/>
    </w:p>
    <w:p>
      <w:pPr>
        <w:widowControl/>
        <w:numPr>
          <w:ilvl w:val="0"/>
          <w:numId w:val="13"/>
        </w:numPr>
        <w:shd w:val="clear" w:color="auto" w:fill="auto"/>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54" w:name="_Toc469495741"/>
      <w:r>
        <w:rPr>
          <w:rFonts w:hint="eastAsia" w:ascii="宋体"/>
          <w:b/>
          <w:color w:val="000000" w:themeColor="text1"/>
          <w:sz w:val="30"/>
          <w:szCs w:val="30"/>
          <w:highlight w:val="none"/>
        </w:rPr>
        <w:t>合同协议书</w:t>
      </w:r>
      <w:bookmarkEnd w:id="54"/>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pPr>
        <w:shd w:val="clear" w:color="auto" w:fill="auto"/>
        <w:spacing w:line="360" w:lineRule="auto"/>
        <w:ind w:firstLine="486"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4、付款方式</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FF0000"/>
          <w:sz w:val="24"/>
          <w:szCs w:val="24"/>
          <w:highlight w:val="none"/>
          <w:lang w:val="en-US" w:eastAsia="zh-CN"/>
        </w:rPr>
        <w:t>以甲乙双方签定的合同为准。</w:t>
      </w:r>
    </w:p>
    <w:p>
      <w:p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pPr>
        <w:pStyle w:val="5"/>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pPr>
        <w:pStyle w:val="5"/>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pPr>
        <w:pStyle w:val="5"/>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pPr>
        <w:pStyle w:val="5"/>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p>
    <w:p>
      <w:pPr>
        <w:pStyle w:val="5"/>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pPr>
        <w:pStyle w:val="9"/>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pPr>
        <w:pStyle w:val="9"/>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9"/>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000000" w:themeColor="text1"/>
          <w:sz w:val="21"/>
          <w:szCs w:val="21"/>
          <w:highlight w:val="none"/>
          <w:u w:val="none" w:color="000000"/>
        </w:rPr>
        <w:t>外）。</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pPr>
        <w:pStyle w:val="9"/>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w:t>
      </w:r>
      <w:r>
        <w:rPr>
          <w:rFonts w:hint="eastAsia" w:ascii="仿宋" w:hAnsi="仿宋" w:eastAsia="仿宋" w:cs="仿宋"/>
          <w:color w:val="000000" w:themeColor="text1"/>
          <w:sz w:val="24"/>
          <w:szCs w:val="24"/>
          <w:highlight w:val="none"/>
          <w:u w:val="none" w:color="000000"/>
          <w:lang w:val="en-US" w:eastAsia="zh-CN"/>
        </w:rPr>
        <w:t>品牌、</w:t>
      </w:r>
      <w:r>
        <w:rPr>
          <w:rFonts w:hint="eastAsia" w:ascii="仿宋" w:hAnsi="仿宋" w:eastAsia="仿宋" w:cs="仿宋"/>
          <w:color w:val="000000" w:themeColor="text1"/>
          <w:sz w:val="24"/>
          <w:szCs w:val="24"/>
          <w:highlight w:val="none"/>
          <w:u w:val="none" w:color="000000"/>
        </w:rPr>
        <w:t>规格、性能、数量等进行详细而全面的检验，并出具一份合格检验证明，合格检验证明作为验收的依据，但不能作为有关标的物质量、规格、数量或性能的最终检验结果。</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pPr>
        <w:pStyle w:val="9"/>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pPr>
        <w:pStyle w:val="9"/>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pPr>
        <w:pStyle w:val="9"/>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pPr>
        <w:pStyle w:val="9"/>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pPr>
        <w:pStyle w:val="9"/>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pPr>
        <w:pStyle w:val="9"/>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pPr>
        <w:pStyle w:val="9"/>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pPr>
        <w:pStyle w:val="9"/>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本合同未尽事宜应按《中华人民共和国政府采购法》、《中华人民共和国合同法》、《中华人民共和国产品质量法》之规定解释。</w:t>
      </w:r>
      <w:bookmarkStart w:id="55" w:name="bookmark196"/>
    </w:p>
    <w:p>
      <w:pPr>
        <w:pStyle w:val="35"/>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5"/>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5"/>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5"/>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p>
    <w:p>
      <w:pPr>
        <w:pStyle w:val="4"/>
        <w:rPr>
          <w:rFonts w:hint="eastAsia" w:ascii="仿宋" w:hAnsi="仿宋" w:eastAsia="仿宋" w:cs="仿宋"/>
          <w:b/>
          <w:bCs/>
          <w:color w:val="000000" w:themeColor="text1"/>
          <w:sz w:val="28"/>
          <w:szCs w:val="28"/>
          <w:bdr w:val="single" w:color="auto" w:sz="4" w:space="0"/>
        </w:rPr>
      </w:pPr>
    </w:p>
    <w:p>
      <w:pPr>
        <w:pStyle w:val="4"/>
        <w:rPr>
          <w:rFonts w:hint="eastAsia" w:ascii="仿宋" w:hAnsi="仿宋" w:eastAsia="仿宋" w:cs="仿宋"/>
          <w:b/>
          <w:bCs/>
          <w:color w:val="000000" w:themeColor="text1"/>
          <w:sz w:val="28"/>
          <w:szCs w:val="28"/>
          <w:bdr w:val="single" w:color="auto" w:sz="4" w:space="0"/>
        </w:rPr>
      </w:pPr>
    </w:p>
    <w:p>
      <w:pPr>
        <w:pStyle w:val="35"/>
        <w:keepNext/>
        <w:keepLines/>
        <w:widowControl w:val="0"/>
        <w:shd w:val="clear" w:color="auto" w:fill="auto"/>
        <w:bidi w:val="0"/>
        <w:spacing w:before="0" w:after="1160" w:line="240" w:lineRule="auto"/>
        <w:ind w:right="0"/>
        <w:jc w:val="center"/>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pPr>
        <w:adjustRightInd w:val="0"/>
        <w:snapToGrid w:val="0"/>
        <w:spacing w:line="360" w:lineRule="auto"/>
        <w:ind w:left="602" w:right="70" w:hanging="602"/>
        <w:jc w:val="right"/>
        <w:rPr>
          <w:rFonts w:hint="eastAsia" w:ascii="仿宋" w:hAnsi="仿宋" w:eastAsia="仿宋" w:cs="仿宋"/>
          <w:b/>
          <w:caps/>
          <w:color w:val="000000" w:themeColor="text1"/>
          <w:sz w:val="24"/>
          <w:szCs w:val="24"/>
        </w:rPr>
      </w:pPr>
      <w:r>
        <w:rPr>
          <w:rFonts w:hint="eastAsia" w:ascii="仿宋" w:hAnsi="仿宋" w:eastAsia="仿宋" w:cs="仿宋"/>
          <w:b/>
          <w:bCs/>
          <w:color w:val="000000" w:themeColor="text1"/>
          <w:sz w:val="28"/>
          <w:szCs w:val="28"/>
          <w:bdr w:val="single" w:color="auto" w:sz="4" w:space="0"/>
        </w:rPr>
        <w:t>正/副 本</w:t>
      </w:r>
    </w:p>
    <w:p>
      <w:pPr>
        <w:pStyle w:val="4"/>
        <w:rPr>
          <w:rFonts w:hint="eastAsia" w:ascii="仿宋" w:hAnsi="仿宋" w:eastAsia="仿宋" w:cs="仿宋"/>
          <w:b/>
          <w:caps/>
          <w:color w:val="000000" w:themeColor="text1"/>
          <w:sz w:val="24"/>
          <w:szCs w:val="24"/>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pPr>
        <w:adjustRightInd w:val="0"/>
        <w:snapToGrid w:val="0"/>
        <w:spacing w:line="360" w:lineRule="auto"/>
        <w:jc w:val="both"/>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bCs/>
          <w:color w:val="000000" w:themeColor="text1"/>
          <w:sz w:val="44"/>
          <w:szCs w:val="44"/>
          <w:lang w:eastAsia="zh-CN"/>
        </w:rPr>
        <w:t>投标文件</w:t>
      </w:r>
    </w:p>
    <w:p>
      <w:pPr>
        <w:pStyle w:val="14"/>
        <w:rPr>
          <w:rFonts w:hint="eastAsia" w:ascii="仿宋" w:hAnsi="仿宋" w:eastAsia="仿宋" w:cs="仿宋"/>
          <w:bCs/>
          <w:color w:val="000000" w:themeColor="text1"/>
          <w:sz w:val="32"/>
          <w:szCs w:val="32"/>
        </w:rPr>
      </w:pPr>
    </w:p>
    <w:p>
      <w:pPr>
        <w:rPr>
          <w:rFonts w:hint="eastAsia" w:ascii="仿宋" w:hAnsi="仿宋" w:eastAsia="仿宋" w:cs="仿宋"/>
          <w:bCs/>
          <w:color w:val="000000" w:themeColor="text1"/>
          <w:sz w:val="32"/>
          <w:szCs w:val="32"/>
        </w:rPr>
      </w:pPr>
    </w:p>
    <w:p>
      <w:pPr>
        <w:pStyle w:val="13"/>
        <w:rPr>
          <w:rFonts w:hint="eastAsia"/>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750729229"/>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
        </w:rPr>
        <w:t>法定代表人（</w:t>
      </w:r>
      <w:r>
        <w:rPr>
          <w:rFonts w:hint="eastAsia" w:ascii="仿宋" w:hAnsi="仿宋" w:eastAsia="仿宋" w:cs="仿宋"/>
          <w:b/>
          <w:caps/>
          <w:color w:val="000000" w:themeColor="text1"/>
          <w:spacing w:val="0"/>
          <w:w w:val="77"/>
          <w:kern w:val="0"/>
          <w:sz w:val="28"/>
          <w:szCs w:val="28"/>
          <w:fitText w:val="2810" w:id="1"/>
          <w:lang w:eastAsia="zh-CN"/>
        </w:rPr>
        <w:t>签章</w:t>
      </w:r>
      <w:r>
        <w:rPr>
          <w:rFonts w:hint="eastAsia" w:ascii="仿宋" w:hAnsi="仿宋" w:eastAsia="仿宋" w:cs="仿宋"/>
          <w:b/>
          <w:caps/>
          <w:color w:val="000000" w:themeColor="text1"/>
          <w:spacing w:val="0"/>
          <w:w w:val="77"/>
          <w:kern w:val="0"/>
          <w:sz w:val="28"/>
          <w:szCs w:val="28"/>
          <w:fitText w:val="2810" w:id="1"/>
        </w:rPr>
        <w:t>或盖章）</w:t>
      </w:r>
      <w:r>
        <w:rPr>
          <w:rFonts w:hint="eastAsia" w:ascii="仿宋" w:hAnsi="仿宋" w:eastAsia="仿宋" w:cs="仿宋"/>
          <w:b/>
          <w:caps/>
          <w:color w:val="000000" w:themeColor="text1"/>
          <w:spacing w:val="-1"/>
          <w:w w:val="77"/>
          <w:kern w:val="0"/>
          <w:sz w:val="28"/>
          <w:szCs w:val="28"/>
          <w:fitText w:val="2810" w:id="1"/>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2"/>
        </w:rPr>
        <w:t>供应商地址</w:t>
      </w:r>
      <w:r>
        <w:rPr>
          <w:rFonts w:hint="eastAsia" w:ascii="仿宋" w:hAnsi="仿宋" w:eastAsia="仿宋" w:cs="仿宋"/>
          <w:b/>
          <w:caps/>
          <w:color w:val="000000" w:themeColor="text1"/>
          <w:spacing w:val="0"/>
          <w:kern w:val="0"/>
          <w:sz w:val="28"/>
          <w:szCs w:val="28"/>
          <w:fitText w:val="2810" w:id="2"/>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3"/>
        </w:rPr>
        <w:t>联系人</w:t>
      </w:r>
      <w:r>
        <w:rPr>
          <w:rFonts w:hint="eastAsia" w:ascii="仿宋" w:hAnsi="仿宋" w:eastAsia="仿宋" w:cs="仿宋"/>
          <w:b/>
          <w:caps/>
          <w:color w:val="000000" w:themeColor="text1"/>
          <w:spacing w:val="2"/>
          <w:kern w:val="0"/>
          <w:sz w:val="28"/>
          <w:szCs w:val="28"/>
          <w:fitText w:val="2810" w:id="3"/>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4"/>
        </w:rPr>
        <w:t>联系电话</w:t>
      </w:r>
      <w:r>
        <w:rPr>
          <w:rFonts w:hint="eastAsia" w:ascii="仿宋" w:hAnsi="仿宋" w:eastAsia="仿宋" w:cs="仿宋"/>
          <w:b/>
          <w:caps/>
          <w:color w:val="000000" w:themeColor="text1"/>
          <w:spacing w:val="1"/>
          <w:kern w:val="0"/>
          <w:sz w:val="28"/>
          <w:szCs w:val="28"/>
          <w:fitText w:val="2810" w:id="4"/>
        </w:rPr>
        <w:t>：</w:t>
      </w:r>
    </w:p>
    <w:p>
      <w:pPr>
        <w:adjustRightInd w:val="0"/>
        <w:snapToGrid w:val="0"/>
        <w:spacing w:line="360" w:lineRule="auto"/>
        <w:jc w:val="center"/>
        <w:rPr>
          <w:rFonts w:hint="eastAsia" w:ascii="仿宋" w:hAnsi="仿宋" w:eastAsia="仿宋" w:cs="仿宋"/>
          <w:b/>
          <w:caps/>
          <w:color w:val="000000" w:themeColor="text1"/>
          <w:sz w:val="28"/>
          <w:szCs w:val="28"/>
        </w:rPr>
      </w:pPr>
    </w:p>
    <w:p>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55"/>
    <w:p>
      <w:pPr>
        <w:pStyle w:val="7"/>
        <w:spacing w:line="240" w:lineRule="atLeast"/>
        <w:jc w:val="both"/>
        <w:rPr>
          <w:rFonts w:hint="eastAsia" w:ascii="仿宋" w:hAnsi="仿宋" w:eastAsia="仿宋" w:cs="仿宋"/>
          <w:bCs/>
          <w:color w:val="000000" w:themeColor="text1"/>
          <w:szCs w:val="21"/>
          <w:lang w:eastAsia="zh-CN"/>
        </w:rPr>
      </w:pPr>
      <w:bookmarkStart w:id="56" w:name="_Toc8919"/>
      <w:bookmarkStart w:id="57" w:name="_Toc18974"/>
      <w:bookmarkStart w:id="58" w:name="_Toc18694"/>
      <w:bookmarkStart w:id="59" w:name="_Toc515647803"/>
    </w:p>
    <w:p>
      <w:pPr>
        <w:pStyle w:val="7"/>
        <w:spacing w:line="240" w:lineRule="atLeast"/>
        <w:ind w:firstLine="2264" w:firstLineChars="800"/>
        <w:jc w:val="both"/>
        <w:rPr>
          <w:rFonts w:hint="eastAsia" w:ascii="仿宋" w:hAnsi="仿宋" w:eastAsia="仿宋" w:cs="仿宋"/>
          <w:bCs/>
          <w:color w:val="000000" w:themeColor="text1"/>
          <w:szCs w:val="21"/>
          <w:lang w:eastAsia="zh-CN"/>
        </w:rPr>
      </w:pPr>
    </w:p>
    <w:p>
      <w:pPr>
        <w:pStyle w:val="7"/>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56"/>
      <w:bookmarkEnd w:id="57"/>
      <w:bookmarkEnd w:id="58"/>
      <w:bookmarkEnd w:id="59"/>
    </w:p>
    <w:p>
      <w:pPr>
        <w:spacing w:line="240" w:lineRule="atLeast"/>
        <w:ind w:left="717" w:hanging="716" w:hangingChars="295"/>
        <w:jc w:val="center"/>
        <w:rPr>
          <w:rFonts w:ascii="仿宋" w:hAnsi="仿宋" w:eastAsia="仿宋" w:cs="仿宋"/>
          <w:color w:val="000000" w:themeColor="text1"/>
          <w:lang w:eastAsia="zh-CN"/>
        </w:rPr>
      </w:pPr>
    </w:p>
    <w:p>
      <w:pPr>
        <w:pStyle w:val="7"/>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w:t>
      </w:r>
      <w:r>
        <w:rPr>
          <w:rFonts w:hint="eastAsia" w:ascii="仿宋" w:hAnsi="仿宋" w:eastAsia="仿宋" w:cs="仿宋"/>
          <w:color w:val="000000" w:themeColor="text1"/>
          <w:sz w:val="24"/>
          <w:highlight w:val="none"/>
          <w:lang w:val="en-US" w:eastAsia="zh-CN"/>
        </w:rPr>
        <w:t>委托</w:t>
      </w:r>
      <w:r>
        <w:rPr>
          <w:rFonts w:hint="eastAsia" w:ascii="仿宋" w:hAnsi="仿宋" w:eastAsia="仿宋" w:cs="仿宋"/>
          <w:color w:val="000000" w:themeColor="text1"/>
          <w:sz w:val="24"/>
          <w:highlight w:val="none"/>
        </w:rPr>
        <w:t>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i w:val="0"/>
          <w:iCs w:val="0"/>
          <w:caps w:val="0"/>
          <w:color w:val="000000"/>
          <w:spacing w:val="0"/>
          <w:sz w:val="24"/>
          <w:szCs w:val="24"/>
          <w:lang w:eastAsia="zh-CN"/>
        </w:rPr>
        <w:t>投标企业须提供投标人（被授权在职人员）近6个月有效的社保证明；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lang w:val="en-US" w:eastAsia="zh-CN"/>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6、投标企业须</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提供有效的《医疗器械生产许可证》或《医疗器械经营许可证》</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7、中小企业声明函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8、未被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9、参加政府采购活动前3年内在经营活动中没有重大违法记录的书面声明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pPr>
        <w:pStyle w:val="1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pStyle w:val="1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rPr>
          <w:rFonts w:ascii="仿宋" w:hAnsi="仿宋" w:eastAsia="仿宋" w:cs="仿宋"/>
          <w:b/>
          <w:bCs/>
          <w:color w:val="000000" w:themeColor="text1"/>
          <w:sz w:val="36"/>
          <w:szCs w:val="36"/>
          <w:lang w:eastAsia="zh-CN"/>
        </w:rPr>
      </w:pPr>
    </w:p>
    <w:p>
      <w:pPr>
        <w:rPr>
          <w:rFonts w:hint="eastAsia"/>
          <w:lang w:eastAsia="zh-CN"/>
        </w:rPr>
      </w:pPr>
      <w:bookmarkStart w:id="60" w:name="_Toc515647805"/>
      <w:bookmarkStart w:id="61" w:name="_Toc29899"/>
      <w:bookmarkStart w:id="62" w:name="_Toc17577"/>
      <w:bookmarkStart w:id="63" w:name="_Toc4844"/>
    </w:p>
    <w:p>
      <w:pPr>
        <w:pStyle w:val="13"/>
        <w:rPr>
          <w:rFonts w:hint="eastAsia"/>
          <w:lang w:eastAsia="zh-CN"/>
        </w:rPr>
      </w:pPr>
    </w:p>
    <w:p>
      <w:pPr>
        <w:pStyle w:val="14"/>
        <w:rPr>
          <w:rFonts w:hint="eastAsia"/>
          <w:lang w:eastAsia="zh-CN"/>
        </w:rPr>
      </w:pPr>
    </w:p>
    <w:p>
      <w:pPr>
        <w:rPr>
          <w:rFonts w:hint="eastAsia"/>
          <w:lang w:eastAsia="zh-CN"/>
        </w:rPr>
      </w:pPr>
    </w:p>
    <w:p>
      <w:pPr>
        <w:pStyle w:val="13"/>
        <w:rPr>
          <w:rFonts w:hint="eastAsia"/>
          <w:lang w:eastAsia="zh-CN"/>
        </w:rPr>
      </w:pPr>
    </w:p>
    <w:p>
      <w:pPr>
        <w:pStyle w:val="14"/>
        <w:rPr>
          <w:rFonts w:hint="eastAsia"/>
          <w:lang w:eastAsia="zh-CN"/>
        </w:rPr>
      </w:pPr>
    </w:p>
    <w:bookmarkEnd w:id="60"/>
    <w:bookmarkEnd w:id="61"/>
    <w:bookmarkEnd w:id="62"/>
    <w:bookmarkEnd w:id="63"/>
    <w:p>
      <w:pPr>
        <w:pStyle w:val="12"/>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pPr>
        <w:pStyle w:val="6"/>
        <w:jc w:val="both"/>
        <w:rPr>
          <w:rFonts w:hint="eastAsia"/>
          <w:lang w:val="en-US" w:eastAsia="zh-CN"/>
        </w:rPr>
      </w:pPr>
    </w:p>
    <w:p>
      <w:pPr>
        <w:rPr>
          <w:rFonts w:hint="eastAsia"/>
          <w:lang w:val="en-US" w:eastAsia="zh-CN"/>
        </w:rPr>
      </w:pPr>
    </w:p>
    <w:p>
      <w:pPr>
        <w:pStyle w:val="12"/>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64" w:name="_Toc515647806"/>
      <w:r>
        <w:rPr>
          <w:rFonts w:hint="eastAsia" w:ascii="仿宋" w:hAnsi="仿宋" w:eastAsia="仿宋" w:cs="仿宋"/>
          <w:b/>
          <w:bCs/>
          <w:color w:val="000000" w:themeColor="text1"/>
          <w:sz w:val="36"/>
          <w:szCs w:val="36"/>
          <w:lang w:val="en-US" w:eastAsia="zh-CN"/>
        </w:rPr>
        <w:t>或自然人的身份证明</w:t>
      </w:r>
      <w:bookmarkEnd w:id="64"/>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rPr>
          <w:rFonts w:hint="eastAsia"/>
          <w:lang w:eastAsia="zh-CN"/>
        </w:rPr>
      </w:pPr>
    </w:p>
    <w:p>
      <w:pPr>
        <w:rPr>
          <w:rFonts w:hint="eastAsia"/>
          <w:lang w:eastAsia="zh-CN"/>
        </w:rPr>
      </w:pPr>
    </w:p>
    <w:p>
      <w:pPr>
        <w:rPr>
          <w:rFonts w:hint="eastAsia"/>
          <w:lang w:eastAsia="zh-CN"/>
        </w:rPr>
      </w:pPr>
    </w:p>
    <w:p>
      <w:pPr>
        <w:pStyle w:val="13"/>
        <w:rPr>
          <w:rFonts w:hint="eastAsia"/>
          <w:lang w:eastAsia="zh-CN"/>
        </w:rPr>
      </w:pPr>
    </w:p>
    <w:p>
      <w:pPr>
        <w:pStyle w:val="14"/>
        <w:rPr>
          <w:rFonts w:hint="eastAsia"/>
          <w:lang w:eastAsia="zh-CN"/>
        </w:rPr>
      </w:pPr>
    </w:p>
    <w:p>
      <w:pPr>
        <w:rPr>
          <w:rFonts w:hint="eastAsia"/>
          <w:lang w:eastAsia="zh-CN"/>
        </w:rPr>
      </w:pPr>
    </w:p>
    <w:p>
      <w:pPr>
        <w:rPr>
          <w:rFonts w:hint="eastAsia"/>
          <w:lang w:eastAsia="zh-CN"/>
        </w:rPr>
      </w:pPr>
    </w:p>
    <w:p>
      <w:pPr>
        <w:pStyle w:val="1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pPr>
        <w:pStyle w:val="12"/>
        <w:numPr>
          <w:ilvl w:val="0"/>
          <w:numId w:val="0"/>
        </w:numPr>
        <w:kinsoku w:val="0"/>
        <w:overflowPunct w:val="0"/>
        <w:ind w:leftChars="0" w:right="0" w:rightChars="0"/>
        <w:rPr>
          <w:rFonts w:hint="eastAsia" w:ascii="仿宋" w:hAnsi="仿宋" w:eastAsia="仿宋" w:cs="仿宋"/>
          <w:color w:val="000000" w:themeColor="text1"/>
          <w:sz w:val="20"/>
          <w:szCs w:val="20"/>
        </w:rPr>
      </w:pPr>
    </w:p>
    <w:p>
      <w:pPr>
        <w:pStyle w:val="12"/>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pPr>
        <w:pStyle w:val="12"/>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12"/>
                      <w:numPr>
                        <w:ilvl w:val="0"/>
                        <w:numId w:val="0"/>
                      </w:numPr>
                      <w:kinsoku w:val="0"/>
                      <w:overflowPunct w:val="0"/>
                      <w:spacing w:before="13"/>
                      <w:ind w:leftChars="0" w:right="0" w:rightChars="0"/>
                      <w:rPr>
                        <w:rFonts w:hint="eastAsia"/>
                        <w:sz w:val="28"/>
                        <w:szCs w:val="28"/>
                      </w:rPr>
                    </w:pPr>
                  </w:p>
                  <w:p>
                    <w:pPr>
                      <w:pStyle w:val="12"/>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2"/>
                      <w:numPr>
                        <w:ilvl w:val="0"/>
                        <w:numId w:val="0"/>
                      </w:numPr>
                      <w:kinsoku w:val="0"/>
                      <w:overflowPunct w:val="0"/>
                      <w:spacing w:before="13"/>
                      <w:ind w:leftChars="0" w:right="0" w:rightChars="0"/>
                      <w:rPr>
                        <w:rFonts w:hint="eastAsia"/>
                        <w:sz w:val="28"/>
                        <w:szCs w:val="28"/>
                      </w:rPr>
                    </w:pPr>
                  </w:p>
                  <w:p>
                    <w:pPr>
                      <w:pStyle w:val="12"/>
                      <w:numPr>
                        <w:ilvl w:val="0"/>
                        <w:numId w:val="0"/>
                      </w:numPr>
                      <w:kinsoku w:val="0"/>
                      <w:overflowPunct w:val="0"/>
                      <w:ind w:right="0" w:rightChars="0"/>
                    </w:pPr>
                    <w:r>
                      <w:rPr>
                        <w:rFonts w:hint="eastAsia"/>
                      </w:rPr>
                      <w:t>法定代表人身份证复印件（反面）</w:t>
                    </w:r>
                  </w:p>
                </w:txbxContent>
              </v:textbox>
            </v:shape>
            <w10:wrap type="none"/>
            <w10:anchorlock/>
          </v:group>
        </w:pict>
      </w:r>
    </w:p>
    <w:p>
      <w:pPr>
        <w:wordWrap w:val="0"/>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pPr>
        <w:pStyle w:val="1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2"/>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 w:val="36"/>
          <w:szCs w:val="36"/>
          <w:lang w:val="en-US" w:eastAsia="zh-CN"/>
        </w:rPr>
      </w:pPr>
    </w:p>
    <w:p>
      <w:pPr>
        <w:rPr>
          <w:rFonts w:hint="eastAsia"/>
          <w:lang w:val="en-US" w:eastAsia="zh-CN"/>
        </w:rPr>
      </w:pPr>
    </w:p>
    <w:p>
      <w:pPr>
        <w:pStyle w:val="12"/>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pPr>
        <w:pStyle w:val="12"/>
        <w:kinsoku w:val="0"/>
        <w:overflowPunct w:val="0"/>
        <w:adjustRightInd w:val="0"/>
        <w:snapToGrid w:val="0"/>
        <w:spacing w:before="12"/>
        <w:rPr>
          <w:rFonts w:hint="eastAsia" w:ascii="仿宋" w:hAnsi="仿宋" w:eastAsia="仿宋" w:cs="仿宋"/>
          <w:color w:val="000000" w:themeColor="text1"/>
          <w:sz w:val="4"/>
          <w:szCs w:val="4"/>
        </w:rPr>
      </w:pPr>
    </w:p>
    <w:p>
      <w:pPr>
        <w:pStyle w:val="12"/>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12"/>
                      <w:numPr>
                        <w:ilvl w:val="0"/>
                        <w:numId w:val="0"/>
                      </w:numPr>
                      <w:kinsoku w:val="0"/>
                      <w:overflowPunct w:val="0"/>
                      <w:spacing w:before="12"/>
                      <w:ind w:leftChars="0" w:right="0" w:rightChars="0"/>
                      <w:rPr>
                        <w:rFonts w:hint="eastAsia"/>
                        <w:sz w:val="28"/>
                        <w:szCs w:val="28"/>
                      </w:rPr>
                    </w:pPr>
                  </w:p>
                  <w:p>
                    <w:pPr>
                      <w:pStyle w:val="12"/>
                      <w:numPr>
                        <w:ilvl w:val="0"/>
                        <w:numId w:val="0"/>
                      </w:numPr>
                      <w:kinsoku w:val="0"/>
                      <w:overflowPunct w:val="0"/>
                      <w:ind w:right="0" w:rightChars="0"/>
                      <w:jc w:val="center"/>
                      <w:rPr>
                        <w:rFonts w:hint="eastAsia"/>
                      </w:rPr>
                    </w:pPr>
                  </w:p>
                  <w:p>
                    <w:pPr>
                      <w:pStyle w:val="12"/>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12"/>
                      <w:numPr>
                        <w:ilvl w:val="0"/>
                        <w:numId w:val="0"/>
                      </w:numPr>
                      <w:kinsoku w:val="0"/>
                      <w:overflowPunct w:val="0"/>
                      <w:ind w:right="0" w:rightChars="0"/>
                      <w:rPr>
                        <w:rFonts w:hint="eastAsia"/>
                      </w:rPr>
                    </w:pPr>
                  </w:p>
                  <w:p>
                    <w:pPr>
                      <w:pStyle w:val="12"/>
                      <w:numPr>
                        <w:ilvl w:val="0"/>
                        <w:numId w:val="0"/>
                      </w:numPr>
                      <w:kinsoku w:val="0"/>
                      <w:overflowPunct w:val="0"/>
                      <w:ind w:right="0" w:rightChars="0"/>
                      <w:rPr>
                        <w:rFonts w:hint="eastAsia"/>
                      </w:rPr>
                    </w:pPr>
                  </w:p>
                  <w:p>
                    <w:pPr>
                      <w:pStyle w:val="12"/>
                      <w:numPr>
                        <w:ilvl w:val="0"/>
                        <w:numId w:val="0"/>
                      </w:numPr>
                      <w:kinsoku w:val="0"/>
                      <w:overflowPunct w:val="0"/>
                      <w:ind w:right="0" w:rightChars="0"/>
                      <w:rPr>
                        <w:rFonts w:hint="eastAsia"/>
                      </w:rPr>
                    </w:pPr>
                  </w:p>
                  <w:p>
                    <w:pPr>
                      <w:pStyle w:val="12"/>
                      <w:numPr>
                        <w:ilvl w:val="0"/>
                        <w:numId w:val="0"/>
                      </w:numPr>
                      <w:kinsoku w:val="0"/>
                      <w:overflowPunct w:val="0"/>
                      <w:ind w:right="0" w:rightChars="0"/>
                    </w:pPr>
                    <w:r>
                      <w:rPr>
                        <w:rFonts w:hint="eastAsia"/>
                      </w:rPr>
                      <w:t>授权人身份证复印件（反面）</w:t>
                    </w:r>
                  </w:p>
                </w:txbxContent>
              </v:textbox>
            </v:shape>
            <w10:wrap type="none"/>
            <w10:anchorlock/>
          </v:group>
        </w:pict>
      </w:r>
    </w:p>
    <w:p>
      <w:pPr>
        <w:pStyle w:val="12"/>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2"/>
                      <w:numPr>
                        <w:ilvl w:val="0"/>
                        <w:numId w:val="0"/>
                      </w:numPr>
                      <w:kinsoku w:val="0"/>
                      <w:overflowPunct w:val="0"/>
                      <w:ind w:right="0" w:rightChars="0"/>
                      <w:rPr>
                        <w:rFonts w:hint="eastAsia"/>
                      </w:rPr>
                    </w:pPr>
                  </w:p>
                  <w:p>
                    <w:pPr>
                      <w:pStyle w:val="12"/>
                      <w:numPr>
                        <w:ilvl w:val="0"/>
                        <w:numId w:val="0"/>
                      </w:numPr>
                      <w:kinsoku w:val="0"/>
                      <w:overflowPunct w:val="0"/>
                      <w:ind w:right="0" w:rightChars="0"/>
                      <w:rPr>
                        <w:rFonts w:hint="eastAsia"/>
                      </w:rPr>
                    </w:pPr>
                  </w:p>
                  <w:p>
                    <w:pPr>
                      <w:pStyle w:val="12"/>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pPr>
                      <w:pStyle w:val="12"/>
                      <w:numPr>
                        <w:ilvl w:val="0"/>
                        <w:numId w:val="0"/>
                      </w:numPr>
                      <w:kinsoku w:val="0"/>
                      <w:overflowPunct w:val="0"/>
                      <w:ind w:right="0" w:rightChars="0"/>
                      <w:rPr>
                        <w:rFonts w:hint="eastAsia"/>
                      </w:rPr>
                    </w:pPr>
                  </w:p>
                  <w:p>
                    <w:pPr>
                      <w:pStyle w:val="12"/>
                      <w:numPr>
                        <w:ilvl w:val="0"/>
                        <w:numId w:val="0"/>
                      </w:numPr>
                      <w:kinsoku w:val="0"/>
                      <w:overflowPunct w:val="0"/>
                      <w:ind w:right="0" w:rightChars="0"/>
                      <w:rPr>
                        <w:rFonts w:hint="eastAsia"/>
                      </w:rPr>
                    </w:pPr>
                  </w:p>
                  <w:p>
                    <w:pPr>
                      <w:pStyle w:val="12"/>
                      <w:numPr>
                        <w:ilvl w:val="0"/>
                        <w:numId w:val="0"/>
                      </w:numPr>
                      <w:kinsoku w:val="0"/>
                      <w:overflowPunct w:val="0"/>
                      <w:ind w:right="0" w:rightChars="0"/>
                    </w:pPr>
                    <w:r>
                      <w:rPr>
                        <w:rFonts w:hint="eastAsia"/>
                      </w:rPr>
                      <w:t>被授权代表身份证复印件（反面）</w:t>
                    </w:r>
                  </w:p>
                </w:txbxContent>
              </v:textbox>
            </v:shape>
            <w10:wrap type="none"/>
            <w10:anchorlock/>
          </v:group>
        </w:pict>
      </w:r>
    </w:p>
    <w:p>
      <w:pPr>
        <w:pStyle w:val="12"/>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pPr>
        <w:pStyle w:val="12"/>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pPr>
        <w:pStyle w:val="12"/>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pPr>
        <w:pStyle w:val="12"/>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pPr>
        <w:pStyle w:val="12"/>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pPr>
        <w:pStyle w:val="32"/>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5"/>
        <w:tblpPr w:leftFromText="180" w:rightFromText="180" w:vertAnchor="text" w:horzAnchor="page" w:tblpX="1919" w:tblpY="393"/>
        <w:tblOverlap w:val="never"/>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vAlign w:val="top"/>
          </w:tcPr>
          <w:p>
            <w:pPr>
              <w:jc w:val="both"/>
              <w:rPr>
                <w:rFonts w:hint="eastAsia" w:ascii="宋体" w:hAnsi="宋体" w:cs="宋体"/>
                <w:b/>
                <w:color w:val="FF0000"/>
                <w:sz w:val="30"/>
                <w:szCs w:val="30"/>
              </w:rPr>
            </w:pPr>
          </w:p>
          <w:p>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pPr>
        <w:rPr>
          <w:rFonts w:ascii="仿宋" w:hAnsi="仿宋" w:eastAsia="仿宋" w:cs="仿宋"/>
          <w:color w:val="000000" w:themeColor="text1"/>
          <w:sz w:val="20"/>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5、投标企业须提供投标人（被授权在职人员）近6个月有效的社保证明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6、投标企业须</w:t>
      </w:r>
      <w:r>
        <w:rPr>
          <w:rFonts w:hint="eastAsia" w:ascii="仿宋" w:hAnsi="仿宋" w:eastAsia="仿宋" w:cs="仿宋"/>
          <w:b/>
          <w:bCs/>
          <w:color w:val="000000" w:themeColor="text1"/>
          <w:sz w:val="32"/>
          <w:szCs w:val="32"/>
          <w:lang w:val="en-US" w:eastAsia="en-US"/>
        </w:rPr>
        <w:t>提供有效的《医疗器械生产许可证》或《医疗器械经营许可证》。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243" w:firstLineChars="100"/>
        <w:jc w:val="left"/>
        <w:textAlignment w:val="auto"/>
        <w:rPr>
          <w:rFonts w:hint="eastAsia" w:ascii="仿宋" w:hAnsi="仿宋" w:eastAsia="仿宋" w:cs="仿宋"/>
          <w:color w:val="000000" w:themeColor="text1"/>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243" w:firstLineChars="1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rPr>
      </w:pP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r>
        <w:rPr>
          <w:rFonts w:hint="eastAsia" w:ascii="仿宋" w:hAnsi="仿宋" w:eastAsia="仿宋" w:cs="仿宋"/>
          <w:color w:val="000000" w:themeColor="text1"/>
          <w:sz w:val="32"/>
          <w:szCs w:val="22"/>
          <w:highlight w:val="none"/>
          <w:lang w:val="en-US" w:eastAsia="zh-CN"/>
        </w:rPr>
        <w:t>7、中小企业声明函</w:t>
      </w: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8</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lang w:val="en-US" w:eastAsia="zh-CN"/>
        </w:rPr>
      </w:pPr>
    </w:p>
    <w:p>
      <w:pPr>
        <w:pStyle w:val="7"/>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rPr>
      </w:pPr>
      <w:r>
        <w:rPr>
          <w:rFonts w:hint="eastAsia" w:ascii="仿宋" w:hAnsi="仿宋" w:eastAsia="仿宋" w:cs="仿宋"/>
          <w:color w:val="000000" w:themeColor="text1"/>
          <w:sz w:val="32"/>
          <w:szCs w:val="22"/>
          <w:highlight w:val="none"/>
          <w:lang w:val="en-US" w:eastAsia="zh-CN"/>
        </w:rPr>
        <w:t>9、</w:t>
      </w:r>
      <w:r>
        <w:rPr>
          <w:rFonts w:hint="eastAsia" w:ascii="仿宋" w:hAnsi="仿宋" w:eastAsia="仿宋" w:cs="仿宋"/>
          <w:color w:val="000000" w:themeColor="text1"/>
          <w:sz w:val="32"/>
          <w:szCs w:val="22"/>
          <w:highlight w:val="none"/>
        </w:rPr>
        <w:t>参加政府采购活动前3年内在经营活动中没有重大违法记录的书面声明</w:t>
      </w:r>
    </w:p>
    <w:p>
      <w:pPr>
        <w:pStyle w:val="13"/>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rPr>
      </w:pPr>
    </w:p>
    <w:p>
      <w:pPr>
        <w:pStyle w:val="13"/>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pPr>
        <w:pStyle w:val="13"/>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pPr>
        <w:pStyle w:val="13"/>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pPr>
        <w:pStyle w:val="13"/>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2．按照招标文件的规定加盖单位章（自然人投标的无需盖章，需要签字）。</w:t>
      </w:r>
    </w:p>
    <w:p>
      <w:pPr>
        <w:pStyle w:val="13"/>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6" w:firstLineChars="20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6" w:firstLineChars="20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6" w:firstLineChars="200"/>
        <w:jc w:val="left"/>
        <w:textAlignment w:val="auto"/>
        <w:rPr>
          <w:rFonts w:hint="eastAsia" w:ascii="仿宋" w:hAnsi="仿宋" w:eastAsia="仿宋" w:cs="仿宋"/>
          <w:color w:val="000000" w:themeColor="text1"/>
          <w:sz w:val="32"/>
          <w:szCs w:val="32"/>
          <w:highlight w:val="none"/>
          <w:lang w:val="en-US" w:eastAsia="zh-CN"/>
        </w:rPr>
      </w:pPr>
    </w:p>
    <w:p>
      <w:pPr>
        <w:pStyle w:val="32"/>
        <w:ind w:left="0" w:leftChars="0" w:firstLine="0" w:firstLineChars="0"/>
        <w:rPr>
          <w:rFonts w:hint="eastAsia" w:ascii="仿宋" w:hAnsi="仿宋" w:eastAsia="仿宋" w:cs="仿宋"/>
          <w:b/>
          <w:bCs/>
          <w:color w:val="000000" w:themeColor="text1"/>
          <w:sz w:val="32"/>
          <w:szCs w:val="32"/>
        </w:rPr>
      </w:pPr>
    </w:p>
    <w:p>
      <w:pPr>
        <w:rPr>
          <w:rFonts w:hint="eastAsia" w:ascii="仿宋" w:hAnsi="仿宋" w:eastAsia="仿宋" w:cs="仿宋"/>
          <w:color w:val="000000" w:themeColor="text1"/>
        </w:rPr>
      </w:pPr>
    </w:p>
    <w:p>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投标人须知资料表要求的其他资格证明文件</w:t>
      </w:r>
      <w:bookmarkStart w:id="65" w:name="_Toc11180"/>
      <w:bookmarkStart w:id="66" w:name="_Toc515647816"/>
      <w:bookmarkStart w:id="67" w:name="_Toc5695"/>
      <w:bookmarkStart w:id="68" w:name="_Toc22967"/>
    </w:p>
    <w:p>
      <w:pPr>
        <w:pStyle w:val="2"/>
        <w:widowControl w:val="0"/>
        <w:numPr>
          <w:ilvl w:val="0"/>
          <w:numId w:val="0"/>
        </w:numPr>
        <w:autoSpaceDE w:val="0"/>
        <w:autoSpaceDN w:val="0"/>
        <w:adjustRightInd w:val="0"/>
        <w:rPr>
          <w:rFonts w:hint="eastAsia"/>
          <w:lang w:eastAsia="zh-CN"/>
        </w:rPr>
      </w:pPr>
    </w:p>
    <w:p>
      <w:pPr>
        <w:pStyle w:val="3"/>
        <w:rPr>
          <w:rFonts w:hint="eastAsia"/>
          <w:lang w:eastAsia="zh-CN"/>
        </w:rPr>
      </w:pPr>
    </w:p>
    <w:p>
      <w:pPr>
        <w:pStyle w:val="4"/>
        <w:rPr>
          <w:rFonts w:hint="eastAsia"/>
          <w:lang w:eastAsia="zh-CN"/>
        </w:rPr>
      </w:pPr>
    </w:p>
    <w:p>
      <w:pPr>
        <w:pStyle w:val="6"/>
        <w:spacing w:before="40" w:after="40" w:line="579" w:lineRule="auto"/>
        <w:ind w:firstLine="2261" w:firstLineChars="700"/>
        <w:jc w:val="both"/>
        <w:rPr>
          <w:rFonts w:hint="eastAsia" w:ascii="仿宋" w:hAnsi="仿宋" w:eastAsia="仿宋" w:cs="仿宋"/>
          <w:color w:val="000000" w:themeColor="text1"/>
          <w:sz w:val="32"/>
          <w:szCs w:val="32"/>
          <w:lang w:eastAsia="zh-CN"/>
        </w:rPr>
      </w:pPr>
    </w:p>
    <w:p>
      <w:pPr>
        <w:pStyle w:val="6"/>
        <w:spacing w:before="40" w:after="40" w:line="579" w:lineRule="auto"/>
        <w:jc w:val="both"/>
        <w:rPr>
          <w:rFonts w:hint="eastAsia" w:ascii="仿宋" w:hAnsi="仿宋" w:eastAsia="仿宋" w:cs="仿宋"/>
          <w:color w:val="000000" w:themeColor="text1"/>
          <w:sz w:val="32"/>
          <w:szCs w:val="32"/>
          <w:lang w:eastAsia="zh-CN"/>
        </w:rPr>
      </w:pPr>
    </w:p>
    <w:p>
      <w:pPr>
        <w:rPr>
          <w:rFonts w:hint="eastAsia" w:ascii="仿宋" w:hAnsi="仿宋" w:eastAsia="仿宋" w:cs="仿宋"/>
          <w:color w:val="000000" w:themeColor="text1"/>
          <w:sz w:val="32"/>
          <w:szCs w:val="32"/>
          <w:lang w:eastAsia="zh-CN"/>
        </w:rPr>
      </w:pPr>
    </w:p>
    <w:p>
      <w:pPr>
        <w:pStyle w:val="2"/>
        <w:rPr>
          <w:rFonts w:hint="eastAsia"/>
          <w:lang w:eastAsia="zh-CN"/>
        </w:rPr>
      </w:pPr>
    </w:p>
    <w:p>
      <w:pPr>
        <w:pStyle w:val="6"/>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65"/>
      <w:bookmarkEnd w:id="66"/>
      <w:bookmarkEnd w:id="67"/>
      <w:bookmarkEnd w:id="68"/>
    </w:p>
    <w:p>
      <w:pPr>
        <w:pStyle w:val="13"/>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1、投标函</w:t>
      </w:r>
    </w:p>
    <w:p>
      <w:pPr>
        <w:pStyle w:val="13"/>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eastAsia="zh-CN"/>
        </w:rPr>
        <w:t>2、开标一览表</w:t>
      </w:r>
    </w:p>
    <w:p>
      <w:pPr>
        <w:pStyle w:val="13"/>
        <w:spacing w:line="400" w:lineRule="exact"/>
        <w:ind w:left="1164" w:leftChars="257" w:hanging="540"/>
        <w:jc w:val="left"/>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lang w:val="en-US" w:eastAsia="zh-CN"/>
        </w:rPr>
        <w:t>货物说明一览表</w:t>
      </w:r>
    </w:p>
    <w:p>
      <w:pPr>
        <w:pStyle w:val="13"/>
        <w:spacing w:line="400" w:lineRule="exact"/>
        <w:ind w:left="1164" w:leftChars="257" w:hanging="540"/>
        <w:jc w:val="left"/>
        <w:rPr>
          <w:rFonts w:hint="default"/>
          <w:lang w:val="en-US" w:eastAsia="zh-CN"/>
        </w:rPr>
      </w:pPr>
      <w:r>
        <w:rPr>
          <w:rFonts w:hint="eastAsia" w:ascii="仿宋" w:hAnsi="仿宋" w:eastAsia="仿宋" w:cs="仿宋"/>
          <w:color w:val="000000" w:themeColor="text1"/>
          <w:lang w:val="en-US" w:eastAsia="zh-CN"/>
        </w:rPr>
        <w:t>4、投标报价明细表</w:t>
      </w:r>
    </w:p>
    <w:p>
      <w:pPr>
        <w:pStyle w:val="13"/>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、技术规格偏离表</w:t>
      </w:r>
    </w:p>
    <w:p>
      <w:pPr>
        <w:pStyle w:val="13"/>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、商务条款偏离表</w:t>
      </w:r>
    </w:p>
    <w:p>
      <w:pPr>
        <w:pStyle w:val="13"/>
        <w:spacing w:line="400" w:lineRule="exact"/>
        <w:ind w:left="1164" w:leftChars="257" w:hanging="540"/>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7</w:t>
      </w:r>
      <w:r>
        <w:rPr>
          <w:rFonts w:hint="eastAsia" w:ascii="仿宋" w:hAnsi="仿宋" w:eastAsia="仿宋" w:cs="仿宋"/>
          <w:color w:val="000000" w:themeColor="text1"/>
          <w:lang w:eastAsia="zh-CN"/>
        </w:rPr>
        <w:t>、供应商基本情况表</w:t>
      </w:r>
    </w:p>
    <w:p>
      <w:pPr>
        <w:pStyle w:val="13"/>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、近三年类似项目业绩表</w:t>
      </w:r>
    </w:p>
    <w:p>
      <w:pPr>
        <w:pStyle w:val="13"/>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highlight w:val="none"/>
          <w:lang w:val="en-US" w:eastAsia="zh-CN"/>
        </w:rPr>
        <w:t>9</w:t>
      </w:r>
      <w:r>
        <w:rPr>
          <w:rFonts w:hint="eastAsia" w:ascii="仿宋" w:hAnsi="仿宋" w:eastAsia="仿宋" w:cs="仿宋"/>
          <w:color w:val="000000" w:themeColor="text1"/>
          <w:highlight w:val="none"/>
          <w:lang w:eastAsia="zh-CN"/>
        </w:rPr>
        <w:t>、中小企业声明函</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货物</w:t>
      </w:r>
      <w:r>
        <w:rPr>
          <w:rFonts w:hint="eastAsia" w:ascii="仿宋" w:hAnsi="仿宋" w:eastAsia="仿宋" w:cs="仿宋"/>
          <w:color w:val="000000" w:themeColor="text1"/>
          <w:lang w:eastAsia="zh-CN"/>
        </w:rPr>
        <w:t>)</w:t>
      </w:r>
    </w:p>
    <w:p>
      <w:pPr>
        <w:pStyle w:val="14"/>
        <w:ind w:left="0" w:leftChars="0" w:firstLine="486" w:firstLineChars="200"/>
        <w:rPr>
          <w:rFonts w:hint="default"/>
          <w:lang w:val="en-US" w:eastAsia="zh-CN"/>
        </w:rPr>
      </w:pPr>
      <w:r>
        <w:rPr>
          <w:rFonts w:hint="eastAsia" w:ascii="仿宋" w:hAnsi="仿宋" w:eastAsia="仿宋" w:cs="仿宋"/>
          <w:color w:val="000000" w:themeColor="text1"/>
          <w:lang w:val="en-US" w:eastAsia="zh-CN"/>
        </w:rPr>
        <w:t>10.投标人关联单位的说明</w:t>
      </w:r>
    </w:p>
    <w:p>
      <w:pPr>
        <w:pStyle w:val="13"/>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lang w:eastAsia="zh-CN"/>
        </w:rPr>
        <w:t>、评分标准和细则中技术部分证明材料</w:t>
      </w:r>
    </w:p>
    <w:p>
      <w:pPr>
        <w:pStyle w:val="13"/>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12</w:t>
      </w:r>
      <w:r>
        <w:rPr>
          <w:rFonts w:hint="eastAsia" w:ascii="仿宋" w:hAnsi="仿宋" w:eastAsia="仿宋" w:cs="仿宋"/>
          <w:color w:val="000000" w:themeColor="text1"/>
          <w:lang w:eastAsia="zh-CN"/>
        </w:rPr>
        <w:t>、评分标准和细则中</w:t>
      </w:r>
      <w:r>
        <w:rPr>
          <w:rFonts w:hint="eastAsia" w:ascii="仿宋" w:hAnsi="仿宋" w:eastAsia="仿宋" w:cs="仿宋"/>
          <w:color w:val="000000" w:themeColor="text1"/>
          <w:lang w:val="en-US" w:eastAsia="zh-CN"/>
        </w:rPr>
        <w:t>商务</w:t>
      </w:r>
      <w:r>
        <w:rPr>
          <w:rFonts w:hint="eastAsia" w:ascii="仿宋" w:hAnsi="仿宋" w:eastAsia="仿宋" w:cs="仿宋"/>
          <w:color w:val="000000" w:themeColor="text1"/>
          <w:lang w:eastAsia="zh-CN"/>
        </w:rPr>
        <w:t>部分证明材料（格式自拟）</w:t>
      </w:r>
    </w:p>
    <w:p>
      <w:pPr>
        <w:pStyle w:val="13"/>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13</w:t>
      </w:r>
      <w:r>
        <w:rPr>
          <w:rFonts w:hint="eastAsia" w:ascii="仿宋" w:hAnsi="仿宋" w:eastAsia="仿宋" w:cs="仿宋"/>
          <w:color w:val="000000" w:themeColor="text1"/>
          <w:lang w:eastAsia="zh-CN"/>
        </w:rPr>
        <w:t>、供应商认为有必要提供的其他证明材料（格式自拟）</w:t>
      </w:r>
    </w:p>
    <w:p>
      <w:pPr>
        <w:pStyle w:val="13"/>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pPr>
        <w:pStyle w:val="12"/>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pStyle w:val="32"/>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pPr>
        <w:pStyle w:val="9"/>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pP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pPr>
              <w:jc w:val="cente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pPr>
              <w:jc w:val="center"/>
              <w:rPr>
                <w:rFonts w:ascii="仿宋" w:hAnsi="仿宋" w:eastAsia="仿宋" w:cs="仿宋"/>
                <w:color w:val="000000" w:themeColor="text1"/>
                <w:szCs w:val="21"/>
              </w:rPr>
            </w:pPr>
          </w:p>
        </w:tc>
      </w:tr>
    </w:tbl>
    <w:p>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pPr>
        <w:spacing w:line="500" w:lineRule="exact"/>
        <w:ind w:firstLine="475"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000000" w:themeColor="text1"/>
          <w:lang w:eastAsia="zh-CN"/>
        </w:rPr>
        <w:t>。</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4.必须在投标文件中装订。</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5.投标报价不得填报选择性报价。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pPr>
        <w:pStyle w:val="7"/>
        <w:spacing w:line="240" w:lineRule="atLeast"/>
        <w:rPr>
          <w:rFonts w:ascii="仿宋" w:hAnsi="仿宋" w:eastAsia="仿宋" w:cs="仿宋"/>
          <w:bCs/>
          <w:color w:val="000000" w:themeColor="text1"/>
          <w:sz w:val="24"/>
          <w:lang w:eastAsia="zh-CN"/>
        </w:rPr>
      </w:pPr>
    </w:p>
    <w:p>
      <w:pPr>
        <w:pStyle w:val="7"/>
        <w:spacing w:line="240" w:lineRule="atLeast"/>
        <w:rPr>
          <w:rFonts w:ascii="仿宋" w:hAnsi="仿宋" w:eastAsia="仿宋" w:cs="仿宋"/>
          <w:bCs/>
          <w:color w:val="000000" w:themeColor="text1"/>
          <w:sz w:val="24"/>
          <w:lang w:eastAsia="zh-CN"/>
        </w:rPr>
      </w:pPr>
    </w:p>
    <w:p>
      <w:pPr>
        <w:pStyle w:val="35"/>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3"/>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pPr>
        <w:pStyle w:val="13"/>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3"/>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pPr>
        <w:pStyle w:val="13"/>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9" w:type="default"/>
          <w:pgSz w:w="11905" w:h="16838"/>
          <w:pgMar w:top="1440" w:right="1797" w:bottom="1440" w:left="1797" w:header="850" w:footer="992" w:gutter="0"/>
          <w:pgNumType w:fmt="decimal"/>
          <w:cols w:space="720" w:num="1"/>
          <w:rtlGutter w:val="0"/>
          <w:docGrid w:type="linesAndChars" w:linePitch="325" w:charSpace="635"/>
        </w:sectPr>
      </w:pPr>
    </w:p>
    <w:p>
      <w:pPr>
        <w:pStyle w:val="35"/>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pPr>
        <w:pStyle w:val="35"/>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35"/>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pPr>
        <w:pStyle w:val="13"/>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4"/>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bl>
    <w:p>
      <w:pPr>
        <w:pStyle w:val="39"/>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pPr>
        <w:pStyle w:val="39"/>
        <w:keepNext w:val="0"/>
        <w:keepLines w:val="0"/>
        <w:widowControl w:val="0"/>
        <w:numPr>
          <w:ilvl w:val="0"/>
          <w:numId w:val="14"/>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pPr>
        <w:pStyle w:val="39"/>
        <w:keepNext w:val="0"/>
        <w:keepLines w:val="0"/>
        <w:widowControl w:val="0"/>
        <w:numPr>
          <w:ilvl w:val="0"/>
          <w:numId w:val="14"/>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pPr>
        <w:pStyle w:val="39"/>
        <w:keepNext w:val="0"/>
        <w:keepLines w:val="0"/>
        <w:widowControl w:val="0"/>
        <w:numPr>
          <w:ilvl w:val="0"/>
          <w:numId w:val="14"/>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pPr>
        <w:pStyle w:val="39"/>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39"/>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12"/>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rPr>
          <w:rFonts w:ascii="仿宋" w:hAnsi="仿宋" w:eastAsia="仿宋" w:cs="仿宋"/>
          <w:color w:val="000000" w:themeColor="text1"/>
          <w:lang w:eastAsia="zh-CN"/>
        </w:rPr>
      </w:pPr>
    </w:p>
    <w:p>
      <w:pPr>
        <w:spacing w:line="360" w:lineRule="auto"/>
        <w:jc w:val="both"/>
        <w:rPr>
          <w:rFonts w:hint="eastAsia" w:ascii="仿宋" w:hAnsi="仿宋" w:eastAsia="仿宋" w:cs="仿宋"/>
          <w:b/>
          <w:color w:val="000000" w:themeColor="text1"/>
          <w:kern w:val="0"/>
          <w:sz w:val="36"/>
          <w:szCs w:val="36"/>
          <w:lang w:val="en-US" w:eastAsia="zh-CN"/>
        </w:rPr>
      </w:pPr>
    </w:p>
    <w:p>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4"/>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bl>
    <w:p>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3"/>
        <w:tabs>
          <w:tab w:val="left" w:pos="5580"/>
        </w:tabs>
        <w:spacing w:line="360" w:lineRule="auto"/>
        <w:ind w:firstLine="3120" w:firstLineChars="1300"/>
        <w:rPr>
          <w:rFonts w:hint="eastAsia" w:ascii="仿宋" w:hAnsi="仿宋" w:eastAsia="仿宋" w:cs="仿宋"/>
          <w:color w:val="000000" w:themeColor="text1"/>
          <w:sz w:val="24"/>
        </w:rPr>
      </w:pPr>
    </w:p>
    <w:p>
      <w:pPr>
        <w:pStyle w:val="13"/>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pPr>
        <w:pStyle w:val="13"/>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pPr>
        <w:pStyle w:val="8"/>
        <w:rPr>
          <w:rFonts w:hint="eastAsia" w:ascii="仿宋" w:hAnsi="仿宋" w:eastAsia="仿宋" w:cs="仿宋"/>
          <w:b/>
          <w:bCs/>
          <w:color w:val="000000" w:themeColor="text1"/>
          <w:sz w:val="36"/>
          <w:szCs w:val="36"/>
        </w:rPr>
      </w:pPr>
    </w:p>
    <w:p>
      <w:pPr>
        <w:pStyle w:val="37"/>
        <w:tabs>
          <w:tab w:val="left" w:pos="826"/>
        </w:tabs>
        <w:spacing w:line="470" w:lineRule="exact"/>
        <w:ind w:firstLine="0"/>
        <w:jc w:val="center"/>
        <w:rPr>
          <w:rFonts w:ascii="仿宋" w:hAnsi="仿宋" w:eastAsia="仿宋" w:cs="仿宋"/>
          <w:color w:val="000000" w:themeColor="text1"/>
          <w:sz w:val="21"/>
          <w:szCs w:val="21"/>
        </w:rPr>
      </w:pPr>
    </w:p>
    <w:p>
      <w:pPr>
        <w:pStyle w:val="37"/>
        <w:tabs>
          <w:tab w:val="left" w:pos="826"/>
        </w:tabs>
        <w:spacing w:line="470" w:lineRule="exact"/>
        <w:ind w:firstLine="0"/>
        <w:jc w:val="center"/>
        <w:rPr>
          <w:rFonts w:ascii="仿宋" w:hAnsi="仿宋" w:eastAsia="仿宋" w:cs="仿宋"/>
          <w:color w:val="000000" w:themeColor="text1"/>
          <w:sz w:val="21"/>
          <w:szCs w:val="21"/>
        </w:rPr>
      </w:pPr>
    </w:p>
    <w:p>
      <w:pPr>
        <w:pStyle w:val="37"/>
        <w:tabs>
          <w:tab w:val="left" w:pos="826"/>
        </w:tabs>
        <w:spacing w:line="470" w:lineRule="exact"/>
        <w:ind w:firstLine="0"/>
        <w:jc w:val="center"/>
        <w:rPr>
          <w:rFonts w:ascii="仿宋" w:hAnsi="仿宋" w:eastAsia="仿宋" w:cs="仿宋"/>
          <w:color w:val="000000" w:themeColor="text1"/>
          <w:sz w:val="21"/>
          <w:szCs w:val="21"/>
        </w:rPr>
      </w:pPr>
    </w:p>
    <w:p>
      <w:pPr>
        <w:pStyle w:val="37"/>
        <w:tabs>
          <w:tab w:val="left" w:pos="826"/>
        </w:tabs>
        <w:spacing w:line="470" w:lineRule="exact"/>
        <w:ind w:firstLine="0"/>
        <w:jc w:val="center"/>
        <w:rPr>
          <w:rFonts w:ascii="仿宋" w:hAnsi="仿宋" w:eastAsia="仿宋" w:cs="仿宋"/>
          <w:color w:val="000000" w:themeColor="text1"/>
          <w:sz w:val="21"/>
          <w:szCs w:val="21"/>
        </w:rPr>
      </w:pPr>
    </w:p>
    <w:p>
      <w:pPr>
        <w:pStyle w:val="37"/>
        <w:tabs>
          <w:tab w:val="left" w:pos="826"/>
        </w:tabs>
        <w:spacing w:line="470" w:lineRule="exact"/>
        <w:ind w:firstLine="0"/>
        <w:jc w:val="both"/>
        <w:rPr>
          <w:rFonts w:ascii="仿宋" w:hAnsi="仿宋" w:eastAsia="仿宋" w:cs="仿宋"/>
          <w:color w:val="000000" w:themeColor="text1"/>
          <w:sz w:val="21"/>
          <w:szCs w:val="21"/>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vAlign w:val="top"/>
          </w:tcPr>
          <w:p>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vAlign w:val="top"/>
          </w:tcPr>
          <w:p>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vAlign w:val="top"/>
          </w:tcPr>
          <w:p>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vAlign w:val="top"/>
          </w:tcPr>
          <w:p>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3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both"/>
        <w:rPr>
          <w:rFonts w:hint="eastAsia" w:ascii="仿宋" w:hAnsi="仿宋" w:eastAsia="仿宋" w:cs="仿宋"/>
          <w:b/>
          <w:bCs/>
          <w:color w:val="000000" w:themeColor="text1"/>
          <w:sz w:val="30"/>
          <w:szCs w:val="30"/>
          <w:lang w:eastAsia="zh-CN"/>
        </w:rPr>
      </w:pPr>
    </w:p>
    <w:p>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pPr>
        <w:pStyle w:val="12"/>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40"/>
              <w:kinsoku w:val="0"/>
              <w:overflowPunct w:val="0"/>
              <w:spacing w:before="4"/>
              <w:rPr>
                <w:rFonts w:ascii="仿宋" w:hAnsi="仿宋" w:eastAsia="仿宋" w:cs="仿宋"/>
                <w:b/>
                <w:bCs/>
                <w:color w:val="000000" w:themeColor="text1"/>
                <w:sz w:val="20"/>
                <w:szCs w:val="20"/>
              </w:rPr>
            </w:pPr>
          </w:p>
          <w:p>
            <w:pPr>
              <w:pStyle w:val="40"/>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40"/>
              <w:kinsoku w:val="0"/>
              <w:overflowPunct w:val="0"/>
              <w:spacing w:before="4"/>
              <w:rPr>
                <w:rFonts w:ascii="仿宋" w:hAnsi="仿宋" w:eastAsia="仿宋" w:cs="仿宋"/>
                <w:b/>
                <w:bCs/>
                <w:color w:val="000000" w:themeColor="text1"/>
                <w:sz w:val="20"/>
                <w:szCs w:val="20"/>
              </w:rPr>
            </w:pPr>
          </w:p>
          <w:p>
            <w:pPr>
              <w:pStyle w:val="40"/>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40"/>
              <w:kinsoku w:val="0"/>
              <w:overflowPunct w:val="0"/>
              <w:rPr>
                <w:rFonts w:ascii="仿宋" w:hAnsi="仿宋" w:eastAsia="仿宋" w:cs="仿宋"/>
                <w:b/>
                <w:bCs/>
                <w:color w:val="000000" w:themeColor="text1"/>
              </w:rPr>
            </w:pPr>
          </w:p>
          <w:p>
            <w:pPr>
              <w:pStyle w:val="40"/>
              <w:kinsoku w:val="0"/>
              <w:overflowPunct w:val="0"/>
              <w:rPr>
                <w:rFonts w:ascii="仿宋" w:hAnsi="仿宋" w:eastAsia="仿宋" w:cs="仿宋"/>
                <w:b/>
                <w:bCs/>
                <w:color w:val="000000" w:themeColor="text1"/>
              </w:rPr>
            </w:pPr>
          </w:p>
          <w:p>
            <w:pPr>
              <w:pStyle w:val="40"/>
              <w:kinsoku w:val="0"/>
              <w:overflowPunct w:val="0"/>
              <w:rPr>
                <w:rFonts w:ascii="仿宋" w:hAnsi="仿宋" w:eastAsia="仿宋" w:cs="仿宋"/>
                <w:b/>
                <w:bCs/>
                <w:color w:val="000000" w:themeColor="text1"/>
              </w:rPr>
            </w:pPr>
          </w:p>
          <w:p>
            <w:pPr>
              <w:pStyle w:val="40"/>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40"/>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0"/>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
              <w:rPr>
                <w:rFonts w:ascii="仿宋" w:hAnsi="仿宋" w:eastAsia="仿宋" w:cs="仿宋"/>
                <w:b/>
                <w:bCs/>
                <w:color w:val="000000" w:themeColor="text1"/>
                <w:sz w:val="23"/>
                <w:szCs w:val="23"/>
              </w:rPr>
            </w:pPr>
          </w:p>
          <w:p>
            <w:pPr>
              <w:pStyle w:val="40"/>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bl>
    <w:p>
      <w:pPr>
        <w:pStyle w:val="37"/>
        <w:spacing w:line="440" w:lineRule="exact"/>
        <w:ind w:firstLine="0"/>
        <w:jc w:val="both"/>
        <w:rPr>
          <w:rFonts w:ascii="仿宋" w:hAnsi="仿宋" w:eastAsia="仿宋" w:cs="仿宋"/>
          <w:b/>
          <w:color w:val="000000" w:themeColor="text1"/>
          <w:sz w:val="30"/>
          <w:szCs w:val="30"/>
        </w:rPr>
      </w:pPr>
    </w:p>
    <w:p>
      <w:pPr>
        <w:pStyle w:val="37"/>
        <w:spacing w:line="440" w:lineRule="exact"/>
        <w:ind w:firstLine="0"/>
        <w:jc w:val="both"/>
        <w:rPr>
          <w:rFonts w:ascii="仿宋" w:hAnsi="仿宋" w:eastAsia="仿宋" w:cs="仿宋"/>
          <w:b/>
          <w:color w:val="000000" w:themeColor="text1"/>
          <w:sz w:val="30"/>
          <w:szCs w:val="30"/>
        </w:rPr>
      </w:pPr>
    </w:p>
    <w:p>
      <w:pPr>
        <w:pStyle w:val="37"/>
        <w:spacing w:line="440" w:lineRule="exact"/>
        <w:ind w:firstLine="0"/>
        <w:jc w:val="both"/>
        <w:rPr>
          <w:rFonts w:ascii="仿宋" w:hAnsi="仿宋" w:eastAsia="仿宋" w:cs="仿宋"/>
          <w:b/>
          <w:color w:val="000000" w:themeColor="text1"/>
          <w:sz w:val="30"/>
          <w:szCs w:val="30"/>
        </w:rPr>
      </w:pPr>
    </w:p>
    <w:p>
      <w:pPr>
        <w:pStyle w:val="37"/>
        <w:spacing w:line="440" w:lineRule="exact"/>
        <w:ind w:firstLine="0"/>
        <w:jc w:val="both"/>
        <w:rPr>
          <w:rFonts w:ascii="仿宋" w:hAnsi="仿宋" w:eastAsia="仿宋" w:cs="仿宋"/>
          <w:b/>
          <w:color w:val="000000" w:themeColor="text1"/>
          <w:sz w:val="30"/>
          <w:szCs w:val="30"/>
        </w:rPr>
      </w:pPr>
    </w:p>
    <w:p>
      <w:pPr>
        <w:pStyle w:val="37"/>
        <w:spacing w:line="440" w:lineRule="exact"/>
        <w:ind w:firstLine="0"/>
        <w:jc w:val="both"/>
        <w:rPr>
          <w:rFonts w:ascii="仿宋" w:hAnsi="仿宋" w:eastAsia="仿宋" w:cs="仿宋"/>
          <w:b/>
          <w:color w:val="000000" w:themeColor="text1"/>
          <w:sz w:val="30"/>
          <w:szCs w:val="30"/>
        </w:rPr>
      </w:pPr>
    </w:p>
    <w:p>
      <w:pPr>
        <w:pStyle w:val="37"/>
        <w:spacing w:line="440" w:lineRule="exact"/>
        <w:ind w:firstLine="0"/>
        <w:jc w:val="both"/>
        <w:rPr>
          <w:rFonts w:ascii="仿宋" w:hAnsi="仿宋" w:eastAsia="仿宋" w:cs="仿宋"/>
          <w:b/>
          <w:color w:val="000000" w:themeColor="text1"/>
          <w:sz w:val="30"/>
          <w:szCs w:val="30"/>
        </w:rPr>
      </w:pPr>
    </w:p>
    <w:p>
      <w:pPr>
        <w:pStyle w:val="12"/>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pPr>
        <w:pStyle w:val="12"/>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近三年类似项目业绩</w:t>
      </w:r>
      <w:r>
        <w:rPr>
          <w:rFonts w:hint="eastAsia" w:ascii="仿宋" w:hAnsi="仿宋" w:eastAsia="仿宋" w:cs="仿宋"/>
          <w:b/>
          <w:bCs/>
          <w:color w:val="000000" w:themeColor="text1"/>
          <w:w w:val="90"/>
          <w:sz w:val="36"/>
          <w:szCs w:val="36"/>
          <w:lang w:eastAsia="zh-CN"/>
        </w:rPr>
        <w:t>表</w:t>
      </w:r>
    </w:p>
    <w:p>
      <w:pPr>
        <w:pStyle w:val="12"/>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4"/>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8"/>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8"/>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38"/>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8"/>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38"/>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8"/>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8"/>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1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pPr>
        <w:pStyle w:val="12"/>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6"/>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1446" w:firstLineChars="4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pPr>
        <w:rPr>
          <w:rFonts w:hint="eastAsia" w:ascii="仿宋" w:hAnsi="仿宋" w:eastAsia="仿宋" w:cs="仿宋"/>
          <w:color w:val="000000" w:themeColor="text1"/>
          <w:sz w:val="32"/>
          <w:szCs w:val="32"/>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15"/>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numPr>
          <w:ilvl w:val="0"/>
          <w:numId w:val="15"/>
        </w:numPr>
        <w:shd w:val="clear" w:color="auto" w:fill="auto"/>
        <w:spacing w:line="360" w:lineRule="auto"/>
        <w:ind w:left="0" w:leftChars="0" w:firstLine="480" w:firstLineChars="200"/>
        <w:rPr>
          <w:rFonts w:hint="eastAsia"/>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bookmarkStart w:id="69" w:name="_GoBack"/>
      <w:bookmarkEnd w:id="69"/>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10、投标人关联单位的说明（格式自拟）</w:t>
      </w:r>
    </w:p>
    <w:p>
      <w:pPr>
        <w:spacing w:line="440" w:lineRule="exact"/>
        <w:rPr>
          <w:rFonts w:hint="eastAsia" w:ascii="仿宋" w:hAnsi="仿宋" w:eastAsia="仿宋" w:cs="仿宋"/>
          <w:color w:val="000000" w:themeColor="text1"/>
          <w:lang w:val="en-US" w:eastAsia="zh-CN"/>
        </w:rPr>
      </w:pPr>
    </w:p>
    <w:p>
      <w:pPr>
        <w:spacing w:line="44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说明：复印件上应加盖本单位章（自然人投标的无需盖章，需要签字）。</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pPr>
        <w:pStyle w:val="7"/>
        <w:numPr>
          <w:ilvl w:val="1"/>
          <w:numId w:val="0"/>
        </w:numPr>
        <w:spacing w:line="240" w:lineRule="atLeast"/>
        <w:ind w:left="617" w:leftChars="257"/>
        <w:rPr>
          <w:rFonts w:ascii="仿宋" w:hAnsi="仿宋" w:eastAsia="仿宋" w:cs="仿宋"/>
          <w:color w:val="000000" w:themeColor="text1"/>
          <w:sz w:val="24"/>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lang w:val="en-US" w:eastAsia="zh-CN"/>
        </w:rPr>
        <w:t>项目配置专职人员</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8"/>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pPr>
        <w:rPr>
          <w:rFonts w:ascii="仿宋" w:hAnsi="仿宋" w:eastAsia="仿宋" w:cs="仿宋"/>
          <w:color w:val="000000" w:themeColor="text1"/>
          <w:lang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pPr>
        <w:pStyle w:val="13"/>
        <w:tabs>
          <w:tab w:val="left" w:pos="5580"/>
        </w:tabs>
        <w:spacing w:line="240" w:lineRule="atLeast"/>
        <w:rPr>
          <w:rFonts w:ascii="仿宋" w:hAnsi="仿宋" w:eastAsia="仿宋" w:cs="仿宋"/>
          <w:color w:val="000000" w:themeColor="text1"/>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eastAsia="zh-CN" w:bidi="ar-SA"/>
        </w:rPr>
        <w:t>抗风险能力</w:t>
      </w:r>
      <w:r>
        <w:rPr>
          <w:rFonts w:hint="eastAsia" w:ascii="仿宋" w:hAnsi="仿宋" w:eastAsia="仿宋" w:cs="仿宋"/>
          <w:color w:val="000000" w:themeColor="text1"/>
          <w:lang w:eastAsia="zh-CN"/>
        </w:rPr>
        <w:t>、企业实力、服务评级、企业信誉等）。</w:t>
      </w:r>
    </w:p>
    <w:p>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7"/>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pPr>
        <w:pStyle w:val="7"/>
        <w:numPr>
          <w:ilvl w:val="1"/>
          <w:numId w:val="0"/>
        </w:numPr>
        <w:spacing w:line="240" w:lineRule="atLeast"/>
        <w:jc w:val="left"/>
        <w:rPr>
          <w:rFonts w:ascii="仿宋" w:hAnsi="仿宋" w:eastAsia="仿宋" w:cs="仿宋"/>
          <w:bCs/>
          <w:color w:val="000000" w:themeColor="text1"/>
          <w:sz w:val="24"/>
          <w:lang w:eastAsia="zh-CN"/>
        </w:rPr>
      </w:pPr>
    </w:p>
    <w:p>
      <w:pPr>
        <w:pStyle w:val="7"/>
        <w:numPr>
          <w:ilvl w:val="1"/>
          <w:numId w:val="0"/>
        </w:numPr>
        <w:spacing w:line="240" w:lineRule="atLeast"/>
        <w:jc w:val="left"/>
        <w:rPr>
          <w:rFonts w:ascii="仿宋" w:hAnsi="仿宋" w:eastAsia="仿宋" w:cs="仿宋"/>
          <w:bCs/>
          <w:color w:val="000000" w:themeColor="text1"/>
          <w:sz w:val="24"/>
          <w:lang w:eastAsia="zh-CN"/>
        </w:rPr>
      </w:pPr>
    </w:p>
    <w:p>
      <w:pPr>
        <w:rPr>
          <w:rFonts w:ascii="仿宋" w:hAnsi="仿宋" w:eastAsia="仿宋" w:cs="仿宋"/>
          <w:color w:val="000000" w:themeColor="text1"/>
          <w:lang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pPr>
        <w:pStyle w:val="13"/>
        <w:tabs>
          <w:tab w:val="left" w:pos="5580"/>
        </w:tabs>
        <w:spacing w:line="240" w:lineRule="atLeast"/>
        <w:ind w:firstLine="480" w:firstLineChars="200"/>
        <w:rPr>
          <w:rFonts w:ascii="仿宋" w:hAnsi="仿宋" w:eastAsia="仿宋" w:cs="仿宋"/>
          <w:color w:val="000000" w:themeColor="text1"/>
          <w:lang w:eastAsia="zh-CN"/>
        </w:rPr>
      </w:pPr>
    </w:p>
    <w:p>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pPr>
        <w:pStyle w:val="14"/>
        <w:ind w:left="2880"/>
        <w:rPr>
          <w:rFonts w:ascii="仿宋" w:hAnsi="仿宋" w:eastAsia="仿宋" w:cs="仿宋"/>
          <w:color w:val="000000" w:themeColor="text1"/>
          <w:lang w:eastAsia="zh-CN"/>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_x000B__x000C_">
    <w:altName w:val="Courier New"/>
    <w:panose1 w:val="00000000000000000000"/>
    <w:charset w:val="00"/>
    <w:family w:val="swiss"/>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00" w:usb3="00000000" w:csb0="00000001" w:csb1="00000000"/>
  </w:font>
  <w:font w:name="MingLiU">
    <w:altName w:val="PMingLiU-ExtB"/>
    <w:panose1 w:val="02020509000000000000"/>
    <w:charset w:val="88"/>
    <w:family w:val="decorative"/>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4801"/>
        <w:tab w:val="clear" w:pos="4153"/>
      </w:tabs>
      <w:ind w:right="360"/>
      <w:jc w:val="both"/>
    </w:pPr>
    <w:r>
      <w:rPr>
        <w:sz w:val="18"/>
      </w:rPr>
      <w:pict>
        <v:shape id="_x0000_s2191" o:spid="_x0000_s219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434"/>
        <w:tab w:val="clear" w:pos="4153"/>
      </w:tabs>
      <w:ind w:right="0"/>
      <w:jc w:val="both"/>
    </w:pPr>
    <w:r>
      <w:rPr>
        <w:sz w:val="16"/>
      </w:rPr>
      <w:pict>
        <v:shape id="_x0000_s2192" o:spid="_x0000_s219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path/>
          <v:fill on="f" focussize="0,0"/>
          <v:stroke on="f" joinstyle="miter"/>
          <v:imagedata o:title=""/>
          <o:lock v:ext="edit"/>
          <v:textbox inset="0mm,0mm,0mm,0mm" style="mso-fit-shape-to-text:t;">
            <w:txbxContent>
              <w:p>
                <w:pPr>
                  <w:rPr>
                    <w:rFonts w:hint="eastAsia"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r>
      <w:rPr>
        <w:sz w:val="16"/>
      </w:rPr>
      <w:pict>
        <v:shape id="_x0000_s2193" o:spid="_x0000_s219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pPr>
                  <w:pStyle w:val="17"/>
                </w:pPr>
              </w:p>
            </w:txbxContent>
          </v:textbox>
        </v:shape>
      </w:pic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s>
      <w:ind w:right="0"/>
      <w:jc w:val="both"/>
      <w:rPr>
        <w:rFonts w:hint="default"/>
        <w:lang w:val="en-US"/>
      </w:rPr>
    </w:pPr>
    <w:r>
      <w:rPr>
        <w:sz w:val="18"/>
      </w:rPr>
      <w:pict>
        <v:shape id="_x0000_s2194" o:spid="_x0000_s219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w:r>
    <w:r>
      <w:rPr>
        <w:sz w:val="18"/>
      </w:rPr>
      <w:pict>
        <v:shape id="_x0000_s2160" o:spid="_x0000_s216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aspectratio="f"/>
          <v:textbox inset="0mm,0mm,0mm,0mm">
            <w:txbxContent>
              <w:p>
                <w:pPr>
                  <w:snapToGrid w:val="0"/>
                  <w:rPr>
                    <w:rFonts w:hint="eastAsia" w:eastAsia="宋体"/>
                    <w:sz w:val="18"/>
                    <w:lang w:eastAsia="zh-CN"/>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s>
      <w:ind w:right="360"/>
      <w:jc w:val="both"/>
      <w:rPr>
        <w:rFonts w:hint="default"/>
        <w:lang w:val="en-US"/>
      </w:rPr>
    </w:pPr>
    <w:r>
      <w:rPr>
        <w:sz w:val="16"/>
      </w:rPr>
      <w:pict>
        <v:shape id="_x0000_s2196" o:spid="_x0000_s219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37</w:t>
                </w:r>
                <w:r>
                  <w:fldChar w:fldCharType="end"/>
                </w:r>
              </w:p>
            </w:txbxContent>
          </v:textbox>
        </v:shape>
      </w:pict>
    </w:r>
    <w:r>
      <w:rPr>
        <w:sz w:val="16"/>
      </w:rPr>
      <w:pict>
        <v:shape id="_x0000_s2140" o:spid="_x0000_s214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pPr>
                  <w:pStyle w:val="17"/>
                  <w:rPr>
                    <w:rFonts w:hint="eastAsia" w:eastAsia="宋体"/>
                    <w:lang w:val="en-US" w:eastAsia="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24"/>
      </w:rPr>
      <w:pict>
        <v:shape id="_x0000_s2197" o:spid="_x0000_s219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43</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7"/>
      <w:ind w:right="360"/>
      <w:jc w:val="both"/>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198" o:spid="_x0000_s219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4"/>
    <w:multiLevelType w:val="multilevel"/>
    <w:tmpl w:val="00000004"/>
    <w:lvl w:ilvl="0" w:tentative="0">
      <w:start w:val="1"/>
      <w:numFmt w:val="japaneseCounting"/>
      <w:lvlText w:val="%1、"/>
      <w:lvlJc w:val="left"/>
      <w:pPr>
        <w:ind w:left="450" w:hanging="450"/>
      </w:pPr>
      <w:rPr>
        <w:rFonts w:hint="default"/>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4">
    <w:nsid w:val="0000000D"/>
    <w:multiLevelType w:val="multilevel"/>
    <w:tmpl w:val="0000000D"/>
    <w:lvl w:ilvl="0" w:tentative="0">
      <w:start w:val="1"/>
      <w:numFmt w:val="decimal"/>
      <w:pStyle w:val="1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142F3863"/>
    <w:multiLevelType w:val="singleLevel"/>
    <w:tmpl w:val="142F3863"/>
    <w:lvl w:ilvl="0" w:tentative="0">
      <w:start w:val="4"/>
      <w:numFmt w:val="chineseCounting"/>
      <w:suff w:val="space"/>
      <w:lvlText w:val="第%1部分"/>
      <w:lvlJc w:val="left"/>
      <w:rPr>
        <w:rFonts w:hint="eastAsia"/>
      </w:rPr>
    </w:lvl>
  </w:abstractNum>
  <w:abstractNum w:abstractNumId="7">
    <w:nsid w:val="190BF51A"/>
    <w:multiLevelType w:val="singleLevel"/>
    <w:tmpl w:val="190BF51A"/>
    <w:lvl w:ilvl="0" w:tentative="0">
      <w:start w:val="6"/>
      <w:numFmt w:val="chineseCounting"/>
      <w:suff w:val="nothing"/>
      <w:lvlText w:val="%1、"/>
      <w:lvlJc w:val="left"/>
      <w:rPr>
        <w:rFonts w:hint="eastAsia"/>
      </w:rPr>
    </w:lvl>
  </w:abstractNum>
  <w:abstractNum w:abstractNumId="8">
    <w:nsid w:val="23F658CC"/>
    <w:multiLevelType w:val="singleLevel"/>
    <w:tmpl w:val="23F658CC"/>
    <w:lvl w:ilvl="0" w:tentative="0">
      <w:start w:val="1"/>
      <w:numFmt w:val="decimal"/>
      <w:suff w:val="nothing"/>
      <w:lvlText w:val="%1、"/>
      <w:lvlJc w:val="left"/>
    </w:lvl>
  </w:abstractNum>
  <w:abstractNum w:abstractNumId="9">
    <w:nsid w:val="27912C54"/>
    <w:multiLevelType w:val="multilevel"/>
    <w:tmpl w:val="27912C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CF959C"/>
    <w:multiLevelType w:val="singleLevel"/>
    <w:tmpl w:val="4ECF959C"/>
    <w:lvl w:ilvl="0" w:tentative="0">
      <w:start w:val="8"/>
      <w:numFmt w:val="decimal"/>
      <w:suff w:val="nothing"/>
      <w:lvlText w:val="（%1）"/>
      <w:lvlJc w:val="left"/>
      <w:pPr>
        <w:ind w:left="300"/>
      </w:pPr>
    </w:lvl>
  </w:abstractNum>
  <w:abstractNum w:abstractNumId="11">
    <w:nsid w:val="55CD4C99"/>
    <w:multiLevelType w:val="singleLevel"/>
    <w:tmpl w:val="55CD4C99"/>
    <w:lvl w:ilvl="0" w:tentative="0">
      <w:start w:val="1"/>
      <w:numFmt w:val="chineseCounting"/>
      <w:suff w:val="nothing"/>
      <w:lvlText w:val="%1、"/>
      <w:lvlJc w:val="left"/>
    </w:lvl>
  </w:abstractNum>
  <w:abstractNum w:abstractNumId="12">
    <w:nsid w:val="62F81A5B"/>
    <w:multiLevelType w:val="multilevel"/>
    <w:tmpl w:val="62F81A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CF7573"/>
    <w:multiLevelType w:val="multilevel"/>
    <w:tmpl w:val="69CF75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7"/>
  </w:num>
  <w:num w:numId="3">
    <w:abstractNumId w:val="11"/>
  </w:num>
  <w:num w:numId="4">
    <w:abstractNumId w:val="5"/>
  </w:num>
  <w:num w:numId="5">
    <w:abstractNumId w:val="14"/>
  </w:num>
  <w:num w:numId="6">
    <w:abstractNumId w:val="10"/>
  </w:num>
  <w:num w:numId="7">
    <w:abstractNumId w:val="6"/>
  </w:num>
  <w:num w:numId="8">
    <w:abstractNumId w:val="8"/>
  </w:num>
  <w:num w:numId="9">
    <w:abstractNumId w:val="13"/>
  </w:num>
  <w:num w:numId="10">
    <w:abstractNumId w:val="9"/>
  </w:num>
  <w:num w:numId="11">
    <w:abstractNumId w:val="12"/>
  </w:num>
  <w:num w:numId="12">
    <w:abstractNumId w:val="3"/>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3ZjY2OTczOWM5YTk0Mzk0ZTMxZGMxOWNkODA4MmYifQ=="/>
  </w:docVars>
  <w:rsids>
    <w:rsidRoot w:val="430832B2"/>
    <w:rsid w:val="00036274"/>
    <w:rsid w:val="00065F1A"/>
    <w:rsid w:val="000E4DA7"/>
    <w:rsid w:val="000E7277"/>
    <w:rsid w:val="00153D08"/>
    <w:rsid w:val="001909B2"/>
    <w:rsid w:val="001E67F0"/>
    <w:rsid w:val="00232484"/>
    <w:rsid w:val="002F31DC"/>
    <w:rsid w:val="00366967"/>
    <w:rsid w:val="00370057"/>
    <w:rsid w:val="003B3386"/>
    <w:rsid w:val="004259D8"/>
    <w:rsid w:val="00432DFD"/>
    <w:rsid w:val="00450906"/>
    <w:rsid w:val="00461E17"/>
    <w:rsid w:val="00471CA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422C4"/>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261933"/>
    <w:rsid w:val="0144795E"/>
    <w:rsid w:val="014631E4"/>
    <w:rsid w:val="014F6266"/>
    <w:rsid w:val="01E44B68"/>
    <w:rsid w:val="02376DA4"/>
    <w:rsid w:val="02614ACA"/>
    <w:rsid w:val="02E7054D"/>
    <w:rsid w:val="03120DC1"/>
    <w:rsid w:val="03152839"/>
    <w:rsid w:val="03531E23"/>
    <w:rsid w:val="035508BA"/>
    <w:rsid w:val="03735124"/>
    <w:rsid w:val="039D2197"/>
    <w:rsid w:val="042A106A"/>
    <w:rsid w:val="043C12C1"/>
    <w:rsid w:val="04471D7D"/>
    <w:rsid w:val="04B46F75"/>
    <w:rsid w:val="050F221F"/>
    <w:rsid w:val="051E7B81"/>
    <w:rsid w:val="05284124"/>
    <w:rsid w:val="0591547A"/>
    <w:rsid w:val="05CE725F"/>
    <w:rsid w:val="05D26519"/>
    <w:rsid w:val="05E43238"/>
    <w:rsid w:val="06141E47"/>
    <w:rsid w:val="062E44A1"/>
    <w:rsid w:val="06385AA9"/>
    <w:rsid w:val="063B7194"/>
    <w:rsid w:val="068D7DAD"/>
    <w:rsid w:val="068F23C3"/>
    <w:rsid w:val="06A20D46"/>
    <w:rsid w:val="070B6F74"/>
    <w:rsid w:val="072C60C0"/>
    <w:rsid w:val="073826E5"/>
    <w:rsid w:val="074F6B51"/>
    <w:rsid w:val="07581523"/>
    <w:rsid w:val="07D75CBB"/>
    <w:rsid w:val="0804766D"/>
    <w:rsid w:val="08253C96"/>
    <w:rsid w:val="08323FEC"/>
    <w:rsid w:val="0845254C"/>
    <w:rsid w:val="085D5AE7"/>
    <w:rsid w:val="086504F8"/>
    <w:rsid w:val="08986B20"/>
    <w:rsid w:val="08A37CA5"/>
    <w:rsid w:val="08C2594B"/>
    <w:rsid w:val="091D420B"/>
    <w:rsid w:val="09231976"/>
    <w:rsid w:val="093F2ABC"/>
    <w:rsid w:val="09406633"/>
    <w:rsid w:val="094D1093"/>
    <w:rsid w:val="095073FA"/>
    <w:rsid w:val="0958005D"/>
    <w:rsid w:val="09B17236"/>
    <w:rsid w:val="09E92566"/>
    <w:rsid w:val="0A007485"/>
    <w:rsid w:val="0A226110"/>
    <w:rsid w:val="0A271261"/>
    <w:rsid w:val="0A622E54"/>
    <w:rsid w:val="0A7F3FA1"/>
    <w:rsid w:val="0A982D0F"/>
    <w:rsid w:val="0AEC1713"/>
    <w:rsid w:val="0AFE7394"/>
    <w:rsid w:val="0B213EE8"/>
    <w:rsid w:val="0B2F3756"/>
    <w:rsid w:val="0B472137"/>
    <w:rsid w:val="0B641CFB"/>
    <w:rsid w:val="0B70168E"/>
    <w:rsid w:val="0B941400"/>
    <w:rsid w:val="0B9E39F1"/>
    <w:rsid w:val="0BB54396"/>
    <w:rsid w:val="0BF26C44"/>
    <w:rsid w:val="0C1429D4"/>
    <w:rsid w:val="0C6732CD"/>
    <w:rsid w:val="0CC872A8"/>
    <w:rsid w:val="0D533015"/>
    <w:rsid w:val="0D9030DE"/>
    <w:rsid w:val="0D9378B6"/>
    <w:rsid w:val="0DE35329"/>
    <w:rsid w:val="0E3E1813"/>
    <w:rsid w:val="0E5B66D1"/>
    <w:rsid w:val="0F1C4CB4"/>
    <w:rsid w:val="0F2405B3"/>
    <w:rsid w:val="0F42217E"/>
    <w:rsid w:val="0F4F5A5E"/>
    <w:rsid w:val="0F9A54F8"/>
    <w:rsid w:val="0FA22205"/>
    <w:rsid w:val="0FCE58B0"/>
    <w:rsid w:val="10015291"/>
    <w:rsid w:val="10685029"/>
    <w:rsid w:val="11074842"/>
    <w:rsid w:val="112C2E1C"/>
    <w:rsid w:val="114227C7"/>
    <w:rsid w:val="116457F1"/>
    <w:rsid w:val="12143671"/>
    <w:rsid w:val="12326DC2"/>
    <w:rsid w:val="12891287"/>
    <w:rsid w:val="12FF5684"/>
    <w:rsid w:val="130308CA"/>
    <w:rsid w:val="1312560D"/>
    <w:rsid w:val="132C218A"/>
    <w:rsid w:val="13337B71"/>
    <w:rsid w:val="1354034F"/>
    <w:rsid w:val="137F0125"/>
    <w:rsid w:val="13B81ECA"/>
    <w:rsid w:val="13BE19A7"/>
    <w:rsid w:val="13CD729B"/>
    <w:rsid w:val="13D55805"/>
    <w:rsid w:val="13F84D28"/>
    <w:rsid w:val="142B46CE"/>
    <w:rsid w:val="144C729A"/>
    <w:rsid w:val="14602089"/>
    <w:rsid w:val="14841E5F"/>
    <w:rsid w:val="14953EB8"/>
    <w:rsid w:val="14964A58"/>
    <w:rsid w:val="14CD6092"/>
    <w:rsid w:val="14D970D8"/>
    <w:rsid w:val="1525173B"/>
    <w:rsid w:val="153C6A85"/>
    <w:rsid w:val="156D1711"/>
    <w:rsid w:val="157F0D4F"/>
    <w:rsid w:val="159F732A"/>
    <w:rsid w:val="15C31338"/>
    <w:rsid w:val="15E839EB"/>
    <w:rsid w:val="16010E59"/>
    <w:rsid w:val="161727D5"/>
    <w:rsid w:val="167B61DA"/>
    <w:rsid w:val="16A31AA6"/>
    <w:rsid w:val="16D231F0"/>
    <w:rsid w:val="16D6182B"/>
    <w:rsid w:val="171F0B4E"/>
    <w:rsid w:val="172577D0"/>
    <w:rsid w:val="178644DD"/>
    <w:rsid w:val="17881C02"/>
    <w:rsid w:val="17A51045"/>
    <w:rsid w:val="17EB3771"/>
    <w:rsid w:val="18002259"/>
    <w:rsid w:val="182B52BA"/>
    <w:rsid w:val="189F02F4"/>
    <w:rsid w:val="18AD2644"/>
    <w:rsid w:val="18F8040C"/>
    <w:rsid w:val="18FE29CF"/>
    <w:rsid w:val="19047F61"/>
    <w:rsid w:val="1910625E"/>
    <w:rsid w:val="19445F08"/>
    <w:rsid w:val="19791440"/>
    <w:rsid w:val="198D3D53"/>
    <w:rsid w:val="19D24BCD"/>
    <w:rsid w:val="19F35DD2"/>
    <w:rsid w:val="1A4C32C6"/>
    <w:rsid w:val="1A5E3F75"/>
    <w:rsid w:val="1A6A7BF0"/>
    <w:rsid w:val="1A6C043C"/>
    <w:rsid w:val="1A991A95"/>
    <w:rsid w:val="1AA14F3E"/>
    <w:rsid w:val="1AC71090"/>
    <w:rsid w:val="1ACD57BB"/>
    <w:rsid w:val="1AFE16C7"/>
    <w:rsid w:val="1B132A5A"/>
    <w:rsid w:val="1B2772DC"/>
    <w:rsid w:val="1B2938B4"/>
    <w:rsid w:val="1B3867B7"/>
    <w:rsid w:val="1B526E30"/>
    <w:rsid w:val="1B5A42F2"/>
    <w:rsid w:val="1BA46EB4"/>
    <w:rsid w:val="1BE65325"/>
    <w:rsid w:val="1BF54431"/>
    <w:rsid w:val="1C03767B"/>
    <w:rsid w:val="1C641A5B"/>
    <w:rsid w:val="1C65230B"/>
    <w:rsid w:val="1C74571F"/>
    <w:rsid w:val="1C770BAC"/>
    <w:rsid w:val="1C8812E8"/>
    <w:rsid w:val="1CBF4223"/>
    <w:rsid w:val="1CC048D1"/>
    <w:rsid w:val="1CFF3DC8"/>
    <w:rsid w:val="1D28001A"/>
    <w:rsid w:val="1D6F5759"/>
    <w:rsid w:val="1D9B6F4C"/>
    <w:rsid w:val="1DD71BCD"/>
    <w:rsid w:val="1DDE4B7D"/>
    <w:rsid w:val="1E435DE1"/>
    <w:rsid w:val="1E6813A9"/>
    <w:rsid w:val="1E6D1634"/>
    <w:rsid w:val="1EC96796"/>
    <w:rsid w:val="1ECE4F82"/>
    <w:rsid w:val="1EE5064C"/>
    <w:rsid w:val="1F262D19"/>
    <w:rsid w:val="1F5B26D6"/>
    <w:rsid w:val="1F6007D8"/>
    <w:rsid w:val="1FB748C5"/>
    <w:rsid w:val="1FF04F5D"/>
    <w:rsid w:val="203828DD"/>
    <w:rsid w:val="20746CEC"/>
    <w:rsid w:val="209D4381"/>
    <w:rsid w:val="20C57552"/>
    <w:rsid w:val="213649FD"/>
    <w:rsid w:val="215F559C"/>
    <w:rsid w:val="218454A5"/>
    <w:rsid w:val="21F7470F"/>
    <w:rsid w:val="220A0635"/>
    <w:rsid w:val="220E65E1"/>
    <w:rsid w:val="22561186"/>
    <w:rsid w:val="22965E6B"/>
    <w:rsid w:val="22AE28BF"/>
    <w:rsid w:val="22D700DE"/>
    <w:rsid w:val="22F917C9"/>
    <w:rsid w:val="23226B91"/>
    <w:rsid w:val="23287712"/>
    <w:rsid w:val="23463622"/>
    <w:rsid w:val="23554C9E"/>
    <w:rsid w:val="235B1AD6"/>
    <w:rsid w:val="235D713C"/>
    <w:rsid w:val="23874BA3"/>
    <w:rsid w:val="242923FE"/>
    <w:rsid w:val="245B2E54"/>
    <w:rsid w:val="247B3126"/>
    <w:rsid w:val="24BD1F5B"/>
    <w:rsid w:val="24D053AA"/>
    <w:rsid w:val="24D9339D"/>
    <w:rsid w:val="24EC7364"/>
    <w:rsid w:val="25002F8D"/>
    <w:rsid w:val="25546BA5"/>
    <w:rsid w:val="25550156"/>
    <w:rsid w:val="256D43FD"/>
    <w:rsid w:val="25C1100C"/>
    <w:rsid w:val="25FB512C"/>
    <w:rsid w:val="262B2929"/>
    <w:rsid w:val="265C0D35"/>
    <w:rsid w:val="267D2FA7"/>
    <w:rsid w:val="26A077E1"/>
    <w:rsid w:val="26C508E6"/>
    <w:rsid w:val="26D37563"/>
    <w:rsid w:val="26FD55E8"/>
    <w:rsid w:val="27013906"/>
    <w:rsid w:val="27147AA3"/>
    <w:rsid w:val="274B4345"/>
    <w:rsid w:val="2759752E"/>
    <w:rsid w:val="27641FEC"/>
    <w:rsid w:val="27A76A97"/>
    <w:rsid w:val="27F201DE"/>
    <w:rsid w:val="283D072F"/>
    <w:rsid w:val="286B44D3"/>
    <w:rsid w:val="28894FF8"/>
    <w:rsid w:val="290F6532"/>
    <w:rsid w:val="291C049E"/>
    <w:rsid w:val="291F0973"/>
    <w:rsid w:val="293710DF"/>
    <w:rsid w:val="29384AB9"/>
    <w:rsid w:val="29390EB5"/>
    <w:rsid w:val="29477A7A"/>
    <w:rsid w:val="294E1863"/>
    <w:rsid w:val="29B10DBC"/>
    <w:rsid w:val="29EC3DAC"/>
    <w:rsid w:val="29F20F87"/>
    <w:rsid w:val="2A015314"/>
    <w:rsid w:val="2A2953D2"/>
    <w:rsid w:val="2A6F2C28"/>
    <w:rsid w:val="2AA9424E"/>
    <w:rsid w:val="2AB303AA"/>
    <w:rsid w:val="2ADC5AFD"/>
    <w:rsid w:val="2AE56C24"/>
    <w:rsid w:val="2AF23A16"/>
    <w:rsid w:val="2AF552B4"/>
    <w:rsid w:val="2AF9470D"/>
    <w:rsid w:val="2B2A724C"/>
    <w:rsid w:val="2B762634"/>
    <w:rsid w:val="2B97636B"/>
    <w:rsid w:val="2C154A52"/>
    <w:rsid w:val="2C302A48"/>
    <w:rsid w:val="2C5031C9"/>
    <w:rsid w:val="2CBE5289"/>
    <w:rsid w:val="2D107FD9"/>
    <w:rsid w:val="2D1B0C53"/>
    <w:rsid w:val="2D1F486A"/>
    <w:rsid w:val="2D261D28"/>
    <w:rsid w:val="2D380A40"/>
    <w:rsid w:val="2D7E66F1"/>
    <w:rsid w:val="2D92668D"/>
    <w:rsid w:val="2D95546D"/>
    <w:rsid w:val="2DB43A1E"/>
    <w:rsid w:val="2DF1140A"/>
    <w:rsid w:val="2E1B0C2F"/>
    <w:rsid w:val="2E2D19AE"/>
    <w:rsid w:val="2E3662A3"/>
    <w:rsid w:val="2E764B34"/>
    <w:rsid w:val="2F261284"/>
    <w:rsid w:val="2F265E4E"/>
    <w:rsid w:val="2F5A7DDB"/>
    <w:rsid w:val="2F664B0F"/>
    <w:rsid w:val="2FA50B1C"/>
    <w:rsid w:val="2FAD33C2"/>
    <w:rsid w:val="303A25D0"/>
    <w:rsid w:val="3088418B"/>
    <w:rsid w:val="30C751A3"/>
    <w:rsid w:val="30D57C5D"/>
    <w:rsid w:val="30DA154E"/>
    <w:rsid w:val="30F67897"/>
    <w:rsid w:val="312352B9"/>
    <w:rsid w:val="31C54436"/>
    <w:rsid w:val="31DE4CF4"/>
    <w:rsid w:val="3221486C"/>
    <w:rsid w:val="32387E25"/>
    <w:rsid w:val="32653A8B"/>
    <w:rsid w:val="32872D66"/>
    <w:rsid w:val="32F82E80"/>
    <w:rsid w:val="333A4AD5"/>
    <w:rsid w:val="335B1D88"/>
    <w:rsid w:val="335C76C1"/>
    <w:rsid w:val="33815A7E"/>
    <w:rsid w:val="33C022CF"/>
    <w:rsid w:val="34041D40"/>
    <w:rsid w:val="34085961"/>
    <w:rsid w:val="34163F53"/>
    <w:rsid w:val="3464452F"/>
    <w:rsid w:val="34851143"/>
    <w:rsid w:val="34AC63E7"/>
    <w:rsid w:val="34F903B8"/>
    <w:rsid w:val="351A6043"/>
    <w:rsid w:val="35427B0F"/>
    <w:rsid w:val="35447AEC"/>
    <w:rsid w:val="356B5D1D"/>
    <w:rsid w:val="357F49FA"/>
    <w:rsid w:val="358975AE"/>
    <w:rsid w:val="358B081F"/>
    <w:rsid w:val="35C04C25"/>
    <w:rsid w:val="35FC548C"/>
    <w:rsid w:val="360B129A"/>
    <w:rsid w:val="36A4475E"/>
    <w:rsid w:val="36AA5E0A"/>
    <w:rsid w:val="36CA0C5E"/>
    <w:rsid w:val="36E032BC"/>
    <w:rsid w:val="36E9620D"/>
    <w:rsid w:val="36F6488E"/>
    <w:rsid w:val="371C74DF"/>
    <w:rsid w:val="372E04CB"/>
    <w:rsid w:val="374E6478"/>
    <w:rsid w:val="37520F41"/>
    <w:rsid w:val="3762161D"/>
    <w:rsid w:val="37703ABB"/>
    <w:rsid w:val="378679C0"/>
    <w:rsid w:val="378F65A8"/>
    <w:rsid w:val="37A12630"/>
    <w:rsid w:val="37AC319E"/>
    <w:rsid w:val="37D00869"/>
    <w:rsid w:val="37D44BCF"/>
    <w:rsid w:val="37DA7D0B"/>
    <w:rsid w:val="37EE3E36"/>
    <w:rsid w:val="38083993"/>
    <w:rsid w:val="385E5C62"/>
    <w:rsid w:val="387448E3"/>
    <w:rsid w:val="38895400"/>
    <w:rsid w:val="38B062BB"/>
    <w:rsid w:val="38B3500B"/>
    <w:rsid w:val="38BD4DB8"/>
    <w:rsid w:val="38C56C0D"/>
    <w:rsid w:val="38D46E50"/>
    <w:rsid w:val="38DE52AC"/>
    <w:rsid w:val="38E946D1"/>
    <w:rsid w:val="391A096E"/>
    <w:rsid w:val="39A77BA6"/>
    <w:rsid w:val="39C07B4A"/>
    <w:rsid w:val="39E45DE4"/>
    <w:rsid w:val="3A1273C6"/>
    <w:rsid w:val="3A451F82"/>
    <w:rsid w:val="3A493A3A"/>
    <w:rsid w:val="3A5E2E76"/>
    <w:rsid w:val="3A6D6A80"/>
    <w:rsid w:val="3A76310C"/>
    <w:rsid w:val="3A9C4892"/>
    <w:rsid w:val="3ACB1436"/>
    <w:rsid w:val="3AE06945"/>
    <w:rsid w:val="3B1339F6"/>
    <w:rsid w:val="3B356279"/>
    <w:rsid w:val="3B5C6947"/>
    <w:rsid w:val="3B7F7C46"/>
    <w:rsid w:val="3B88795E"/>
    <w:rsid w:val="3BBA063F"/>
    <w:rsid w:val="3BDE19D1"/>
    <w:rsid w:val="3C6B74E7"/>
    <w:rsid w:val="3C893FAF"/>
    <w:rsid w:val="3CA827C1"/>
    <w:rsid w:val="3CAD59EE"/>
    <w:rsid w:val="3CDA4418"/>
    <w:rsid w:val="3CE753A4"/>
    <w:rsid w:val="3D2D2A65"/>
    <w:rsid w:val="3D38095E"/>
    <w:rsid w:val="3D413E5D"/>
    <w:rsid w:val="3D723DD3"/>
    <w:rsid w:val="3D751F42"/>
    <w:rsid w:val="3DA87F4F"/>
    <w:rsid w:val="3DBB2C39"/>
    <w:rsid w:val="3DE21EFD"/>
    <w:rsid w:val="3E0C4997"/>
    <w:rsid w:val="3E1E0BD5"/>
    <w:rsid w:val="3E2919ED"/>
    <w:rsid w:val="3E941710"/>
    <w:rsid w:val="3EF05606"/>
    <w:rsid w:val="3F6A3151"/>
    <w:rsid w:val="3F874C1D"/>
    <w:rsid w:val="400A4EA6"/>
    <w:rsid w:val="40153FD6"/>
    <w:rsid w:val="402757C1"/>
    <w:rsid w:val="403F2E01"/>
    <w:rsid w:val="40814B23"/>
    <w:rsid w:val="4083151E"/>
    <w:rsid w:val="408E72C3"/>
    <w:rsid w:val="408E7BCF"/>
    <w:rsid w:val="40AB15B8"/>
    <w:rsid w:val="40B26236"/>
    <w:rsid w:val="40C14C05"/>
    <w:rsid w:val="40F04347"/>
    <w:rsid w:val="41073554"/>
    <w:rsid w:val="412F4C2A"/>
    <w:rsid w:val="416359C8"/>
    <w:rsid w:val="41681350"/>
    <w:rsid w:val="416F668A"/>
    <w:rsid w:val="41851F76"/>
    <w:rsid w:val="419378A9"/>
    <w:rsid w:val="419F6662"/>
    <w:rsid w:val="41A72D03"/>
    <w:rsid w:val="41BC55E0"/>
    <w:rsid w:val="41BF069E"/>
    <w:rsid w:val="41DD3F9B"/>
    <w:rsid w:val="420B7389"/>
    <w:rsid w:val="42246FB6"/>
    <w:rsid w:val="423563C7"/>
    <w:rsid w:val="427B2293"/>
    <w:rsid w:val="42C57370"/>
    <w:rsid w:val="430832B2"/>
    <w:rsid w:val="43144276"/>
    <w:rsid w:val="43264088"/>
    <w:rsid w:val="432E4A0D"/>
    <w:rsid w:val="43333AFF"/>
    <w:rsid w:val="434966C0"/>
    <w:rsid w:val="434C4B79"/>
    <w:rsid w:val="43603D96"/>
    <w:rsid w:val="437C4518"/>
    <w:rsid w:val="438B5013"/>
    <w:rsid w:val="43900453"/>
    <w:rsid w:val="43BC29BB"/>
    <w:rsid w:val="43CB7C06"/>
    <w:rsid w:val="43CE514A"/>
    <w:rsid w:val="43D06100"/>
    <w:rsid w:val="43F26816"/>
    <w:rsid w:val="44024872"/>
    <w:rsid w:val="445769C9"/>
    <w:rsid w:val="44637696"/>
    <w:rsid w:val="44740DA7"/>
    <w:rsid w:val="448E1A8C"/>
    <w:rsid w:val="44C7578F"/>
    <w:rsid w:val="44D31AB8"/>
    <w:rsid w:val="44E448CD"/>
    <w:rsid w:val="44EF474A"/>
    <w:rsid w:val="44EF728A"/>
    <w:rsid w:val="45111167"/>
    <w:rsid w:val="4517597F"/>
    <w:rsid w:val="453864C5"/>
    <w:rsid w:val="45442C68"/>
    <w:rsid w:val="454815E5"/>
    <w:rsid w:val="457C2033"/>
    <w:rsid w:val="465313B5"/>
    <w:rsid w:val="466A125B"/>
    <w:rsid w:val="466D3A64"/>
    <w:rsid w:val="467632F5"/>
    <w:rsid w:val="46994235"/>
    <w:rsid w:val="46A2549B"/>
    <w:rsid w:val="46A95479"/>
    <w:rsid w:val="46B856BC"/>
    <w:rsid w:val="46F77B89"/>
    <w:rsid w:val="46FD7572"/>
    <w:rsid w:val="4743767B"/>
    <w:rsid w:val="4757256C"/>
    <w:rsid w:val="47777325"/>
    <w:rsid w:val="477B4BDB"/>
    <w:rsid w:val="479E023F"/>
    <w:rsid w:val="47F15329"/>
    <w:rsid w:val="47FC6E81"/>
    <w:rsid w:val="48043EFA"/>
    <w:rsid w:val="487B3318"/>
    <w:rsid w:val="48AD5394"/>
    <w:rsid w:val="48B43184"/>
    <w:rsid w:val="48B93029"/>
    <w:rsid w:val="48DB14EE"/>
    <w:rsid w:val="493F1574"/>
    <w:rsid w:val="49726A4B"/>
    <w:rsid w:val="49C5554F"/>
    <w:rsid w:val="4A076C56"/>
    <w:rsid w:val="4A431F7F"/>
    <w:rsid w:val="4A711501"/>
    <w:rsid w:val="4AAF0341"/>
    <w:rsid w:val="4ADE5F63"/>
    <w:rsid w:val="4AE253FD"/>
    <w:rsid w:val="4B097E96"/>
    <w:rsid w:val="4B105AC6"/>
    <w:rsid w:val="4B3E34E1"/>
    <w:rsid w:val="4B7B64DF"/>
    <w:rsid w:val="4BA10E14"/>
    <w:rsid w:val="4BB73B85"/>
    <w:rsid w:val="4BD01C29"/>
    <w:rsid w:val="4BF478AD"/>
    <w:rsid w:val="4C065123"/>
    <w:rsid w:val="4C0C77BC"/>
    <w:rsid w:val="4C0D38CD"/>
    <w:rsid w:val="4C17384D"/>
    <w:rsid w:val="4C257A37"/>
    <w:rsid w:val="4C2707A1"/>
    <w:rsid w:val="4C64712B"/>
    <w:rsid w:val="4C700EF1"/>
    <w:rsid w:val="4C760354"/>
    <w:rsid w:val="4C9C1570"/>
    <w:rsid w:val="4CBD3FF2"/>
    <w:rsid w:val="4CC17176"/>
    <w:rsid w:val="4CC67CE3"/>
    <w:rsid w:val="4D7F3E6F"/>
    <w:rsid w:val="4D7F6F33"/>
    <w:rsid w:val="4DDD4EEC"/>
    <w:rsid w:val="4DF50B78"/>
    <w:rsid w:val="4DF616CB"/>
    <w:rsid w:val="4E5A1331"/>
    <w:rsid w:val="4E5A5ADC"/>
    <w:rsid w:val="4E6938E7"/>
    <w:rsid w:val="4E6A5759"/>
    <w:rsid w:val="4E701DC0"/>
    <w:rsid w:val="4E7F5BE5"/>
    <w:rsid w:val="4E93713A"/>
    <w:rsid w:val="4EAB5FD9"/>
    <w:rsid w:val="4EBB21ED"/>
    <w:rsid w:val="4ECA741E"/>
    <w:rsid w:val="4EDA6A05"/>
    <w:rsid w:val="4F006719"/>
    <w:rsid w:val="4F0B3174"/>
    <w:rsid w:val="4F2E489B"/>
    <w:rsid w:val="4F4C72E9"/>
    <w:rsid w:val="4F5166AD"/>
    <w:rsid w:val="4F5D25FD"/>
    <w:rsid w:val="4F6121B7"/>
    <w:rsid w:val="4F643265"/>
    <w:rsid w:val="4F741231"/>
    <w:rsid w:val="4FB41D44"/>
    <w:rsid w:val="4FB93303"/>
    <w:rsid w:val="4FBC32D6"/>
    <w:rsid w:val="50105D76"/>
    <w:rsid w:val="507A4445"/>
    <w:rsid w:val="50BF6E81"/>
    <w:rsid w:val="50FF0870"/>
    <w:rsid w:val="5131339E"/>
    <w:rsid w:val="513D513B"/>
    <w:rsid w:val="513F080C"/>
    <w:rsid w:val="518E2B89"/>
    <w:rsid w:val="51F64B4D"/>
    <w:rsid w:val="52627693"/>
    <w:rsid w:val="52654DCD"/>
    <w:rsid w:val="52A43369"/>
    <w:rsid w:val="52B96297"/>
    <w:rsid w:val="52C75604"/>
    <w:rsid w:val="52DA541F"/>
    <w:rsid w:val="52FD78CA"/>
    <w:rsid w:val="5306542C"/>
    <w:rsid w:val="5328270F"/>
    <w:rsid w:val="532B582C"/>
    <w:rsid w:val="533662E6"/>
    <w:rsid w:val="53390376"/>
    <w:rsid w:val="533B37EB"/>
    <w:rsid w:val="533C1C56"/>
    <w:rsid w:val="5357579E"/>
    <w:rsid w:val="53842532"/>
    <w:rsid w:val="53A704DA"/>
    <w:rsid w:val="54027A71"/>
    <w:rsid w:val="540A24A6"/>
    <w:rsid w:val="541D6439"/>
    <w:rsid w:val="546A09A4"/>
    <w:rsid w:val="549E4143"/>
    <w:rsid w:val="552535BC"/>
    <w:rsid w:val="553813F1"/>
    <w:rsid w:val="55660FBE"/>
    <w:rsid w:val="557E3F74"/>
    <w:rsid w:val="55821076"/>
    <w:rsid w:val="563B53DB"/>
    <w:rsid w:val="56493792"/>
    <w:rsid w:val="56777341"/>
    <w:rsid w:val="56943A17"/>
    <w:rsid w:val="56AA3DFF"/>
    <w:rsid w:val="56D402F0"/>
    <w:rsid w:val="572F4B71"/>
    <w:rsid w:val="575329D5"/>
    <w:rsid w:val="57AA1D79"/>
    <w:rsid w:val="57D01595"/>
    <w:rsid w:val="57DA4441"/>
    <w:rsid w:val="58317C08"/>
    <w:rsid w:val="594015B1"/>
    <w:rsid w:val="59554FEC"/>
    <w:rsid w:val="595A0DC1"/>
    <w:rsid w:val="596D4A2C"/>
    <w:rsid w:val="599B0EFC"/>
    <w:rsid w:val="59BD150F"/>
    <w:rsid w:val="5A130C2C"/>
    <w:rsid w:val="5A19326D"/>
    <w:rsid w:val="5A39563D"/>
    <w:rsid w:val="5A47370B"/>
    <w:rsid w:val="5A751316"/>
    <w:rsid w:val="5AE0581C"/>
    <w:rsid w:val="5AE96334"/>
    <w:rsid w:val="5AF30F60"/>
    <w:rsid w:val="5B31213F"/>
    <w:rsid w:val="5B5F738D"/>
    <w:rsid w:val="5BA54009"/>
    <w:rsid w:val="5BB26481"/>
    <w:rsid w:val="5BB32D18"/>
    <w:rsid w:val="5BE43388"/>
    <w:rsid w:val="5C5C591B"/>
    <w:rsid w:val="5C643EC4"/>
    <w:rsid w:val="5CCF1148"/>
    <w:rsid w:val="5CD4114D"/>
    <w:rsid w:val="5CD53D28"/>
    <w:rsid w:val="5D0460DC"/>
    <w:rsid w:val="5D2366CB"/>
    <w:rsid w:val="5D3331A6"/>
    <w:rsid w:val="5D552356"/>
    <w:rsid w:val="5D625800"/>
    <w:rsid w:val="5D8A153C"/>
    <w:rsid w:val="5DE1497B"/>
    <w:rsid w:val="5E135BA1"/>
    <w:rsid w:val="5E1D1079"/>
    <w:rsid w:val="5E211941"/>
    <w:rsid w:val="5E3642C9"/>
    <w:rsid w:val="5E4C4EB1"/>
    <w:rsid w:val="5E5A20E8"/>
    <w:rsid w:val="5E6D59C3"/>
    <w:rsid w:val="5E781EA8"/>
    <w:rsid w:val="5E7C11CE"/>
    <w:rsid w:val="5E9341CF"/>
    <w:rsid w:val="5E9C0CBE"/>
    <w:rsid w:val="5EDA6373"/>
    <w:rsid w:val="5EF46D8B"/>
    <w:rsid w:val="5F180162"/>
    <w:rsid w:val="5F514BE2"/>
    <w:rsid w:val="5F5A15AE"/>
    <w:rsid w:val="5F9C1BC7"/>
    <w:rsid w:val="5FA5144D"/>
    <w:rsid w:val="5FDD555A"/>
    <w:rsid w:val="5FFB68ED"/>
    <w:rsid w:val="601F4136"/>
    <w:rsid w:val="6022031E"/>
    <w:rsid w:val="60AA69DE"/>
    <w:rsid w:val="60DB6DDC"/>
    <w:rsid w:val="61137122"/>
    <w:rsid w:val="6116641A"/>
    <w:rsid w:val="61183C2B"/>
    <w:rsid w:val="615230C3"/>
    <w:rsid w:val="617D1400"/>
    <w:rsid w:val="61876670"/>
    <w:rsid w:val="61903A3C"/>
    <w:rsid w:val="61905523"/>
    <w:rsid w:val="6196533C"/>
    <w:rsid w:val="61C24BFD"/>
    <w:rsid w:val="61C81C8C"/>
    <w:rsid w:val="61DB0771"/>
    <w:rsid w:val="61FC09D8"/>
    <w:rsid w:val="620774EF"/>
    <w:rsid w:val="620951F2"/>
    <w:rsid w:val="626F41F4"/>
    <w:rsid w:val="63153AD6"/>
    <w:rsid w:val="634A483E"/>
    <w:rsid w:val="637A3FCD"/>
    <w:rsid w:val="63AB4186"/>
    <w:rsid w:val="63C51B85"/>
    <w:rsid w:val="63C81B89"/>
    <w:rsid w:val="63C87510"/>
    <w:rsid w:val="64027360"/>
    <w:rsid w:val="642B45E0"/>
    <w:rsid w:val="64604EAC"/>
    <w:rsid w:val="64740A1C"/>
    <w:rsid w:val="64805FF8"/>
    <w:rsid w:val="64836364"/>
    <w:rsid w:val="649105FD"/>
    <w:rsid w:val="64992B79"/>
    <w:rsid w:val="64D7429C"/>
    <w:rsid w:val="64FD3DCA"/>
    <w:rsid w:val="650002E7"/>
    <w:rsid w:val="6507415B"/>
    <w:rsid w:val="65434447"/>
    <w:rsid w:val="65C51F76"/>
    <w:rsid w:val="65D200F0"/>
    <w:rsid w:val="65F73581"/>
    <w:rsid w:val="66457796"/>
    <w:rsid w:val="669453A6"/>
    <w:rsid w:val="66A5387A"/>
    <w:rsid w:val="66BF5FFF"/>
    <w:rsid w:val="66C2621A"/>
    <w:rsid w:val="66F10A4A"/>
    <w:rsid w:val="6720099A"/>
    <w:rsid w:val="674F7545"/>
    <w:rsid w:val="67537CF0"/>
    <w:rsid w:val="67656B1B"/>
    <w:rsid w:val="677775A8"/>
    <w:rsid w:val="679542C8"/>
    <w:rsid w:val="67AE419D"/>
    <w:rsid w:val="67B22635"/>
    <w:rsid w:val="67BE74C9"/>
    <w:rsid w:val="67F3389E"/>
    <w:rsid w:val="683769EB"/>
    <w:rsid w:val="684F37DE"/>
    <w:rsid w:val="68B2669E"/>
    <w:rsid w:val="68E22B52"/>
    <w:rsid w:val="68EB131E"/>
    <w:rsid w:val="69182A19"/>
    <w:rsid w:val="69764EE6"/>
    <w:rsid w:val="69821ED2"/>
    <w:rsid w:val="698C50B9"/>
    <w:rsid w:val="698E1753"/>
    <w:rsid w:val="69983F39"/>
    <w:rsid w:val="69CA10DE"/>
    <w:rsid w:val="69CE3E97"/>
    <w:rsid w:val="69D47128"/>
    <w:rsid w:val="69F07ED0"/>
    <w:rsid w:val="69F274C7"/>
    <w:rsid w:val="69FE3890"/>
    <w:rsid w:val="6A10379F"/>
    <w:rsid w:val="6A7A0A2B"/>
    <w:rsid w:val="6A7F636D"/>
    <w:rsid w:val="6AAB7743"/>
    <w:rsid w:val="6ACA4D44"/>
    <w:rsid w:val="6ADE7537"/>
    <w:rsid w:val="6AF05382"/>
    <w:rsid w:val="6B133F99"/>
    <w:rsid w:val="6B157FD2"/>
    <w:rsid w:val="6B221B0E"/>
    <w:rsid w:val="6B426B13"/>
    <w:rsid w:val="6B6E6411"/>
    <w:rsid w:val="6B9419A4"/>
    <w:rsid w:val="6BC4672D"/>
    <w:rsid w:val="6BF4543B"/>
    <w:rsid w:val="6BFA2464"/>
    <w:rsid w:val="6C364F34"/>
    <w:rsid w:val="6C3A4520"/>
    <w:rsid w:val="6C565BAA"/>
    <w:rsid w:val="6C6204DD"/>
    <w:rsid w:val="6C7543E1"/>
    <w:rsid w:val="6C7D42B4"/>
    <w:rsid w:val="6C8A3E98"/>
    <w:rsid w:val="6C963B87"/>
    <w:rsid w:val="6CA551EC"/>
    <w:rsid w:val="6CA96079"/>
    <w:rsid w:val="6CAC1F8A"/>
    <w:rsid w:val="6CAD0F6F"/>
    <w:rsid w:val="6CC81EA4"/>
    <w:rsid w:val="6CF26376"/>
    <w:rsid w:val="6D37776E"/>
    <w:rsid w:val="6D69517B"/>
    <w:rsid w:val="6D69756C"/>
    <w:rsid w:val="6D750204"/>
    <w:rsid w:val="6DD644F6"/>
    <w:rsid w:val="6DDA65C4"/>
    <w:rsid w:val="6E920594"/>
    <w:rsid w:val="6EC8214A"/>
    <w:rsid w:val="6F1976C8"/>
    <w:rsid w:val="6FFC5967"/>
    <w:rsid w:val="70021CEB"/>
    <w:rsid w:val="702D75AC"/>
    <w:rsid w:val="703412AA"/>
    <w:rsid w:val="704838FD"/>
    <w:rsid w:val="707F6878"/>
    <w:rsid w:val="709119F6"/>
    <w:rsid w:val="70AF7F0C"/>
    <w:rsid w:val="70B85039"/>
    <w:rsid w:val="70D16063"/>
    <w:rsid w:val="70F562D7"/>
    <w:rsid w:val="713D64DC"/>
    <w:rsid w:val="71941D4C"/>
    <w:rsid w:val="71F7318A"/>
    <w:rsid w:val="721A3870"/>
    <w:rsid w:val="72795F5D"/>
    <w:rsid w:val="72873F22"/>
    <w:rsid w:val="728E35F1"/>
    <w:rsid w:val="72DB435C"/>
    <w:rsid w:val="73131D48"/>
    <w:rsid w:val="731750C1"/>
    <w:rsid w:val="736F7E23"/>
    <w:rsid w:val="737C6513"/>
    <w:rsid w:val="737F01AF"/>
    <w:rsid w:val="739641CD"/>
    <w:rsid w:val="73B344DE"/>
    <w:rsid w:val="73F76C73"/>
    <w:rsid w:val="73F84687"/>
    <w:rsid w:val="746135D3"/>
    <w:rsid w:val="74CB5204"/>
    <w:rsid w:val="74D76A61"/>
    <w:rsid w:val="75156F04"/>
    <w:rsid w:val="75293576"/>
    <w:rsid w:val="753541F8"/>
    <w:rsid w:val="755725B0"/>
    <w:rsid w:val="75781DD0"/>
    <w:rsid w:val="75824D9D"/>
    <w:rsid w:val="759224B5"/>
    <w:rsid w:val="75A1363B"/>
    <w:rsid w:val="75AB1C93"/>
    <w:rsid w:val="75D069B4"/>
    <w:rsid w:val="761B163F"/>
    <w:rsid w:val="761F3505"/>
    <w:rsid w:val="763639D5"/>
    <w:rsid w:val="763E3663"/>
    <w:rsid w:val="76486327"/>
    <w:rsid w:val="7671126A"/>
    <w:rsid w:val="76810114"/>
    <w:rsid w:val="76E41762"/>
    <w:rsid w:val="76E46ECE"/>
    <w:rsid w:val="7717316E"/>
    <w:rsid w:val="773A5758"/>
    <w:rsid w:val="774D2101"/>
    <w:rsid w:val="77603777"/>
    <w:rsid w:val="777D58A9"/>
    <w:rsid w:val="777F343D"/>
    <w:rsid w:val="77901BB9"/>
    <w:rsid w:val="779B3C6B"/>
    <w:rsid w:val="77AB5706"/>
    <w:rsid w:val="77C7479C"/>
    <w:rsid w:val="78626435"/>
    <w:rsid w:val="78626A84"/>
    <w:rsid w:val="787567BE"/>
    <w:rsid w:val="787B3EF7"/>
    <w:rsid w:val="787D26D8"/>
    <w:rsid w:val="788E3223"/>
    <w:rsid w:val="78B05110"/>
    <w:rsid w:val="78BB0EB8"/>
    <w:rsid w:val="78E06AB0"/>
    <w:rsid w:val="790B4090"/>
    <w:rsid w:val="79643504"/>
    <w:rsid w:val="79864C1B"/>
    <w:rsid w:val="798E0318"/>
    <w:rsid w:val="79AF62F8"/>
    <w:rsid w:val="79D7692E"/>
    <w:rsid w:val="79E25FFC"/>
    <w:rsid w:val="7A09540F"/>
    <w:rsid w:val="7A1F0FD2"/>
    <w:rsid w:val="7A313682"/>
    <w:rsid w:val="7A326EC1"/>
    <w:rsid w:val="7A471B74"/>
    <w:rsid w:val="7AC415A1"/>
    <w:rsid w:val="7AC921BD"/>
    <w:rsid w:val="7AD93877"/>
    <w:rsid w:val="7BA87505"/>
    <w:rsid w:val="7BF53DED"/>
    <w:rsid w:val="7BFC0690"/>
    <w:rsid w:val="7C1D50F5"/>
    <w:rsid w:val="7C4C09EA"/>
    <w:rsid w:val="7C531F86"/>
    <w:rsid w:val="7C6106D5"/>
    <w:rsid w:val="7C6151AF"/>
    <w:rsid w:val="7CC540BD"/>
    <w:rsid w:val="7CF120A2"/>
    <w:rsid w:val="7D423759"/>
    <w:rsid w:val="7D43322A"/>
    <w:rsid w:val="7D695F1A"/>
    <w:rsid w:val="7DA8304D"/>
    <w:rsid w:val="7DC13F0D"/>
    <w:rsid w:val="7DD956AA"/>
    <w:rsid w:val="7E064983"/>
    <w:rsid w:val="7E2D5B39"/>
    <w:rsid w:val="7E42351F"/>
    <w:rsid w:val="7E7713DD"/>
    <w:rsid w:val="7EBB39C0"/>
    <w:rsid w:val="7EC73C00"/>
    <w:rsid w:val="7ED160D1"/>
    <w:rsid w:val="7EDB5E10"/>
    <w:rsid w:val="7EE6462D"/>
    <w:rsid w:val="7F035695"/>
    <w:rsid w:val="7F2B4D67"/>
    <w:rsid w:val="7F3B7B06"/>
    <w:rsid w:val="7F5E126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6">
    <w:name w:val="heading 1"/>
    <w:basedOn w:val="1"/>
    <w:next w:val="1"/>
    <w:qFormat/>
    <w:uiPriority w:val="0"/>
    <w:pPr>
      <w:keepNext/>
      <w:keepLines/>
      <w:spacing w:line="360" w:lineRule="auto"/>
      <w:jc w:val="center"/>
      <w:outlineLvl w:val="0"/>
    </w:pPr>
    <w:rPr>
      <w:b/>
      <w:bCs/>
      <w:kern w:val="44"/>
      <w:sz w:val="44"/>
      <w:szCs w:val="44"/>
    </w:rPr>
  </w:style>
  <w:style w:type="paragraph" w:styleId="7">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大标题"/>
    <w:basedOn w:val="1"/>
    <w:next w:val="4"/>
    <w:qFormat/>
    <w:uiPriority w:val="0"/>
    <w:pPr>
      <w:jc w:val="center"/>
    </w:pPr>
    <w:rPr>
      <w:rFonts w:ascii="Arial" w:hAnsi="Arial" w:eastAsia="宋体" w:cs="Times New Roman"/>
      <w:b/>
      <w:sz w:val="28"/>
      <w:szCs w:val="24"/>
    </w:rPr>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spacing w:after="120"/>
      <w:ind w:left="200" w:leftChars="200"/>
    </w:pPr>
  </w:style>
  <w:style w:type="paragraph" w:styleId="9">
    <w:name w:val="Normal Indent"/>
    <w:basedOn w:val="1"/>
    <w:next w:val="1"/>
    <w:qFormat/>
    <w:uiPriority w:val="0"/>
    <w:pPr>
      <w:autoSpaceDE w:val="0"/>
      <w:autoSpaceDN w:val="0"/>
      <w:adjustRightInd w:val="0"/>
      <w:ind w:firstLine="420"/>
    </w:pPr>
    <w:rPr>
      <w:rFonts w:ascii="宋体"/>
      <w:szCs w:val="20"/>
    </w:rPr>
  </w:style>
  <w:style w:type="paragraph" w:styleId="10">
    <w:name w:val="toa heading"/>
    <w:basedOn w:val="1"/>
    <w:next w:val="1"/>
    <w:autoRedefine/>
    <w:qFormat/>
    <w:uiPriority w:val="0"/>
    <w:pPr>
      <w:spacing w:before="120"/>
    </w:pPr>
    <w:rPr>
      <w:rFonts w:ascii="Cambria" w:hAnsi="Cambria"/>
      <w:szCs w:val="20"/>
    </w:rPr>
  </w:style>
  <w:style w:type="paragraph" w:styleId="11">
    <w:name w:val="Body Text 3"/>
    <w:basedOn w:val="1"/>
    <w:next w:val="1"/>
    <w:qFormat/>
    <w:uiPriority w:val="0"/>
    <w:pPr>
      <w:spacing w:after="120"/>
    </w:pPr>
    <w:rPr>
      <w:sz w:val="16"/>
      <w:szCs w:val="16"/>
    </w:rPr>
  </w:style>
  <w:style w:type="paragraph" w:styleId="12">
    <w:name w:val="Body Text"/>
    <w:basedOn w:val="1"/>
    <w:next w:val="1"/>
    <w:qFormat/>
    <w:uiPriority w:val="99"/>
    <w:pPr>
      <w:numPr>
        <w:ilvl w:val="0"/>
        <w:numId w:val="1"/>
      </w:numPr>
      <w:ind w:left="0" w:firstLine="0"/>
    </w:pPr>
    <w:rPr>
      <w:rFonts w:ascii="黑体" w:eastAsia="黑体"/>
      <w:sz w:val="22"/>
    </w:rPr>
  </w:style>
  <w:style w:type="paragraph" w:styleId="13">
    <w:name w:val="Plain Text"/>
    <w:basedOn w:val="1"/>
    <w:next w:val="14"/>
    <w:qFormat/>
    <w:uiPriority w:val="0"/>
    <w:rPr>
      <w:rFonts w:ascii="宋体"/>
      <w:szCs w:val="20"/>
      <w:u w:color="000000"/>
    </w:rPr>
  </w:style>
  <w:style w:type="paragraph" w:styleId="14">
    <w:name w:val="index 7"/>
    <w:basedOn w:val="1"/>
    <w:next w:val="1"/>
    <w:qFormat/>
    <w:uiPriority w:val="0"/>
    <w:pPr>
      <w:ind w:left="1200" w:leftChars="1200"/>
    </w:pPr>
    <w:rPr>
      <w:color w:val="auto"/>
      <w:kern w:val="2"/>
    </w:r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unhideWhenUsed/>
    <w:qFormat/>
    <w:uiPriority w:val="99"/>
    <w:pPr>
      <w:snapToGrid w:val="0"/>
    </w:pPr>
    <w:rPr>
      <w:sz w:val="18"/>
      <w:szCs w:val="18"/>
    </w:rPr>
  </w:style>
  <w:style w:type="paragraph" w:styleId="20">
    <w:name w:val="Body Text 2"/>
    <w:basedOn w:val="1"/>
    <w:qFormat/>
    <w:uiPriority w:val="0"/>
    <w:pPr>
      <w:tabs>
        <w:tab w:val="left" w:pos="0"/>
      </w:tabs>
      <w:spacing w:line="400" w:lineRule="atLeast"/>
    </w:pPr>
    <w:rPr>
      <w:rFonts w:ascii="Arial" w:hAnsi="Arial"/>
    </w:rPr>
  </w:style>
  <w:style w:type="paragraph" w:styleId="21">
    <w:name w:val="Normal (Web)"/>
    <w:basedOn w:val="1"/>
    <w:qFormat/>
    <w:uiPriority w:val="99"/>
    <w:pPr>
      <w:widowControl/>
    </w:pPr>
    <w:rPr>
      <w:rFonts w:ascii="宋体" w:hAnsi="宋体" w:eastAsia="宋体" w:cs="宋体"/>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w:basedOn w:val="12"/>
    <w:next w:val="1"/>
    <w:semiHidden/>
    <w:qFormat/>
    <w:uiPriority w:val="0"/>
    <w:pPr>
      <w:spacing w:line="400" w:lineRule="atLeast"/>
      <w:ind w:firstLine="426"/>
    </w:pPr>
    <w:rPr>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Hyperlink"/>
    <w:basedOn w:val="26"/>
    <w:qFormat/>
    <w:uiPriority w:val="99"/>
    <w:rPr>
      <w:color w:val="0000FF"/>
      <w:u w:val="single"/>
    </w:rPr>
  </w:style>
  <w:style w:type="character" w:styleId="29">
    <w:name w:val="footnote reference"/>
    <w:basedOn w:val="26"/>
    <w:unhideWhenUsed/>
    <w:qFormat/>
    <w:uiPriority w:val="99"/>
    <w:rPr>
      <w:vertAlign w:val="superscript"/>
    </w:rPr>
  </w:style>
  <w:style w:type="character" w:styleId="30">
    <w:name w:val="HTML Sample"/>
    <w:basedOn w:val="26"/>
    <w:qFormat/>
    <w:uiPriority w:val="0"/>
    <w:rPr>
      <w:rFonts w:ascii="Courier New" w:hAnsi="Courier New"/>
    </w:rPr>
  </w:style>
  <w:style w:type="paragraph" w:customStyle="1" w:styleId="31">
    <w:name w:val="_Style 2"/>
    <w:basedOn w:val="6"/>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2">
    <w:name w:val="正文格式"/>
    <w:basedOn w:val="1"/>
    <w:qFormat/>
    <w:uiPriority w:val="99"/>
    <w:pPr>
      <w:widowControl/>
      <w:adjustRightInd w:val="0"/>
      <w:snapToGrid w:val="0"/>
      <w:spacing w:line="400" w:lineRule="atLeast"/>
      <w:ind w:firstLine="482"/>
      <w:textAlignment w:val="baseline"/>
    </w:pPr>
  </w:style>
  <w:style w:type="paragraph" w:customStyle="1" w:styleId="33">
    <w:name w:val="样式 样式 左侧:  2 字符 + 左侧:  0.85 厘米 首行缩进:  2 字符1"/>
    <w:basedOn w:val="1"/>
    <w:qFormat/>
    <w:uiPriority w:val="0"/>
    <w:pPr>
      <w:ind w:left="482" w:firstLine="200" w:firstLineChars="200"/>
    </w:pPr>
    <w:rPr>
      <w:rFonts w:cs="宋体"/>
      <w:szCs w:val="20"/>
    </w:rPr>
  </w:style>
  <w:style w:type="paragraph" w:customStyle="1" w:styleId="34">
    <w:name w:val="文档正文"/>
    <w:basedOn w:val="9"/>
    <w:qFormat/>
    <w:uiPriority w:val="0"/>
    <w:pPr>
      <w:spacing w:line="360" w:lineRule="auto"/>
    </w:pPr>
    <w:rPr>
      <w:rFonts w:hAnsi="宋体"/>
      <w:b/>
      <w:bCs/>
    </w:rPr>
  </w:style>
  <w:style w:type="paragraph" w:customStyle="1" w:styleId="35">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6">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7">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Table caption|1"/>
    <w:basedOn w:val="1"/>
    <w:qFormat/>
    <w:uiPriority w:val="0"/>
    <w:rPr>
      <w:rFonts w:ascii="宋体" w:hAnsi="宋体" w:eastAsia="宋体" w:cs="宋体"/>
      <w:sz w:val="22"/>
      <w:szCs w:val="22"/>
      <w:lang w:val="zh-TW" w:eastAsia="zh-TW" w:bidi="zh-TW"/>
    </w:rPr>
  </w:style>
  <w:style w:type="paragraph" w:customStyle="1" w:styleId="40">
    <w:name w:val="Table Paragraph"/>
    <w:basedOn w:val="1"/>
    <w:qFormat/>
    <w:uiPriority w:val="1"/>
    <w:pPr>
      <w:autoSpaceDE w:val="0"/>
      <w:autoSpaceDN w:val="0"/>
      <w:adjustRightInd w:val="0"/>
    </w:pPr>
    <w:rPr>
      <w:rFonts w:eastAsia="宋体"/>
    </w:rPr>
  </w:style>
  <w:style w:type="paragraph" w:customStyle="1" w:styleId="41">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2">
    <w:name w:val="图例"/>
    <w:basedOn w:val="1"/>
    <w:qFormat/>
    <w:uiPriority w:val="0"/>
    <w:pPr>
      <w:spacing w:before="120" w:after="120" w:line="360" w:lineRule="auto"/>
      <w:jc w:val="center"/>
    </w:pPr>
    <w:rPr>
      <w:rFonts w:eastAsia="仿宋_GB2312"/>
      <w:b/>
    </w:rPr>
  </w:style>
  <w:style w:type="paragraph" w:customStyle="1" w:styleId="43">
    <w:name w:val="WPS Plain"/>
    <w:qFormat/>
    <w:uiPriority w:val="0"/>
    <w:rPr>
      <w:rFonts w:ascii="Times New Roman" w:hAnsi="Times New Roman" w:eastAsia="宋体" w:cs="Times New Roman"/>
      <w:lang w:val="en-US" w:eastAsia="zh-CN" w:bidi="ar-SA"/>
    </w:rPr>
  </w:style>
  <w:style w:type="paragraph" w:customStyle="1" w:styleId="44">
    <w:name w:val="样式 左侧:  0 厘米 悬挂缩进: 2.5 字符"/>
    <w:basedOn w:val="1"/>
    <w:qFormat/>
    <w:uiPriority w:val="0"/>
    <w:pPr>
      <w:ind w:left="525" w:hanging="525" w:hangingChars="250"/>
    </w:pPr>
    <w:rPr>
      <w:szCs w:val="20"/>
    </w:rPr>
  </w:style>
  <w:style w:type="character" w:customStyle="1" w:styleId="45">
    <w:name w:val="font11"/>
    <w:basedOn w:val="26"/>
    <w:qFormat/>
    <w:uiPriority w:val="0"/>
    <w:rPr>
      <w:rFonts w:ascii="Calibri" w:hAnsi="Calibri" w:cs="Calibri"/>
      <w:color w:val="000000"/>
      <w:sz w:val="20"/>
      <w:szCs w:val="20"/>
      <w:u w:val="none"/>
    </w:rPr>
  </w:style>
  <w:style w:type="paragraph" w:customStyle="1" w:styleId="46">
    <w:name w:val="List Paragraph"/>
    <w:basedOn w:val="1"/>
    <w:qFormat/>
    <w:uiPriority w:val="0"/>
    <w:pPr>
      <w:widowControl/>
      <w:ind w:firstLine="420" w:firstLineChars="200"/>
    </w:pPr>
  </w:style>
  <w:style w:type="paragraph" w:customStyle="1" w:styleId="47">
    <w:name w:val="列出段落1"/>
    <w:basedOn w:val="1"/>
    <w:qFormat/>
    <w:uiPriority w:val="34"/>
    <w:pPr>
      <w:ind w:firstLine="420" w:firstLineChars="200"/>
    </w:p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p15"/>
    <w:basedOn w:val="1"/>
    <w:qFormat/>
    <w:uiPriority w:val="0"/>
    <w:rPr>
      <w:rFonts w:ascii="Arial Unicode MS" w:hAnsi="Arial Unicode MS" w:eastAsia="宋体" w:cs="宋体"/>
    </w:rPr>
  </w:style>
  <w:style w:type="paragraph" w:customStyle="1" w:styleId="50">
    <w:name w:val="Body text|4"/>
    <w:basedOn w:val="1"/>
    <w:qFormat/>
    <w:uiPriority w:val="0"/>
    <w:pPr>
      <w:spacing w:after="580"/>
    </w:pPr>
    <w:rPr>
      <w:rFonts w:ascii="MingLiU" w:hAnsi="MingLiU" w:eastAsia="MingLiU" w:cs="MingLiU"/>
      <w:color w:val="00005D"/>
      <w:sz w:val="56"/>
      <w:szCs w:val="56"/>
      <w:lang w:val="zh-TW" w:eastAsia="zh-TW" w:bidi="zh-TW"/>
    </w:rPr>
  </w:style>
  <w:style w:type="paragraph" w:customStyle="1" w:styleId="51">
    <w:name w:val="BodyText"/>
    <w:basedOn w:val="1"/>
    <w:next w:val="1"/>
    <w:qFormat/>
    <w:uiPriority w:val="0"/>
    <w:pPr>
      <w:tabs>
        <w:tab w:val="left" w:pos="780"/>
      </w:tabs>
    </w:pPr>
    <w:rPr>
      <w:rFonts w:ascii="黑体" w:eastAsia="黑体"/>
      <w:sz w:val="22"/>
    </w:rPr>
  </w:style>
  <w:style w:type="paragraph" w:customStyle="1" w:styleId="52">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53">
    <w:name w:val="样式 首行缩进:  2 字符"/>
    <w:basedOn w:val="1"/>
    <w:qFormat/>
    <w:uiPriority w:val="0"/>
    <w:pPr>
      <w:ind w:firstLine="480"/>
      <w:jc w:val="left"/>
    </w:pPr>
    <w:rPr>
      <w:rFonts w:ascii="宋体" w:hAnsi="宋体" w:cs="宋体"/>
      <w:color w:val="000000"/>
    </w:rPr>
  </w:style>
  <w:style w:type="paragraph" w:customStyle="1" w:styleId="54">
    <w:name w:val="wdcj_7_p"/>
    <w:basedOn w:val="1"/>
    <w:qFormat/>
    <w:uiPriority w:val="0"/>
    <w:pPr>
      <w:widowControl/>
      <w:spacing w:line="360" w:lineRule="auto"/>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191" textRotate="1"/>
    <customShpInfo spid="_x0000_s2192" textRotate="1"/>
    <customShpInfo spid="_x0000_s2121"/>
    <customShpInfo spid="_x0000_s2193" textRotate="1"/>
    <customShpInfo spid="_x0000_s2054"/>
    <customShpInfo spid="_x0000_s2194" textRotate="1"/>
    <customShpInfo spid="_x0000_s2160"/>
    <customShpInfo spid="_x0000_s2196" textRotate="1"/>
    <customShpInfo spid="_x0000_s2140" textRotate="1"/>
    <customShpInfo spid="_x0000_s2197" textRotate="1"/>
    <customShpInfo spid="_x0000_s2198"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91</Pages>
  <Words>41635</Words>
  <Characters>44358</Characters>
  <Lines>69</Lines>
  <Paragraphs>101</Paragraphs>
  <TotalTime>4</TotalTime>
  <ScaleCrop>false</ScaleCrop>
  <LinksUpToDate>false</LinksUpToDate>
  <CharactersWithSpaces>47585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2024-04-26T15:06:00Z</cp:lastPrinted>
  <dcterms:modified xsi:type="dcterms:W3CDTF">2024-05-24T03:40:17Z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94C51C96D3E7441A86BCA96E7DAD6431</vt:lpwstr>
  </property>
</Properties>
</file>