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D02D6">
      <w:pPr>
        <w:spacing w:line="760" w:lineRule="exact"/>
        <w:jc w:val="center"/>
        <w:rPr>
          <w:rFonts w:hint="eastAsia" w:ascii="仿宋" w:hAnsi="仿宋" w:eastAsia="仿宋" w:cs="仿宋"/>
          <w:b/>
          <w:bCs/>
          <w:color w:val="auto"/>
          <w:sz w:val="48"/>
          <w:szCs w:val="48"/>
          <w:highlight w:val="none"/>
          <w:lang w:eastAsia="zh-CN"/>
        </w:rPr>
      </w:pPr>
    </w:p>
    <w:p w14:paraId="7164C08C">
      <w:pPr>
        <w:spacing w:line="760" w:lineRule="exact"/>
        <w:jc w:val="center"/>
        <w:rPr>
          <w:rFonts w:hint="default" w:ascii="仿宋" w:hAnsi="仿宋" w:eastAsia="仿宋" w:cs="仿宋"/>
          <w:b/>
          <w:bCs/>
          <w:color w:val="auto"/>
          <w:sz w:val="44"/>
          <w:szCs w:val="44"/>
          <w:highlight w:val="none"/>
          <w:lang w:eastAsia="zh-CN"/>
        </w:rPr>
      </w:pPr>
      <w:r>
        <w:rPr>
          <w:rFonts w:hint="default" w:ascii="仿宋" w:hAnsi="仿宋" w:eastAsia="仿宋" w:cs="仿宋"/>
          <w:b/>
          <w:bCs/>
          <w:color w:val="auto"/>
          <w:sz w:val="44"/>
          <w:szCs w:val="44"/>
          <w:highlight w:val="none"/>
          <w:lang w:eastAsia="zh-CN"/>
        </w:rPr>
        <w:t>阿克陶县2025年基层消防设施设备建设</w:t>
      </w:r>
      <w:bookmarkStart w:id="69" w:name="_GoBack"/>
      <w:bookmarkEnd w:id="69"/>
      <w:r>
        <w:rPr>
          <w:rFonts w:hint="default" w:ascii="仿宋" w:hAnsi="仿宋" w:eastAsia="仿宋" w:cs="仿宋"/>
          <w:b/>
          <w:bCs/>
          <w:color w:val="auto"/>
          <w:sz w:val="44"/>
          <w:szCs w:val="44"/>
          <w:highlight w:val="none"/>
          <w:lang w:eastAsia="zh-CN"/>
        </w:rPr>
        <w:t>项目</w:t>
      </w:r>
    </w:p>
    <w:p w14:paraId="01C43275">
      <w:pPr>
        <w:spacing w:line="760" w:lineRule="exact"/>
        <w:jc w:val="center"/>
        <w:rPr>
          <w:rFonts w:hint="default"/>
          <w:color w:val="auto"/>
          <w:highlight w:val="none"/>
          <w:lang w:val="en-US"/>
        </w:rPr>
      </w:pPr>
      <w:r>
        <w:rPr>
          <w:rFonts w:hint="eastAsia" w:ascii="仿宋" w:hAnsi="仿宋" w:eastAsia="仿宋" w:cs="仿宋"/>
          <w:b/>
          <w:bCs/>
          <w:color w:val="auto"/>
          <w:sz w:val="40"/>
          <w:szCs w:val="40"/>
          <w:highlight w:val="none"/>
          <w:lang w:eastAsia="zh-CN"/>
        </w:rPr>
        <w:t>项目编号：</w:t>
      </w:r>
      <w:r>
        <w:rPr>
          <w:rFonts w:hint="eastAsia" w:ascii="仿宋" w:hAnsi="仿宋" w:eastAsia="仿宋" w:cs="仿宋"/>
          <w:b/>
          <w:bCs/>
          <w:color w:val="auto"/>
          <w:sz w:val="36"/>
          <w:szCs w:val="36"/>
          <w:highlight w:val="none"/>
          <w:lang w:eastAsia="zh-CN"/>
        </w:rPr>
        <w:t>AKTZBCG-2025</w:t>
      </w:r>
      <w:r>
        <w:rPr>
          <w:rFonts w:hint="eastAsia" w:ascii="仿宋" w:hAnsi="仿宋" w:eastAsia="仿宋" w:cs="仿宋"/>
          <w:b/>
          <w:bCs/>
          <w:color w:val="auto"/>
          <w:sz w:val="36"/>
          <w:szCs w:val="36"/>
          <w:highlight w:val="none"/>
          <w:lang w:val="en-US" w:eastAsia="zh-CN"/>
        </w:rPr>
        <w:t>030</w:t>
      </w:r>
    </w:p>
    <w:p w14:paraId="6EAD1D92">
      <w:pPr>
        <w:pStyle w:val="32"/>
        <w:rPr>
          <w:rFonts w:ascii="仿宋" w:hAnsi="仿宋" w:eastAsia="仿宋" w:cs="仿宋"/>
          <w:color w:val="auto"/>
          <w:highlight w:val="none"/>
        </w:rPr>
      </w:pPr>
    </w:p>
    <w:p w14:paraId="7FFC108C">
      <w:pPr>
        <w:pStyle w:val="32"/>
        <w:rPr>
          <w:rFonts w:ascii="仿宋" w:hAnsi="仿宋" w:eastAsia="仿宋" w:cs="仿宋"/>
          <w:color w:val="auto"/>
          <w:highlight w:val="none"/>
        </w:rPr>
      </w:pPr>
    </w:p>
    <w:p w14:paraId="0AE6F09B">
      <w:pPr>
        <w:pStyle w:val="32"/>
        <w:rPr>
          <w:rFonts w:ascii="仿宋" w:hAnsi="仿宋" w:eastAsia="仿宋" w:cs="仿宋"/>
          <w:color w:val="auto"/>
          <w:highlight w:val="none"/>
        </w:rPr>
      </w:pPr>
    </w:p>
    <w:p w14:paraId="47FCF5A7">
      <w:pPr>
        <w:pStyle w:val="32"/>
        <w:rPr>
          <w:rFonts w:ascii="仿宋" w:hAnsi="仿宋" w:eastAsia="仿宋" w:cs="仿宋"/>
          <w:color w:val="auto"/>
          <w:highlight w:val="none"/>
        </w:rPr>
      </w:pPr>
    </w:p>
    <w:p w14:paraId="1A557F6C">
      <w:pPr>
        <w:pStyle w:val="32"/>
        <w:tabs>
          <w:tab w:val="center" w:pos="4833"/>
          <w:tab w:val="left" w:pos="7579"/>
        </w:tabs>
        <w:jc w:val="left"/>
        <w:rPr>
          <w:rFonts w:hint="eastAsia" w:ascii="仿宋" w:hAnsi="仿宋" w:eastAsia="仿宋" w:cs="仿宋"/>
          <w:b/>
          <w:color w:val="auto"/>
          <w:sz w:val="96"/>
          <w:szCs w:val="96"/>
          <w:highlight w:val="none"/>
          <w:lang w:eastAsia="zh-CN"/>
        </w:rPr>
      </w:pPr>
      <w:r>
        <w:rPr>
          <w:rFonts w:hint="eastAsia" w:ascii="仿宋" w:hAnsi="仿宋" w:eastAsia="仿宋" w:cs="仿宋"/>
          <w:b/>
          <w:color w:val="auto"/>
          <w:sz w:val="96"/>
          <w:szCs w:val="96"/>
          <w:highlight w:val="none"/>
        </w:rPr>
        <w:drawing>
          <wp:anchor distT="0" distB="0" distL="114300" distR="114300" simplePos="0" relativeHeight="251664384" behindDoc="1" locked="0" layoutInCell="1" allowOverlap="1">
            <wp:simplePos x="0" y="0"/>
            <wp:positionH relativeFrom="column">
              <wp:posOffset>1808480</wp:posOffset>
            </wp:positionH>
            <wp:positionV relativeFrom="page">
              <wp:posOffset>3420745</wp:posOffset>
            </wp:positionV>
            <wp:extent cx="2440940" cy="2383155"/>
            <wp:effectExtent l="0" t="0" r="16510" b="17145"/>
            <wp:wrapNone/>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2" cstate="print"/>
                    <a:stretch>
                      <a:fillRect/>
                    </a:stretch>
                  </pic:blipFill>
                  <pic:spPr>
                    <a:xfrm>
                      <a:off x="0" y="0"/>
                      <a:ext cx="2440940" cy="2383155"/>
                    </a:xfrm>
                    <a:prstGeom prst="rect">
                      <a:avLst/>
                    </a:prstGeom>
                    <a:noFill/>
                    <a:ln>
                      <a:noFill/>
                    </a:ln>
                  </pic:spPr>
                </pic:pic>
              </a:graphicData>
            </a:graphic>
          </wp:anchor>
        </w:drawing>
      </w:r>
      <w:r>
        <w:rPr>
          <w:rFonts w:hint="eastAsia" w:ascii="仿宋" w:hAnsi="仿宋" w:eastAsia="仿宋" w:cs="仿宋"/>
          <w:b/>
          <w:color w:val="auto"/>
          <w:sz w:val="96"/>
          <w:szCs w:val="96"/>
          <w:highlight w:val="none"/>
          <w:lang w:eastAsia="zh-CN"/>
        </w:rPr>
        <w:tab/>
      </w:r>
      <w:r>
        <w:rPr>
          <w:rFonts w:hint="eastAsia" w:ascii="仿宋" w:hAnsi="仿宋" w:eastAsia="仿宋" w:cs="仿宋"/>
          <w:b/>
          <w:color w:val="auto"/>
          <w:sz w:val="96"/>
          <w:szCs w:val="96"/>
          <w:highlight w:val="none"/>
        </w:rPr>
        <w:t>招</w:t>
      </w:r>
      <w:r>
        <w:rPr>
          <w:rFonts w:hint="eastAsia" w:ascii="仿宋" w:hAnsi="仿宋" w:eastAsia="仿宋" w:cs="仿宋"/>
          <w:b/>
          <w:color w:val="auto"/>
          <w:sz w:val="96"/>
          <w:szCs w:val="96"/>
          <w:highlight w:val="none"/>
          <w:lang w:eastAsia="zh-CN"/>
        </w:rPr>
        <w:tab/>
      </w:r>
    </w:p>
    <w:p w14:paraId="57070D4C">
      <w:pPr>
        <w:pStyle w:val="32"/>
        <w:jc w:val="center"/>
        <w:rPr>
          <w:rFonts w:ascii="仿宋" w:hAnsi="仿宋" w:eastAsia="仿宋" w:cs="仿宋"/>
          <w:b/>
          <w:bCs/>
          <w:color w:val="auto"/>
          <w:sz w:val="96"/>
          <w:szCs w:val="96"/>
          <w:highlight w:val="none"/>
        </w:rPr>
      </w:pPr>
      <w:r>
        <w:rPr>
          <w:rFonts w:hint="eastAsia" w:ascii="仿宋" w:hAnsi="仿宋" w:eastAsia="仿宋" w:cs="仿宋"/>
          <w:b/>
          <w:color w:val="auto"/>
          <w:sz w:val="96"/>
          <w:szCs w:val="96"/>
          <w:highlight w:val="none"/>
        </w:rPr>
        <w:t>标</w:t>
      </w:r>
    </w:p>
    <w:p w14:paraId="73279768">
      <w:pPr>
        <w:pStyle w:val="32"/>
        <w:jc w:val="center"/>
        <w:rPr>
          <w:rFonts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文</w:t>
      </w:r>
    </w:p>
    <w:p w14:paraId="46D3739E">
      <w:pPr>
        <w:pStyle w:val="32"/>
        <w:jc w:val="center"/>
        <w:rPr>
          <w:rFonts w:ascii="仿宋" w:hAnsi="仿宋" w:eastAsia="仿宋" w:cs="仿宋"/>
          <w:color w:val="auto"/>
          <w:sz w:val="84"/>
          <w:szCs w:val="84"/>
          <w:highlight w:val="none"/>
        </w:rPr>
      </w:pPr>
      <w:r>
        <w:rPr>
          <w:rFonts w:hint="eastAsia" w:ascii="仿宋" w:hAnsi="仿宋" w:eastAsia="仿宋" w:cs="仿宋"/>
          <w:b/>
          <w:bCs/>
          <w:color w:val="auto"/>
          <w:sz w:val="96"/>
          <w:szCs w:val="96"/>
          <w:highlight w:val="none"/>
        </w:rPr>
        <w:t>件</w:t>
      </w:r>
    </w:p>
    <w:p w14:paraId="62025C6C">
      <w:pPr>
        <w:pStyle w:val="32"/>
        <w:rPr>
          <w:rFonts w:ascii="仿宋" w:hAnsi="仿宋" w:eastAsia="仿宋" w:cs="仿宋"/>
          <w:color w:val="auto"/>
          <w:highlight w:val="none"/>
        </w:rPr>
      </w:pPr>
    </w:p>
    <w:p w14:paraId="436307E9">
      <w:pPr>
        <w:spacing w:line="700" w:lineRule="exact"/>
        <w:rPr>
          <w:rFonts w:hint="eastAsia" w:ascii="仿宋" w:hAnsi="仿宋" w:eastAsia="仿宋" w:cs="仿宋"/>
          <w:color w:val="auto"/>
          <w:sz w:val="32"/>
          <w:szCs w:val="32"/>
          <w:highlight w:val="none"/>
          <w:lang w:eastAsia="zh-CN"/>
        </w:rPr>
      </w:pPr>
    </w:p>
    <w:p w14:paraId="117C743F">
      <w:pPr>
        <w:spacing w:line="700" w:lineRule="exact"/>
        <w:rPr>
          <w:rFonts w:hint="eastAsia" w:ascii="仿宋" w:hAnsi="仿宋" w:eastAsia="仿宋" w:cs="仿宋"/>
          <w:color w:val="auto"/>
          <w:sz w:val="32"/>
          <w:szCs w:val="32"/>
          <w:highlight w:val="none"/>
          <w:lang w:eastAsia="zh-CN"/>
        </w:rPr>
      </w:pPr>
    </w:p>
    <w:p w14:paraId="7D400030">
      <w:pPr>
        <w:spacing w:line="700" w:lineRule="exact"/>
        <w:ind w:firstLine="960" w:firstLineChars="3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采购单位：阿克陶县应急管理局</w:t>
      </w:r>
    </w:p>
    <w:p w14:paraId="1AE3071F">
      <w:pPr>
        <w:spacing w:line="700" w:lineRule="exact"/>
        <w:ind w:firstLine="960" w:firstLineChars="3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联 系 人: 孙先生</w:t>
      </w:r>
      <w:r>
        <w:rPr>
          <w:rFonts w:hint="eastAsia" w:ascii="仿宋" w:hAnsi="仿宋" w:eastAsia="仿宋" w:cs="仿宋"/>
          <w:color w:val="auto"/>
          <w:sz w:val="32"/>
          <w:szCs w:val="32"/>
          <w:highlight w:val="none"/>
          <w:lang w:val="en-US" w:eastAsia="zh-CN"/>
        </w:rPr>
        <w:t>/18129187388</w:t>
      </w:r>
    </w:p>
    <w:p w14:paraId="5C61337C">
      <w:pPr>
        <w:spacing w:line="700" w:lineRule="exact"/>
        <w:ind w:firstLine="960" w:firstLineChars="300"/>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代理机构：鼎建项目管理有限公司</w:t>
      </w:r>
    </w:p>
    <w:p w14:paraId="741EC963">
      <w:pPr>
        <w:spacing w:line="700" w:lineRule="exact"/>
        <w:ind w:firstLine="960" w:firstLineChars="3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联 系 人：朱先生</w:t>
      </w:r>
      <w:r>
        <w:rPr>
          <w:rFonts w:hint="eastAsia" w:ascii="仿宋" w:hAnsi="仿宋" w:eastAsia="仿宋" w:cs="仿宋"/>
          <w:color w:val="auto"/>
          <w:sz w:val="32"/>
          <w:szCs w:val="32"/>
          <w:highlight w:val="none"/>
          <w:lang w:val="en-US" w:eastAsia="zh-CN"/>
        </w:rPr>
        <w:t>/18609088999</w:t>
      </w:r>
    </w:p>
    <w:p w14:paraId="66C80FE3">
      <w:pPr>
        <w:jc w:val="center"/>
        <w:rPr>
          <w:rFonts w:hint="eastAsia" w:ascii="仿宋" w:hAnsi="仿宋" w:eastAsia="仿宋" w:cs="仿宋"/>
          <w:b/>
          <w:color w:val="auto"/>
          <w:sz w:val="36"/>
          <w:szCs w:val="36"/>
          <w:highlight w:val="none"/>
          <w:lang w:eastAsia="zh-CN"/>
        </w:rPr>
      </w:pPr>
    </w:p>
    <w:p w14:paraId="551320F7">
      <w:pPr>
        <w:jc w:val="center"/>
        <w:rPr>
          <w:rFonts w:hint="eastAsia" w:ascii="仿宋" w:hAnsi="仿宋" w:eastAsia="仿宋" w:cs="仿宋"/>
          <w:b/>
          <w:color w:val="auto"/>
          <w:sz w:val="36"/>
          <w:szCs w:val="36"/>
          <w:highlight w:val="none"/>
          <w:lang w:eastAsia="zh-CN"/>
        </w:rPr>
      </w:pPr>
    </w:p>
    <w:p w14:paraId="74542420">
      <w:pPr>
        <w:jc w:val="center"/>
        <w:rPr>
          <w:rFonts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招投标监督管理机构备案登记栏</w:t>
      </w:r>
    </w:p>
    <w:tbl>
      <w:tblPr>
        <w:tblStyle w:val="26"/>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8"/>
      </w:tblGrid>
      <w:tr w14:paraId="2B1F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9198" w:type="dxa"/>
          </w:tcPr>
          <w:p w14:paraId="258A2CC7">
            <w:pPr>
              <w:spacing w:line="500" w:lineRule="exact"/>
              <w:jc w:val="both"/>
              <w:rPr>
                <w:rFonts w:ascii="仿宋" w:hAnsi="仿宋" w:eastAsia="仿宋" w:cs="仿宋"/>
                <w:color w:val="auto"/>
                <w:highlight w:val="none"/>
                <w:lang w:eastAsia="zh-CN"/>
              </w:rPr>
            </w:pPr>
          </w:p>
          <w:p w14:paraId="4ABD0696">
            <w:pPr>
              <w:spacing w:line="500" w:lineRule="exact"/>
              <w:jc w:val="both"/>
              <w:rPr>
                <w:rFonts w:ascii="仿宋" w:hAnsi="仿宋" w:eastAsia="仿宋" w:cs="仿宋"/>
                <w:color w:val="auto"/>
                <w:sz w:val="32"/>
                <w:szCs w:val="32"/>
                <w:highlight w:val="none"/>
                <w:lang w:eastAsia="zh-CN"/>
              </w:rPr>
            </w:pPr>
          </w:p>
          <w:p w14:paraId="4452F6B0">
            <w:pPr>
              <w:spacing w:line="500" w:lineRule="exact"/>
              <w:jc w:val="both"/>
              <w:rPr>
                <w:rFonts w:ascii="仿宋" w:hAnsi="仿宋" w:eastAsia="仿宋" w:cs="仿宋"/>
                <w:color w:val="auto"/>
                <w:sz w:val="32"/>
                <w:szCs w:val="32"/>
                <w:highlight w:val="none"/>
                <w:lang w:eastAsia="zh-CN"/>
              </w:rPr>
            </w:pPr>
          </w:p>
          <w:p w14:paraId="34CE40A1">
            <w:pPr>
              <w:spacing w:line="500" w:lineRule="exact"/>
              <w:jc w:val="both"/>
              <w:rPr>
                <w:rFonts w:ascii="仿宋" w:hAnsi="仿宋" w:eastAsia="仿宋" w:cs="仿宋"/>
                <w:color w:val="auto"/>
                <w:w w:val="95"/>
                <w:sz w:val="32"/>
                <w:szCs w:val="32"/>
                <w:highlight w:val="none"/>
                <w:lang w:eastAsia="zh-CN"/>
              </w:rPr>
            </w:pPr>
            <w:r>
              <w:rPr>
                <w:rFonts w:hint="eastAsia" w:ascii="仿宋" w:hAnsi="仿宋" w:eastAsia="仿宋" w:cs="仿宋"/>
                <w:color w:val="auto"/>
                <w:sz w:val="32"/>
                <w:szCs w:val="32"/>
                <w:highlight w:val="none"/>
                <w:lang w:eastAsia="zh-CN"/>
              </w:rPr>
              <w:t>采购单位：阿克陶县应急管理局</w:t>
            </w:r>
            <w:r>
              <w:rPr>
                <w:rFonts w:hint="eastAsia" w:ascii="仿宋" w:hAnsi="仿宋" w:eastAsia="仿宋" w:cs="仿宋"/>
                <w:color w:val="auto"/>
                <w:w w:val="95"/>
                <w:sz w:val="32"/>
                <w:szCs w:val="32"/>
                <w:highlight w:val="none"/>
                <w:lang w:eastAsia="zh-CN"/>
              </w:rPr>
              <w:t>（盖章）</w:t>
            </w:r>
          </w:p>
          <w:p w14:paraId="1F92FFAF">
            <w:pPr>
              <w:spacing w:line="500" w:lineRule="exact"/>
              <w:jc w:val="both"/>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           </w:t>
            </w:r>
          </w:p>
          <w:p w14:paraId="052D1D6D">
            <w:pPr>
              <w:spacing w:line="500" w:lineRule="exact"/>
              <w:jc w:val="both"/>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                                 </w:t>
            </w:r>
          </w:p>
          <w:p w14:paraId="1A908F41">
            <w:pPr>
              <w:spacing w:line="500" w:lineRule="exact"/>
              <w:jc w:val="both"/>
              <w:rPr>
                <w:rFonts w:ascii="仿宋" w:hAnsi="仿宋" w:eastAsia="仿宋" w:cs="仿宋"/>
                <w:color w:val="auto"/>
                <w:sz w:val="32"/>
                <w:szCs w:val="32"/>
                <w:highlight w:val="none"/>
                <w:lang w:eastAsia="zh-CN"/>
              </w:rPr>
            </w:pPr>
          </w:p>
          <w:p w14:paraId="4A11EF3B">
            <w:pPr>
              <w:spacing w:line="500" w:lineRule="exact"/>
              <w:jc w:val="both"/>
              <w:rPr>
                <w:rFonts w:ascii="仿宋" w:hAnsi="仿宋" w:eastAsia="仿宋" w:cs="仿宋"/>
                <w:color w:val="auto"/>
                <w:sz w:val="32"/>
                <w:szCs w:val="32"/>
                <w:highlight w:val="none"/>
                <w:lang w:eastAsia="zh-CN"/>
              </w:rPr>
            </w:pPr>
          </w:p>
          <w:p w14:paraId="282E6BBA">
            <w:pPr>
              <w:spacing w:line="500" w:lineRule="exact"/>
              <w:ind w:left="3520" w:hanging="3520" w:hangingChars="1100"/>
              <w:jc w:val="both"/>
              <w:rPr>
                <w:rFonts w:ascii="仿宋" w:hAnsi="仿宋" w:eastAsia="仿宋" w:cs="仿宋"/>
                <w:color w:val="auto"/>
                <w:sz w:val="32"/>
                <w:szCs w:val="32"/>
                <w:highlight w:val="none"/>
                <w:lang w:eastAsia="zh-CN"/>
              </w:rPr>
            </w:pPr>
          </w:p>
          <w:p w14:paraId="3DD3F0F3">
            <w:pPr>
              <w:spacing w:line="500" w:lineRule="exact"/>
              <w:ind w:left="2560" w:hanging="2560" w:hangingChars="8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采购项目名称：阿克陶县2025年基层消防设施设备建设项目</w:t>
            </w:r>
            <w:r>
              <w:rPr>
                <w:rFonts w:hint="eastAsia" w:ascii="仿宋" w:hAnsi="仿宋" w:eastAsia="仿宋" w:cs="仿宋"/>
                <w:color w:val="auto"/>
                <w:sz w:val="32"/>
                <w:szCs w:val="32"/>
                <w:highlight w:val="none"/>
                <w:lang w:val="en-US" w:eastAsia="zh-CN"/>
              </w:rPr>
              <w:t xml:space="preserve">     </w:t>
            </w:r>
          </w:p>
          <w:p w14:paraId="1E14CCB2">
            <w:pPr>
              <w:spacing w:line="500" w:lineRule="exact"/>
              <w:jc w:val="both"/>
              <w:rPr>
                <w:rFonts w:ascii="仿宋" w:hAnsi="仿宋" w:eastAsia="仿宋" w:cs="仿宋"/>
                <w:color w:val="auto"/>
                <w:sz w:val="32"/>
                <w:szCs w:val="32"/>
                <w:highlight w:val="none"/>
                <w:lang w:eastAsia="zh-CN"/>
              </w:rPr>
            </w:pPr>
          </w:p>
          <w:p w14:paraId="4F56E43F">
            <w:pPr>
              <w:spacing w:line="500" w:lineRule="exact"/>
              <w:jc w:val="both"/>
              <w:rPr>
                <w:rFonts w:ascii="仿宋" w:hAnsi="仿宋" w:eastAsia="仿宋" w:cs="仿宋"/>
                <w:color w:val="auto"/>
                <w:sz w:val="32"/>
                <w:szCs w:val="32"/>
                <w:highlight w:val="none"/>
                <w:lang w:eastAsia="zh-CN"/>
              </w:rPr>
            </w:pPr>
          </w:p>
          <w:p w14:paraId="3B0ED69E">
            <w:pPr>
              <w:pStyle w:val="34"/>
              <w:jc w:val="both"/>
              <w:rPr>
                <w:rFonts w:ascii="仿宋" w:hAnsi="仿宋" w:eastAsia="仿宋" w:cs="仿宋"/>
                <w:color w:val="auto"/>
                <w:sz w:val="32"/>
                <w:szCs w:val="32"/>
                <w:highlight w:val="none"/>
                <w:lang w:eastAsia="zh-CN"/>
              </w:rPr>
            </w:pPr>
          </w:p>
          <w:p w14:paraId="7CAA3940">
            <w:pPr>
              <w:pStyle w:val="34"/>
              <w:jc w:val="both"/>
              <w:rPr>
                <w:rFonts w:ascii="仿宋" w:hAnsi="仿宋" w:eastAsia="仿宋" w:cs="仿宋"/>
                <w:color w:val="auto"/>
                <w:sz w:val="32"/>
                <w:szCs w:val="32"/>
                <w:highlight w:val="none"/>
                <w:lang w:eastAsia="zh-CN"/>
              </w:rPr>
            </w:pPr>
          </w:p>
          <w:p w14:paraId="5BF67904">
            <w:pPr>
              <w:pStyle w:val="34"/>
              <w:jc w:val="both"/>
              <w:rPr>
                <w:rFonts w:ascii="仿宋" w:hAnsi="仿宋" w:eastAsia="仿宋" w:cs="仿宋"/>
                <w:color w:val="auto"/>
                <w:sz w:val="32"/>
                <w:szCs w:val="32"/>
                <w:highlight w:val="none"/>
                <w:lang w:eastAsia="zh-CN"/>
              </w:rPr>
            </w:pPr>
          </w:p>
          <w:p w14:paraId="1CF7A301">
            <w:pPr>
              <w:pStyle w:val="34"/>
              <w:jc w:val="both"/>
              <w:rPr>
                <w:rFonts w:ascii="仿宋" w:hAnsi="仿宋" w:eastAsia="仿宋" w:cs="仿宋"/>
                <w:color w:val="auto"/>
                <w:sz w:val="32"/>
                <w:szCs w:val="32"/>
                <w:highlight w:val="none"/>
                <w:lang w:eastAsia="zh-CN"/>
              </w:rPr>
            </w:pPr>
          </w:p>
          <w:p w14:paraId="7E0CE5C5">
            <w:pPr>
              <w:spacing w:line="500" w:lineRule="exact"/>
              <w:jc w:val="both"/>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代理机构：鼎建项目管理有限公司</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（盖章）</w:t>
            </w:r>
          </w:p>
          <w:p w14:paraId="2197C2B9">
            <w:pPr>
              <w:pStyle w:val="4"/>
              <w:jc w:val="both"/>
              <w:outlineLvl w:val="2"/>
              <w:rPr>
                <w:rFonts w:ascii="仿宋" w:hAnsi="仿宋" w:eastAsia="仿宋" w:cs="仿宋"/>
                <w:color w:val="auto"/>
                <w:highlight w:val="none"/>
                <w:lang w:eastAsia="zh-CN"/>
              </w:rPr>
            </w:pPr>
          </w:p>
          <w:p w14:paraId="749FE6F0">
            <w:pPr>
              <w:jc w:val="both"/>
              <w:rPr>
                <w:color w:val="auto"/>
                <w:highlight w:val="none"/>
                <w:lang w:eastAsia="zh-CN"/>
              </w:rPr>
            </w:pPr>
          </w:p>
          <w:p w14:paraId="34F16BD1">
            <w:pPr>
              <w:pStyle w:val="4"/>
              <w:jc w:val="center"/>
              <w:outlineLvl w:val="2"/>
              <w:rPr>
                <w:rFonts w:ascii="仿宋" w:hAnsi="仿宋" w:eastAsia="仿宋" w:cs="仿宋"/>
                <w:color w:val="auto"/>
                <w:highlight w:val="none"/>
              </w:rPr>
            </w:pPr>
            <w:r>
              <w:rPr>
                <w:rFonts w:hint="eastAsia" w:ascii="仿宋" w:hAnsi="仿宋" w:eastAsia="仿宋" w:cs="仿宋"/>
                <w:color w:val="auto"/>
                <w:highlight w:val="none"/>
              </w:rPr>
              <w:t>日  期：20</w:t>
            </w:r>
            <w:r>
              <w:rPr>
                <w:rFonts w:hint="eastAsia" w:ascii="仿宋" w:hAnsi="仿宋" w:eastAsia="仿宋" w:cs="仿宋"/>
                <w:color w:val="auto"/>
                <w:highlight w:val="none"/>
                <w:lang w:eastAsia="zh-CN"/>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月</w:t>
            </w:r>
          </w:p>
          <w:p w14:paraId="201BEBFA">
            <w:pPr>
              <w:pStyle w:val="4"/>
              <w:jc w:val="both"/>
              <w:outlineLvl w:val="2"/>
              <w:rPr>
                <w:rFonts w:ascii="仿宋" w:hAnsi="仿宋" w:eastAsia="仿宋" w:cs="仿宋"/>
                <w:color w:val="auto"/>
                <w:highlight w:val="none"/>
              </w:rPr>
            </w:pPr>
          </w:p>
        </w:tc>
      </w:tr>
    </w:tbl>
    <w:p w14:paraId="3E55AA6F">
      <w:pPr>
        <w:spacing w:line="240" w:lineRule="exact"/>
        <w:rPr>
          <w:rFonts w:ascii="仿宋" w:hAnsi="仿宋" w:eastAsia="仿宋" w:cs="仿宋"/>
          <w:color w:val="auto"/>
          <w:sz w:val="44"/>
          <w:szCs w:val="44"/>
          <w:highlight w:val="none"/>
          <w:lang w:eastAsia="zh-CN"/>
        </w:rPr>
        <w:sectPr>
          <w:headerReference r:id="rId3" w:type="default"/>
          <w:footerReference r:id="rId4" w:type="default"/>
          <w:pgSz w:w="11906" w:h="16838"/>
          <w:pgMar w:top="1213" w:right="1179" w:bottom="1213" w:left="1179" w:header="851" w:footer="992" w:gutter="0"/>
          <w:pgNumType w:start="1"/>
          <w:cols w:space="720" w:num="1"/>
          <w:docGrid w:type="linesAndChars" w:linePitch="312" w:charSpace="0"/>
        </w:sectPr>
      </w:pPr>
    </w:p>
    <w:p w14:paraId="34DE9982">
      <w:pPr>
        <w:pStyle w:val="36"/>
        <w:spacing w:before="0" w:line="360" w:lineRule="auto"/>
        <w:jc w:val="both"/>
        <w:rPr>
          <w:rFonts w:ascii="仿宋" w:hAnsi="仿宋" w:eastAsia="仿宋" w:cs="仿宋"/>
          <w:color w:val="auto"/>
          <w:sz w:val="44"/>
          <w:szCs w:val="44"/>
          <w:highlight w:val="none"/>
          <w:lang w:val="zh-CN"/>
        </w:rPr>
      </w:pPr>
    </w:p>
    <w:p w14:paraId="221A49AB">
      <w:pPr>
        <w:pStyle w:val="36"/>
        <w:spacing w:before="0" w:line="360" w:lineRule="auto"/>
        <w:jc w:val="center"/>
        <w:rPr>
          <w:rFonts w:ascii="仿宋" w:hAnsi="仿宋" w:eastAsia="仿宋" w:cs="仿宋"/>
          <w:color w:val="auto"/>
          <w:sz w:val="30"/>
          <w:szCs w:val="30"/>
          <w:highlight w:val="none"/>
        </w:rPr>
      </w:pPr>
      <w:r>
        <w:rPr>
          <w:rFonts w:hint="eastAsia" w:ascii="仿宋" w:hAnsi="仿宋" w:eastAsia="仿宋" w:cs="仿宋"/>
          <w:color w:val="auto"/>
          <w:sz w:val="44"/>
          <w:szCs w:val="44"/>
          <w:highlight w:val="none"/>
          <w:lang w:val="zh-CN"/>
        </w:rPr>
        <w:t>目    录</w:t>
      </w:r>
    </w:p>
    <w:p w14:paraId="43FB6B98">
      <w:pPr>
        <w:widowControl/>
        <w:rPr>
          <w:rFonts w:ascii="仿宋" w:hAnsi="仿宋" w:eastAsia="仿宋" w:cs="仿宋"/>
          <w:color w:val="auto"/>
          <w:sz w:val="30"/>
          <w:szCs w:val="30"/>
          <w:highlight w:val="none"/>
        </w:rPr>
      </w:pPr>
    </w:p>
    <w:p w14:paraId="171EEC4A">
      <w:pPr>
        <w:spacing w:line="360" w:lineRule="auto"/>
        <w:ind w:firstLine="1800" w:firstLineChars="600"/>
        <w:rPr>
          <w:rFonts w:hint="eastAsia" w:ascii="仿宋" w:hAnsi="仿宋" w:eastAsia="仿宋" w:cs="仿宋"/>
          <w:b/>
          <w:color w:val="auto"/>
          <w:sz w:val="30"/>
          <w:szCs w:val="30"/>
        </w:rPr>
      </w:pPr>
      <w:r>
        <w:rPr>
          <w:rFonts w:hint="eastAsia" w:ascii="仿宋" w:hAnsi="仿宋" w:eastAsia="仿宋" w:cs="仿宋"/>
          <w:b/>
          <w:color w:val="auto"/>
          <w:sz w:val="30"/>
          <w:szCs w:val="30"/>
        </w:rPr>
        <w:t>第一</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招标</w:t>
      </w:r>
      <w:r>
        <w:rPr>
          <w:rFonts w:hint="eastAsia" w:ascii="仿宋" w:hAnsi="仿宋" w:eastAsia="仿宋" w:cs="仿宋"/>
          <w:b/>
          <w:color w:val="auto"/>
          <w:sz w:val="30"/>
          <w:szCs w:val="30"/>
        </w:rPr>
        <w:t>公告</w:t>
      </w:r>
    </w:p>
    <w:p w14:paraId="3FB16A11">
      <w:pPr>
        <w:spacing w:line="360" w:lineRule="auto"/>
        <w:ind w:firstLine="1800" w:firstLineChars="600"/>
        <w:rPr>
          <w:rFonts w:hint="eastAsia" w:ascii="仿宋" w:hAnsi="仿宋" w:eastAsia="仿宋" w:cs="仿宋"/>
          <w:color w:val="auto"/>
        </w:rPr>
      </w:pPr>
      <w:r>
        <w:rPr>
          <w:rFonts w:hint="eastAsia" w:ascii="仿宋" w:hAnsi="仿宋" w:eastAsia="仿宋" w:cs="仿宋"/>
          <w:b/>
          <w:color w:val="auto"/>
          <w:sz w:val="30"/>
          <w:szCs w:val="30"/>
        </w:rPr>
        <w:t>第二</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供应商须知</w:t>
      </w:r>
    </w:p>
    <w:p w14:paraId="76B2BA60">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第三</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评标办法</w:t>
      </w:r>
    </w:p>
    <w:p w14:paraId="7AA16981">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第四</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技术规格数量及质量要求</w:t>
      </w:r>
    </w:p>
    <w:p w14:paraId="5DDB8CB7">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第五</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合同（参考）</w:t>
      </w:r>
    </w:p>
    <w:p w14:paraId="0A89132F">
      <w:pPr>
        <w:pStyle w:val="34"/>
        <w:ind w:firstLine="1800" w:firstLineChars="600"/>
        <w:rPr>
          <w:rFonts w:hint="eastAsia" w:ascii="仿宋" w:hAnsi="仿宋" w:eastAsia="仿宋" w:cs="仿宋"/>
          <w:color w:val="auto"/>
          <w:lang w:val="en-US"/>
        </w:rPr>
      </w:pPr>
      <w:r>
        <w:rPr>
          <w:rFonts w:hint="eastAsia" w:ascii="仿宋" w:hAnsi="仿宋" w:eastAsia="仿宋" w:cs="仿宋"/>
          <w:b/>
          <w:color w:val="auto"/>
          <w:sz w:val="30"/>
          <w:szCs w:val="30"/>
          <w:lang w:eastAsia="zh-CN"/>
        </w:rPr>
        <w:t>第六</w:t>
      </w:r>
      <w:r>
        <w:rPr>
          <w:rFonts w:hint="eastAsia" w:ascii="仿宋" w:hAnsi="仿宋" w:eastAsia="仿宋" w:cs="仿宋"/>
          <w:b/>
          <w:color w:val="auto"/>
          <w:sz w:val="30"/>
          <w:szCs w:val="30"/>
          <w:lang w:val="en-US" w:eastAsia="zh-CN"/>
        </w:rPr>
        <w:t>章     投标文件格式</w:t>
      </w:r>
    </w:p>
    <w:p w14:paraId="443CA9F5">
      <w:pPr>
        <w:pStyle w:val="10"/>
        <w:numPr>
          <w:ilvl w:val="0"/>
          <w:numId w:val="0"/>
        </w:numPr>
        <w:spacing w:line="480" w:lineRule="auto"/>
        <w:rPr>
          <w:rFonts w:ascii="仿宋" w:hAnsi="仿宋" w:eastAsia="仿宋" w:cs="仿宋"/>
          <w:color w:val="auto"/>
          <w:highlight w:val="none"/>
          <w:lang w:eastAsia="zh-CN"/>
        </w:rPr>
      </w:pPr>
    </w:p>
    <w:p w14:paraId="00CF8A65">
      <w:pPr>
        <w:spacing w:line="480" w:lineRule="auto"/>
        <w:rPr>
          <w:rFonts w:ascii="仿宋" w:hAnsi="仿宋" w:eastAsia="仿宋" w:cs="仿宋"/>
          <w:color w:val="auto"/>
          <w:highlight w:val="none"/>
          <w:lang w:eastAsia="zh-CN"/>
        </w:rPr>
      </w:pPr>
    </w:p>
    <w:p w14:paraId="31A95EB8">
      <w:pPr>
        <w:pStyle w:val="4"/>
        <w:rPr>
          <w:rFonts w:ascii="仿宋" w:hAnsi="仿宋" w:eastAsia="仿宋" w:cs="仿宋"/>
          <w:color w:val="auto"/>
          <w:highlight w:val="none"/>
          <w:lang w:eastAsia="zh-CN"/>
        </w:rPr>
      </w:pPr>
    </w:p>
    <w:p w14:paraId="2AF86CE5">
      <w:pPr>
        <w:rPr>
          <w:rFonts w:ascii="仿宋" w:hAnsi="仿宋" w:eastAsia="仿宋" w:cs="仿宋"/>
          <w:color w:val="auto"/>
          <w:highlight w:val="none"/>
          <w:lang w:eastAsia="zh-CN"/>
        </w:rPr>
      </w:pPr>
    </w:p>
    <w:p w14:paraId="34936123">
      <w:pPr>
        <w:pStyle w:val="4"/>
        <w:rPr>
          <w:rFonts w:ascii="仿宋" w:hAnsi="仿宋" w:eastAsia="仿宋" w:cs="仿宋"/>
          <w:color w:val="auto"/>
          <w:highlight w:val="none"/>
          <w:lang w:eastAsia="zh-CN"/>
        </w:rPr>
      </w:pPr>
    </w:p>
    <w:p w14:paraId="3D5BB10A">
      <w:pPr>
        <w:rPr>
          <w:rFonts w:ascii="仿宋" w:hAnsi="仿宋" w:eastAsia="仿宋" w:cs="仿宋"/>
          <w:color w:val="auto"/>
          <w:highlight w:val="none"/>
          <w:lang w:eastAsia="zh-CN"/>
        </w:rPr>
      </w:pPr>
    </w:p>
    <w:p w14:paraId="596B5501">
      <w:pPr>
        <w:pStyle w:val="4"/>
        <w:rPr>
          <w:rFonts w:ascii="仿宋" w:hAnsi="仿宋" w:eastAsia="仿宋" w:cs="仿宋"/>
          <w:color w:val="auto"/>
          <w:highlight w:val="none"/>
          <w:lang w:eastAsia="zh-CN"/>
        </w:rPr>
      </w:pPr>
    </w:p>
    <w:p w14:paraId="45E3CD16">
      <w:pPr>
        <w:rPr>
          <w:rFonts w:ascii="仿宋" w:hAnsi="仿宋" w:eastAsia="仿宋" w:cs="仿宋"/>
          <w:color w:val="auto"/>
          <w:highlight w:val="none"/>
          <w:lang w:eastAsia="zh-CN"/>
        </w:rPr>
      </w:pPr>
    </w:p>
    <w:p w14:paraId="4D80B36B">
      <w:pPr>
        <w:pStyle w:val="4"/>
        <w:rPr>
          <w:rFonts w:ascii="仿宋" w:hAnsi="仿宋" w:eastAsia="仿宋" w:cs="仿宋"/>
          <w:color w:val="auto"/>
          <w:highlight w:val="none"/>
          <w:lang w:eastAsia="zh-CN"/>
        </w:rPr>
      </w:pPr>
    </w:p>
    <w:p w14:paraId="6E2495D1">
      <w:pPr>
        <w:pStyle w:val="37"/>
        <w:keepNext/>
        <w:keepLines/>
        <w:spacing w:before="120" w:after="300"/>
        <w:jc w:val="both"/>
        <w:rPr>
          <w:rFonts w:ascii="仿宋" w:hAnsi="仿宋" w:eastAsia="仿宋" w:cs="仿宋"/>
          <w:b/>
          <w:bCs/>
          <w:color w:val="auto"/>
          <w:highlight w:val="none"/>
        </w:rPr>
        <w:sectPr>
          <w:footerReference r:id="rId5" w:type="default"/>
          <w:pgSz w:w="11906" w:h="16838"/>
          <w:pgMar w:top="1440" w:right="1080" w:bottom="1440" w:left="1080" w:header="851" w:footer="992" w:gutter="0"/>
          <w:pgNumType w:start="1"/>
          <w:cols w:space="720" w:num="1"/>
          <w:docGrid w:type="linesAndChars" w:linePitch="312" w:charSpace="0"/>
        </w:sectPr>
      </w:pPr>
    </w:p>
    <w:p w14:paraId="11AAC695">
      <w:pPr>
        <w:pStyle w:val="37"/>
        <w:keepNext/>
        <w:keepLines/>
        <w:pageBreakBefore w:val="0"/>
        <w:kinsoku/>
        <w:wordWrap/>
        <w:overflowPunct/>
        <w:topLinePunct w:val="0"/>
        <w:autoSpaceDE/>
        <w:autoSpaceDN/>
        <w:bidi w:val="0"/>
        <w:adjustRightInd/>
        <w:snapToGrid/>
        <w:spacing w:before="120" w:after="300" w:line="400" w:lineRule="exact"/>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rPr>
        <w:t>第一</w:t>
      </w:r>
      <w:r>
        <w:rPr>
          <w:rFonts w:hint="eastAsia" w:ascii="仿宋" w:hAnsi="仿宋" w:eastAsia="仿宋" w:cs="仿宋"/>
          <w:b/>
          <w:bCs/>
          <w:color w:val="auto"/>
          <w:highlight w:val="none"/>
          <w:lang w:val="en-US" w:eastAsia="zh-CN"/>
        </w:rPr>
        <w:t xml:space="preserve">章 </w:t>
      </w:r>
      <w:r>
        <w:rPr>
          <w:rFonts w:hint="eastAsia" w:ascii="仿宋" w:hAnsi="仿宋" w:eastAsia="仿宋" w:cs="仿宋"/>
          <w:b/>
          <w:bCs/>
          <w:color w:val="auto"/>
          <w:highlight w:val="none"/>
          <w:lang w:eastAsia="zh-CN"/>
        </w:rPr>
        <w:t>招标公告</w:t>
      </w:r>
    </w:p>
    <w:p w14:paraId="00C76A9B">
      <w:pPr>
        <w:pStyle w:val="2"/>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i w:val="0"/>
          <w:iCs w:val="0"/>
          <w:caps w:val="0"/>
          <w:color w:val="000000"/>
          <w:spacing w:val="0"/>
          <w:kern w:val="0"/>
          <w:sz w:val="36"/>
          <w:szCs w:val="36"/>
          <w:lang w:eastAsia="zh-CN" w:bidi="ar"/>
        </w:rPr>
      </w:pPr>
      <w:r>
        <w:rPr>
          <w:rFonts w:hint="default" w:ascii="仿宋" w:hAnsi="仿宋" w:eastAsia="仿宋" w:cs="仿宋"/>
          <w:b/>
          <w:bCs/>
          <w:i w:val="0"/>
          <w:iCs w:val="0"/>
          <w:caps w:val="0"/>
          <w:color w:val="000000"/>
          <w:spacing w:val="0"/>
          <w:kern w:val="0"/>
          <w:sz w:val="36"/>
          <w:szCs w:val="36"/>
          <w:lang w:eastAsia="zh-CN" w:bidi="ar"/>
        </w:rPr>
        <w:t>阿克陶县2025年基层消防设施设备建设项目</w:t>
      </w:r>
    </w:p>
    <w:p w14:paraId="2D346C30">
      <w:pPr>
        <w:pStyle w:val="2"/>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32"/>
          <w:szCs w:val="32"/>
          <w:highlight w:val="none"/>
          <w:lang w:val="en-US" w:eastAsia="zh-CN" w:bidi="ar"/>
        </w:rPr>
        <w:t>公开招标公告</w:t>
      </w:r>
    </w:p>
    <w:tbl>
      <w:tblPr>
        <w:tblStyle w:val="2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7D9B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287" w:type="dxa"/>
            <w:vAlign w:val="top"/>
          </w:tcPr>
          <w:p w14:paraId="3D9E2622">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lang w:eastAsia="zh-CN"/>
              </w:rPr>
              <w:t>项目概况</w:t>
            </w:r>
          </w:p>
          <w:p w14:paraId="438E12EF">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6" w:firstLineChars="200"/>
              <w:jc w:val="both"/>
              <w:textAlignment w:val="auto"/>
              <w:rPr>
                <w:b w:val="0"/>
                <w:bCs w:val="0"/>
                <w:color w:val="auto"/>
                <w:sz w:val="36"/>
                <w:szCs w:val="36"/>
                <w:highlight w:val="none"/>
                <w:vertAlign w:val="baseline"/>
              </w:rPr>
            </w:pPr>
            <w:r>
              <w:rPr>
                <w:rFonts w:hint="eastAsia" w:ascii="仿宋" w:hAnsi="仿宋" w:eastAsia="仿宋" w:cs="仿宋"/>
                <w:i w:val="0"/>
                <w:iCs w:val="0"/>
                <w:caps w:val="0"/>
                <w:color w:val="auto"/>
                <w:spacing w:val="0"/>
                <w:sz w:val="24"/>
                <w:szCs w:val="24"/>
                <w:highlight w:val="none"/>
                <w:lang w:eastAsia="zh-CN"/>
              </w:rPr>
              <w:t>阿克陶县2025年基层消防设施设备建设项目招标项目</w:t>
            </w:r>
            <w:r>
              <w:rPr>
                <w:rFonts w:hint="eastAsia" w:ascii="仿宋" w:hAnsi="仿宋" w:eastAsia="仿宋" w:cs="仿宋"/>
                <w:i w:val="0"/>
                <w:iCs w:val="0"/>
                <w:caps w:val="0"/>
                <w:color w:val="auto"/>
                <w:spacing w:val="0"/>
                <w:sz w:val="24"/>
                <w:szCs w:val="24"/>
                <w:highlight w:val="none"/>
              </w:rPr>
              <w:t>的潜在投标人应在政采云平台线上获取招标文件</w:t>
            </w:r>
            <w:r>
              <w:rPr>
                <w:rFonts w:hint="eastAsia" w:ascii="仿宋" w:hAnsi="仿宋" w:eastAsia="仿宋" w:cs="仿宋"/>
                <w:b w:val="0"/>
                <w:bCs w:val="0"/>
                <w:i w:val="0"/>
                <w:iCs w:val="0"/>
                <w:caps w:val="0"/>
                <w:color w:val="auto"/>
                <w:spacing w:val="0"/>
                <w:sz w:val="24"/>
                <w:szCs w:val="24"/>
                <w:highlight w:val="none"/>
              </w:rPr>
              <w:t>，并于</w:t>
            </w:r>
            <w:r>
              <w:rPr>
                <w:rFonts w:hint="eastAsia" w:ascii="仿宋" w:hAnsi="仿宋" w:eastAsia="仿宋" w:cs="仿宋"/>
                <w:b w:val="0"/>
                <w:bCs w:val="0"/>
                <w:i w:val="0"/>
                <w:iCs w:val="0"/>
                <w:caps w:val="0"/>
                <w:color w:val="auto"/>
                <w:spacing w:val="0"/>
                <w:sz w:val="24"/>
                <w:szCs w:val="24"/>
                <w:highlight w:val="none"/>
                <w:u w:val="single"/>
              </w:rPr>
              <w:t>202</w:t>
            </w:r>
            <w:r>
              <w:rPr>
                <w:rFonts w:hint="eastAsia" w:ascii="仿宋" w:hAnsi="仿宋" w:eastAsia="仿宋" w:cs="仿宋"/>
                <w:b w:val="0"/>
                <w:bCs w:val="0"/>
                <w:i w:val="0"/>
                <w:iCs w:val="0"/>
                <w:caps w:val="0"/>
                <w:color w:val="auto"/>
                <w:spacing w:val="0"/>
                <w:sz w:val="24"/>
                <w:szCs w:val="24"/>
                <w:highlight w:val="none"/>
                <w:u w:val="single"/>
                <w:lang w:val="en-US" w:eastAsia="zh-CN"/>
              </w:rPr>
              <w:t>5</w:t>
            </w:r>
            <w:r>
              <w:rPr>
                <w:rFonts w:hint="eastAsia" w:ascii="仿宋" w:hAnsi="仿宋" w:eastAsia="仿宋" w:cs="仿宋"/>
                <w:b w:val="0"/>
                <w:bCs w:val="0"/>
                <w:i w:val="0"/>
                <w:iCs w:val="0"/>
                <w:caps w:val="0"/>
                <w:color w:val="auto"/>
                <w:spacing w:val="0"/>
                <w:sz w:val="24"/>
                <w:szCs w:val="24"/>
                <w:highlight w:val="none"/>
                <w:u w:val="single"/>
              </w:rPr>
              <w:t>年</w:t>
            </w:r>
            <w:r>
              <w:rPr>
                <w:rFonts w:hint="eastAsia" w:ascii="仿宋" w:hAnsi="仿宋" w:eastAsia="仿宋" w:cs="仿宋"/>
                <w:b w:val="0"/>
                <w:bCs w:val="0"/>
                <w:i w:val="0"/>
                <w:iCs w:val="0"/>
                <w:caps w:val="0"/>
                <w:color w:val="auto"/>
                <w:spacing w:val="0"/>
                <w:sz w:val="24"/>
                <w:szCs w:val="24"/>
                <w:highlight w:val="none"/>
                <w:u w:val="single"/>
                <w:lang w:val="en-US" w:eastAsia="zh-CN"/>
              </w:rPr>
              <w:t xml:space="preserve"> 7</w:t>
            </w:r>
            <w:r>
              <w:rPr>
                <w:rFonts w:hint="eastAsia" w:ascii="仿宋" w:hAnsi="仿宋" w:eastAsia="仿宋" w:cs="仿宋"/>
                <w:b w:val="0"/>
                <w:bCs w:val="0"/>
                <w:i w:val="0"/>
                <w:iCs w:val="0"/>
                <w:caps w:val="0"/>
                <w:color w:val="auto"/>
                <w:spacing w:val="0"/>
                <w:sz w:val="24"/>
                <w:szCs w:val="24"/>
                <w:highlight w:val="none"/>
                <w:u w:val="single"/>
              </w:rPr>
              <w:t>月</w:t>
            </w:r>
            <w:r>
              <w:rPr>
                <w:rFonts w:hint="eastAsia" w:ascii="仿宋" w:hAnsi="仿宋" w:eastAsia="仿宋" w:cs="仿宋"/>
                <w:b w:val="0"/>
                <w:bCs w:val="0"/>
                <w:i w:val="0"/>
                <w:iCs w:val="0"/>
                <w:caps w:val="0"/>
                <w:color w:val="auto"/>
                <w:spacing w:val="0"/>
                <w:sz w:val="24"/>
                <w:szCs w:val="24"/>
                <w:highlight w:val="none"/>
                <w:u w:val="single"/>
                <w:lang w:val="en-US" w:eastAsia="zh-CN"/>
              </w:rPr>
              <w:t xml:space="preserve">24 </w:t>
            </w:r>
            <w:r>
              <w:rPr>
                <w:rFonts w:hint="eastAsia" w:ascii="仿宋" w:hAnsi="仿宋" w:eastAsia="仿宋" w:cs="仿宋"/>
                <w:b w:val="0"/>
                <w:bCs w:val="0"/>
                <w:i w:val="0"/>
                <w:iCs w:val="0"/>
                <w:caps w:val="0"/>
                <w:color w:val="auto"/>
                <w:spacing w:val="0"/>
                <w:sz w:val="24"/>
                <w:szCs w:val="24"/>
                <w:highlight w:val="none"/>
                <w:u w:val="single"/>
              </w:rPr>
              <w:t>日</w:t>
            </w:r>
            <w:r>
              <w:rPr>
                <w:rFonts w:hint="eastAsia" w:ascii="仿宋" w:hAnsi="仿宋" w:eastAsia="仿宋" w:cs="仿宋"/>
                <w:b w:val="0"/>
                <w:bCs w:val="0"/>
                <w:i w:val="0"/>
                <w:iCs w:val="0"/>
                <w:caps w:val="0"/>
                <w:color w:val="auto"/>
                <w:spacing w:val="0"/>
                <w:sz w:val="24"/>
                <w:szCs w:val="24"/>
                <w:highlight w:val="none"/>
                <w:u w:val="single"/>
                <w:lang w:val="en-US" w:eastAsia="zh-CN"/>
              </w:rPr>
              <w:t>10</w:t>
            </w:r>
            <w:r>
              <w:rPr>
                <w:rFonts w:hint="eastAsia" w:ascii="仿宋" w:hAnsi="仿宋" w:eastAsia="仿宋" w:cs="仿宋"/>
                <w:b w:val="0"/>
                <w:bCs w:val="0"/>
                <w:i w:val="0"/>
                <w:iCs w:val="0"/>
                <w:caps w:val="0"/>
                <w:color w:val="auto"/>
                <w:spacing w:val="0"/>
                <w:sz w:val="24"/>
                <w:szCs w:val="24"/>
                <w:highlight w:val="none"/>
                <w:u w:val="single"/>
              </w:rPr>
              <w:t>:</w:t>
            </w:r>
            <w:r>
              <w:rPr>
                <w:rFonts w:hint="eastAsia" w:ascii="仿宋" w:hAnsi="仿宋" w:eastAsia="仿宋" w:cs="仿宋"/>
                <w:b w:val="0"/>
                <w:bCs w:val="0"/>
                <w:i w:val="0"/>
                <w:iCs w:val="0"/>
                <w:caps w:val="0"/>
                <w:color w:val="auto"/>
                <w:spacing w:val="0"/>
                <w:sz w:val="24"/>
                <w:szCs w:val="24"/>
                <w:highlight w:val="none"/>
                <w:u w:val="single"/>
                <w:lang w:val="en-US" w:eastAsia="zh-CN"/>
              </w:rPr>
              <w:t>30</w:t>
            </w:r>
            <w:r>
              <w:rPr>
                <w:rFonts w:hint="eastAsia" w:ascii="仿宋" w:hAnsi="仿宋" w:eastAsia="仿宋" w:cs="仿宋"/>
                <w:b w:val="0"/>
                <w:bCs w:val="0"/>
                <w:i w:val="0"/>
                <w:iCs w:val="0"/>
                <w:caps w:val="0"/>
                <w:color w:val="auto"/>
                <w:spacing w:val="0"/>
                <w:sz w:val="24"/>
                <w:szCs w:val="24"/>
                <w:highlight w:val="none"/>
              </w:rPr>
              <w:t>（北京时间）前递交投标文件。</w:t>
            </w:r>
          </w:p>
        </w:tc>
      </w:tr>
    </w:tbl>
    <w:p w14:paraId="55A39308">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rPr>
        <w:t>一、项目基本情况</w:t>
      </w:r>
    </w:p>
    <w:p w14:paraId="5DB8A27C">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6" w:firstLineChars="200"/>
        <w:jc w:val="left"/>
        <w:textAlignment w:val="auto"/>
        <w:rPr>
          <w:rFonts w:hint="default"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rPr>
        <w:t>项目编号：</w:t>
      </w:r>
      <w:r>
        <w:rPr>
          <w:rFonts w:hint="eastAsia" w:ascii="仿宋" w:hAnsi="仿宋" w:eastAsia="仿宋" w:cs="仿宋"/>
          <w:b w:val="0"/>
          <w:bCs w:val="0"/>
          <w:i w:val="0"/>
          <w:iCs w:val="0"/>
          <w:caps w:val="0"/>
          <w:color w:val="auto"/>
          <w:spacing w:val="0"/>
          <w:sz w:val="24"/>
          <w:szCs w:val="24"/>
        </w:rPr>
        <w:t>AKTZBCG-2025</w:t>
      </w:r>
      <w:r>
        <w:rPr>
          <w:rFonts w:hint="eastAsia" w:ascii="仿宋" w:hAnsi="仿宋" w:eastAsia="仿宋" w:cs="仿宋"/>
          <w:b w:val="0"/>
          <w:bCs w:val="0"/>
          <w:i w:val="0"/>
          <w:iCs w:val="0"/>
          <w:caps w:val="0"/>
          <w:color w:val="auto"/>
          <w:spacing w:val="0"/>
          <w:sz w:val="24"/>
          <w:szCs w:val="24"/>
          <w:lang w:val="en-US" w:eastAsia="zh-CN"/>
        </w:rPr>
        <w:t>030</w:t>
      </w:r>
    </w:p>
    <w:p w14:paraId="60265DC6">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6" w:firstLineChars="20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rPr>
        <w:t>项目名称：阿克陶县2025年基层消防设施设备建设项目</w:t>
      </w:r>
    </w:p>
    <w:p w14:paraId="615E2687">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6" w:firstLineChars="200"/>
        <w:jc w:val="left"/>
        <w:textAlignment w:val="auto"/>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采购方式：公开招标</w:t>
      </w:r>
    </w:p>
    <w:p w14:paraId="065D46F9">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6" w:firstLineChars="200"/>
        <w:jc w:val="left"/>
        <w:textAlignment w:val="auto"/>
        <w:rPr>
          <w:rFonts w:hint="default"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rPr>
        <w:t>预算金额（元）：</w:t>
      </w:r>
      <w:r>
        <w:rPr>
          <w:rFonts w:hint="eastAsia" w:ascii="仿宋" w:hAnsi="仿宋" w:eastAsia="仿宋" w:cs="仿宋"/>
          <w:b w:val="0"/>
          <w:bCs w:val="0"/>
          <w:i w:val="0"/>
          <w:iCs w:val="0"/>
          <w:caps w:val="0"/>
          <w:color w:val="auto"/>
          <w:spacing w:val="0"/>
          <w:sz w:val="24"/>
          <w:szCs w:val="24"/>
          <w:highlight w:val="none"/>
          <w:lang w:val="en-US" w:eastAsia="zh-CN"/>
        </w:rPr>
        <w:t>6586200</w:t>
      </w:r>
    </w:p>
    <w:p w14:paraId="049120EC">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6" w:firstLineChars="200"/>
        <w:jc w:val="left"/>
        <w:textAlignment w:val="auto"/>
        <w:rPr>
          <w:rFonts w:hint="default" w:ascii="仿宋" w:hAnsi="仿宋" w:eastAsia="仿宋" w:cs="仿宋"/>
          <w:b w:val="0"/>
          <w:bCs w:val="0"/>
          <w:i w:val="0"/>
          <w:iCs w:val="0"/>
          <w:caps w:val="0"/>
          <w:color w:val="FF0000"/>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rPr>
        <w:t>最高限价（元）：</w:t>
      </w:r>
      <w:r>
        <w:rPr>
          <w:rFonts w:hint="eastAsia" w:ascii="仿宋" w:hAnsi="仿宋" w:eastAsia="仿宋" w:cs="仿宋"/>
          <w:b w:val="0"/>
          <w:bCs w:val="0"/>
          <w:i w:val="0"/>
          <w:iCs w:val="0"/>
          <w:caps w:val="0"/>
          <w:color w:val="auto"/>
          <w:spacing w:val="0"/>
          <w:sz w:val="24"/>
          <w:szCs w:val="24"/>
          <w:highlight w:val="none"/>
          <w:lang w:val="en-US" w:eastAsia="zh-CN"/>
        </w:rPr>
        <w:t>6586200</w:t>
      </w:r>
    </w:p>
    <w:p w14:paraId="17EF2DA4">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6" w:firstLineChars="200"/>
        <w:jc w:val="left"/>
        <w:textAlignment w:val="auto"/>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采购需求：</w:t>
      </w:r>
    </w:p>
    <w:p w14:paraId="4BDA63A1">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729" w:leftChars="300" w:right="0" w:firstLine="0" w:firstLineChars="0"/>
        <w:jc w:val="left"/>
        <w:textAlignment w:val="auto"/>
        <w:rPr>
          <w:rFonts w:hint="default"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eastAsia="zh-CN"/>
        </w:rPr>
        <w:t>标项名称:</w:t>
      </w:r>
      <w:r>
        <w:rPr>
          <w:rFonts w:hint="eastAsia" w:ascii="仿宋" w:hAnsi="仿宋" w:eastAsia="仿宋" w:cs="仿宋"/>
          <w:b w:val="0"/>
          <w:bCs w:val="0"/>
          <w:i w:val="0"/>
          <w:iCs w:val="0"/>
          <w:caps w:val="0"/>
          <w:color w:val="auto"/>
          <w:spacing w:val="0"/>
          <w:sz w:val="24"/>
          <w:szCs w:val="24"/>
          <w:highlight w:val="none"/>
        </w:rPr>
        <w:t>阿克陶县2025年基层消防设施设备建设项目</w:t>
      </w:r>
      <w:r>
        <w:rPr>
          <w:rFonts w:hint="eastAsia" w:ascii="仿宋" w:hAnsi="仿宋" w:eastAsia="仿宋" w:cs="仿宋"/>
          <w:b w:val="0"/>
          <w:bCs w:val="0"/>
          <w:i w:val="0"/>
          <w:iCs w:val="0"/>
          <w:caps w:val="0"/>
          <w:color w:val="auto"/>
          <w:spacing w:val="0"/>
          <w:sz w:val="24"/>
          <w:szCs w:val="24"/>
          <w:highlight w:val="none"/>
          <w:lang w:eastAsia="zh-CN"/>
        </w:rPr>
        <w:br w:type="textWrapping"/>
      </w:r>
      <w:r>
        <w:rPr>
          <w:rFonts w:hint="eastAsia" w:ascii="仿宋" w:hAnsi="仿宋" w:eastAsia="仿宋" w:cs="仿宋"/>
          <w:b w:val="0"/>
          <w:bCs w:val="0"/>
          <w:i w:val="0"/>
          <w:iCs w:val="0"/>
          <w:caps w:val="0"/>
          <w:color w:val="auto"/>
          <w:spacing w:val="0"/>
          <w:sz w:val="24"/>
          <w:szCs w:val="24"/>
          <w:highlight w:val="none"/>
          <w:lang w:eastAsia="zh-CN"/>
        </w:rPr>
        <w:t>数量:</w:t>
      </w:r>
      <w:r>
        <w:rPr>
          <w:rFonts w:hint="eastAsia" w:ascii="仿宋" w:hAnsi="仿宋" w:eastAsia="仿宋" w:cs="仿宋"/>
          <w:b w:val="0"/>
          <w:bCs w:val="0"/>
          <w:i w:val="0"/>
          <w:iCs w:val="0"/>
          <w:caps w:val="0"/>
          <w:color w:val="auto"/>
          <w:spacing w:val="0"/>
          <w:sz w:val="24"/>
          <w:szCs w:val="24"/>
          <w:highlight w:val="none"/>
          <w:lang w:val="en-US" w:eastAsia="zh-CN"/>
        </w:rPr>
        <w:t>1</w:t>
      </w:r>
    </w:p>
    <w:p w14:paraId="22D668B7">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729" w:firstLineChars="300"/>
        <w:jc w:val="left"/>
        <w:textAlignment w:val="auto"/>
        <w:rPr>
          <w:rFonts w:hint="default"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eastAsia="zh-CN"/>
        </w:rPr>
        <w:t>预算金额（元）:</w:t>
      </w:r>
      <w:r>
        <w:rPr>
          <w:rFonts w:hint="eastAsia" w:ascii="仿宋" w:hAnsi="仿宋" w:eastAsia="仿宋" w:cs="仿宋"/>
          <w:b w:val="0"/>
          <w:bCs w:val="0"/>
          <w:i w:val="0"/>
          <w:iCs w:val="0"/>
          <w:caps w:val="0"/>
          <w:color w:val="auto"/>
          <w:spacing w:val="0"/>
          <w:sz w:val="24"/>
          <w:szCs w:val="24"/>
          <w:highlight w:val="none"/>
          <w:lang w:val="en-US" w:eastAsia="zh-CN"/>
        </w:rPr>
        <w:t>6586200</w:t>
      </w:r>
    </w:p>
    <w:p w14:paraId="72873882">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729" w:firstLineChars="300"/>
        <w:jc w:val="left"/>
        <w:textAlignment w:val="auto"/>
        <w:rPr>
          <w:rFonts w:hint="eastAsia"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val="en-US" w:eastAsia="zh-CN"/>
        </w:rPr>
        <w:t>单位：批</w:t>
      </w:r>
    </w:p>
    <w:p w14:paraId="4A416188">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729" w:firstLineChars="30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lang w:eastAsia="zh-CN"/>
        </w:rPr>
        <w:t>简要规格描述或项目基本概况介绍、用途：采购消防设施设备一批</w:t>
      </w:r>
      <w:r>
        <w:rPr>
          <w:rFonts w:hint="eastAsia" w:ascii="仿宋" w:hAnsi="仿宋" w:eastAsia="仿宋" w:cs="仿宋"/>
          <w:b w:val="0"/>
          <w:bCs w:val="0"/>
          <w:i w:val="0"/>
          <w:iCs w:val="0"/>
          <w:caps w:val="0"/>
          <w:color w:val="auto"/>
          <w:spacing w:val="0"/>
          <w:sz w:val="24"/>
          <w:szCs w:val="24"/>
          <w:highlight w:val="none"/>
          <w:lang w:val="en-US" w:eastAsia="zh-CN"/>
        </w:rPr>
        <w:t>（具体内容详见招标文件内采购清单）。</w:t>
      </w:r>
    </w:p>
    <w:p w14:paraId="53F95576">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729" w:firstLineChars="3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lang w:eastAsia="zh-CN"/>
        </w:rPr>
        <w:t>合同履约期限：</w:t>
      </w:r>
      <w:r>
        <w:rPr>
          <w:rFonts w:hint="eastAsia" w:ascii="仿宋" w:hAnsi="仿宋" w:eastAsia="仿宋" w:cs="仿宋"/>
          <w:i w:val="0"/>
          <w:iCs w:val="0"/>
          <w:caps w:val="0"/>
          <w:color w:val="auto"/>
          <w:spacing w:val="0"/>
          <w:sz w:val="24"/>
          <w:szCs w:val="24"/>
          <w:highlight w:val="none"/>
        </w:rPr>
        <w:t>合同签订后</w:t>
      </w:r>
      <w:r>
        <w:rPr>
          <w:rFonts w:hint="eastAsia" w:ascii="仿宋" w:hAnsi="仿宋" w:eastAsia="仿宋" w:cs="仿宋"/>
          <w:i w:val="0"/>
          <w:iCs w:val="0"/>
          <w:caps w:val="0"/>
          <w:color w:val="auto"/>
          <w:spacing w:val="0"/>
          <w:sz w:val="24"/>
          <w:szCs w:val="24"/>
          <w:highlight w:val="none"/>
          <w:lang w:val="en-US" w:eastAsia="zh-CN"/>
        </w:rPr>
        <w:t>90</w:t>
      </w:r>
      <w:r>
        <w:rPr>
          <w:rFonts w:hint="eastAsia" w:ascii="仿宋" w:hAnsi="仿宋" w:eastAsia="仿宋" w:cs="仿宋"/>
          <w:i w:val="0"/>
          <w:iCs w:val="0"/>
          <w:caps w:val="0"/>
          <w:color w:val="auto"/>
          <w:spacing w:val="0"/>
          <w:sz w:val="24"/>
          <w:szCs w:val="24"/>
          <w:highlight w:val="none"/>
        </w:rPr>
        <w:t>天内供货并完成安装交付使用。</w:t>
      </w:r>
      <w:r>
        <w:rPr>
          <w:rFonts w:hint="eastAsia" w:ascii="仿宋" w:hAnsi="仿宋" w:eastAsia="仿宋" w:cs="仿宋"/>
          <w:i w:val="0"/>
          <w:iCs w:val="0"/>
          <w:caps w:val="0"/>
          <w:color w:val="auto"/>
          <w:spacing w:val="0"/>
          <w:sz w:val="24"/>
          <w:szCs w:val="24"/>
          <w:highlight w:val="none"/>
          <w:lang w:eastAsia="zh-CN"/>
        </w:rPr>
        <w:t>（具体以甲乙双方签订合同为准）</w:t>
      </w:r>
    </w:p>
    <w:p w14:paraId="75CF2F8C">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729" w:firstLineChars="30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lang w:eastAsia="zh-CN"/>
        </w:rPr>
        <w:t>本项目不接受联合体投标。</w:t>
      </w:r>
    </w:p>
    <w:p w14:paraId="1483D884">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rPr>
        <w:t>二、申请人的资格要求：</w:t>
      </w:r>
    </w:p>
    <w:p w14:paraId="64C256BB">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6" w:firstLineChars="200"/>
        <w:jc w:val="left"/>
        <w:textAlignment w:val="auto"/>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1.满足《中华人民共和国政府采购法》第二十二条规定；</w:t>
      </w:r>
    </w:p>
    <w:p w14:paraId="295D67FF">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6" w:firstLineChars="200"/>
        <w:jc w:val="left"/>
        <w:textAlignment w:val="auto"/>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2.落实政府采购政策需满足的资格要求：</w:t>
      </w:r>
      <w:r>
        <w:rPr>
          <w:rFonts w:hint="eastAsia" w:ascii="仿宋" w:hAnsi="仿宋" w:eastAsia="仿宋" w:cs="仿宋"/>
          <w:b w:val="0"/>
          <w:bCs w:val="0"/>
          <w:i w:val="0"/>
          <w:iCs w:val="0"/>
          <w:caps w:val="0"/>
          <w:color w:val="auto"/>
          <w:spacing w:val="0"/>
          <w:sz w:val="24"/>
          <w:szCs w:val="24"/>
          <w:highlight w:val="none"/>
          <w:lang w:eastAsia="zh-CN"/>
        </w:rPr>
        <w:t>本项目为非专门面向中小企业</w:t>
      </w:r>
      <w:r>
        <w:rPr>
          <w:rFonts w:hint="eastAsia" w:ascii="仿宋" w:hAnsi="仿宋" w:eastAsia="仿宋" w:cs="仿宋"/>
          <w:b w:val="0"/>
          <w:bCs w:val="0"/>
          <w:i w:val="0"/>
          <w:iCs w:val="0"/>
          <w:caps w:val="0"/>
          <w:color w:val="auto"/>
          <w:spacing w:val="0"/>
          <w:sz w:val="24"/>
          <w:szCs w:val="24"/>
          <w:highlight w:val="none"/>
          <w:lang w:val="en-US" w:eastAsia="zh-CN"/>
        </w:rPr>
        <w:t>。</w:t>
      </w:r>
    </w:p>
    <w:p w14:paraId="65ED099C">
      <w:pPr>
        <w:keepNext w:val="0"/>
        <w:keepLines w:val="0"/>
        <w:pageBreakBefore w:val="0"/>
        <w:kinsoku/>
        <w:wordWrap/>
        <w:overflowPunct/>
        <w:topLinePunct w:val="0"/>
        <w:autoSpaceDE/>
        <w:autoSpaceDN/>
        <w:bidi w:val="0"/>
        <w:spacing w:line="360" w:lineRule="auto"/>
        <w:ind w:firstLine="486" w:firstLineChars="200"/>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3.本项目的特定资格要求：</w:t>
      </w:r>
    </w:p>
    <w:p w14:paraId="5CD4DFB4">
      <w:pPr>
        <w:keepNext w:val="0"/>
        <w:keepLines w:val="0"/>
        <w:pageBreakBefore w:val="0"/>
        <w:kinsoku/>
        <w:wordWrap/>
        <w:overflowPunct/>
        <w:topLinePunct w:val="0"/>
        <w:autoSpaceDE/>
        <w:autoSpaceDN/>
        <w:bidi w:val="0"/>
        <w:spacing w:line="360" w:lineRule="auto"/>
        <w:ind w:firstLine="486"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）具备三证合一营业执照副本；</w:t>
      </w:r>
    </w:p>
    <w:p w14:paraId="09871785">
      <w:pPr>
        <w:keepNext w:val="0"/>
        <w:keepLines w:val="0"/>
        <w:pageBreakBefore w:val="0"/>
        <w:kinsoku/>
        <w:wordWrap/>
        <w:overflowPunct/>
        <w:topLinePunct w:val="0"/>
        <w:autoSpaceDE/>
        <w:autoSpaceDN/>
        <w:bidi w:val="0"/>
        <w:spacing w:line="360" w:lineRule="auto"/>
        <w:ind w:firstLine="486"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）法定代表人投标须提供法定代表人资格证明书，委托代理人投标须提供法定代表人授权委托书；</w:t>
      </w:r>
    </w:p>
    <w:p w14:paraId="1803A4AC">
      <w:pPr>
        <w:keepNext w:val="0"/>
        <w:keepLines w:val="0"/>
        <w:pageBreakBefore w:val="0"/>
        <w:kinsoku/>
        <w:wordWrap/>
        <w:overflowPunct/>
        <w:topLinePunct w:val="0"/>
        <w:autoSpaceDE/>
        <w:autoSpaceDN/>
        <w:bidi w:val="0"/>
        <w:spacing w:line="360" w:lineRule="auto"/>
        <w:ind w:firstLine="486"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）投标企业须提供投标人（被授权在职人员）近6个月内任意一个月有效的社保证明；</w:t>
      </w:r>
    </w:p>
    <w:p w14:paraId="7F9F9383">
      <w:pPr>
        <w:pStyle w:val="34"/>
        <w:keepNext w:val="0"/>
        <w:keepLines w:val="0"/>
        <w:pageBreakBefore w:val="0"/>
        <w:kinsoku/>
        <w:wordWrap/>
        <w:overflowPunct/>
        <w:topLinePunct w:val="0"/>
        <w:autoSpaceDE/>
        <w:autoSpaceDN/>
        <w:bidi w:val="0"/>
        <w:spacing w:line="360" w:lineRule="auto"/>
        <w:ind w:left="0" w:leftChars="0" w:firstLine="486"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参加政府采购活动前三年内，在经营活动中没有重大违法记录；参加政府采购活动前三年内，在经营活动中没有重大违法记录；未被“信用中国”（www.creditchina.gov.cn）、中国政府采购网（www.ccgp.gov.cn）列入失信被执行人、税收违法黑名单、政府采购严重违法失信行为记录名单。</w:t>
      </w:r>
    </w:p>
    <w:p w14:paraId="62FF745D">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rPr>
        <w:t>三、获取招标文件</w:t>
      </w:r>
    </w:p>
    <w:p w14:paraId="4D4146B4">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时间：</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 xml:space="preserve"> 7</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lang w:eastAsia="zh-CN"/>
        </w:rPr>
        <w:t>至</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 xml:space="preserve">7 </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 xml:space="preserve">11 </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lang w:eastAsia="zh-CN"/>
        </w:rPr>
        <w:t>，每天上午10:00至</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，下午16:</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至</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（北京时间，节假日除外）</w:t>
      </w:r>
    </w:p>
    <w:p w14:paraId="6F592F55">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地点：政采云平台线上</w:t>
      </w:r>
    </w:p>
    <w:p w14:paraId="5664D1B7">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0D814791">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售价（元）：0</w:t>
      </w:r>
    </w:p>
    <w:p w14:paraId="34EA5CE3">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四、提交投标文件截止时间、开标时间和地点</w:t>
      </w:r>
    </w:p>
    <w:p w14:paraId="1D26FC43">
      <w:pPr>
        <w:keepNext w:val="0"/>
        <w:keepLines w:val="0"/>
        <w:pageBreakBefore w:val="0"/>
        <w:kinsoku/>
        <w:wordWrap/>
        <w:overflowPunct/>
        <w:topLinePunct w:val="0"/>
        <w:autoSpaceDE/>
        <w:autoSpaceDN/>
        <w:bidi w:val="0"/>
        <w:adjustRightInd/>
        <w:snapToGrid/>
        <w:spacing w:line="360" w:lineRule="auto"/>
        <w:ind w:firstLine="486"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截止时间：</w:t>
      </w:r>
      <w:r>
        <w:rPr>
          <w:rFonts w:hint="eastAsia" w:ascii="仿宋" w:hAnsi="仿宋" w:eastAsia="仿宋" w:cs="仿宋"/>
          <w:color w:val="auto"/>
          <w:kern w:val="2"/>
          <w:sz w:val="24"/>
          <w:szCs w:val="24"/>
          <w:highlight w:val="none"/>
          <w:u w:val="single"/>
          <w:lang w:eastAsia="zh-CN" w:bidi="ar-SA"/>
        </w:rPr>
        <w:t>202</w:t>
      </w:r>
      <w:r>
        <w:rPr>
          <w:rFonts w:hint="eastAsia" w:ascii="仿宋" w:hAnsi="仿宋" w:eastAsia="仿宋" w:cs="仿宋"/>
          <w:color w:val="auto"/>
          <w:kern w:val="2"/>
          <w:sz w:val="24"/>
          <w:szCs w:val="24"/>
          <w:highlight w:val="none"/>
          <w:u w:val="single"/>
          <w:lang w:val="en-US" w:eastAsia="zh-CN" w:bidi="ar-SA"/>
        </w:rPr>
        <w:t>5</w:t>
      </w:r>
      <w:r>
        <w:rPr>
          <w:rFonts w:hint="eastAsia" w:ascii="仿宋" w:hAnsi="仿宋" w:eastAsia="仿宋" w:cs="仿宋"/>
          <w:color w:val="auto"/>
          <w:kern w:val="2"/>
          <w:sz w:val="24"/>
          <w:szCs w:val="24"/>
          <w:highlight w:val="none"/>
          <w:u w:val="single"/>
          <w:lang w:eastAsia="zh-CN" w:bidi="ar-SA"/>
        </w:rPr>
        <w:t>年</w:t>
      </w:r>
      <w:r>
        <w:rPr>
          <w:rFonts w:hint="eastAsia" w:ascii="仿宋" w:hAnsi="仿宋" w:eastAsia="仿宋" w:cs="仿宋"/>
          <w:color w:val="auto"/>
          <w:kern w:val="2"/>
          <w:sz w:val="24"/>
          <w:szCs w:val="24"/>
          <w:highlight w:val="none"/>
          <w:u w:val="single"/>
          <w:lang w:val="en-US" w:eastAsia="zh-CN" w:bidi="ar-SA"/>
        </w:rPr>
        <w:t xml:space="preserve">7 </w:t>
      </w:r>
      <w:r>
        <w:rPr>
          <w:rFonts w:hint="eastAsia" w:ascii="仿宋" w:hAnsi="仿宋" w:eastAsia="仿宋" w:cs="仿宋"/>
          <w:color w:val="auto"/>
          <w:kern w:val="2"/>
          <w:sz w:val="24"/>
          <w:szCs w:val="24"/>
          <w:highlight w:val="none"/>
          <w:u w:val="single"/>
          <w:lang w:eastAsia="zh-CN" w:bidi="ar-SA"/>
        </w:rPr>
        <w:t>月</w:t>
      </w:r>
      <w:r>
        <w:rPr>
          <w:rFonts w:hint="eastAsia" w:ascii="仿宋" w:hAnsi="仿宋" w:eastAsia="仿宋" w:cs="仿宋"/>
          <w:color w:val="auto"/>
          <w:kern w:val="2"/>
          <w:sz w:val="24"/>
          <w:szCs w:val="24"/>
          <w:highlight w:val="none"/>
          <w:u w:val="single"/>
          <w:lang w:val="en-US" w:eastAsia="zh-CN" w:bidi="ar-SA"/>
        </w:rPr>
        <w:t xml:space="preserve">24 </w:t>
      </w:r>
      <w:r>
        <w:rPr>
          <w:rFonts w:hint="eastAsia" w:ascii="仿宋" w:hAnsi="仿宋" w:eastAsia="仿宋" w:cs="仿宋"/>
          <w:color w:val="auto"/>
          <w:kern w:val="2"/>
          <w:sz w:val="24"/>
          <w:szCs w:val="24"/>
          <w:highlight w:val="none"/>
          <w:u w:val="single"/>
          <w:lang w:eastAsia="zh-CN" w:bidi="ar-SA"/>
        </w:rPr>
        <w:t xml:space="preserve">日 </w:t>
      </w:r>
      <w:r>
        <w:rPr>
          <w:rFonts w:hint="eastAsia" w:ascii="仿宋" w:hAnsi="仿宋" w:eastAsia="仿宋" w:cs="仿宋"/>
          <w:color w:val="auto"/>
          <w:kern w:val="2"/>
          <w:sz w:val="24"/>
          <w:szCs w:val="24"/>
          <w:highlight w:val="none"/>
          <w:u w:val="single"/>
          <w:lang w:val="en-US" w:eastAsia="zh-CN" w:bidi="ar-SA"/>
        </w:rPr>
        <w:t>10</w:t>
      </w:r>
      <w:r>
        <w:rPr>
          <w:rFonts w:hint="eastAsia" w:ascii="仿宋" w:hAnsi="仿宋" w:eastAsia="仿宋" w:cs="仿宋"/>
          <w:color w:val="auto"/>
          <w:kern w:val="2"/>
          <w:sz w:val="24"/>
          <w:szCs w:val="24"/>
          <w:highlight w:val="none"/>
          <w:u w:val="single"/>
          <w:lang w:eastAsia="zh-CN" w:bidi="ar-SA"/>
        </w:rPr>
        <w:t>：</w:t>
      </w:r>
      <w:r>
        <w:rPr>
          <w:rFonts w:hint="eastAsia" w:ascii="仿宋" w:hAnsi="仿宋" w:eastAsia="仿宋" w:cs="仿宋"/>
          <w:color w:val="auto"/>
          <w:kern w:val="2"/>
          <w:sz w:val="24"/>
          <w:szCs w:val="24"/>
          <w:highlight w:val="none"/>
          <w:u w:val="single"/>
          <w:lang w:val="en-US" w:eastAsia="zh-CN" w:bidi="ar-SA"/>
        </w:rPr>
        <w:t>30</w:t>
      </w:r>
      <w:r>
        <w:rPr>
          <w:rFonts w:hint="eastAsia" w:ascii="仿宋" w:hAnsi="仿宋" w:eastAsia="仿宋" w:cs="仿宋"/>
          <w:color w:val="0000FF"/>
          <w:kern w:val="2"/>
          <w:sz w:val="24"/>
          <w:szCs w:val="24"/>
          <w:highlight w:val="none"/>
          <w:u w:val="single"/>
          <w:lang w:eastAsia="zh-CN" w:bidi="ar-SA"/>
        </w:rPr>
        <w:t xml:space="preserve"> </w:t>
      </w:r>
      <w:r>
        <w:rPr>
          <w:rFonts w:hint="eastAsia" w:ascii="仿宋" w:hAnsi="仿宋" w:eastAsia="仿宋" w:cs="仿宋"/>
          <w:color w:val="auto"/>
          <w:kern w:val="2"/>
          <w:sz w:val="24"/>
          <w:szCs w:val="24"/>
          <w:highlight w:val="none"/>
          <w:lang w:eastAsia="zh-CN" w:bidi="ar-SA"/>
        </w:rPr>
        <w:t>（北京时间）</w:t>
      </w:r>
    </w:p>
    <w:p w14:paraId="0C57E5F0">
      <w:pPr>
        <w:keepNext w:val="0"/>
        <w:keepLines w:val="0"/>
        <w:pageBreakBefore w:val="0"/>
        <w:kinsoku/>
        <w:wordWrap/>
        <w:overflowPunct/>
        <w:topLinePunct w:val="0"/>
        <w:autoSpaceDE/>
        <w:autoSpaceDN/>
        <w:bidi w:val="0"/>
        <w:adjustRightInd/>
        <w:snapToGrid/>
        <w:spacing w:line="360" w:lineRule="auto"/>
        <w:ind w:firstLine="486"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投标地点：政府采购云平台（www.zcygov.cn）供应商应于递交投标文件截止时间之前将电子投标文件上传到“政采云”平台。</w:t>
      </w:r>
    </w:p>
    <w:p w14:paraId="23FE052B">
      <w:pPr>
        <w:keepNext w:val="0"/>
        <w:keepLines w:val="0"/>
        <w:pageBreakBefore w:val="0"/>
        <w:kinsoku/>
        <w:wordWrap/>
        <w:overflowPunct/>
        <w:topLinePunct w:val="0"/>
        <w:autoSpaceDE/>
        <w:autoSpaceDN/>
        <w:bidi w:val="0"/>
        <w:adjustRightInd/>
        <w:snapToGrid/>
        <w:spacing w:line="360" w:lineRule="auto"/>
        <w:ind w:firstLine="486"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开标时间：</w:t>
      </w:r>
      <w:r>
        <w:rPr>
          <w:rFonts w:hint="eastAsia" w:ascii="仿宋" w:hAnsi="仿宋" w:eastAsia="仿宋" w:cs="仿宋"/>
          <w:color w:val="auto"/>
          <w:kern w:val="2"/>
          <w:sz w:val="24"/>
          <w:szCs w:val="24"/>
          <w:highlight w:val="none"/>
          <w:u w:val="single"/>
          <w:lang w:eastAsia="zh-CN" w:bidi="ar-SA"/>
        </w:rPr>
        <w:t>202</w:t>
      </w:r>
      <w:r>
        <w:rPr>
          <w:rFonts w:hint="eastAsia" w:ascii="仿宋" w:hAnsi="仿宋" w:eastAsia="仿宋" w:cs="仿宋"/>
          <w:color w:val="auto"/>
          <w:kern w:val="2"/>
          <w:sz w:val="24"/>
          <w:szCs w:val="24"/>
          <w:highlight w:val="none"/>
          <w:u w:val="single"/>
          <w:lang w:val="en-US" w:eastAsia="zh-CN" w:bidi="ar-SA"/>
        </w:rPr>
        <w:t>5</w:t>
      </w:r>
      <w:r>
        <w:rPr>
          <w:rFonts w:hint="eastAsia" w:ascii="仿宋" w:hAnsi="仿宋" w:eastAsia="仿宋" w:cs="仿宋"/>
          <w:color w:val="auto"/>
          <w:kern w:val="2"/>
          <w:sz w:val="24"/>
          <w:szCs w:val="24"/>
          <w:highlight w:val="none"/>
          <w:u w:val="single"/>
          <w:lang w:eastAsia="zh-CN" w:bidi="ar-SA"/>
        </w:rPr>
        <w:t>年</w:t>
      </w:r>
      <w:r>
        <w:rPr>
          <w:rFonts w:hint="eastAsia" w:ascii="仿宋" w:hAnsi="仿宋" w:eastAsia="仿宋" w:cs="仿宋"/>
          <w:color w:val="auto"/>
          <w:kern w:val="2"/>
          <w:sz w:val="24"/>
          <w:szCs w:val="24"/>
          <w:highlight w:val="none"/>
          <w:u w:val="single"/>
          <w:lang w:val="en-US" w:eastAsia="zh-CN" w:bidi="ar-SA"/>
        </w:rPr>
        <w:t xml:space="preserve">7 </w:t>
      </w:r>
      <w:r>
        <w:rPr>
          <w:rFonts w:hint="eastAsia" w:ascii="仿宋" w:hAnsi="仿宋" w:eastAsia="仿宋" w:cs="仿宋"/>
          <w:color w:val="auto"/>
          <w:kern w:val="2"/>
          <w:sz w:val="24"/>
          <w:szCs w:val="24"/>
          <w:highlight w:val="none"/>
          <w:u w:val="single"/>
          <w:lang w:eastAsia="zh-CN" w:bidi="ar-SA"/>
        </w:rPr>
        <w:t>月</w:t>
      </w:r>
      <w:r>
        <w:rPr>
          <w:rFonts w:hint="eastAsia" w:ascii="仿宋" w:hAnsi="仿宋" w:eastAsia="仿宋" w:cs="仿宋"/>
          <w:color w:val="auto"/>
          <w:kern w:val="2"/>
          <w:sz w:val="24"/>
          <w:szCs w:val="24"/>
          <w:highlight w:val="none"/>
          <w:u w:val="single"/>
          <w:lang w:val="en-US" w:eastAsia="zh-CN" w:bidi="ar-SA"/>
        </w:rPr>
        <w:t xml:space="preserve">24 </w:t>
      </w:r>
      <w:r>
        <w:rPr>
          <w:rFonts w:hint="eastAsia" w:ascii="仿宋" w:hAnsi="仿宋" w:eastAsia="仿宋" w:cs="仿宋"/>
          <w:color w:val="auto"/>
          <w:kern w:val="2"/>
          <w:sz w:val="24"/>
          <w:szCs w:val="24"/>
          <w:highlight w:val="none"/>
          <w:u w:val="single"/>
          <w:lang w:eastAsia="zh-CN" w:bidi="ar-SA"/>
        </w:rPr>
        <w:t xml:space="preserve">日 </w:t>
      </w:r>
      <w:r>
        <w:rPr>
          <w:rFonts w:hint="eastAsia" w:ascii="仿宋" w:hAnsi="仿宋" w:eastAsia="仿宋" w:cs="仿宋"/>
          <w:color w:val="auto"/>
          <w:kern w:val="2"/>
          <w:sz w:val="24"/>
          <w:szCs w:val="24"/>
          <w:highlight w:val="none"/>
          <w:u w:val="single"/>
          <w:lang w:val="en-US" w:eastAsia="zh-CN" w:bidi="ar-SA"/>
        </w:rPr>
        <w:t>10</w:t>
      </w:r>
      <w:r>
        <w:rPr>
          <w:rFonts w:hint="eastAsia" w:ascii="仿宋" w:hAnsi="仿宋" w:eastAsia="仿宋" w:cs="仿宋"/>
          <w:color w:val="auto"/>
          <w:kern w:val="2"/>
          <w:sz w:val="24"/>
          <w:szCs w:val="24"/>
          <w:highlight w:val="none"/>
          <w:u w:val="single"/>
          <w:lang w:eastAsia="zh-CN" w:bidi="ar-SA"/>
        </w:rPr>
        <w:t>：</w:t>
      </w:r>
      <w:r>
        <w:rPr>
          <w:rFonts w:hint="eastAsia" w:ascii="仿宋" w:hAnsi="仿宋" w:eastAsia="仿宋" w:cs="仿宋"/>
          <w:color w:val="auto"/>
          <w:kern w:val="2"/>
          <w:sz w:val="24"/>
          <w:szCs w:val="24"/>
          <w:highlight w:val="none"/>
          <w:u w:val="single"/>
          <w:lang w:val="en-US" w:eastAsia="zh-CN" w:bidi="ar-SA"/>
        </w:rPr>
        <w:t>30</w:t>
      </w:r>
      <w:r>
        <w:rPr>
          <w:rFonts w:hint="eastAsia" w:ascii="仿宋" w:hAnsi="仿宋" w:eastAsia="仿宋" w:cs="仿宋"/>
          <w:color w:val="auto"/>
          <w:kern w:val="2"/>
          <w:sz w:val="24"/>
          <w:szCs w:val="24"/>
          <w:highlight w:val="none"/>
          <w:lang w:eastAsia="zh-CN" w:bidi="ar-SA"/>
        </w:rPr>
        <w:t>（北京时间）</w:t>
      </w:r>
    </w:p>
    <w:p w14:paraId="5153BC31">
      <w:pPr>
        <w:keepNext w:val="0"/>
        <w:keepLines w:val="0"/>
        <w:pageBreakBefore w:val="0"/>
        <w:kinsoku/>
        <w:wordWrap/>
        <w:overflowPunct/>
        <w:topLinePunct w:val="0"/>
        <w:autoSpaceDE/>
        <w:autoSpaceDN/>
        <w:bidi w:val="0"/>
        <w:adjustRightInd/>
        <w:snapToGrid/>
        <w:spacing w:line="360" w:lineRule="auto"/>
        <w:ind w:firstLine="486"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开标地点：投标人登录政采云平台https://www.zcygov.cn/，进入“项目采购-开标评标-右边选择对应项目点击“进入项目”进入开标大厅。</w:t>
      </w:r>
    </w:p>
    <w:p w14:paraId="4F05B70E">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auto"/>
          <w:kern w:val="2"/>
          <w:sz w:val="24"/>
          <w:szCs w:val="24"/>
          <w:highlight w:val="none"/>
          <w:lang w:eastAsia="zh-CN" w:bidi="ar-SA"/>
        </w:rPr>
      </w:pPr>
      <w:r>
        <w:rPr>
          <w:rFonts w:hint="eastAsia" w:ascii="仿宋" w:hAnsi="仿宋" w:eastAsia="仿宋" w:cs="仿宋"/>
          <w:b/>
          <w:bCs/>
          <w:color w:val="auto"/>
          <w:kern w:val="2"/>
          <w:sz w:val="24"/>
          <w:szCs w:val="24"/>
          <w:highlight w:val="none"/>
          <w:lang w:eastAsia="zh-CN" w:bidi="ar-SA"/>
        </w:rPr>
        <w:t>五、公告期限</w:t>
      </w:r>
    </w:p>
    <w:p w14:paraId="4E6CD063">
      <w:pPr>
        <w:keepNext w:val="0"/>
        <w:keepLines w:val="0"/>
        <w:pageBreakBefore w:val="0"/>
        <w:kinsoku/>
        <w:wordWrap/>
        <w:overflowPunct/>
        <w:topLinePunct w:val="0"/>
        <w:autoSpaceDE/>
        <w:autoSpaceDN/>
        <w:bidi w:val="0"/>
        <w:adjustRightInd/>
        <w:snapToGrid/>
        <w:spacing w:line="360" w:lineRule="auto"/>
        <w:ind w:firstLine="486"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自本公告发布之日起5个工作日</w:t>
      </w:r>
    </w:p>
    <w:p w14:paraId="02D6D8C1">
      <w:pPr>
        <w:keepNext w:val="0"/>
        <w:keepLines w:val="0"/>
        <w:pageBreakBefore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2"/>
          <w:sz w:val="24"/>
          <w:szCs w:val="24"/>
          <w:highlight w:val="none"/>
          <w:lang w:eastAsia="zh-CN" w:bidi="ar-SA"/>
        </w:rPr>
      </w:pPr>
      <w:r>
        <w:rPr>
          <w:rFonts w:hint="eastAsia" w:ascii="仿宋" w:hAnsi="仿宋" w:eastAsia="仿宋" w:cs="仿宋"/>
          <w:b/>
          <w:bCs/>
          <w:color w:val="auto"/>
          <w:kern w:val="2"/>
          <w:sz w:val="24"/>
          <w:szCs w:val="24"/>
          <w:highlight w:val="none"/>
          <w:lang w:eastAsia="zh-CN" w:bidi="ar-SA"/>
        </w:rPr>
        <w:t>其他补充事宜</w:t>
      </w:r>
    </w:p>
    <w:p w14:paraId="30CC902A">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54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auto"/>
          <w:spacing w:val="0"/>
          <w:sz w:val="24"/>
          <w:szCs w:val="24"/>
          <w:highlight w:val="none"/>
          <w:lang w:val="en-US" w:eastAsia="zh-CN"/>
        </w:rPr>
        <w:t>1、本项目实行网上投标，采用电子投标文件。</w:t>
      </w:r>
    </w:p>
    <w:p w14:paraId="0021DFA0">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  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6833F556">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  3、供应商将政采云电子交易客户端下载、安装完成后，可通过账号密码或CA登录客户端进行投标文件的制作。在使用政采云投标客户端时，建议使用WIN7及以上操作系统。</w:t>
      </w:r>
    </w:p>
    <w:p w14:paraId="1B95F66F">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6" w:firstLineChars="200"/>
        <w:jc w:val="left"/>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    4、其他事项：/</w:t>
      </w:r>
    </w:p>
    <w:p w14:paraId="64CC1B9E">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60" w:lineRule="auto"/>
        <w:ind w:leftChars="0" w:right="0" w:rightChars="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rPr>
        <w:t>七、对本次采购提出询问，请按以下方式联系</w:t>
      </w:r>
    </w:p>
    <w:p w14:paraId="65971711">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1.采购人信息</w:t>
      </w:r>
    </w:p>
    <w:p w14:paraId="1D3F096F">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名 称：阿克陶县应急管理局</w:t>
      </w:r>
    </w:p>
    <w:p w14:paraId="24F3F9FD">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地 址：阿克陶县</w:t>
      </w:r>
    </w:p>
    <w:p w14:paraId="0C796542">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6" w:firstLineChars="200"/>
        <w:jc w:val="left"/>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联系方式：18129187388</w:t>
      </w:r>
    </w:p>
    <w:p w14:paraId="57AF97B3">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2.采购代理机构信息</w:t>
      </w:r>
    </w:p>
    <w:p w14:paraId="3B97A828">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名 称：鼎建项目管理有限公司　　　　　　　　   　</w:t>
      </w:r>
    </w:p>
    <w:p w14:paraId="7FB856AE">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地 址：阿图什市光明北路12号博格拉A座四楼　  　</w:t>
      </w:r>
    </w:p>
    <w:p w14:paraId="69E56B0F">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6" w:firstLineChars="200"/>
        <w:jc w:val="left"/>
        <w:textAlignment w:val="auto"/>
        <w:rPr>
          <w:rStyle w:val="28"/>
          <w:rFonts w:hint="eastAsia" w:ascii="仿宋" w:hAnsi="仿宋" w:eastAsia="仿宋" w:cs="仿宋"/>
          <w:b/>
          <w:bCs w:val="0"/>
          <w:i w:val="0"/>
          <w:iCs w:val="0"/>
          <w:caps w:val="0"/>
          <w:color w:val="auto"/>
          <w:spacing w:val="0"/>
          <w:sz w:val="32"/>
          <w:szCs w:val="32"/>
          <w:highlight w:val="none"/>
        </w:rPr>
      </w:pPr>
      <w:r>
        <w:rPr>
          <w:rFonts w:hint="eastAsia" w:ascii="仿宋" w:hAnsi="仿宋" w:eastAsia="仿宋" w:cs="仿宋"/>
          <w:i w:val="0"/>
          <w:iCs w:val="0"/>
          <w:caps w:val="0"/>
          <w:color w:val="auto"/>
          <w:spacing w:val="0"/>
          <w:sz w:val="24"/>
          <w:szCs w:val="24"/>
          <w:highlight w:val="none"/>
          <w:lang w:val="en-US" w:eastAsia="zh-CN"/>
        </w:rPr>
        <w:t>项目联系人：朱先生  18609088999</w:t>
      </w:r>
    </w:p>
    <w:p w14:paraId="3D3B95FE">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420D1B11">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1BEAC8FE">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3B685512">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02614FCA">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2DDB934B">
      <w:pPr>
        <w:numPr>
          <w:ilvl w:val="0"/>
          <w:numId w:val="0"/>
        </w:numPr>
        <w:spacing w:line="360" w:lineRule="auto"/>
        <w:jc w:val="center"/>
        <w:rPr>
          <w:rFonts w:ascii="仿宋" w:hAnsi="仿宋" w:eastAsia="仿宋" w:cs="仿宋"/>
          <w:color w:val="auto"/>
          <w:sz w:val="28"/>
          <w:szCs w:val="28"/>
          <w:highlight w:val="none"/>
        </w:rPr>
      </w:pPr>
      <w:r>
        <w:rPr>
          <w:rFonts w:hint="eastAsia" w:ascii="仿宋" w:hAnsi="仿宋" w:eastAsia="仿宋" w:cs="仿宋"/>
          <w:b/>
          <w:bCs/>
          <w:color w:val="auto"/>
          <w:sz w:val="36"/>
          <w:szCs w:val="36"/>
          <w:highlight w:val="none"/>
          <w:lang w:eastAsia="zh-CN"/>
        </w:rPr>
        <w:t>第二</w:t>
      </w:r>
      <w:r>
        <w:rPr>
          <w:rFonts w:hint="eastAsia" w:ascii="仿宋" w:hAnsi="仿宋" w:eastAsia="仿宋" w:cs="仿宋"/>
          <w:b/>
          <w:bCs/>
          <w:color w:val="auto"/>
          <w:sz w:val="36"/>
          <w:szCs w:val="36"/>
          <w:highlight w:val="none"/>
          <w:lang w:val="en-US" w:eastAsia="zh-CN"/>
        </w:rPr>
        <w:t xml:space="preserve">章 </w:t>
      </w:r>
      <w:r>
        <w:rPr>
          <w:rFonts w:hint="eastAsia" w:ascii="仿宋" w:hAnsi="仿宋" w:eastAsia="仿宋" w:cs="仿宋"/>
          <w:b/>
          <w:bCs/>
          <w:color w:val="auto"/>
          <w:sz w:val="36"/>
          <w:szCs w:val="36"/>
          <w:highlight w:val="none"/>
        </w:rPr>
        <w:t>供应商须知</w:t>
      </w:r>
    </w:p>
    <w:p w14:paraId="256D9242">
      <w:pPr>
        <w:numPr>
          <w:ilvl w:val="0"/>
          <w:numId w:val="0"/>
        </w:numPr>
        <w:spacing w:line="360" w:lineRule="auto"/>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CN"/>
        </w:rPr>
        <w:t>供应商</w:t>
      </w:r>
      <w:r>
        <w:rPr>
          <w:rFonts w:hint="eastAsia" w:ascii="仿宋" w:hAnsi="仿宋" w:eastAsia="仿宋" w:cs="仿宋"/>
          <w:b/>
          <w:bCs/>
          <w:color w:val="auto"/>
          <w:sz w:val="28"/>
          <w:szCs w:val="28"/>
          <w:highlight w:val="none"/>
        </w:rPr>
        <w:t>须知前附表</w:t>
      </w:r>
    </w:p>
    <w:tbl>
      <w:tblPr>
        <w:tblStyle w:val="25"/>
        <w:tblW w:w="9892" w:type="dxa"/>
        <w:jc w:val="center"/>
        <w:tblLayout w:type="fixed"/>
        <w:tblCellMar>
          <w:top w:w="0" w:type="dxa"/>
          <w:left w:w="108" w:type="dxa"/>
          <w:bottom w:w="0" w:type="dxa"/>
          <w:right w:w="108" w:type="dxa"/>
        </w:tblCellMar>
      </w:tblPr>
      <w:tblGrid>
        <w:gridCol w:w="579"/>
        <w:gridCol w:w="1701"/>
        <w:gridCol w:w="7612"/>
      </w:tblGrid>
      <w:tr w14:paraId="403085DA">
        <w:tblPrEx>
          <w:tblCellMar>
            <w:top w:w="0" w:type="dxa"/>
            <w:left w:w="108" w:type="dxa"/>
            <w:bottom w:w="0" w:type="dxa"/>
            <w:right w:w="108" w:type="dxa"/>
          </w:tblCellMar>
        </w:tblPrEx>
        <w:trPr>
          <w:trHeight w:val="563"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6C4B5450">
            <w:pPr>
              <w:widowControl/>
              <w:spacing w:line="334" w:lineRule="exact"/>
              <w:jc w:val="center"/>
              <w:rPr>
                <w:rFonts w:ascii="仿宋" w:hAnsi="仿宋" w:eastAsia="仿宋" w:cs="仿宋"/>
                <w:b/>
                <w:color w:val="auto"/>
                <w:highlight w:val="none"/>
              </w:rPr>
            </w:pPr>
            <w:r>
              <w:rPr>
                <w:rFonts w:hint="eastAsia" w:ascii="仿宋" w:hAnsi="仿宋" w:eastAsia="仿宋" w:cs="仿宋"/>
                <w:b/>
                <w:color w:val="auto"/>
                <w:highlight w:val="none"/>
              </w:rPr>
              <w:t>序 号</w:t>
            </w:r>
          </w:p>
        </w:tc>
        <w:tc>
          <w:tcPr>
            <w:tcW w:w="1701" w:type="dxa"/>
            <w:tcBorders>
              <w:top w:val="single" w:color="auto" w:sz="4" w:space="0"/>
              <w:left w:val="single" w:color="auto" w:sz="4" w:space="0"/>
              <w:bottom w:val="single" w:color="auto" w:sz="4" w:space="0"/>
              <w:right w:val="single" w:color="auto" w:sz="4" w:space="0"/>
            </w:tcBorders>
            <w:vAlign w:val="center"/>
          </w:tcPr>
          <w:p w14:paraId="2B2C0A3A">
            <w:pPr>
              <w:widowControl/>
              <w:spacing w:line="334" w:lineRule="exact"/>
              <w:jc w:val="center"/>
              <w:rPr>
                <w:rFonts w:ascii="仿宋" w:hAnsi="仿宋" w:eastAsia="仿宋" w:cs="仿宋"/>
                <w:b/>
                <w:color w:val="auto"/>
                <w:highlight w:val="none"/>
              </w:rPr>
            </w:pPr>
            <w:r>
              <w:rPr>
                <w:rFonts w:hint="eastAsia" w:ascii="仿宋" w:hAnsi="仿宋" w:eastAsia="仿宋" w:cs="仿宋"/>
                <w:b/>
                <w:color w:val="auto"/>
                <w:highlight w:val="none"/>
              </w:rPr>
              <w:t>名  称</w:t>
            </w:r>
          </w:p>
        </w:tc>
        <w:tc>
          <w:tcPr>
            <w:tcW w:w="7612" w:type="dxa"/>
            <w:tcBorders>
              <w:top w:val="single" w:color="auto" w:sz="4" w:space="0"/>
              <w:left w:val="single" w:color="auto" w:sz="4" w:space="0"/>
              <w:bottom w:val="single" w:color="auto" w:sz="4" w:space="0"/>
              <w:right w:val="single" w:color="auto" w:sz="4" w:space="0"/>
            </w:tcBorders>
            <w:vAlign w:val="center"/>
          </w:tcPr>
          <w:p w14:paraId="44356A60">
            <w:pPr>
              <w:widowControl/>
              <w:spacing w:line="334" w:lineRule="exact"/>
              <w:jc w:val="center"/>
              <w:rPr>
                <w:rFonts w:ascii="仿宋" w:hAnsi="仿宋" w:eastAsia="仿宋" w:cs="仿宋"/>
                <w:b/>
                <w:color w:val="auto"/>
                <w:highlight w:val="none"/>
              </w:rPr>
            </w:pPr>
            <w:r>
              <w:rPr>
                <w:rFonts w:hint="eastAsia" w:ascii="仿宋" w:hAnsi="仿宋" w:eastAsia="仿宋" w:cs="仿宋"/>
                <w:b/>
                <w:color w:val="auto"/>
                <w:highlight w:val="none"/>
              </w:rPr>
              <w:t>编  列  内  容</w:t>
            </w:r>
          </w:p>
        </w:tc>
      </w:tr>
      <w:tr w14:paraId="36243177">
        <w:tblPrEx>
          <w:tblCellMar>
            <w:top w:w="0" w:type="dxa"/>
            <w:left w:w="108" w:type="dxa"/>
            <w:bottom w:w="0" w:type="dxa"/>
            <w:right w:w="108" w:type="dxa"/>
          </w:tblCellMar>
        </w:tblPrEx>
        <w:trPr>
          <w:trHeight w:val="2779"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43F7BAEE">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p>
        </w:tc>
        <w:tc>
          <w:tcPr>
            <w:tcW w:w="1701" w:type="dxa"/>
            <w:tcBorders>
              <w:top w:val="single" w:color="auto" w:sz="4" w:space="0"/>
              <w:left w:val="single" w:color="auto" w:sz="4" w:space="0"/>
              <w:bottom w:val="single" w:color="auto" w:sz="4" w:space="0"/>
              <w:right w:val="single" w:color="auto" w:sz="4" w:space="0"/>
            </w:tcBorders>
            <w:vAlign w:val="center"/>
          </w:tcPr>
          <w:p w14:paraId="2F653728">
            <w:pPr>
              <w:pStyle w:val="34"/>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项目名称：</w:t>
            </w:r>
          </w:p>
          <w:p w14:paraId="49A5C5F2">
            <w:pPr>
              <w:pStyle w:val="34"/>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项目编号：</w:t>
            </w:r>
          </w:p>
          <w:p w14:paraId="63869ADE">
            <w:pPr>
              <w:pStyle w:val="34"/>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采购内容：</w:t>
            </w:r>
          </w:p>
          <w:p w14:paraId="2CB807B9">
            <w:pPr>
              <w:pStyle w:val="34"/>
              <w:ind w:firstLine="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供货期：</w:t>
            </w:r>
          </w:p>
        </w:tc>
        <w:tc>
          <w:tcPr>
            <w:tcW w:w="7612" w:type="dxa"/>
            <w:tcBorders>
              <w:top w:val="single" w:color="auto" w:sz="4" w:space="0"/>
              <w:left w:val="single" w:color="auto" w:sz="4" w:space="0"/>
              <w:bottom w:val="single" w:color="auto" w:sz="4" w:space="0"/>
              <w:right w:val="single" w:color="auto" w:sz="4" w:space="0"/>
            </w:tcBorders>
            <w:vAlign w:val="center"/>
          </w:tcPr>
          <w:p w14:paraId="790D96A9">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项目名称：</w:t>
            </w:r>
            <w:r>
              <w:rPr>
                <w:rFonts w:hint="default" w:ascii="仿宋" w:hAnsi="仿宋" w:eastAsia="仿宋" w:cs="仿宋"/>
                <w:i w:val="0"/>
                <w:iCs w:val="0"/>
                <w:caps w:val="0"/>
                <w:color w:val="000000"/>
                <w:spacing w:val="0"/>
                <w:sz w:val="24"/>
                <w:szCs w:val="24"/>
              </w:rPr>
              <w:t>阿克陶县2025年基层消防设施设备建设项目</w:t>
            </w:r>
          </w:p>
          <w:p w14:paraId="372289FA">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项目编号：</w:t>
            </w:r>
            <w:r>
              <w:rPr>
                <w:rFonts w:hint="eastAsia" w:ascii="仿宋" w:hAnsi="仿宋" w:eastAsia="仿宋" w:cs="仿宋"/>
                <w:b w:val="0"/>
                <w:bCs w:val="0"/>
                <w:i w:val="0"/>
                <w:iCs w:val="0"/>
                <w:caps w:val="0"/>
                <w:color w:val="auto"/>
                <w:spacing w:val="0"/>
                <w:sz w:val="24"/>
                <w:szCs w:val="24"/>
              </w:rPr>
              <w:t>AKTZBCG-2025</w:t>
            </w:r>
            <w:r>
              <w:rPr>
                <w:rFonts w:hint="eastAsia" w:ascii="仿宋" w:hAnsi="仿宋" w:eastAsia="仿宋" w:cs="仿宋"/>
                <w:b w:val="0"/>
                <w:bCs w:val="0"/>
                <w:i w:val="0"/>
                <w:iCs w:val="0"/>
                <w:caps w:val="0"/>
                <w:color w:val="auto"/>
                <w:spacing w:val="0"/>
                <w:sz w:val="24"/>
                <w:szCs w:val="24"/>
                <w:lang w:val="en-US" w:eastAsia="zh-CN"/>
              </w:rPr>
              <w:t>030</w:t>
            </w:r>
          </w:p>
          <w:p w14:paraId="271ABCF1">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color w:val="auto"/>
                <w:highlight w:val="none"/>
                <w:lang w:eastAsia="zh-CN"/>
              </w:rPr>
              <w:t>采购内容：</w:t>
            </w:r>
            <w:r>
              <w:rPr>
                <w:rFonts w:hint="eastAsia" w:ascii="仿宋" w:hAnsi="仿宋" w:eastAsia="仿宋" w:cs="仿宋"/>
                <w:i w:val="0"/>
                <w:iCs w:val="0"/>
                <w:caps w:val="0"/>
                <w:color w:val="auto"/>
                <w:spacing w:val="0"/>
                <w:sz w:val="24"/>
                <w:szCs w:val="24"/>
                <w:lang w:eastAsia="zh-CN"/>
              </w:rPr>
              <w:t>采购</w:t>
            </w:r>
            <w:r>
              <w:rPr>
                <w:rFonts w:hint="eastAsia" w:ascii="仿宋" w:hAnsi="仿宋" w:eastAsia="仿宋" w:cs="仿宋"/>
                <w:i w:val="0"/>
                <w:iCs w:val="0"/>
                <w:caps w:val="0"/>
                <w:color w:val="000000"/>
                <w:spacing w:val="0"/>
                <w:sz w:val="24"/>
                <w:szCs w:val="24"/>
                <w:lang w:eastAsia="zh-CN"/>
              </w:rPr>
              <w:t>消防设施设备</w:t>
            </w:r>
            <w:r>
              <w:rPr>
                <w:rFonts w:hint="eastAsia" w:ascii="仿宋" w:hAnsi="仿宋" w:eastAsia="仿宋" w:cs="仿宋"/>
                <w:i w:val="0"/>
                <w:iCs w:val="0"/>
                <w:caps w:val="0"/>
                <w:color w:val="auto"/>
                <w:spacing w:val="0"/>
                <w:sz w:val="24"/>
                <w:szCs w:val="24"/>
                <w:lang w:eastAsia="zh-CN"/>
              </w:rPr>
              <w:t>一批</w:t>
            </w:r>
            <w:r>
              <w:rPr>
                <w:rFonts w:hint="eastAsia" w:ascii="仿宋" w:hAnsi="仿宋" w:eastAsia="仿宋" w:cs="仿宋"/>
                <w:i w:val="0"/>
                <w:iCs w:val="0"/>
                <w:caps w:val="0"/>
                <w:color w:val="auto"/>
                <w:spacing w:val="0"/>
                <w:sz w:val="24"/>
                <w:szCs w:val="24"/>
                <w:lang w:val="en-US" w:eastAsia="zh-CN"/>
              </w:rPr>
              <w:t>（具体内容详见招标文件内采购清单）。</w:t>
            </w:r>
          </w:p>
          <w:p w14:paraId="76051158">
            <w:pPr>
              <w:spacing w:line="400" w:lineRule="exact"/>
              <w:rPr>
                <w:rFonts w:hint="default"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color w:val="auto"/>
                <w:highlight w:val="none"/>
                <w:lang w:eastAsia="zh-CN"/>
              </w:rPr>
              <w:t>供货期：</w:t>
            </w:r>
            <w:r>
              <w:rPr>
                <w:rFonts w:hint="eastAsia" w:ascii="仿宋" w:hAnsi="仿宋" w:eastAsia="仿宋" w:cs="仿宋"/>
                <w:i w:val="0"/>
                <w:iCs w:val="0"/>
                <w:caps w:val="0"/>
                <w:color w:val="auto"/>
                <w:spacing w:val="0"/>
                <w:sz w:val="24"/>
                <w:szCs w:val="24"/>
                <w:highlight w:val="none"/>
              </w:rPr>
              <w:t>合同签订后</w:t>
            </w:r>
            <w:r>
              <w:rPr>
                <w:rFonts w:hint="eastAsia" w:ascii="仿宋" w:hAnsi="仿宋" w:eastAsia="仿宋" w:cs="仿宋"/>
                <w:i w:val="0"/>
                <w:iCs w:val="0"/>
                <w:caps w:val="0"/>
                <w:color w:val="auto"/>
                <w:spacing w:val="0"/>
                <w:sz w:val="24"/>
                <w:szCs w:val="24"/>
                <w:highlight w:val="none"/>
                <w:lang w:val="en-US" w:eastAsia="zh-CN"/>
              </w:rPr>
              <w:t>90</w:t>
            </w:r>
            <w:r>
              <w:rPr>
                <w:rFonts w:hint="eastAsia" w:ascii="仿宋" w:hAnsi="仿宋" w:eastAsia="仿宋" w:cs="仿宋"/>
                <w:i w:val="0"/>
                <w:iCs w:val="0"/>
                <w:caps w:val="0"/>
                <w:color w:val="auto"/>
                <w:spacing w:val="0"/>
                <w:sz w:val="24"/>
                <w:szCs w:val="24"/>
                <w:highlight w:val="none"/>
              </w:rPr>
              <w:t>天内供货并完成安装交付使用。</w:t>
            </w:r>
            <w:r>
              <w:rPr>
                <w:rFonts w:hint="eastAsia" w:ascii="仿宋" w:hAnsi="仿宋" w:eastAsia="仿宋" w:cs="仿宋"/>
                <w:i w:val="0"/>
                <w:iCs w:val="0"/>
                <w:caps w:val="0"/>
                <w:color w:val="auto"/>
                <w:spacing w:val="0"/>
                <w:sz w:val="24"/>
                <w:szCs w:val="24"/>
                <w:highlight w:val="none"/>
                <w:lang w:eastAsia="zh-CN"/>
              </w:rPr>
              <w:t>（具体以甲乙双方签订合同为准）</w:t>
            </w:r>
          </w:p>
        </w:tc>
      </w:tr>
      <w:tr w14:paraId="09C6BFD6">
        <w:tblPrEx>
          <w:tblCellMar>
            <w:top w:w="0" w:type="dxa"/>
            <w:left w:w="108" w:type="dxa"/>
            <w:bottom w:w="0" w:type="dxa"/>
            <w:right w:w="108" w:type="dxa"/>
          </w:tblCellMar>
        </w:tblPrEx>
        <w:trPr>
          <w:trHeight w:val="857"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42CB73CB">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p>
        </w:tc>
        <w:tc>
          <w:tcPr>
            <w:tcW w:w="1701" w:type="dxa"/>
            <w:tcBorders>
              <w:top w:val="single" w:color="auto" w:sz="4" w:space="0"/>
              <w:left w:val="single" w:color="auto" w:sz="4" w:space="0"/>
              <w:bottom w:val="single" w:color="auto" w:sz="4" w:space="0"/>
              <w:right w:val="single" w:color="auto" w:sz="4" w:space="0"/>
            </w:tcBorders>
            <w:vAlign w:val="center"/>
          </w:tcPr>
          <w:p w14:paraId="61A05BA8">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采购人信息</w:t>
            </w:r>
          </w:p>
        </w:tc>
        <w:tc>
          <w:tcPr>
            <w:tcW w:w="7612" w:type="dxa"/>
            <w:tcBorders>
              <w:top w:val="single" w:color="auto" w:sz="4" w:space="0"/>
              <w:left w:val="single" w:color="auto" w:sz="4" w:space="0"/>
              <w:bottom w:val="single" w:color="auto" w:sz="4" w:space="0"/>
              <w:right w:val="single" w:color="auto" w:sz="4" w:space="0"/>
            </w:tcBorders>
            <w:vAlign w:val="center"/>
          </w:tcPr>
          <w:p w14:paraId="17B759B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名  称：</w:t>
            </w:r>
            <w:r>
              <w:rPr>
                <w:rFonts w:hint="default" w:ascii="仿宋" w:hAnsi="仿宋" w:eastAsia="仿宋" w:cs="仿宋"/>
                <w:color w:val="auto"/>
                <w:highlight w:val="none"/>
                <w:lang w:eastAsia="zh-CN"/>
              </w:rPr>
              <w:t>阿克陶县应急管理局</w:t>
            </w:r>
          </w:p>
          <w:p w14:paraId="1DF82833">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联系人：孙先生     电  话：18129187388</w:t>
            </w:r>
          </w:p>
        </w:tc>
      </w:tr>
      <w:tr w14:paraId="69AD9FE2">
        <w:tblPrEx>
          <w:tblCellMar>
            <w:top w:w="0" w:type="dxa"/>
            <w:left w:w="108" w:type="dxa"/>
            <w:bottom w:w="0" w:type="dxa"/>
            <w:right w:w="108" w:type="dxa"/>
          </w:tblCellMar>
        </w:tblPrEx>
        <w:trPr>
          <w:trHeight w:val="1285"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4D940CFF">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p>
        </w:tc>
        <w:tc>
          <w:tcPr>
            <w:tcW w:w="1701" w:type="dxa"/>
            <w:tcBorders>
              <w:top w:val="single" w:color="auto" w:sz="4" w:space="0"/>
              <w:left w:val="single" w:color="auto" w:sz="4" w:space="0"/>
              <w:bottom w:val="single" w:color="auto" w:sz="4" w:space="0"/>
              <w:right w:val="single" w:color="auto" w:sz="4" w:space="0"/>
            </w:tcBorders>
            <w:vAlign w:val="center"/>
          </w:tcPr>
          <w:p w14:paraId="445D77B4">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采购代理机构</w:t>
            </w:r>
          </w:p>
        </w:tc>
        <w:tc>
          <w:tcPr>
            <w:tcW w:w="7612" w:type="dxa"/>
            <w:tcBorders>
              <w:top w:val="single" w:color="auto" w:sz="4" w:space="0"/>
              <w:left w:val="single" w:color="auto" w:sz="4" w:space="0"/>
              <w:bottom w:val="single" w:color="auto" w:sz="4" w:space="0"/>
              <w:right w:val="single" w:color="auto" w:sz="4" w:space="0"/>
            </w:tcBorders>
            <w:vAlign w:val="center"/>
          </w:tcPr>
          <w:p w14:paraId="5F2492B2">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名  称：鼎建项目管理有限公司</w:t>
            </w:r>
          </w:p>
          <w:p w14:paraId="2196CFFC">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地  址：阿图什市光明北路12号博格拉A座四楼</w:t>
            </w:r>
          </w:p>
          <w:p w14:paraId="5B8E5AA1">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联系人：朱先生     电  话：18609088999</w:t>
            </w:r>
          </w:p>
        </w:tc>
      </w:tr>
      <w:tr w14:paraId="095936FF">
        <w:tblPrEx>
          <w:tblCellMar>
            <w:top w:w="0" w:type="dxa"/>
            <w:left w:w="108" w:type="dxa"/>
            <w:bottom w:w="0" w:type="dxa"/>
            <w:right w:w="108" w:type="dxa"/>
          </w:tblCellMar>
        </w:tblPrEx>
        <w:trPr>
          <w:trHeight w:val="468"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67DC2913">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1701" w:type="dxa"/>
            <w:tcBorders>
              <w:top w:val="single" w:color="auto" w:sz="4" w:space="0"/>
              <w:left w:val="single" w:color="auto" w:sz="4" w:space="0"/>
              <w:bottom w:val="single" w:color="auto" w:sz="4" w:space="0"/>
              <w:right w:val="single" w:color="auto" w:sz="4" w:space="0"/>
            </w:tcBorders>
            <w:vAlign w:val="center"/>
          </w:tcPr>
          <w:p w14:paraId="14119802">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最终交货地点</w:t>
            </w:r>
          </w:p>
        </w:tc>
        <w:tc>
          <w:tcPr>
            <w:tcW w:w="7612" w:type="dxa"/>
            <w:tcBorders>
              <w:top w:val="single" w:color="auto" w:sz="4" w:space="0"/>
              <w:left w:val="single" w:color="auto" w:sz="4" w:space="0"/>
              <w:bottom w:val="single" w:color="auto" w:sz="4" w:space="0"/>
              <w:right w:val="single" w:color="auto" w:sz="4" w:space="0"/>
            </w:tcBorders>
            <w:vAlign w:val="center"/>
          </w:tcPr>
          <w:p w14:paraId="03A2D1B9">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采购单位指定地点</w:t>
            </w:r>
          </w:p>
        </w:tc>
      </w:tr>
      <w:tr w14:paraId="20C13BBE">
        <w:tblPrEx>
          <w:tblCellMar>
            <w:top w:w="0" w:type="dxa"/>
            <w:left w:w="108" w:type="dxa"/>
            <w:bottom w:w="0" w:type="dxa"/>
            <w:right w:w="108" w:type="dxa"/>
          </w:tblCellMar>
        </w:tblPrEx>
        <w:trPr>
          <w:trHeight w:val="45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0E2B64FF">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1701" w:type="dxa"/>
            <w:tcBorders>
              <w:top w:val="single" w:color="auto" w:sz="4" w:space="0"/>
              <w:left w:val="single" w:color="auto" w:sz="4" w:space="0"/>
              <w:bottom w:val="single" w:color="auto" w:sz="4" w:space="0"/>
              <w:right w:val="single" w:color="auto" w:sz="4" w:space="0"/>
            </w:tcBorders>
            <w:vAlign w:val="center"/>
          </w:tcPr>
          <w:p w14:paraId="0377E86A">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资格要求</w:t>
            </w:r>
          </w:p>
        </w:tc>
        <w:tc>
          <w:tcPr>
            <w:tcW w:w="7612" w:type="dxa"/>
            <w:tcBorders>
              <w:top w:val="single" w:color="auto" w:sz="4" w:space="0"/>
              <w:left w:val="single" w:color="auto" w:sz="4" w:space="0"/>
              <w:bottom w:val="single" w:color="auto" w:sz="4" w:space="0"/>
              <w:right w:val="single" w:color="auto" w:sz="4" w:space="0"/>
            </w:tcBorders>
            <w:vAlign w:val="center"/>
          </w:tcPr>
          <w:p w14:paraId="1FBE91EA">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1.满足《中华人民共和国政府采购法》第二十二条规定；</w:t>
            </w:r>
          </w:p>
          <w:p w14:paraId="3279BBBC">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2.落实政府采购政策需满足的资格要求：本项目为非专门面向中小企业。</w:t>
            </w:r>
          </w:p>
          <w:p w14:paraId="41738954">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3.本项目的特定资格要求：</w:t>
            </w:r>
          </w:p>
          <w:p w14:paraId="047350A0">
            <w:pPr>
              <w:keepNext w:val="0"/>
              <w:keepLines w:val="0"/>
              <w:pageBreakBefore w:val="0"/>
              <w:kinsoku/>
              <w:wordWrap/>
              <w:overflowPunct/>
              <w:topLinePunct w:val="0"/>
              <w:autoSpaceDE/>
              <w:autoSpaceDN/>
              <w:bidi w:val="0"/>
              <w:spacing w:line="40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）具备三证合一营业执照副本；</w:t>
            </w:r>
          </w:p>
          <w:p w14:paraId="5D208C3E">
            <w:pPr>
              <w:keepNext w:val="0"/>
              <w:keepLines w:val="0"/>
              <w:pageBreakBefore w:val="0"/>
              <w:kinsoku/>
              <w:wordWrap/>
              <w:overflowPunct/>
              <w:topLinePunct w:val="0"/>
              <w:autoSpaceDE/>
              <w:autoSpaceDN/>
              <w:bidi w:val="0"/>
              <w:spacing w:line="40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）法定代表人投标须提供法定代表人资格证明书，委托代理人投标须提供法定代表人授权委托书；</w:t>
            </w:r>
          </w:p>
          <w:p w14:paraId="64BF628F">
            <w:pPr>
              <w:keepNext w:val="0"/>
              <w:keepLines w:val="0"/>
              <w:pageBreakBefore w:val="0"/>
              <w:kinsoku/>
              <w:wordWrap/>
              <w:overflowPunct/>
              <w:topLinePunct w:val="0"/>
              <w:autoSpaceDE/>
              <w:autoSpaceDN/>
              <w:bidi w:val="0"/>
              <w:spacing w:line="40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）投标企业须提供投标人（被授权在职人员）近6个月内任意一个月有效的社保证明；</w:t>
            </w:r>
          </w:p>
          <w:p w14:paraId="204619D9">
            <w:pPr>
              <w:pStyle w:val="34"/>
              <w:keepNext w:val="0"/>
              <w:keepLines w:val="0"/>
              <w:pageBreakBefore w:val="0"/>
              <w:kinsoku/>
              <w:wordWrap/>
              <w:overflowPunct/>
              <w:topLinePunct w:val="0"/>
              <w:autoSpaceDE/>
              <w:autoSpaceDN/>
              <w:bidi w:val="0"/>
              <w:spacing w:line="40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参加政府采购活动前三年内，在经营活动中没有重大违法记录；参加政府采购活动前三年内，在经营活动中没有重大违法记录；未被“信用中国”（www.creditchina.gov.cn）、中国政府采购网（www.ccgp.gov.cn）列入失信被执行人、税收违法黑名单、政府采购严重违法失信行为记录名单。</w:t>
            </w:r>
          </w:p>
          <w:p w14:paraId="34189CF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4.本项目不接受联合体投标。</w:t>
            </w:r>
          </w:p>
        </w:tc>
      </w:tr>
      <w:tr w14:paraId="679FF079">
        <w:tblPrEx>
          <w:tblCellMar>
            <w:top w:w="0" w:type="dxa"/>
            <w:left w:w="108" w:type="dxa"/>
            <w:bottom w:w="0" w:type="dxa"/>
            <w:right w:w="108" w:type="dxa"/>
          </w:tblCellMar>
        </w:tblPrEx>
        <w:trPr>
          <w:trHeight w:val="531"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3F25595E">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1701" w:type="dxa"/>
            <w:tcBorders>
              <w:top w:val="single" w:color="auto" w:sz="4" w:space="0"/>
              <w:left w:val="single" w:color="auto" w:sz="4" w:space="0"/>
              <w:bottom w:val="single" w:color="auto" w:sz="4" w:space="0"/>
              <w:right w:val="single" w:color="auto" w:sz="4" w:space="0"/>
            </w:tcBorders>
            <w:vAlign w:val="center"/>
          </w:tcPr>
          <w:p w14:paraId="13FE3AE9">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付款方式</w:t>
            </w:r>
          </w:p>
        </w:tc>
        <w:tc>
          <w:tcPr>
            <w:tcW w:w="7612" w:type="dxa"/>
            <w:tcBorders>
              <w:top w:val="single" w:color="auto" w:sz="4" w:space="0"/>
              <w:left w:val="single" w:color="auto" w:sz="4" w:space="0"/>
              <w:bottom w:val="single" w:color="auto" w:sz="4" w:space="0"/>
              <w:right w:val="single" w:color="auto" w:sz="4" w:space="0"/>
            </w:tcBorders>
            <w:vAlign w:val="center"/>
          </w:tcPr>
          <w:p w14:paraId="7FBABBF8">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甲乙双方签订合同时约定。</w:t>
            </w:r>
          </w:p>
        </w:tc>
      </w:tr>
      <w:tr w14:paraId="368A24F0">
        <w:tblPrEx>
          <w:tblCellMar>
            <w:top w:w="0" w:type="dxa"/>
            <w:left w:w="108" w:type="dxa"/>
            <w:bottom w:w="0" w:type="dxa"/>
            <w:right w:w="108" w:type="dxa"/>
          </w:tblCellMar>
        </w:tblPrEx>
        <w:trPr>
          <w:trHeight w:val="576"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241E7C3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p>
        </w:tc>
        <w:tc>
          <w:tcPr>
            <w:tcW w:w="1701" w:type="dxa"/>
            <w:tcBorders>
              <w:top w:val="single" w:color="auto" w:sz="4" w:space="0"/>
              <w:left w:val="single" w:color="auto" w:sz="4" w:space="0"/>
              <w:bottom w:val="single" w:color="auto" w:sz="4" w:space="0"/>
              <w:right w:val="single" w:color="auto" w:sz="4" w:space="0"/>
            </w:tcBorders>
            <w:vAlign w:val="center"/>
          </w:tcPr>
          <w:p w14:paraId="67B0DF53">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资金来源</w:t>
            </w:r>
          </w:p>
        </w:tc>
        <w:tc>
          <w:tcPr>
            <w:tcW w:w="7612" w:type="dxa"/>
            <w:tcBorders>
              <w:top w:val="single" w:color="auto" w:sz="4" w:space="0"/>
              <w:left w:val="single" w:color="auto" w:sz="4" w:space="0"/>
              <w:bottom w:val="single" w:color="auto" w:sz="4" w:space="0"/>
              <w:right w:val="single" w:color="auto" w:sz="4" w:space="0"/>
            </w:tcBorders>
            <w:vAlign w:val="center"/>
          </w:tcPr>
          <w:p w14:paraId="589CD779">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援疆资金</w:t>
            </w:r>
          </w:p>
        </w:tc>
      </w:tr>
      <w:tr w14:paraId="14664C71">
        <w:tblPrEx>
          <w:tblCellMar>
            <w:top w:w="0" w:type="dxa"/>
            <w:left w:w="108" w:type="dxa"/>
            <w:bottom w:w="0" w:type="dxa"/>
            <w:right w:w="108" w:type="dxa"/>
          </w:tblCellMar>
        </w:tblPrEx>
        <w:trPr>
          <w:trHeight w:val="567"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344CE46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w:t>
            </w:r>
          </w:p>
        </w:tc>
        <w:tc>
          <w:tcPr>
            <w:tcW w:w="1701" w:type="dxa"/>
            <w:tcBorders>
              <w:top w:val="single" w:color="auto" w:sz="4" w:space="0"/>
              <w:left w:val="single" w:color="auto" w:sz="4" w:space="0"/>
              <w:bottom w:val="single" w:color="auto" w:sz="4" w:space="0"/>
              <w:right w:val="single" w:color="auto" w:sz="4" w:space="0"/>
            </w:tcBorders>
            <w:vAlign w:val="center"/>
          </w:tcPr>
          <w:p w14:paraId="18064991">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招标方式</w:t>
            </w:r>
          </w:p>
        </w:tc>
        <w:tc>
          <w:tcPr>
            <w:tcW w:w="7612" w:type="dxa"/>
            <w:tcBorders>
              <w:top w:val="single" w:color="auto" w:sz="4" w:space="0"/>
              <w:left w:val="single" w:color="auto" w:sz="4" w:space="0"/>
              <w:bottom w:val="single" w:color="auto" w:sz="4" w:space="0"/>
              <w:right w:val="single" w:color="auto" w:sz="4" w:space="0"/>
            </w:tcBorders>
            <w:vAlign w:val="center"/>
          </w:tcPr>
          <w:p w14:paraId="456F2662">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公开招标(本项目采用网上电子招投标)  </w:t>
            </w:r>
          </w:p>
        </w:tc>
      </w:tr>
      <w:tr w14:paraId="0F24BA0F">
        <w:tblPrEx>
          <w:tblCellMar>
            <w:top w:w="0" w:type="dxa"/>
            <w:left w:w="108" w:type="dxa"/>
            <w:bottom w:w="0" w:type="dxa"/>
            <w:right w:w="108" w:type="dxa"/>
          </w:tblCellMar>
        </w:tblPrEx>
        <w:trPr>
          <w:trHeight w:val="9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1249699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w:t>
            </w:r>
          </w:p>
        </w:tc>
        <w:tc>
          <w:tcPr>
            <w:tcW w:w="1701" w:type="dxa"/>
            <w:tcBorders>
              <w:top w:val="single" w:color="auto" w:sz="4" w:space="0"/>
              <w:left w:val="single" w:color="auto" w:sz="4" w:space="0"/>
              <w:bottom w:val="single" w:color="auto" w:sz="4" w:space="0"/>
              <w:right w:val="single" w:color="auto" w:sz="4" w:space="0"/>
            </w:tcBorders>
            <w:vAlign w:val="center"/>
          </w:tcPr>
          <w:p w14:paraId="008D7A97">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供应商信用查询</w:t>
            </w:r>
          </w:p>
        </w:tc>
        <w:tc>
          <w:tcPr>
            <w:tcW w:w="7612" w:type="dxa"/>
            <w:tcBorders>
              <w:top w:val="single" w:color="auto" w:sz="4" w:space="0"/>
              <w:left w:val="single" w:color="auto" w:sz="4" w:space="0"/>
              <w:bottom w:val="single" w:color="auto" w:sz="4" w:space="0"/>
              <w:right w:val="single" w:color="auto" w:sz="4" w:space="0"/>
            </w:tcBorders>
            <w:vAlign w:val="center"/>
          </w:tcPr>
          <w:p w14:paraId="681C762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1、查询渠道：信用中国（网址：http://www.creditchina.gov.cn）、中国政府采购网(网址：http://www.ccgp.gov.cn）。</w:t>
            </w:r>
          </w:p>
          <w:p w14:paraId="54678BC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2、截止时点：开标后评标前。</w:t>
            </w:r>
          </w:p>
          <w:p w14:paraId="660A5D44">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3、信用信息查询记录和证据留存的具体方式：由采购组织机构在规定查询时间内打印信用信息查询记录并归入项目档案。</w:t>
            </w:r>
          </w:p>
          <w:p w14:paraId="04DC08B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0B5E535E">
        <w:tblPrEx>
          <w:tblCellMar>
            <w:top w:w="0" w:type="dxa"/>
            <w:left w:w="108" w:type="dxa"/>
            <w:bottom w:w="0" w:type="dxa"/>
            <w:right w:w="108" w:type="dxa"/>
          </w:tblCellMar>
        </w:tblPrEx>
        <w:trPr>
          <w:trHeight w:val="1048"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08E53013">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1701" w:type="dxa"/>
            <w:tcBorders>
              <w:top w:val="single" w:color="auto" w:sz="4" w:space="0"/>
              <w:left w:val="single" w:color="auto" w:sz="4" w:space="0"/>
              <w:bottom w:val="single" w:color="auto" w:sz="4" w:space="0"/>
              <w:right w:val="single" w:color="auto" w:sz="4" w:space="0"/>
            </w:tcBorders>
            <w:vAlign w:val="center"/>
          </w:tcPr>
          <w:p w14:paraId="173D6B00">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是否接受联合体投标</w:t>
            </w:r>
          </w:p>
        </w:tc>
        <w:tc>
          <w:tcPr>
            <w:tcW w:w="7612" w:type="dxa"/>
            <w:tcBorders>
              <w:top w:val="single" w:color="auto" w:sz="4" w:space="0"/>
              <w:left w:val="single" w:color="auto" w:sz="4" w:space="0"/>
              <w:bottom w:val="single" w:color="auto" w:sz="4" w:space="0"/>
              <w:right w:val="single" w:color="auto" w:sz="4" w:space="0"/>
            </w:tcBorders>
            <w:vAlign w:val="center"/>
          </w:tcPr>
          <w:p w14:paraId="6C792C32">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■不接受</w:t>
            </w:r>
          </w:p>
          <w:p w14:paraId="4499128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□接  受</w:t>
            </w:r>
          </w:p>
        </w:tc>
      </w:tr>
      <w:tr w14:paraId="376DC3ED">
        <w:tblPrEx>
          <w:tblCellMar>
            <w:top w:w="0" w:type="dxa"/>
            <w:left w:w="108" w:type="dxa"/>
            <w:bottom w:w="0" w:type="dxa"/>
            <w:right w:w="108" w:type="dxa"/>
          </w:tblCellMar>
        </w:tblPrEx>
        <w:trPr>
          <w:trHeight w:val="881"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32B0EC56">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w:t>
            </w:r>
          </w:p>
        </w:tc>
        <w:tc>
          <w:tcPr>
            <w:tcW w:w="1701" w:type="dxa"/>
            <w:tcBorders>
              <w:top w:val="single" w:color="auto" w:sz="4" w:space="0"/>
              <w:left w:val="single" w:color="auto" w:sz="4" w:space="0"/>
              <w:bottom w:val="single" w:color="auto" w:sz="4" w:space="0"/>
              <w:right w:val="single" w:color="auto" w:sz="4" w:space="0"/>
            </w:tcBorders>
            <w:vAlign w:val="center"/>
          </w:tcPr>
          <w:p w14:paraId="6743C62B">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投标截止时间 （开标时间）</w:t>
            </w:r>
          </w:p>
        </w:tc>
        <w:tc>
          <w:tcPr>
            <w:tcW w:w="7612" w:type="dxa"/>
            <w:tcBorders>
              <w:top w:val="single" w:color="auto" w:sz="4" w:space="0"/>
              <w:left w:val="single" w:color="auto" w:sz="4" w:space="0"/>
              <w:bottom w:val="single" w:color="auto" w:sz="4" w:space="0"/>
              <w:right w:val="single" w:color="auto" w:sz="4" w:space="0"/>
            </w:tcBorders>
            <w:vAlign w:val="center"/>
          </w:tcPr>
          <w:p w14:paraId="7659E99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截止时间：2025年7 月 24日上午10时30分（北京时间）</w:t>
            </w:r>
          </w:p>
        </w:tc>
      </w:tr>
      <w:tr w14:paraId="46F6AA1D">
        <w:tblPrEx>
          <w:tblCellMar>
            <w:top w:w="0" w:type="dxa"/>
            <w:left w:w="108" w:type="dxa"/>
            <w:bottom w:w="0" w:type="dxa"/>
            <w:right w:w="108" w:type="dxa"/>
          </w:tblCellMar>
        </w:tblPrEx>
        <w:trPr>
          <w:trHeight w:val="478"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2A4292D5">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w:t>
            </w:r>
          </w:p>
        </w:tc>
        <w:tc>
          <w:tcPr>
            <w:tcW w:w="1701" w:type="dxa"/>
            <w:tcBorders>
              <w:top w:val="single" w:color="auto" w:sz="4" w:space="0"/>
              <w:left w:val="single" w:color="auto" w:sz="4" w:space="0"/>
              <w:bottom w:val="single" w:color="auto" w:sz="4" w:space="0"/>
              <w:right w:val="single" w:color="auto" w:sz="4" w:space="0"/>
            </w:tcBorders>
            <w:vAlign w:val="center"/>
          </w:tcPr>
          <w:p w14:paraId="1A5A3C8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投标有效期</w:t>
            </w:r>
          </w:p>
        </w:tc>
        <w:tc>
          <w:tcPr>
            <w:tcW w:w="7612" w:type="dxa"/>
            <w:tcBorders>
              <w:top w:val="single" w:color="auto" w:sz="4" w:space="0"/>
              <w:left w:val="single" w:color="auto" w:sz="4" w:space="0"/>
              <w:bottom w:val="single" w:color="auto" w:sz="4" w:space="0"/>
              <w:right w:val="single" w:color="auto" w:sz="4" w:space="0"/>
            </w:tcBorders>
            <w:vAlign w:val="center"/>
          </w:tcPr>
          <w:p w14:paraId="7205497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60 天</w:t>
            </w:r>
          </w:p>
        </w:tc>
      </w:tr>
      <w:tr w14:paraId="092C578E">
        <w:tblPrEx>
          <w:tblCellMar>
            <w:top w:w="0" w:type="dxa"/>
            <w:left w:w="108" w:type="dxa"/>
            <w:bottom w:w="0" w:type="dxa"/>
            <w:right w:w="108" w:type="dxa"/>
          </w:tblCellMar>
        </w:tblPrEx>
        <w:trPr>
          <w:trHeight w:val="495"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70738E4F">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w:t>
            </w:r>
          </w:p>
        </w:tc>
        <w:tc>
          <w:tcPr>
            <w:tcW w:w="1701" w:type="dxa"/>
            <w:tcBorders>
              <w:top w:val="single" w:color="auto" w:sz="4" w:space="0"/>
              <w:left w:val="single" w:color="auto" w:sz="4" w:space="0"/>
              <w:bottom w:val="single" w:color="auto" w:sz="4" w:space="0"/>
              <w:right w:val="single" w:color="auto" w:sz="4" w:space="0"/>
            </w:tcBorders>
            <w:vAlign w:val="center"/>
          </w:tcPr>
          <w:p w14:paraId="024D0E12">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投标保证金</w:t>
            </w:r>
          </w:p>
        </w:tc>
        <w:tc>
          <w:tcPr>
            <w:tcW w:w="7612" w:type="dxa"/>
            <w:tcBorders>
              <w:top w:val="single" w:color="auto" w:sz="4" w:space="0"/>
              <w:left w:val="single" w:color="auto" w:sz="4" w:space="0"/>
              <w:bottom w:val="single" w:color="auto" w:sz="4" w:space="0"/>
              <w:right w:val="single" w:color="auto" w:sz="4" w:space="0"/>
            </w:tcBorders>
            <w:vAlign w:val="center"/>
          </w:tcPr>
          <w:p w14:paraId="5B807F03">
            <w:pPr>
              <w:numPr>
                <w:ilvl w:val="0"/>
                <w:numId w:val="0"/>
              </w:numPr>
              <w:shd w:val="clear" w:color="auto" w:fill="auto"/>
              <w:spacing w:line="360" w:lineRule="auto"/>
              <w:jc w:val="left"/>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投标保证金交纳方式：</w:t>
            </w:r>
            <w:r>
              <w:rPr>
                <w:rFonts w:hint="eastAsia" w:ascii="仿宋" w:hAnsi="仿宋" w:eastAsia="仿宋" w:cs="仿宋"/>
                <w:color w:val="auto"/>
                <w:highlight w:val="none"/>
                <w:lang w:val="en-US" w:eastAsia="zh-CN"/>
              </w:rPr>
              <w:t>投标保证金应当以支票、汇票、本票、网上银行支付或者金融机构、担保机构出具的保函等非现金形式缴纳。</w:t>
            </w:r>
          </w:p>
          <w:p w14:paraId="483E0231">
            <w:pPr>
              <w:numPr>
                <w:ilvl w:val="0"/>
                <w:numId w:val="0"/>
              </w:numPr>
              <w:shd w:val="clear" w:color="auto" w:fill="auto"/>
              <w:spacing w:line="360" w:lineRule="auto"/>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投标保证金金额：130000元（壹拾叁万元整）</w:t>
            </w:r>
          </w:p>
          <w:p w14:paraId="53A96901">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rPr>
              <w:t>投标保证金交纳要求：</w:t>
            </w:r>
          </w:p>
          <w:p w14:paraId="00CAD0E5">
            <w:pPr>
              <w:spacing w:line="360" w:lineRule="auto"/>
              <w:jc w:val="left"/>
              <w:rPr>
                <w:rFonts w:hint="eastAsia" w:ascii="仿宋" w:hAnsi="仿宋" w:eastAsia="仿宋" w:cs="仿宋"/>
                <w:sz w:val="24"/>
                <w:szCs w:val="24"/>
              </w:rPr>
            </w:pPr>
            <w:r>
              <w:rPr>
                <w:rFonts w:hint="eastAsia" w:ascii="仿宋" w:hAnsi="仿宋" w:eastAsia="仿宋" w:cs="仿宋"/>
                <w:sz w:val="24"/>
                <w:szCs w:val="24"/>
              </w:rPr>
              <w:t>一、投标保证金缴纳要求:</w:t>
            </w:r>
          </w:p>
          <w:p w14:paraId="5DE9D0B5">
            <w:pPr>
              <w:spacing w:line="360" w:lineRule="auto"/>
              <w:jc w:val="left"/>
              <w:rPr>
                <w:rFonts w:hint="eastAsia" w:ascii="仿宋" w:hAnsi="仿宋" w:eastAsia="仿宋" w:cs="仿宋"/>
                <w:b/>
                <w:bCs/>
                <w:sz w:val="24"/>
                <w:szCs w:val="24"/>
              </w:rPr>
            </w:pPr>
            <w:r>
              <w:rPr>
                <w:rFonts w:hint="eastAsia" w:ascii="仿宋" w:hAnsi="仿宋" w:eastAsia="仿宋" w:cs="仿宋"/>
                <w:sz w:val="24"/>
                <w:szCs w:val="24"/>
              </w:rPr>
              <w:t>1、投标保证金以电汇、网银形式提交的，应在投标截止时间前以总公司的基本账户一次性汇入指定账户(以到账时间为准)，不接受现金及任何个人汇款。</w:t>
            </w:r>
            <w:r>
              <w:rPr>
                <w:rFonts w:hint="eastAsia" w:ascii="仿宋" w:hAnsi="仿宋" w:eastAsia="仿宋" w:cs="仿宋"/>
                <w:b/>
                <w:bCs/>
                <w:sz w:val="24"/>
                <w:szCs w:val="24"/>
              </w:rPr>
              <w:t>汇款凭证或保函作为该项目投标保证金的缴纳依据。</w:t>
            </w:r>
          </w:p>
          <w:p w14:paraId="7D2F99B5">
            <w:pPr>
              <w:spacing w:line="360" w:lineRule="auto"/>
              <w:jc w:val="left"/>
              <w:rPr>
                <w:rFonts w:hint="eastAsia" w:ascii="仿宋" w:hAnsi="仿宋" w:eastAsia="仿宋" w:cs="仿宋"/>
                <w:sz w:val="24"/>
                <w:szCs w:val="24"/>
              </w:rPr>
            </w:pPr>
            <w:r>
              <w:rPr>
                <w:rFonts w:hint="eastAsia" w:ascii="仿宋" w:hAnsi="仿宋" w:eastAsia="仿宋" w:cs="仿宋"/>
                <w:sz w:val="24"/>
                <w:szCs w:val="24"/>
              </w:rPr>
              <w:t>2、其他特殊情况处理:有效投标保证金成功交纳后，截止开标时间,供应商无正当理由不参加该项目投标且不递交弃标函，投标保证金不予退还。</w:t>
            </w:r>
          </w:p>
          <w:p w14:paraId="05B18468">
            <w:pPr>
              <w:spacing w:line="360" w:lineRule="auto"/>
              <w:jc w:val="left"/>
              <w:rPr>
                <w:rFonts w:hint="eastAsia" w:ascii="仿宋" w:hAnsi="仿宋" w:eastAsia="仿宋" w:cs="仿宋"/>
                <w:sz w:val="24"/>
                <w:szCs w:val="24"/>
              </w:rPr>
            </w:pPr>
            <w:r>
              <w:rPr>
                <w:rFonts w:hint="eastAsia" w:ascii="仿宋" w:hAnsi="仿宋" w:eastAsia="仿宋" w:cs="仿宋"/>
                <w:sz w:val="24"/>
                <w:szCs w:val="24"/>
              </w:rPr>
              <w:t>户 名:阿克陶县政务服务和公共资源交易中心</w:t>
            </w:r>
          </w:p>
          <w:p w14:paraId="3A2747C6">
            <w:pPr>
              <w:spacing w:line="360" w:lineRule="auto"/>
              <w:jc w:val="left"/>
              <w:rPr>
                <w:rFonts w:hint="eastAsia" w:ascii="仿宋" w:hAnsi="仿宋" w:eastAsia="仿宋" w:cs="仿宋"/>
                <w:sz w:val="24"/>
                <w:szCs w:val="24"/>
              </w:rPr>
            </w:pPr>
            <w:r>
              <w:rPr>
                <w:rFonts w:hint="eastAsia" w:ascii="仿宋" w:hAnsi="仿宋" w:eastAsia="仿宋" w:cs="仿宋"/>
                <w:sz w:val="24"/>
                <w:szCs w:val="24"/>
              </w:rPr>
              <w:t>账号:30465101040026944</w:t>
            </w:r>
          </w:p>
          <w:p w14:paraId="795D0AF4">
            <w:pPr>
              <w:spacing w:line="360" w:lineRule="auto"/>
              <w:jc w:val="left"/>
              <w:rPr>
                <w:rFonts w:hint="eastAsia" w:ascii="仿宋" w:hAnsi="仿宋" w:eastAsia="仿宋" w:cs="仿宋"/>
                <w:sz w:val="24"/>
                <w:szCs w:val="24"/>
              </w:rPr>
            </w:pPr>
            <w:r>
              <w:rPr>
                <w:rFonts w:hint="eastAsia" w:ascii="仿宋" w:hAnsi="仿宋" w:eastAsia="仿宋" w:cs="仿宋"/>
                <w:sz w:val="24"/>
                <w:szCs w:val="24"/>
              </w:rPr>
              <w:t>行 名:中国农业银行阿克陶县支行营业部</w:t>
            </w:r>
          </w:p>
          <w:p w14:paraId="6C8AE6AE">
            <w:pPr>
              <w:spacing w:line="360" w:lineRule="auto"/>
              <w:jc w:val="left"/>
              <w:rPr>
                <w:rFonts w:hint="eastAsia" w:ascii="仿宋" w:hAnsi="仿宋" w:eastAsia="仿宋" w:cs="仿宋"/>
                <w:sz w:val="24"/>
                <w:szCs w:val="24"/>
              </w:rPr>
            </w:pPr>
            <w:r>
              <w:rPr>
                <w:rFonts w:hint="eastAsia" w:ascii="仿宋" w:hAnsi="仿宋" w:eastAsia="仿宋" w:cs="仿宋"/>
                <w:sz w:val="24"/>
                <w:szCs w:val="24"/>
              </w:rPr>
              <w:t>行号:103893246513</w:t>
            </w:r>
          </w:p>
          <w:p w14:paraId="611941AA">
            <w:pPr>
              <w:spacing w:line="360" w:lineRule="auto"/>
              <w:jc w:val="left"/>
              <w:rPr>
                <w:rFonts w:hint="eastAsia" w:ascii="仿宋" w:hAnsi="仿宋" w:eastAsia="仿宋" w:cs="仿宋"/>
                <w:sz w:val="24"/>
                <w:szCs w:val="24"/>
              </w:rPr>
            </w:pPr>
            <w:r>
              <w:rPr>
                <w:rFonts w:hint="eastAsia" w:ascii="仿宋" w:hAnsi="仿宋" w:eastAsia="仿宋" w:cs="仿宋"/>
                <w:sz w:val="24"/>
                <w:szCs w:val="24"/>
              </w:rPr>
              <w:t>联系人:邓先生</w:t>
            </w:r>
          </w:p>
          <w:p w14:paraId="3923D56A">
            <w:pPr>
              <w:spacing w:line="360" w:lineRule="auto"/>
              <w:jc w:val="left"/>
              <w:rPr>
                <w:rFonts w:hint="eastAsia" w:ascii="仿宋" w:hAnsi="仿宋" w:eastAsia="仿宋" w:cs="仿宋"/>
                <w:sz w:val="24"/>
                <w:szCs w:val="24"/>
              </w:rPr>
            </w:pPr>
            <w:r>
              <w:rPr>
                <w:rFonts w:hint="eastAsia" w:ascii="仿宋" w:hAnsi="仿宋" w:eastAsia="仿宋" w:cs="仿宋"/>
                <w:sz w:val="24"/>
                <w:szCs w:val="24"/>
              </w:rPr>
              <w:t>申话:18719937118 0908-5724161</w:t>
            </w:r>
          </w:p>
          <w:p w14:paraId="14830085">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(备注:须写清楚某某公司某某项目保证金)</w:t>
            </w:r>
          </w:p>
          <w:p w14:paraId="6F9944C0">
            <w:pPr>
              <w:spacing w:line="360" w:lineRule="auto"/>
              <w:jc w:val="left"/>
              <w:rPr>
                <w:rFonts w:hint="eastAsia" w:ascii="仿宋" w:hAnsi="仿宋" w:eastAsia="仿宋" w:cs="仿宋"/>
                <w:sz w:val="24"/>
                <w:szCs w:val="24"/>
              </w:rPr>
            </w:pPr>
            <w:r>
              <w:rPr>
                <w:rFonts w:hint="eastAsia" w:ascii="仿宋" w:hAnsi="仿宋" w:eastAsia="仿宋" w:cs="仿宋"/>
                <w:sz w:val="24"/>
                <w:szCs w:val="24"/>
              </w:rPr>
              <w:t>投标企业退投标保证金，需要的资料有:</w:t>
            </w:r>
          </w:p>
          <w:p w14:paraId="691091FB">
            <w:pPr>
              <w:spacing w:line="360" w:lineRule="auto"/>
              <w:jc w:val="left"/>
              <w:rPr>
                <w:rFonts w:hint="eastAsia" w:ascii="仿宋" w:hAnsi="仿宋" w:eastAsia="仿宋" w:cs="仿宋"/>
                <w:sz w:val="24"/>
                <w:szCs w:val="24"/>
              </w:rPr>
            </w:pPr>
            <w:r>
              <w:rPr>
                <w:rFonts w:hint="eastAsia" w:ascii="仿宋" w:hAnsi="仿宋" w:eastAsia="仿宋" w:cs="仿宋"/>
                <w:sz w:val="24"/>
                <w:szCs w:val="24"/>
              </w:rPr>
              <w:t>1.投标公司开户信息(复印件)</w:t>
            </w:r>
          </w:p>
          <w:p w14:paraId="0324815E">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中标企业退投标保证金需持合同(复印件)</w:t>
            </w:r>
          </w:p>
          <w:p w14:paraId="604F373F">
            <w:pPr>
              <w:spacing w:line="360" w:lineRule="auto"/>
              <w:jc w:val="left"/>
              <w:rPr>
                <w:rFonts w:hint="eastAsia" w:ascii="仿宋" w:hAnsi="仿宋" w:eastAsia="仿宋" w:cs="仿宋"/>
                <w:sz w:val="24"/>
                <w:szCs w:val="24"/>
              </w:rPr>
            </w:pPr>
            <w:r>
              <w:rPr>
                <w:rFonts w:hint="eastAsia" w:ascii="仿宋" w:hAnsi="仿宋" w:eastAsia="仿宋" w:cs="仿宋"/>
                <w:sz w:val="24"/>
                <w:szCs w:val="24"/>
              </w:rPr>
              <w:t>注:如投标企业无法到场办理请联系交易中心工作人员。</w:t>
            </w:r>
          </w:p>
          <w:p w14:paraId="0F718FB5">
            <w:pPr>
              <w:spacing w:line="360" w:lineRule="auto"/>
              <w:jc w:val="left"/>
              <w:rPr>
                <w:rFonts w:hint="eastAsia" w:ascii="仿宋" w:hAnsi="仿宋" w:eastAsia="仿宋" w:cs="仿宋"/>
                <w:sz w:val="24"/>
                <w:szCs w:val="24"/>
              </w:rPr>
            </w:pPr>
            <w:r>
              <w:rPr>
                <w:rFonts w:hint="eastAsia" w:ascii="仿宋" w:hAnsi="仿宋" w:eastAsia="仿宋" w:cs="仿宋"/>
                <w:sz w:val="24"/>
                <w:szCs w:val="24"/>
              </w:rPr>
              <w:t>联系人:邓先生</w:t>
            </w:r>
          </w:p>
          <w:p w14:paraId="7DE0E317">
            <w:pPr>
              <w:spacing w:line="400" w:lineRule="exact"/>
              <w:rPr>
                <w:rFonts w:hint="eastAsia" w:ascii="仿宋" w:hAnsi="仿宋" w:eastAsia="仿宋" w:cs="仿宋"/>
                <w:color w:val="auto"/>
                <w:highlight w:val="none"/>
                <w:lang w:val="en-US" w:eastAsia="zh-CN"/>
              </w:rPr>
            </w:pPr>
            <w:r>
              <w:rPr>
                <w:rFonts w:hint="eastAsia" w:ascii="仿宋" w:hAnsi="仿宋" w:eastAsia="仿宋" w:cs="仿宋"/>
                <w:sz w:val="24"/>
                <w:szCs w:val="24"/>
              </w:rPr>
              <w:t xml:space="preserve">电话:18719937118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0908-5724161</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color w:val="auto"/>
                <w:highlight w:val="none"/>
                <w:lang w:val="en-US" w:eastAsia="zh-CN"/>
              </w:rPr>
              <w:t xml:space="preserve">                    </w:t>
            </w:r>
          </w:p>
        </w:tc>
      </w:tr>
      <w:tr w14:paraId="1DCDDDF6">
        <w:tblPrEx>
          <w:tblCellMar>
            <w:top w:w="0" w:type="dxa"/>
            <w:left w:w="108" w:type="dxa"/>
            <w:bottom w:w="0" w:type="dxa"/>
            <w:right w:w="108" w:type="dxa"/>
          </w:tblCellMar>
        </w:tblPrEx>
        <w:trPr>
          <w:trHeight w:val="1406"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78487D3E">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w:t>
            </w:r>
          </w:p>
        </w:tc>
        <w:tc>
          <w:tcPr>
            <w:tcW w:w="1701" w:type="dxa"/>
            <w:tcBorders>
              <w:top w:val="single" w:color="auto" w:sz="4" w:space="0"/>
              <w:left w:val="single" w:color="auto" w:sz="4" w:space="0"/>
              <w:bottom w:val="single" w:color="auto" w:sz="4" w:space="0"/>
              <w:right w:val="single" w:color="auto" w:sz="4" w:space="0"/>
            </w:tcBorders>
            <w:vAlign w:val="center"/>
          </w:tcPr>
          <w:p w14:paraId="7210C21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是否允许递交备选  投标方案</w:t>
            </w:r>
          </w:p>
        </w:tc>
        <w:tc>
          <w:tcPr>
            <w:tcW w:w="7612" w:type="dxa"/>
            <w:tcBorders>
              <w:top w:val="single" w:color="auto" w:sz="4" w:space="0"/>
              <w:left w:val="single" w:color="auto" w:sz="4" w:space="0"/>
              <w:bottom w:val="single" w:color="auto" w:sz="4" w:space="0"/>
              <w:right w:val="single" w:color="auto" w:sz="4" w:space="0"/>
            </w:tcBorders>
            <w:vAlign w:val="center"/>
          </w:tcPr>
          <w:p w14:paraId="1410AC2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■不允许</w:t>
            </w:r>
          </w:p>
          <w:p w14:paraId="203837C7">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sym w:font="Wingdings 2" w:char="00A3"/>
            </w:r>
            <w:r>
              <w:rPr>
                <w:rFonts w:hint="eastAsia" w:ascii="仿宋" w:hAnsi="仿宋" w:eastAsia="仿宋" w:cs="仿宋"/>
                <w:color w:val="auto"/>
                <w:highlight w:val="none"/>
                <w:lang w:val="en-US" w:eastAsia="zh-CN"/>
              </w:rPr>
              <w:t>允  许</w:t>
            </w:r>
          </w:p>
        </w:tc>
      </w:tr>
      <w:tr w14:paraId="45B3DF3E">
        <w:tblPrEx>
          <w:tblCellMar>
            <w:top w:w="0" w:type="dxa"/>
            <w:left w:w="108" w:type="dxa"/>
            <w:bottom w:w="0" w:type="dxa"/>
            <w:right w:w="108" w:type="dxa"/>
          </w:tblCellMar>
        </w:tblPrEx>
        <w:trPr>
          <w:trHeight w:val="67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18946308">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w:t>
            </w:r>
          </w:p>
        </w:tc>
        <w:tc>
          <w:tcPr>
            <w:tcW w:w="1701" w:type="dxa"/>
            <w:tcBorders>
              <w:top w:val="single" w:color="auto" w:sz="4" w:space="0"/>
              <w:left w:val="single" w:color="auto" w:sz="4" w:space="0"/>
              <w:bottom w:val="single" w:color="auto" w:sz="4" w:space="0"/>
              <w:right w:val="single" w:color="auto" w:sz="4" w:space="0"/>
            </w:tcBorders>
            <w:vAlign w:val="center"/>
          </w:tcPr>
          <w:p w14:paraId="4AEA1DBB">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招标文件领取</w:t>
            </w:r>
          </w:p>
        </w:tc>
        <w:tc>
          <w:tcPr>
            <w:tcW w:w="7612" w:type="dxa"/>
            <w:tcBorders>
              <w:top w:val="single" w:color="auto" w:sz="4" w:space="0"/>
              <w:left w:val="single" w:color="auto" w:sz="4" w:space="0"/>
              <w:bottom w:val="single" w:color="auto" w:sz="4" w:space="0"/>
              <w:right w:val="single" w:color="auto" w:sz="4" w:space="0"/>
            </w:tcBorders>
            <w:vAlign w:val="center"/>
          </w:tcPr>
          <w:p w14:paraId="6F134E5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时间：2025年7 月4日至2025年7 月11 日，每天上午10:00至14:00，下午16:00至20：00（北京时间，节假日除外）</w:t>
            </w:r>
          </w:p>
          <w:p w14:paraId="3832CD0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地点：政采云平台线上</w:t>
            </w:r>
          </w:p>
          <w:p w14:paraId="0498718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方式：供应商登录政采云平台https://www.zcygov.cn/在线申请获取采购文件（进入“项目采购”应用，在获取采购文件菜单中选择项目，申请获取采购文件）</w:t>
            </w:r>
          </w:p>
        </w:tc>
      </w:tr>
      <w:tr w14:paraId="7A9925D8">
        <w:tblPrEx>
          <w:tblCellMar>
            <w:top w:w="0" w:type="dxa"/>
            <w:left w:w="108" w:type="dxa"/>
            <w:bottom w:w="0" w:type="dxa"/>
            <w:right w:w="108" w:type="dxa"/>
          </w:tblCellMar>
        </w:tblPrEx>
        <w:trPr>
          <w:trHeight w:val="846"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5E2C2FB7">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w:t>
            </w:r>
          </w:p>
        </w:tc>
        <w:tc>
          <w:tcPr>
            <w:tcW w:w="1701" w:type="dxa"/>
            <w:tcBorders>
              <w:top w:val="single" w:color="auto" w:sz="4" w:space="0"/>
              <w:left w:val="single" w:color="auto" w:sz="4" w:space="0"/>
              <w:bottom w:val="single" w:color="auto" w:sz="4" w:space="0"/>
              <w:right w:val="single" w:color="auto" w:sz="4" w:space="0"/>
            </w:tcBorders>
            <w:vAlign w:val="center"/>
          </w:tcPr>
          <w:p w14:paraId="571DF050">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投标文件形式</w:t>
            </w:r>
          </w:p>
        </w:tc>
        <w:tc>
          <w:tcPr>
            <w:tcW w:w="7612" w:type="dxa"/>
            <w:tcBorders>
              <w:top w:val="single" w:color="auto" w:sz="4" w:space="0"/>
              <w:left w:val="single" w:color="auto" w:sz="4" w:space="0"/>
              <w:bottom w:val="single" w:color="auto" w:sz="4" w:space="0"/>
              <w:right w:val="single" w:color="auto" w:sz="4" w:space="0"/>
            </w:tcBorders>
            <w:vAlign w:val="center"/>
          </w:tcPr>
          <w:p w14:paraId="345DD98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电子投标文件包括“电子加密投标文件”和“备份投标文件”，在投标文件编制完成后同时生成。</w:t>
            </w:r>
          </w:p>
          <w:p w14:paraId="2F9FB35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1、“电子加密投标文件”是指通过“政采云电子交易客户端”完成投标文件编制后生成并加密的数据电文形式的投标文件。</w:t>
            </w:r>
          </w:p>
          <w:p w14:paraId="0880162B">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35BD9912">
        <w:tblPrEx>
          <w:tblCellMar>
            <w:top w:w="0" w:type="dxa"/>
            <w:left w:w="108" w:type="dxa"/>
            <w:bottom w:w="0" w:type="dxa"/>
            <w:right w:w="108" w:type="dxa"/>
          </w:tblCellMar>
        </w:tblPrEx>
        <w:trPr>
          <w:trHeight w:val="731"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6A35D3DB">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17</w:t>
            </w:r>
          </w:p>
        </w:tc>
        <w:tc>
          <w:tcPr>
            <w:tcW w:w="1701" w:type="dxa"/>
            <w:tcBorders>
              <w:top w:val="single" w:color="auto" w:sz="4" w:space="0"/>
              <w:left w:val="single" w:color="auto" w:sz="4" w:space="0"/>
              <w:bottom w:val="single" w:color="auto" w:sz="4" w:space="0"/>
              <w:right w:val="single" w:color="auto" w:sz="4" w:space="0"/>
            </w:tcBorders>
            <w:vAlign w:val="center"/>
          </w:tcPr>
          <w:p w14:paraId="6BD2D33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投标文件要求</w:t>
            </w:r>
          </w:p>
        </w:tc>
        <w:tc>
          <w:tcPr>
            <w:tcW w:w="7612" w:type="dxa"/>
            <w:tcBorders>
              <w:top w:val="single" w:color="auto" w:sz="4" w:space="0"/>
              <w:left w:val="single" w:color="auto" w:sz="4" w:space="0"/>
              <w:bottom w:val="single" w:color="auto" w:sz="4" w:space="0"/>
              <w:right w:val="single" w:color="auto" w:sz="4" w:space="0"/>
            </w:tcBorders>
            <w:vAlign w:val="center"/>
          </w:tcPr>
          <w:p w14:paraId="1B58AF0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1、一份电子加密标书（“.jmbs”格式），一份备份标书文件（“.bfbs”格式）。</w:t>
            </w:r>
          </w:p>
          <w:p w14:paraId="17FE51EA">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2、每份电子投标文件应包括资格证明文件和商务及技术文件两部分。</w:t>
            </w:r>
          </w:p>
        </w:tc>
      </w:tr>
      <w:tr w14:paraId="04BEC343">
        <w:tblPrEx>
          <w:tblCellMar>
            <w:top w:w="0" w:type="dxa"/>
            <w:left w:w="108" w:type="dxa"/>
            <w:bottom w:w="0" w:type="dxa"/>
            <w:right w:w="108" w:type="dxa"/>
          </w:tblCellMar>
        </w:tblPrEx>
        <w:trPr>
          <w:trHeight w:val="90" w:hRule="atLeast"/>
          <w:jc w:val="center"/>
        </w:trPr>
        <w:tc>
          <w:tcPr>
            <w:tcW w:w="579" w:type="dxa"/>
            <w:vMerge w:val="restart"/>
            <w:tcBorders>
              <w:top w:val="single" w:color="auto" w:sz="4" w:space="0"/>
              <w:left w:val="single" w:color="auto" w:sz="4" w:space="0"/>
              <w:right w:val="single" w:color="auto" w:sz="4" w:space="0"/>
            </w:tcBorders>
            <w:vAlign w:val="center"/>
          </w:tcPr>
          <w:p w14:paraId="0EFF4FD0">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18</w:t>
            </w:r>
          </w:p>
        </w:tc>
        <w:tc>
          <w:tcPr>
            <w:tcW w:w="1701" w:type="dxa"/>
            <w:vMerge w:val="restart"/>
            <w:tcBorders>
              <w:top w:val="single" w:color="auto" w:sz="4" w:space="0"/>
              <w:left w:val="single" w:color="auto" w:sz="4" w:space="0"/>
              <w:right w:val="single" w:color="auto" w:sz="4" w:space="0"/>
            </w:tcBorders>
            <w:vAlign w:val="center"/>
          </w:tcPr>
          <w:p w14:paraId="532146B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投标文件的上传和递交</w:t>
            </w:r>
          </w:p>
        </w:tc>
        <w:tc>
          <w:tcPr>
            <w:tcW w:w="7612" w:type="dxa"/>
            <w:tcBorders>
              <w:top w:val="single" w:color="auto" w:sz="4" w:space="0"/>
              <w:left w:val="single" w:color="auto" w:sz="4" w:space="0"/>
              <w:bottom w:val="single" w:color="auto" w:sz="4" w:space="0"/>
              <w:right w:val="single" w:color="auto" w:sz="4" w:space="0"/>
            </w:tcBorders>
            <w:vAlign w:val="center"/>
          </w:tcPr>
          <w:p w14:paraId="50744F3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7569108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a.供应商未能在投标截止时间前成功上传电子加密投标文件的投标无效。</w:t>
            </w:r>
          </w:p>
          <w:p w14:paraId="2EA73F0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b.供应商成功上传电子加密投标文件后，可自行打印投标文件接收回执。</w:t>
            </w:r>
          </w:p>
        </w:tc>
      </w:tr>
      <w:tr w14:paraId="53BA6D76">
        <w:tblPrEx>
          <w:tblCellMar>
            <w:top w:w="0" w:type="dxa"/>
            <w:left w:w="108" w:type="dxa"/>
            <w:bottom w:w="0" w:type="dxa"/>
            <w:right w:w="108" w:type="dxa"/>
          </w:tblCellMar>
        </w:tblPrEx>
        <w:trPr>
          <w:trHeight w:val="731" w:hRule="atLeast"/>
          <w:jc w:val="center"/>
        </w:trPr>
        <w:tc>
          <w:tcPr>
            <w:tcW w:w="579" w:type="dxa"/>
            <w:vMerge w:val="continue"/>
            <w:tcBorders>
              <w:left w:val="single" w:color="auto" w:sz="4" w:space="0"/>
              <w:bottom w:val="single" w:color="auto" w:sz="4" w:space="0"/>
              <w:right w:val="single" w:color="auto" w:sz="4" w:space="0"/>
            </w:tcBorders>
            <w:vAlign w:val="center"/>
          </w:tcPr>
          <w:p w14:paraId="65459039">
            <w:pPr>
              <w:spacing w:line="400" w:lineRule="exact"/>
              <w:rPr>
                <w:rFonts w:hint="eastAsia" w:ascii="仿宋" w:hAnsi="仿宋" w:eastAsia="仿宋" w:cs="仿宋"/>
                <w:color w:val="auto"/>
                <w:highlight w:val="none"/>
                <w:lang w:val="en-US" w:eastAsia="zh-CN"/>
              </w:rPr>
            </w:pPr>
          </w:p>
        </w:tc>
        <w:tc>
          <w:tcPr>
            <w:tcW w:w="1701" w:type="dxa"/>
            <w:vMerge w:val="continue"/>
            <w:tcBorders>
              <w:left w:val="single" w:color="auto" w:sz="4" w:space="0"/>
              <w:bottom w:val="single" w:color="auto" w:sz="4" w:space="0"/>
              <w:right w:val="single" w:color="auto" w:sz="4" w:space="0"/>
            </w:tcBorders>
            <w:vAlign w:val="center"/>
          </w:tcPr>
          <w:p w14:paraId="3617B8B2">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5ECFA6D7">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备份投标文件：供应商在投标截止时间前将加密的投标文件上传至政府采购云平台，还可以在投标截止时间前以电子邮件方式提供备份投标文件1份（接收人邮箱：3265613387@qq.com，接收人：朱先生，电话：18609088999），“备份投标文件”由供应商自愿提供，招标文件 不作强制性要求；如不提供或未按要求提供的，当电子投标文件无法解密时，将导致无备份投标文件而失去投标资格。</w:t>
            </w:r>
          </w:p>
          <w:p w14:paraId="15E2A41C">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5C45595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5DA6AD77">
        <w:tblPrEx>
          <w:tblCellMar>
            <w:top w:w="0" w:type="dxa"/>
            <w:left w:w="108" w:type="dxa"/>
            <w:bottom w:w="0" w:type="dxa"/>
            <w:right w:w="108" w:type="dxa"/>
          </w:tblCellMar>
        </w:tblPrEx>
        <w:trPr>
          <w:trHeight w:val="823"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4E4131FE">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19</w:t>
            </w:r>
          </w:p>
        </w:tc>
        <w:tc>
          <w:tcPr>
            <w:tcW w:w="1701" w:type="dxa"/>
            <w:tcBorders>
              <w:top w:val="single" w:color="auto" w:sz="4" w:space="0"/>
              <w:left w:val="single" w:color="auto" w:sz="4" w:space="0"/>
              <w:bottom w:val="single" w:color="auto" w:sz="4" w:space="0"/>
              <w:right w:val="single" w:color="auto" w:sz="4" w:space="0"/>
            </w:tcBorders>
            <w:vAlign w:val="center"/>
          </w:tcPr>
          <w:p w14:paraId="5260FA00">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评标委员会的组建</w:t>
            </w:r>
          </w:p>
        </w:tc>
        <w:tc>
          <w:tcPr>
            <w:tcW w:w="7612" w:type="dxa"/>
            <w:tcBorders>
              <w:top w:val="single" w:color="auto" w:sz="4" w:space="0"/>
              <w:left w:val="single" w:color="auto" w:sz="4" w:space="0"/>
              <w:bottom w:val="single" w:color="auto" w:sz="4" w:space="0"/>
              <w:right w:val="single" w:color="auto" w:sz="4" w:space="0"/>
            </w:tcBorders>
            <w:vAlign w:val="center"/>
          </w:tcPr>
          <w:p w14:paraId="2A7A5E87">
            <w:pPr>
              <w:spacing w:line="400" w:lineRule="exact"/>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评标委员会由招标人依法组建；评审专家共</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val="zh-CN" w:eastAsia="zh-CN"/>
              </w:rPr>
              <w:t>人。评标专家确定方式：评标委员会由招标人在开标前从政采云专家库中随机抽取</w:t>
            </w:r>
          </w:p>
        </w:tc>
      </w:tr>
      <w:tr w14:paraId="02C658E8">
        <w:tblPrEx>
          <w:tblCellMar>
            <w:top w:w="0" w:type="dxa"/>
            <w:left w:w="108" w:type="dxa"/>
            <w:bottom w:w="0" w:type="dxa"/>
            <w:right w:w="108" w:type="dxa"/>
          </w:tblCellMar>
        </w:tblPrEx>
        <w:trPr>
          <w:trHeight w:val="9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1B8C1771">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w:t>
            </w:r>
          </w:p>
        </w:tc>
        <w:tc>
          <w:tcPr>
            <w:tcW w:w="1701" w:type="dxa"/>
            <w:tcBorders>
              <w:top w:val="single" w:color="auto" w:sz="4" w:space="0"/>
              <w:left w:val="single" w:color="auto" w:sz="4" w:space="0"/>
              <w:bottom w:val="single" w:color="auto" w:sz="4" w:space="0"/>
              <w:right w:val="single" w:color="auto" w:sz="4" w:space="0"/>
            </w:tcBorders>
            <w:vAlign w:val="center"/>
          </w:tcPr>
          <w:p w14:paraId="2CD52CDC">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是否授权评标委员会确定中标候选人</w:t>
            </w:r>
          </w:p>
        </w:tc>
        <w:tc>
          <w:tcPr>
            <w:tcW w:w="7612" w:type="dxa"/>
            <w:tcBorders>
              <w:top w:val="single" w:color="auto" w:sz="4" w:space="0"/>
              <w:left w:val="single" w:color="auto" w:sz="4" w:space="0"/>
              <w:bottom w:val="single" w:color="auto" w:sz="4" w:space="0"/>
              <w:right w:val="single" w:color="auto" w:sz="4" w:space="0"/>
            </w:tcBorders>
            <w:vAlign w:val="center"/>
          </w:tcPr>
          <w:p w14:paraId="52C1B137">
            <w:pPr>
              <w:spacing w:line="400" w:lineRule="exact"/>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是</w:t>
            </w:r>
          </w:p>
        </w:tc>
      </w:tr>
      <w:tr w14:paraId="2DB6FD05">
        <w:tblPrEx>
          <w:tblCellMar>
            <w:top w:w="0" w:type="dxa"/>
            <w:left w:w="108" w:type="dxa"/>
            <w:bottom w:w="0" w:type="dxa"/>
            <w:right w:w="108" w:type="dxa"/>
          </w:tblCellMar>
        </w:tblPrEx>
        <w:trPr>
          <w:trHeight w:val="866"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3ADF31B2">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w:t>
            </w:r>
          </w:p>
        </w:tc>
        <w:tc>
          <w:tcPr>
            <w:tcW w:w="1701" w:type="dxa"/>
            <w:tcBorders>
              <w:top w:val="single" w:color="auto" w:sz="4" w:space="0"/>
              <w:left w:val="single" w:color="auto" w:sz="4" w:space="0"/>
              <w:bottom w:val="single" w:color="auto" w:sz="4" w:space="0"/>
              <w:right w:val="single" w:color="auto" w:sz="4" w:space="0"/>
            </w:tcBorders>
            <w:vAlign w:val="center"/>
          </w:tcPr>
          <w:p w14:paraId="31F8FA27">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递交投标文件地点</w:t>
            </w:r>
          </w:p>
        </w:tc>
        <w:tc>
          <w:tcPr>
            <w:tcW w:w="7612" w:type="dxa"/>
            <w:tcBorders>
              <w:top w:val="single" w:color="auto" w:sz="4" w:space="0"/>
              <w:left w:val="single" w:color="auto" w:sz="4" w:space="0"/>
              <w:bottom w:val="single" w:color="auto" w:sz="4" w:space="0"/>
              <w:right w:val="single" w:color="auto" w:sz="4" w:space="0"/>
            </w:tcBorders>
            <w:vAlign w:val="center"/>
          </w:tcPr>
          <w:p w14:paraId="03A58B9C">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投标截止时间：2025年7 月24日上午10时30分（北京时间）</w:t>
            </w:r>
          </w:p>
          <w:p w14:paraId="0E9006B2">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投标地点：新疆政府采购云平台（www.zcygov.cn）</w:t>
            </w:r>
          </w:p>
        </w:tc>
      </w:tr>
      <w:tr w14:paraId="786FF8F8">
        <w:tblPrEx>
          <w:tblCellMar>
            <w:top w:w="0" w:type="dxa"/>
            <w:left w:w="108" w:type="dxa"/>
            <w:bottom w:w="0" w:type="dxa"/>
            <w:right w:w="108" w:type="dxa"/>
          </w:tblCellMar>
        </w:tblPrEx>
        <w:trPr>
          <w:trHeight w:val="866" w:hRule="atLeast"/>
          <w:jc w:val="center"/>
        </w:trPr>
        <w:tc>
          <w:tcPr>
            <w:tcW w:w="579" w:type="dxa"/>
            <w:tcBorders>
              <w:top w:val="single" w:color="auto" w:sz="4" w:space="0"/>
              <w:left w:val="single" w:color="auto" w:sz="4" w:space="0"/>
              <w:right w:val="single" w:color="auto" w:sz="4" w:space="0"/>
            </w:tcBorders>
            <w:vAlign w:val="center"/>
          </w:tcPr>
          <w:p w14:paraId="10347E48">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22</w:t>
            </w:r>
          </w:p>
        </w:tc>
        <w:tc>
          <w:tcPr>
            <w:tcW w:w="1701" w:type="dxa"/>
            <w:tcBorders>
              <w:top w:val="single" w:color="auto" w:sz="4" w:space="0"/>
              <w:left w:val="single" w:color="auto" w:sz="4" w:space="0"/>
              <w:right w:val="single" w:color="auto" w:sz="4" w:space="0"/>
            </w:tcBorders>
            <w:vAlign w:val="center"/>
          </w:tcPr>
          <w:p w14:paraId="1DEC994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开标时间和地点</w:t>
            </w:r>
          </w:p>
        </w:tc>
        <w:tc>
          <w:tcPr>
            <w:tcW w:w="7612" w:type="dxa"/>
            <w:tcBorders>
              <w:top w:val="single" w:color="auto" w:sz="4" w:space="0"/>
              <w:left w:val="single" w:color="auto" w:sz="4" w:space="0"/>
              <w:right w:val="single" w:color="auto" w:sz="4" w:space="0"/>
            </w:tcBorders>
            <w:vAlign w:val="center"/>
          </w:tcPr>
          <w:p w14:paraId="67623517">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开标时间：2025年 7月24 日上午10时30分（北京时间）</w:t>
            </w:r>
          </w:p>
          <w:p w14:paraId="035E66F4">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开标地点：新疆政府采购云平台（www.zcygov.cn）         </w:t>
            </w:r>
          </w:p>
        </w:tc>
      </w:tr>
      <w:tr w14:paraId="4D07E739">
        <w:tblPrEx>
          <w:tblCellMar>
            <w:top w:w="0" w:type="dxa"/>
            <w:left w:w="108" w:type="dxa"/>
            <w:bottom w:w="0" w:type="dxa"/>
            <w:right w:w="108" w:type="dxa"/>
          </w:tblCellMar>
        </w:tblPrEx>
        <w:trPr>
          <w:trHeight w:val="710" w:hRule="atLeast"/>
          <w:jc w:val="center"/>
        </w:trPr>
        <w:tc>
          <w:tcPr>
            <w:tcW w:w="579" w:type="dxa"/>
            <w:vMerge w:val="restart"/>
            <w:tcBorders>
              <w:top w:val="single" w:color="auto" w:sz="4" w:space="0"/>
              <w:left w:val="single" w:color="auto" w:sz="4" w:space="0"/>
              <w:right w:val="single" w:color="auto" w:sz="4" w:space="0"/>
            </w:tcBorders>
            <w:vAlign w:val="center"/>
          </w:tcPr>
          <w:p w14:paraId="411607E3">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23</w:t>
            </w:r>
          </w:p>
        </w:tc>
        <w:tc>
          <w:tcPr>
            <w:tcW w:w="1701" w:type="dxa"/>
            <w:vMerge w:val="restart"/>
            <w:tcBorders>
              <w:top w:val="single" w:color="auto" w:sz="4" w:space="0"/>
              <w:left w:val="single" w:color="auto" w:sz="4" w:space="0"/>
              <w:right w:val="single" w:color="auto" w:sz="4" w:space="0"/>
            </w:tcBorders>
            <w:vAlign w:val="center"/>
          </w:tcPr>
          <w:p w14:paraId="32C09AB0">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重要说明</w:t>
            </w:r>
          </w:p>
        </w:tc>
        <w:tc>
          <w:tcPr>
            <w:tcW w:w="7612" w:type="dxa"/>
            <w:tcBorders>
              <w:top w:val="single" w:color="auto" w:sz="4" w:space="0"/>
              <w:left w:val="single" w:color="auto" w:sz="4" w:space="0"/>
              <w:right w:val="single" w:color="auto" w:sz="4" w:space="0"/>
            </w:tcBorders>
            <w:vAlign w:val="center"/>
          </w:tcPr>
          <w:p w14:paraId="01D66AA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1.本项目采用全流程不见面电子开评标，投标供应商需要使用CA加密设备，供应商可通过新疆数字证书认证中心官网（https://www.xjca.com.cn/）或下载“新疆政务通”APP自行进行申领。</w:t>
            </w:r>
          </w:p>
          <w:p w14:paraId="70A9B6B2">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2.本项目实行网上投标，采用加密电子投标文件(供应商须使用CA加密设备通过政采云电子投标客户端制作投标文件)。若供应商参与投标，自行承担投标一切费用。</w:t>
            </w:r>
          </w:p>
          <w:p w14:paraId="7367C684">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63EE2D4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5E131C9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5.供应商在开标时须使用制作加密电子投标文件所使用的CA锁及电脑，电脑须提前配置好浏览器（建议使用谷歌浏览器），以便开标时解锁。</w:t>
            </w:r>
          </w:p>
          <w:p w14:paraId="03B44294">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color w:val="auto"/>
                <w:highlight w:val="none"/>
                <w:lang w:val="en-US" w:eastAsia="zh-CN"/>
              </w:rPr>
              <w:fldChar w:fldCharType="begin"/>
            </w:r>
            <w:r>
              <w:rPr>
                <w:rFonts w:hint="eastAsia" w:ascii="仿宋" w:hAnsi="仿宋" w:eastAsia="仿宋" w:cs="仿宋"/>
                <w:color w:val="auto"/>
                <w:highlight w:val="none"/>
                <w:lang w:val="en-US" w:eastAsia="zh-CN"/>
              </w:rPr>
              <w:instrText xml:space="preserve"> HYPERLINK "https://service.zcygov.cn/#/help，\“项目采购\”—\“操作流程-电子招投标\”—\“政府采购项目电子交易管理操作指南-供应商\”版面获取操作指南。" </w:instrText>
            </w:r>
            <w:r>
              <w:rPr>
                <w:rFonts w:hint="eastAsia" w:ascii="仿宋" w:hAnsi="仿宋" w:eastAsia="仿宋" w:cs="仿宋"/>
                <w:color w:val="auto"/>
                <w:highlight w:val="none"/>
                <w:lang w:val="en-US" w:eastAsia="zh-CN"/>
              </w:rPr>
              <w:fldChar w:fldCharType="separate"/>
            </w:r>
            <w:r>
              <w:rPr>
                <w:rFonts w:hint="eastAsia" w:ascii="仿宋" w:hAnsi="仿宋" w:eastAsia="仿宋" w:cs="仿宋"/>
                <w:color w:val="auto"/>
                <w:highlight w:val="none"/>
                <w:lang w:val="en-US" w:eastAsia="zh-CN"/>
              </w:rPr>
              <w:t>https://service.zcygov.cn/#/help，“项目采购”—“操作流程-电子招投标”—“政府采购项目电子交易管理操作指南-供应商”版面获取操作指南。</w:t>
            </w:r>
            <w:r>
              <w:rPr>
                <w:rFonts w:hint="eastAsia" w:ascii="仿宋" w:hAnsi="仿宋" w:eastAsia="仿宋" w:cs="仿宋"/>
                <w:color w:val="auto"/>
                <w:highlight w:val="none"/>
                <w:lang w:val="en-US" w:eastAsia="zh-CN"/>
              </w:rPr>
              <w:fldChar w:fldCharType="end"/>
            </w:r>
          </w:p>
          <w:p w14:paraId="674ECD28">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7.为了保证开评标顺利进行，政采云线上开标功能完全实现，供应商开标所使用的电脑设备须具有视频及语音功能。</w:t>
            </w:r>
          </w:p>
        </w:tc>
      </w:tr>
      <w:tr w14:paraId="601C60CC">
        <w:tblPrEx>
          <w:tblCellMar>
            <w:top w:w="0" w:type="dxa"/>
            <w:left w:w="108" w:type="dxa"/>
            <w:bottom w:w="0" w:type="dxa"/>
            <w:right w:w="108" w:type="dxa"/>
          </w:tblCellMar>
        </w:tblPrEx>
        <w:trPr>
          <w:trHeight w:val="440" w:hRule="atLeast"/>
          <w:jc w:val="center"/>
        </w:trPr>
        <w:tc>
          <w:tcPr>
            <w:tcW w:w="579" w:type="dxa"/>
            <w:vMerge w:val="continue"/>
            <w:tcBorders>
              <w:left w:val="single" w:color="auto" w:sz="4" w:space="0"/>
              <w:bottom w:val="single" w:color="auto" w:sz="4" w:space="0"/>
              <w:right w:val="single" w:color="auto" w:sz="4" w:space="0"/>
            </w:tcBorders>
            <w:vAlign w:val="center"/>
          </w:tcPr>
          <w:p w14:paraId="3209E655">
            <w:pPr>
              <w:spacing w:line="400" w:lineRule="exact"/>
              <w:rPr>
                <w:rFonts w:hint="eastAsia" w:ascii="仿宋" w:hAnsi="仿宋" w:eastAsia="仿宋" w:cs="仿宋"/>
                <w:color w:val="auto"/>
                <w:highlight w:val="none"/>
                <w:lang w:val="en-US" w:eastAsia="zh-CN"/>
              </w:rPr>
            </w:pPr>
          </w:p>
        </w:tc>
        <w:tc>
          <w:tcPr>
            <w:tcW w:w="1701" w:type="dxa"/>
            <w:vMerge w:val="continue"/>
            <w:tcBorders>
              <w:left w:val="single" w:color="auto" w:sz="4" w:space="0"/>
              <w:bottom w:val="single" w:color="auto" w:sz="4" w:space="0"/>
              <w:right w:val="single" w:color="auto" w:sz="4" w:space="0"/>
            </w:tcBorders>
            <w:vAlign w:val="center"/>
          </w:tcPr>
          <w:p w14:paraId="3EF26CCB">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1F67A89A">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1、电子招投标情况说明：</w:t>
            </w:r>
          </w:p>
          <w:p w14:paraId="12DEAA5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（1）电子招投标：本项目以数据电文形式，依托“政府采购云平台（www.zcygov.cn）”进行招投标活动。</w:t>
            </w:r>
          </w:p>
          <w:p w14:paraId="329BECDA">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3E7086EE">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（3）招标文件的获取：使用账号登录或者短信验证码或者使用CA登录政采云平台；进入“项目采购”应用，在获取招标文件 菜单中选择项目，获取招标文件 。</w:t>
            </w:r>
          </w:p>
          <w:p w14:paraId="53FBE679">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（4）投标文件的制作：在“政采云电子交易客户端”中完成“填写基本信息”、“导入投标文件”、“标书关联”、“标书检查”、“电子签名”、“生成电子标书”等操作。</w:t>
            </w:r>
          </w:p>
          <w:p w14:paraId="098FCB8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投标文件的传输递交：供应商在投标截止时间前将加密的投标文件上传至政府采购云平台，还可以在投标截止时间前以电子邮件方式提供备份投标文件1份（接收人邮箱：3265613387@qq.com，接收人：朱先生，电话：18609088999），备份投标文件可以打包压缩并加密，压缩包命名为“XX单位备份投标文件”，加密密码由供应商自行保管（“备份投标文件”由供应商自愿提供，招标文件不作强制性要求；如不提供或未按要求提供的，当电子投标文件无法解密时，将导致无备份投标文件而失去投标资格）。</w:t>
            </w:r>
          </w:p>
          <w:p w14:paraId="1C32A50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68D3540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（7）具体操作指南：详见政采云平台“服务中心-帮助文档-项目采购-操作流程-电子招投标-政府采购项目电子交易管理操作指南-供应商”。</w:t>
            </w:r>
          </w:p>
          <w:p w14:paraId="745DC44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（8）供应商在进行上述操作时，如遇技术问题可登录政采云（https://</w:t>
            </w:r>
            <w:r>
              <w:rPr>
                <w:rFonts w:hint="eastAsia" w:ascii="仿宋" w:hAnsi="仿宋" w:eastAsia="仿宋" w:cs="仿宋"/>
                <w:color w:val="auto"/>
                <w:highlight w:val="none"/>
                <w:lang w:val="en-US" w:eastAsia="zh-CN"/>
              </w:rPr>
              <w:fldChar w:fldCharType="begin"/>
            </w:r>
            <w:r>
              <w:rPr>
                <w:rFonts w:hint="eastAsia" w:ascii="仿宋" w:hAnsi="仿宋" w:eastAsia="仿宋" w:cs="仿宋"/>
                <w:color w:val="auto"/>
                <w:highlight w:val="none"/>
                <w:lang w:val="en-US" w:eastAsia="zh-CN"/>
              </w:rPr>
              <w:instrText xml:space="preserve"> HYPERLINK "http://www.zcygov.cn/" \h </w:instrText>
            </w:r>
            <w:r>
              <w:rPr>
                <w:rFonts w:hint="eastAsia" w:ascii="仿宋" w:hAnsi="仿宋" w:eastAsia="仿宋" w:cs="仿宋"/>
                <w:color w:val="auto"/>
                <w:highlight w:val="none"/>
                <w:lang w:val="en-US" w:eastAsia="zh-CN"/>
              </w:rPr>
              <w:fldChar w:fldCharType="separate"/>
            </w:r>
            <w:r>
              <w:rPr>
                <w:rFonts w:hint="eastAsia" w:ascii="仿宋" w:hAnsi="仿宋" w:eastAsia="仿宋" w:cs="仿宋"/>
                <w:color w:val="auto"/>
                <w:highlight w:val="none"/>
                <w:lang w:val="en-US" w:eastAsia="zh-CN"/>
              </w:rPr>
              <w:t>www.zcygov.cn/</w:t>
            </w:r>
            <w:r>
              <w:rPr>
                <w:rFonts w:hint="eastAsia" w:ascii="仿宋" w:hAnsi="仿宋" w:eastAsia="仿宋" w:cs="仿宋"/>
                <w:color w:val="auto"/>
                <w:highlight w:val="none"/>
                <w:lang w:val="en-US" w:eastAsia="zh-CN"/>
              </w:rPr>
              <w:fldChar w:fldCharType="end"/>
            </w:r>
            <w:r>
              <w:rPr>
                <w:rFonts w:hint="eastAsia" w:ascii="仿宋" w:hAnsi="仿宋" w:eastAsia="仿宋" w:cs="仿宋"/>
                <w:color w:val="auto"/>
                <w:highlight w:val="none"/>
                <w:lang w:val="en-US" w:eastAsia="zh-CN"/>
              </w:rPr>
              <w:t>），点击右侧咨询小采，获取采小蜜智能服务管家帮助，或拨打政采云服务热线 95763 获取热线服务帮助。</w:t>
            </w:r>
          </w:p>
          <w:p w14:paraId="2FD8C3B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温馨提醒：供应商应提前上传，以便在上传时遇到技术问题，有充足的时间请教平台的技术人员。</w:t>
            </w:r>
          </w:p>
          <w:p w14:paraId="1E61F5A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供应商认为招标文件使自己的权益受到损害的，可以自收到招标文件之日（招标文件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 或逾期提出的不予受理、答复。</w:t>
            </w:r>
          </w:p>
        </w:tc>
      </w:tr>
      <w:tr w14:paraId="08CEAFEB">
        <w:tblPrEx>
          <w:tblCellMar>
            <w:top w:w="0" w:type="dxa"/>
            <w:left w:w="108" w:type="dxa"/>
            <w:bottom w:w="0" w:type="dxa"/>
            <w:right w:w="108" w:type="dxa"/>
          </w:tblCellMar>
        </w:tblPrEx>
        <w:trPr>
          <w:trHeight w:val="915"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7C4C714B">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24</w:t>
            </w:r>
          </w:p>
        </w:tc>
        <w:tc>
          <w:tcPr>
            <w:tcW w:w="1701" w:type="dxa"/>
            <w:tcBorders>
              <w:top w:val="single" w:color="auto" w:sz="4" w:space="0"/>
              <w:left w:val="single" w:color="auto" w:sz="4" w:space="0"/>
              <w:bottom w:val="single" w:color="auto" w:sz="4" w:space="0"/>
              <w:right w:val="single" w:color="auto" w:sz="4" w:space="0"/>
            </w:tcBorders>
            <w:vAlign w:val="center"/>
          </w:tcPr>
          <w:p w14:paraId="737F58C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中标候选人公示媒介</w:t>
            </w:r>
          </w:p>
        </w:tc>
        <w:tc>
          <w:tcPr>
            <w:tcW w:w="7612" w:type="dxa"/>
            <w:tcBorders>
              <w:top w:val="single" w:color="auto" w:sz="4" w:space="0"/>
              <w:left w:val="single" w:color="auto" w:sz="4" w:space="0"/>
              <w:bottom w:val="single" w:color="auto" w:sz="4" w:space="0"/>
              <w:right w:val="single" w:color="auto" w:sz="4" w:space="0"/>
            </w:tcBorders>
            <w:vAlign w:val="center"/>
          </w:tcPr>
          <w:p w14:paraId="104B7F1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新疆政府采购网、克州公共资源交易中心网，公示期为一个工作日。</w:t>
            </w:r>
          </w:p>
        </w:tc>
      </w:tr>
      <w:tr w14:paraId="0A45F355">
        <w:tblPrEx>
          <w:tblCellMar>
            <w:top w:w="0" w:type="dxa"/>
            <w:left w:w="108" w:type="dxa"/>
            <w:bottom w:w="0" w:type="dxa"/>
            <w:right w:w="108" w:type="dxa"/>
          </w:tblCellMar>
        </w:tblPrEx>
        <w:trPr>
          <w:trHeight w:val="505"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6791EAC2">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25</w:t>
            </w:r>
          </w:p>
        </w:tc>
        <w:tc>
          <w:tcPr>
            <w:tcW w:w="9313" w:type="dxa"/>
            <w:gridSpan w:val="2"/>
            <w:tcBorders>
              <w:top w:val="single" w:color="auto" w:sz="4" w:space="0"/>
              <w:left w:val="single" w:color="auto" w:sz="4" w:space="0"/>
              <w:bottom w:val="single" w:color="auto" w:sz="4" w:space="0"/>
              <w:right w:val="single" w:color="auto" w:sz="4" w:space="0"/>
            </w:tcBorders>
            <w:vAlign w:val="center"/>
          </w:tcPr>
          <w:p w14:paraId="2718D97E">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招标代理服务费</w:t>
            </w:r>
          </w:p>
        </w:tc>
      </w:tr>
      <w:tr w14:paraId="608DE118">
        <w:tblPrEx>
          <w:tblCellMar>
            <w:top w:w="0" w:type="dxa"/>
            <w:left w:w="108" w:type="dxa"/>
            <w:bottom w:w="0" w:type="dxa"/>
            <w:right w:w="108" w:type="dxa"/>
          </w:tblCellMar>
        </w:tblPrEx>
        <w:trPr>
          <w:trHeight w:val="655"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58EA1C4C">
            <w:pPr>
              <w:spacing w:line="400" w:lineRule="exact"/>
              <w:jc w:val="center"/>
              <w:rPr>
                <w:rFonts w:hint="eastAsia" w:ascii="仿宋" w:hAnsi="仿宋" w:eastAsia="仿宋" w:cs="仿宋"/>
                <w:color w:val="auto"/>
                <w:highlight w:val="none"/>
                <w:lang w:val="en-US" w:eastAsia="zh-CN"/>
              </w:rPr>
            </w:pPr>
          </w:p>
        </w:tc>
        <w:tc>
          <w:tcPr>
            <w:tcW w:w="9313" w:type="dxa"/>
            <w:gridSpan w:val="2"/>
            <w:tcBorders>
              <w:top w:val="single" w:color="auto" w:sz="4" w:space="0"/>
              <w:left w:val="single" w:color="auto" w:sz="4" w:space="0"/>
              <w:bottom w:val="single" w:color="auto" w:sz="4" w:space="0"/>
              <w:right w:val="single" w:color="auto" w:sz="4" w:space="0"/>
            </w:tcBorders>
            <w:vAlign w:val="center"/>
          </w:tcPr>
          <w:p w14:paraId="3A5BEF93">
            <w:pPr>
              <w:spacing w:line="360" w:lineRule="auto"/>
              <w:ind w:firstLine="486"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w:t>
            </w:r>
            <w:r>
              <w:rPr>
                <w:rFonts w:ascii="仿宋" w:hAnsi="仿宋" w:eastAsia="仿宋" w:cs="仿宋"/>
                <w:color w:val="auto"/>
                <w:sz w:val="24"/>
                <w:szCs w:val="24"/>
                <w:highlight w:val="none"/>
                <w:lang w:eastAsia="zh-CN"/>
              </w:rPr>
              <w:t>标单位在领取本项目中标通知书时，根据《中华人民共和国招标投标法》《中华人民共和国招标投标法实施条例》《国家发展改革委关于进一步放开建设项目专业服务价格的通知》（发改价格[2015]299号）文件等规定由中标单位向招标代理机构</w:t>
            </w:r>
            <w:r>
              <w:rPr>
                <w:rFonts w:hint="eastAsia" w:ascii="仿宋" w:hAnsi="仿宋" w:eastAsia="仿宋" w:cs="仿宋"/>
                <w:color w:val="auto"/>
                <w:highlight w:val="none"/>
                <w:lang w:val="en-US" w:eastAsia="zh-CN"/>
              </w:rPr>
              <w:t>在中标通知书发放之日前</w:t>
            </w:r>
            <w:r>
              <w:rPr>
                <w:rFonts w:ascii="仿宋" w:hAnsi="仿宋" w:eastAsia="仿宋" w:cs="仿宋"/>
                <w:color w:val="auto"/>
                <w:sz w:val="24"/>
                <w:szCs w:val="24"/>
                <w:highlight w:val="none"/>
                <w:lang w:eastAsia="zh-CN"/>
              </w:rPr>
              <w:t>支付本项目代理费。</w:t>
            </w:r>
          </w:p>
          <w:p w14:paraId="4602815A">
            <w:pPr>
              <w:spacing w:line="360" w:lineRule="auto"/>
              <w:ind w:firstLine="486" w:firstLineChars="200"/>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收费标准如下：</w:t>
            </w:r>
          </w:p>
          <w:tbl>
            <w:tblPr>
              <w:tblStyle w:val="25"/>
              <w:tblpPr w:leftFromText="180" w:rightFromText="180" w:vertAnchor="text" w:horzAnchor="page" w:tblpXSpec="center" w:tblpY="19"/>
              <w:tblOverlap w:val="never"/>
              <w:tblW w:w="7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1925"/>
              <w:gridCol w:w="1545"/>
              <w:gridCol w:w="1914"/>
            </w:tblGrid>
            <w:tr w14:paraId="647C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2011" w:type="dxa"/>
                  <w:vAlign w:val="center"/>
                </w:tcPr>
                <w:p w14:paraId="44EC9D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金额</w:t>
                  </w:r>
                </w:p>
              </w:tc>
              <w:tc>
                <w:tcPr>
                  <w:tcW w:w="1925" w:type="dxa"/>
                  <w:vAlign w:val="center"/>
                </w:tcPr>
                <w:p w14:paraId="2819CDB6">
                  <w:pPr>
                    <w:keepNext w:val="0"/>
                    <w:keepLines w:val="0"/>
                    <w:pageBreakBefore w:val="0"/>
                    <w:widowControl w:val="0"/>
                    <w:kinsoku/>
                    <w:wordWrap/>
                    <w:overflowPunct/>
                    <w:topLinePunct w:val="0"/>
                    <w:autoSpaceDE/>
                    <w:autoSpaceDN/>
                    <w:bidi w:val="0"/>
                    <w:adjustRightInd/>
                    <w:snapToGrid/>
                    <w:spacing w:line="240" w:lineRule="auto"/>
                    <w:ind w:firstLine="486" w:firstLineChars="200"/>
                    <w:jc w:val="center"/>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货物招标</w:t>
                  </w:r>
                </w:p>
              </w:tc>
              <w:tc>
                <w:tcPr>
                  <w:tcW w:w="1545" w:type="dxa"/>
                  <w:vAlign w:val="center"/>
                </w:tcPr>
                <w:p w14:paraId="6E81E6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服务招标</w:t>
                  </w:r>
                </w:p>
              </w:tc>
              <w:tc>
                <w:tcPr>
                  <w:tcW w:w="1914" w:type="dxa"/>
                  <w:vAlign w:val="center"/>
                </w:tcPr>
                <w:p w14:paraId="48F7CF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备注</w:t>
                  </w:r>
                </w:p>
              </w:tc>
            </w:tr>
            <w:tr w14:paraId="2DA0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2011" w:type="dxa"/>
                  <w:vAlign w:val="center"/>
                </w:tcPr>
                <w:p w14:paraId="7951BA7B">
                  <w:pPr>
                    <w:pStyle w:val="4"/>
                    <w:keepNext w:val="0"/>
                    <w:keepLines w:val="0"/>
                    <w:pageBreakBefore w:val="0"/>
                    <w:widowControl w:val="0"/>
                    <w:kinsoku/>
                    <w:wordWrap/>
                    <w:overflowPunct/>
                    <w:topLinePunct w:val="0"/>
                    <w:autoSpaceDE/>
                    <w:autoSpaceDN/>
                    <w:bidi w:val="0"/>
                    <w:adjustRightInd/>
                    <w:snapToGrid/>
                    <w:spacing w:line="240" w:lineRule="auto"/>
                    <w:ind w:firstLine="486" w:firstLineChars="200"/>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100 以下</w:t>
                  </w:r>
                </w:p>
              </w:tc>
              <w:tc>
                <w:tcPr>
                  <w:tcW w:w="1925" w:type="dxa"/>
                  <w:vAlign w:val="center"/>
                </w:tcPr>
                <w:p w14:paraId="0F614225">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1.58%</w:t>
                  </w:r>
                </w:p>
              </w:tc>
              <w:tc>
                <w:tcPr>
                  <w:tcW w:w="1545" w:type="dxa"/>
                  <w:vAlign w:val="center"/>
                </w:tcPr>
                <w:p w14:paraId="37B93B5D">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1.58%</w:t>
                  </w:r>
                </w:p>
              </w:tc>
              <w:tc>
                <w:tcPr>
                  <w:tcW w:w="1914" w:type="dxa"/>
                  <w:vAlign w:val="center"/>
                </w:tcPr>
                <w:p w14:paraId="1D5AEB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szCs w:val="24"/>
                      <w:lang w:eastAsia="zh-CN"/>
                    </w:rPr>
                  </w:pPr>
                </w:p>
              </w:tc>
            </w:tr>
            <w:tr w14:paraId="26A3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2011" w:type="dxa"/>
                  <w:vAlign w:val="center"/>
                </w:tcPr>
                <w:p w14:paraId="3680A075">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100-500</w:t>
                  </w:r>
                </w:p>
              </w:tc>
              <w:tc>
                <w:tcPr>
                  <w:tcW w:w="1925" w:type="dxa"/>
                  <w:vAlign w:val="center"/>
                </w:tcPr>
                <w:p w14:paraId="06FBBBE1">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1.16%</w:t>
                  </w:r>
                </w:p>
              </w:tc>
              <w:tc>
                <w:tcPr>
                  <w:tcW w:w="1545" w:type="dxa"/>
                  <w:vAlign w:val="center"/>
                </w:tcPr>
                <w:p w14:paraId="0E4DD958">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0.84%</w:t>
                  </w:r>
                </w:p>
              </w:tc>
              <w:tc>
                <w:tcPr>
                  <w:tcW w:w="1914" w:type="dxa"/>
                  <w:vAlign w:val="center"/>
                </w:tcPr>
                <w:p w14:paraId="2F9EAC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szCs w:val="24"/>
                      <w:lang w:eastAsia="zh-CN"/>
                    </w:rPr>
                  </w:pPr>
                </w:p>
              </w:tc>
            </w:tr>
            <w:tr w14:paraId="232F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2011" w:type="dxa"/>
                  <w:vAlign w:val="center"/>
                </w:tcPr>
                <w:p w14:paraId="6FD01CA0">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500-1000</w:t>
                  </w:r>
                </w:p>
              </w:tc>
              <w:tc>
                <w:tcPr>
                  <w:tcW w:w="1925" w:type="dxa"/>
                  <w:vAlign w:val="center"/>
                </w:tcPr>
                <w:p w14:paraId="2CA1CFDD">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0.93%</w:t>
                  </w:r>
                </w:p>
              </w:tc>
              <w:tc>
                <w:tcPr>
                  <w:tcW w:w="1545" w:type="dxa"/>
                  <w:vAlign w:val="center"/>
                </w:tcPr>
                <w:p w14:paraId="50977518">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0.62%</w:t>
                  </w:r>
                </w:p>
              </w:tc>
              <w:tc>
                <w:tcPr>
                  <w:tcW w:w="1914" w:type="dxa"/>
                  <w:vAlign w:val="center"/>
                </w:tcPr>
                <w:p w14:paraId="319018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szCs w:val="24"/>
                      <w:lang w:eastAsia="zh-CN"/>
                    </w:rPr>
                  </w:pPr>
                </w:p>
              </w:tc>
            </w:tr>
            <w:tr w14:paraId="4472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2011" w:type="dxa"/>
                  <w:vAlign w:val="center"/>
                </w:tcPr>
                <w:p w14:paraId="00938C84">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1000-5000</w:t>
                  </w:r>
                </w:p>
              </w:tc>
              <w:tc>
                <w:tcPr>
                  <w:tcW w:w="1925" w:type="dxa"/>
                  <w:vAlign w:val="center"/>
                </w:tcPr>
                <w:p w14:paraId="178653AC">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0.61%</w:t>
                  </w:r>
                </w:p>
              </w:tc>
              <w:tc>
                <w:tcPr>
                  <w:tcW w:w="1545" w:type="dxa"/>
                  <w:vAlign w:val="center"/>
                </w:tcPr>
                <w:p w14:paraId="67C3C3DE">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0.35%</w:t>
                  </w:r>
                </w:p>
              </w:tc>
              <w:tc>
                <w:tcPr>
                  <w:tcW w:w="1914" w:type="dxa"/>
                  <w:vAlign w:val="center"/>
                </w:tcPr>
                <w:p w14:paraId="0ABBE0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szCs w:val="24"/>
                      <w:lang w:eastAsia="zh-CN"/>
                    </w:rPr>
                  </w:pPr>
                </w:p>
              </w:tc>
            </w:tr>
          </w:tbl>
          <w:p w14:paraId="1C1AD37C">
            <w:pPr>
              <w:pStyle w:val="4"/>
              <w:spacing w:line="360" w:lineRule="auto"/>
              <w:rPr>
                <w:rFonts w:hint="eastAsia" w:ascii="仿宋" w:hAnsi="仿宋" w:eastAsia="仿宋" w:cs="仿宋"/>
                <w:b w:val="0"/>
                <w:bCs w:val="0"/>
                <w:color w:val="auto"/>
                <w:sz w:val="24"/>
                <w:szCs w:val="24"/>
                <w:highlight w:val="none"/>
                <w:lang w:val="en-US" w:eastAsia="zh-CN" w:bidi="en-US"/>
              </w:rPr>
            </w:pPr>
          </w:p>
          <w:p w14:paraId="24DA3228">
            <w:pPr>
              <w:pStyle w:val="4"/>
              <w:spacing w:line="360" w:lineRule="auto"/>
              <w:rPr>
                <w:rFonts w:hint="eastAsia" w:ascii="仿宋" w:hAnsi="仿宋" w:eastAsia="仿宋" w:cs="仿宋"/>
                <w:b w:val="0"/>
                <w:bCs w:val="0"/>
                <w:color w:val="auto"/>
                <w:sz w:val="24"/>
                <w:szCs w:val="24"/>
                <w:highlight w:val="none"/>
                <w:lang w:val="en-US" w:eastAsia="zh-CN" w:bidi="en-US"/>
              </w:rPr>
            </w:pPr>
          </w:p>
          <w:p w14:paraId="3C3C1F1D">
            <w:pPr>
              <w:pStyle w:val="4"/>
              <w:spacing w:line="360" w:lineRule="auto"/>
              <w:rPr>
                <w:rFonts w:hint="eastAsia" w:ascii="仿宋" w:hAnsi="仿宋" w:eastAsia="仿宋" w:cs="仿宋"/>
                <w:b w:val="0"/>
                <w:bCs w:val="0"/>
                <w:color w:val="auto"/>
                <w:sz w:val="24"/>
                <w:szCs w:val="24"/>
                <w:highlight w:val="none"/>
                <w:lang w:val="en-US" w:eastAsia="zh-CN" w:bidi="en-US"/>
              </w:rPr>
            </w:pPr>
          </w:p>
          <w:p w14:paraId="41D8A7B0">
            <w:pPr>
              <w:spacing w:line="360" w:lineRule="auto"/>
              <w:rPr>
                <w:rFonts w:hint="eastAsia" w:ascii="仿宋" w:hAnsi="仿宋" w:eastAsia="仿宋" w:cs="仿宋"/>
                <w:color w:val="auto"/>
                <w:highlight w:val="none"/>
                <w:lang w:val="en-US" w:eastAsia="zh-CN"/>
              </w:rPr>
            </w:pPr>
          </w:p>
          <w:p w14:paraId="5A6170E2">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招标代理服务收费按差额定率累进法计算。例如：某项目招标代理业务金额为5000万元，计算招标代理服务收费额如下： </w:t>
            </w:r>
          </w:p>
          <w:p w14:paraId="1BF0C08E">
            <w:pPr>
              <w:spacing w:line="360" w:lineRule="auto"/>
              <w:ind w:firstLine="243" w:firstLineChars="1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100 万元×1.58%=1.58（万元）； </w:t>
            </w:r>
          </w:p>
          <w:p w14:paraId="605A68D5">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（500-100）万元×1.16%=4.64（万元） </w:t>
            </w:r>
          </w:p>
          <w:p w14:paraId="46A8F415">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（1000-500）万元×0.93%=4.65（万元） </w:t>
            </w:r>
          </w:p>
          <w:p w14:paraId="4566CC5D">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（5000-1000）万元×0.61%=24.4（万元）</w:t>
            </w:r>
          </w:p>
          <w:p w14:paraId="29F78B5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合计收费：1.58＋4.64＋4.65＋24.4=35.27(万元)</w:t>
            </w:r>
          </w:p>
        </w:tc>
      </w:tr>
      <w:tr w14:paraId="4B9C03C8">
        <w:tblPrEx>
          <w:tblCellMar>
            <w:top w:w="0" w:type="dxa"/>
            <w:left w:w="108" w:type="dxa"/>
            <w:bottom w:w="0" w:type="dxa"/>
            <w:right w:w="108" w:type="dxa"/>
          </w:tblCellMar>
        </w:tblPrEx>
        <w:trPr>
          <w:trHeight w:val="51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199AFB0B">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26</w:t>
            </w:r>
          </w:p>
        </w:tc>
        <w:tc>
          <w:tcPr>
            <w:tcW w:w="9313" w:type="dxa"/>
            <w:gridSpan w:val="2"/>
            <w:tcBorders>
              <w:top w:val="single" w:color="auto" w:sz="4" w:space="0"/>
              <w:left w:val="single" w:color="auto" w:sz="4" w:space="0"/>
              <w:bottom w:val="single" w:color="auto" w:sz="4" w:space="0"/>
              <w:right w:val="single" w:color="auto" w:sz="4" w:space="0"/>
            </w:tcBorders>
            <w:vAlign w:val="center"/>
          </w:tcPr>
          <w:p w14:paraId="0DC5A0E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评标办法：本项目采用综合评分法</w:t>
            </w:r>
          </w:p>
        </w:tc>
      </w:tr>
      <w:tr w14:paraId="31128A16">
        <w:tblPrEx>
          <w:tblCellMar>
            <w:top w:w="0" w:type="dxa"/>
            <w:left w:w="108" w:type="dxa"/>
            <w:bottom w:w="0" w:type="dxa"/>
            <w:right w:w="108" w:type="dxa"/>
          </w:tblCellMar>
        </w:tblPrEx>
        <w:trPr>
          <w:trHeight w:val="555"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07FC4C00">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27</w:t>
            </w:r>
          </w:p>
        </w:tc>
        <w:tc>
          <w:tcPr>
            <w:tcW w:w="9313" w:type="dxa"/>
            <w:gridSpan w:val="2"/>
            <w:tcBorders>
              <w:top w:val="single" w:color="auto" w:sz="4" w:space="0"/>
              <w:left w:val="single" w:color="auto" w:sz="4" w:space="0"/>
              <w:bottom w:val="single" w:color="auto" w:sz="4" w:space="0"/>
              <w:right w:val="single" w:color="auto" w:sz="4" w:space="0"/>
            </w:tcBorders>
            <w:vAlign w:val="center"/>
          </w:tcPr>
          <w:p w14:paraId="75EC3C1E">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不管投标结果如何，供应商均应承担自己投标所需一切费用。</w:t>
            </w:r>
          </w:p>
        </w:tc>
      </w:tr>
      <w:tr w14:paraId="3E14F1AE">
        <w:tblPrEx>
          <w:tblCellMar>
            <w:top w:w="0" w:type="dxa"/>
            <w:left w:w="108" w:type="dxa"/>
            <w:bottom w:w="0" w:type="dxa"/>
            <w:right w:w="108" w:type="dxa"/>
          </w:tblCellMar>
        </w:tblPrEx>
        <w:trPr>
          <w:trHeight w:val="84"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550C733A">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28</w:t>
            </w:r>
          </w:p>
        </w:tc>
        <w:tc>
          <w:tcPr>
            <w:tcW w:w="9313" w:type="dxa"/>
            <w:gridSpan w:val="2"/>
            <w:tcBorders>
              <w:top w:val="single" w:color="auto" w:sz="4" w:space="0"/>
              <w:left w:val="single" w:color="auto" w:sz="4" w:space="0"/>
              <w:bottom w:val="single" w:color="auto" w:sz="4" w:space="0"/>
              <w:right w:val="single" w:color="auto" w:sz="4" w:space="0"/>
            </w:tcBorders>
            <w:vAlign w:val="center"/>
          </w:tcPr>
          <w:p w14:paraId="080CFD50">
            <w:pPr>
              <w:spacing w:line="400" w:lineRule="exact"/>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eastAsia="zh-CN"/>
              </w:rPr>
              <w:t>本次招标预算价：</w:t>
            </w:r>
            <w:r>
              <w:rPr>
                <w:rFonts w:hint="eastAsia" w:ascii="仿宋" w:hAnsi="仿宋" w:eastAsia="仿宋" w:cs="仿宋"/>
                <w:b/>
                <w:bCs/>
                <w:color w:val="auto"/>
                <w:highlight w:val="none"/>
                <w:u w:val="single"/>
                <w:lang w:eastAsia="zh-CN"/>
              </w:rPr>
              <w:t>6586200</w:t>
            </w:r>
            <w:r>
              <w:rPr>
                <w:rFonts w:hint="eastAsia" w:ascii="仿宋" w:hAnsi="仿宋" w:eastAsia="仿宋" w:cs="仿宋"/>
                <w:b/>
                <w:bCs/>
                <w:color w:val="auto"/>
                <w:highlight w:val="none"/>
                <w:u w:val="single"/>
                <w:lang w:val="en-US" w:eastAsia="zh-CN"/>
              </w:rPr>
              <w:t>元</w:t>
            </w:r>
            <w:r>
              <w:rPr>
                <w:rFonts w:hint="eastAsia" w:ascii="仿宋" w:hAnsi="仿宋" w:eastAsia="仿宋" w:cs="仿宋"/>
                <w:b/>
                <w:bCs/>
                <w:color w:val="auto"/>
                <w:highlight w:val="none"/>
                <w:u w:val="none"/>
                <w:lang w:val="en-US" w:eastAsia="zh-CN"/>
              </w:rPr>
              <w:t>，</w:t>
            </w:r>
            <w:r>
              <w:rPr>
                <w:rFonts w:hint="eastAsia" w:ascii="仿宋" w:hAnsi="仿宋" w:eastAsia="仿宋" w:cs="仿宋"/>
                <w:b/>
                <w:bCs/>
                <w:color w:val="auto"/>
                <w:highlight w:val="none"/>
                <w:lang w:eastAsia="zh-CN"/>
              </w:rPr>
              <w:t>投标总报价超过招标预算价的按废标处理。</w:t>
            </w:r>
          </w:p>
        </w:tc>
      </w:tr>
      <w:tr w14:paraId="7B8EAE77">
        <w:tblPrEx>
          <w:tblCellMar>
            <w:top w:w="0" w:type="dxa"/>
            <w:left w:w="108" w:type="dxa"/>
            <w:bottom w:w="0" w:type="dxa"/>
            <w:right w:w="108" w:type="dxa"/>
          </w:tblCellMar>
        </w:tblPrEx>
        <w:trPr>
          <w:trHeight w:val="2562" w:hRule="atLeast"/>
          <w:jc w:val="center"/>
        </w:trPr>
        <w:tc>
          <w:tcPr>
            <w:tcW w:w="579" w:type="dxa"/>
            <w:vMerge w:val="restart"/>
            <w:tcBorders>
              <w:top w:val="single" w:color="auto" w:sz="4" w:space="0"/>
              <w:left w:val="single" w:color="auto" w:sz="4" w:space="0"/>
              <w:bottom w:val="single" w:color="auto" w:sz="4" w:space="0"/>
              <w:right w:val="single" w:color="auto" w:sz="4" w:space="0"/>
            </w:tcBorders>
            <w:vAlign w:val="center"/>
          </w:tcPr>
          <w:p w14:paraId="133D5F70">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29</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207A8F9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中小微企业政策文件</w:t>
            </w:r>
          </w:p>
        </w:tc>
        <w:tc>
          <w:tcPr>
            <w:tcW w:w="7612" w:type="dxa"/>
            <w:tcBorders>
              <w:top w:val="single" w:color="auto" w:sz="4" w:space="0"/>
              <w:left w:val="single" w:color="auto" w:sz="4" w:space="0"/>
              <w:bottom w:val="single" w:color="auto" w:sz="4" w:space="0"/>
              <w:right w:val="single" w:color="auto" w:sz="4" w:space="0"/>
            </w:tcBorders>
            <w:vAlign w:val="center"/>
          </w:tcPr>
          <w:p w14:paraId="365BCEFB">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根据财政部、工业和信息化部关于印发《政府采购促进中小企业发展管理办法》的通知（财库[2020]46号）和（财库[2022]19号），供应商所投产品的制造商属于《工业和信息化部、国家统计局、国家发展和改革委员会、财政部关于印发中小企业划型标准规定的通知》（工信部联企业[2011]300号）中规定的小型、微型企业标准的，</w:t>
            </w:r>
            <w:r>
              <w:rPr>
                <w:rFonts w:hint="eastAsia" w:ascii="仿宋" w:hAnsi="仿宋" w:eastAsia="仿宋" w:cs="仿宋"/>
                <w:b/>
                <w:bCs/>
                <w:color w:val="auto"/>
                <w:highlight w:val="none"/>
                <w:lang w:val="en-US" w:eastAsia="zh-CN"/>
              </w:rPr>
              <w:t>按招标文件格式提供《中小企业声明函》。</w:t>
            </w:r>
          </w:p>
        </w:tc>
      </w:tr>
      <w:tr w14:paraId="64E4476A">
        <w:tblPrEx>
          <w:tblCellMar>
            <w:top w:w="0" w:type="dxa"/>
            <w:left w:w="108" w:type="dxa"/>
            <w:bottom w:w="0" w:type="dxa"/>
            <w:right w:w="108" w:type="dxa"/>
          </w:tblCellMar>
        </w:tblPrEx>
        <w:trPr>
          <w:trHeight w:val="8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14:paraId="0BE58600">
            <w:pPr>
              <w:spacing w:line="400" w:lineRule="exact"/>
              <w:jc w:val="center"/>
              <w:rPr>
                <w:rFonts w:hint="eastAsia" w:ascii="仿宋" w:hAnsi="仿宋" w:eastAsia="仿宋" w:cs="仿宋"/>
                <w:color w:val="auto"/>
                <w:highlight w:val="none"/>
                <w:lang w:val="en-US" w:eastAsia="zh-CN"/>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5C0671F6">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316B0A5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1B147EC9">
        <w:tblPrEx>
          <w:tblCellMar>
            <w:top w:w="0" w:type="dxa"/>
            <w:left w:w="108" w:type="dxa"/>
            <w:bottom w:w="0" w:type="dxa"/>
            <w:right w:w="108" w:type="dxa"/>
          </w:tblCellMar>
        </w:tblPrEx>
        <w:trPr>
          <w:trHeight w:val="8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14:paraId="30DA5C4F">
            <w:pPr>
              <w:spacing w:line="400" w:lineRule="exact"/>
              <w:jc w:val="center"/>
              <w:rPr>
                <w:rFonts w:hint="eastAsia" w:ascii="仿宋" w:hAnsi="仿宋" w:eastAsia="仿宋" w:cs="仿宋"/>
                <w:color w:val="auto"/>
                <w:highlight w:val="none"/>
                <w:lang w:val="en-US" w:eastAsia="zh-CN"/>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E11136F">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0B8E0A0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14:paraId="4EFA8C7F">
        <w:tblPrEx>
          <w:tblCellMar>
            <w:top w:w="0" w:type="dxa"/>
            <w:left w:w="108" w:type="dxa"/>
            <w:bottom w:w="0" w:type="dxa"/>
            <w:right w:w="108" w:type="dxa"/>
          </w:tblCellMar>
        </w:tblPrEx>
        <w:trPr>
          <w:trHeight w:val="90" w:hRule="atLeast"/>
          <w:jc w:val="center"/>
        </w:trPr>
        <w:tc>
          <w:tcPr>
            <w:tcW w:w="579" w:type="dxa"/>
            <w:vMerge w:val="restart"/>
            <w:tcBorders>
              <w:top w:val="single" w:color="auto" w:sz="4" w:space="0"/>
              <w:left w:val="single" w:color="auto" w:sz="4" w:space="0"/>
              <w:right w:val="single" w:color="auto" w:sz="4" w:space="0"/>
            </w:tcBorders>
            <w:vAlign w:val="center"/>
          </w:tcPr>
          <w:p w14:paraId="364446F0">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30</w:t>
            </w:r>
          </w:p>
        </w:tc>
        <w:tc>
          <w:tcPr>
            <w:tcW w:w="1701" w:type="dxa"/>
            <w:vMerge w:val="restart"/>
            <w:tcBorders>
              <w:top w:val="single" w:color="auto" w:sz="4" w:space="0"/>
              <w:left w:val="single" w:color="auto" w:sz="4" w:space="0"/>
              <w:right w:val="single" w:color="auto" w:sz="4" w:space="0"/>
            </w:tcBorders>
            <w:vAlign w:val="center"/>
          </w:tcPr>
          <w:p w14:paraId="78506ADA">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中小微企业政策文件说明</w:t>
            </w:r>
          </w:p>
        </w:tc>
        <w:tc>
          <w:tcPr>
            <w:tcW w:w="7612" w:type="dxa"/>
            <w:tcBorders>
              <w:top w:val="single" w:color="auto" w:sz="4" w:space="0"/>
              <w:left w:val="single" w:color="auto" w:sz="4" w:space="0"/>
              <w:bottom w:val="single" w:color="auto" w:sz="4" w:space="0"/>
              <w:right w:val="single" w:color="auto" w:sz="4" w:space="0"/>
            </w:tcBorders>
            <w:vAlign w:val="center"/>
          </w:tcPr>
          <w:p w14:paraId="78411E4C">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（1）支持中小企业发展：给予小型和微型企业的价格10%-20%的扣除，用扣除后的价格参与评审，</w:t>
            </w:r>
            <w:r>
              <w:rPr>
                <w:rFonts w:hint="eastAsia" w:ascii="仿宋" w:hAnsi="仿宋" w:eastAsia="仿宋" w:cs="仿宋"/>
                <w:b/>
                <w:bCs/>
                <w:color w:val="auto"/>
                <w:highlight w:val="none"/>
                <w:u w:val="single"/>
                <w:lang w:val="en-US" w:eastAsia="zh-CN"/>
              </w:rPr>
              <w:t>本项目具体扣除比例为10%</w:t>
            </w:r>
            <w:r>
              <w:rPr>
                <w:rFonts w:hint="eastAsia" w:ascii="仿宋" w:hAnsi="仿宋" w:eastAsia="仿宋" w:cs="仿宋"/>
                <w:color w:val="auto"/>
                <w:highlight w:val="none"/>
                <w:lang w:val="en-US" w:eastAsia="zh-CN"/>
              </w:rPr>
              <w:t>。用扣除后的价格参与评审。残疾人福利性单位视同小型、微型企业，享受同等价格扣除，但同时属于残疾人福利性单位和小微企业的，不重复价格扣除。</w:t>
            </w:r>
          </w:p>
        </w:tc>
      </w:tr>
      <w:tr w14:paraId="0E4E8D54">
        <w:tblPrEx>
          <w:tblCellMar>
            <w:top w:w="0" w:type="dxa"/>
            <w:left w:w="108" w:type="dxa"/>
            <w:bottom w:w="0" w:type="dxa"/>
            <w:right w:w="108" w:type="dxa"/>
          </w:tblCellMar>
        </w:tblPrEx>
        <w:trPr>
          <w:trHeight w:val="459" w:hRule="atLeast"/>
          <w:jc w:val="center"/>
        </w:trPr>
        <w:tc>
          <w:tcPr>
            <w:tcW w:w="579" w:type="dxa"/>
            <w:vMerge w:val="continue"/>
            <w:tcBorders>
              <w:left w:val="single" w:color="auto" w:sz="4" w:space="0"/>
              <w:right w:val="single" w:color="auto" w:sz="4" w:space="0"/>
            </w:tcBorders>
            <w:vAlign w:val="center"/>
          </w:tcPr>
          <w:p w14:paraId="383CB30C">
            <w:pPr>
              <w:spacing w:line="400" w:lineRule="exact"/>
              <w:jc w:val="center"/>
              <w:rPr>
                <w:rFonts w:hint="eastAsia" w:ascii="仿宋" w:hAnsi="仿宋" w:eastAsia="仿宋" w:cs="仿宋"/>
                <w:color w:val="auto"/>
                <w:highlight w:val="none"/>
                <w:lang w:val="en-US" w:eastAsia="zh-CN"/>
              </w:rPr>
            </w:pPr>
          </w:p>
        </w:tc>
        <w:tc>
          <w:tcPr>
            <w:tcW w:w="1701" w:type="dxa"/>
            <w:vMerge w:val="continue"/>
            <w:tcBorders>
              <w:left w:val="single" w:color="auto" w:sz="4" w:space="0"/>
              <w:right w:val="single" w:color="auto" w:sz="4" w:space="0"/>
            </w:tcBorders>
            <w:vAlign w:val="center"/>
          </w:tcPr>
          <w:p w14:paraId="0D103D4A">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431EA1EC">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（2）不符合上述适用情形的供应商无需提供上述声明函件。</w:t>
            </w:r>
          </w:p>
        </w:tc>
      </w:tr>
      <w:tr w14:paraId="5D9E7466">
        <w:tblPrEx>
          <w:tblCellMar>
            <w:top w:w="0" w:type="dxa"/>
            <w:left w:w="108" w:type="dxa"/>
            <w:bottom w:w="0" w:type="dxa"/>
            <w:right w:w="108" w:type="dxa"/>
          </w:tblCellMar>
        </w:tblPrEx>
        <w:trPr>
          <w:trHeight w:val="459" w:hRule="atLeast"/>
          <w:jc w:val="center"/>
        </w:trPr>
        <w:tc>
          <w:tcPr>
            <w:tcW w:w="579" w:type="dxa"/>
            <w:vMerge w:val="continue"/>
            <w:tcBorders>
              <w:left w:val="single" w:color="auto" w:sz="4" w:space="0"/>
              <w:bottom w:val="single" w:color="auto" w:sz="4" w:space="0"/>
              <w:right w:val="single" w:color="auto" w:sz="4" w:space="0"/>
            </w:tcBorders>
            <w:vAlign w:val="center"/>
          </w:tcPr>
          <w:p w14:paraId="6A04A502">
            <w:pPr>
              <w:spacing w:line="400" w:lineRule="exact"/>
              <w:jc w:val="center"/>
              <w:rPr>
                <w:rFonts w:hint="eastAsia" w:ascii="仿宋" w:hAnsi="仿宋" w:eastAsia="仿宋" w:cs="仿宋"/>
                <w:color w:val="auto"/>
                <w:highlight w:val="none"/>
                <w:lang w:val="en-US" w:eastAsia="zh-CN"/>
              </w:rPr>
            </w:pPr>
          </w:p>
        </w:tc>
        <w:tc>
          <w:tcPr>
            <w:tcW w:w="1701" w:type="dxa"/>
            <w:vMerge w:val="continue"/>
            <w:tcBorders>
              <w:left w:val="single" w:color="auto" w:sz="4" w:space="0"/>
              <w:bottom w:val="single" w:color="auto" w:sz="4" w:space="0"/>
              <w:right w:val="single" w:color="auto" w:sz="4" w:space="0"/>
            </w:tcBorders>
            <w:vAlign w:val="center"/>
          </w:tcPr>
          <w:p w14:paraId="64978E29">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332039D8">
            <w:pPr>
              <w:spacing w:line="400" w:lineRule="exact"/>
              <w:rPr>
                <w:rFonts w:hint="eastAsia" w:ascii="仿宋" w:hAnsi="仿宋" w:eastAsia="仿宋" w:cs="仿宋"/>
                <w:b/>
                <w:bCs/>
                <w:color w:val="auto"/>
                <w:highlight w:val="none"/>
                <w:lang w:val="en-US"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）本项目所属行业：</w:t>
            </w:r>
            <w:r>
              <w:rPr>
                <w:rFonts w:hint="eastAsia" w:ascii="仿宋" w:hAnsi="仿宋" w:eastAsia="仿宋" w:cs="仿宋"/>
                <w:b/>
                <w:bCs/>
                <w:color w:val="auto"/>
                <w:highlight w:val="none"/>
                <w:lang w:val="en-US" w:eastAsia="zh-CN"/>
              </w:rPr>
              <w:t>工业。</w:t>
            </w:r>
          </w:p>
        </w:tc>
      </w:tr>
      <w:tr w14:paraId="75F0611C">
        <w:tblPrEx>
          <w:tblCellMar>
            <w:top w:w="0" w:type="dxa"/>
            <w:left w:w="108" w:type="dxa"/>
            <w:bottom w:w="0" w:type="dxa"/>
            <w:right w:w="108" w:type="dxa"/>
          </w:tblCellMar>
        </w:tblPrEx>
        <w:trPr>
          <w:trHeight w:val="459" w:hRule="atLeast"/>
          <w:jc w:val="center"/>
        </w:trPr>
        <w:tc>
          <w:tcPr>
            <w:tcW w:w="579" w:type="dxa"/>
            <w:vMerge w:val="continue"/>
            <w:tcBorders>
              <w:left w:val="single" w:color="auto" w:sz="4" w:space="0"/>
              <w:bottom w:val="single" w:color="auto" w:sz="4" w:space="0"/>
              <w:right w:val="single" w:color="auto" w:sz="4" w:space="0"/>
            </w:tcBorders>
            <w:vAlign w:val="center"/>
          </w:tcPr>
          <w:p w14:paraId="24F1E606">
            <w:pPr>
              <w:spacing w:line="400" w:lineRule="exact"/>
              <w:jc w:val="center"/>
              <w:rPr>
                <w:rFonts w:hint="eastAsia" w:ascii="仿宋" w:hAnsi="仿宋" w:eastAsia="仿宋" w:cs="仿宋"/>
                <w:color w:val="auto"/>
                <w:highlight w:val="none"/>
                <w:lang w:val="en-US" w:eastAsia="zh-CN"/>
              </w:rPr>
            </w:pPr>
          </w:p>
        </w:tc>
        <w:tc>
          <w:tcPr>
            <w:tcW w:w="1701" w:type="dxa"/>
            <w:vMerge w:val="continue"/>
            <w:tcBorders>
              <w:left w:val="single" w:color="auto" w:sz="4" w:space="0"/>
              <w:bottom w:val="single" w:color="auto" w:sz="4" w:space="0"/>
              <w:right w:val="single" w:color="auto" w:sz="4" w:space="0"/>
            </w:tcBorders>
            <w:vAlign w:val="center"/>
          </w:tcPr>
          <w:p w14:paraId="75E148BD">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168E3F33">
            <w:pPr>
              <w:spacing w:line="400" w:lineRule="exact"/>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着重提醒：投标供应商在提供《中小企业声明函》时，必须将招标文件采购标的物全部列入《中小企业声明函》，否则不享受扣除价格政策。</w:t>
            </w:r>
          </w:p>
        </w:tc>
      </w:tr>
      <w:tr w14:paraId="42F2D89D">
        <w:tblPrEx>
          <w:tblCellMar>
            <w:top w:w="0" w:type="dxa"/>
            <w:left w:w="108" w:type="dxa"/>
            <w:bottom w:w="0" w:type="dxa"/>
            <w:right w:w="108" w:type="dxa"/>
          </w:tblCellMar>
        </w:tblPrEx>
        <w:trPr>
          <w:trHeight w:val="9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6BA071A3">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31</w:t>
            </w:r>
          </w:p>
        </w:tc>
        <w:tc>
          <w:tcPr>
            <w:tcW w:w="1701" w:type="dxa"/>
            <w:tcBorders>
              <w:top w:val="single" w:color="auto" w:sz="4" w:space="0"/>
              <w:left w:val="single" w:color="auto" w:sz="4" w:space="0"/>
              <w:bottom w:val="single" w:color="auto" w:sz="4" w:space="0"/>
              <w:right w:val="single" w:color="auto" w:sz="4" w:space="0"/>
            </w:tcBorders>
            <w:vAlign w:val="center"/>
          </w:tcPr>
          <w:p w14:paraId="5071A731">
            <w:pPr>
              <w:spacing w:line="400" w:lineRule="exact"/>
              <w:rPr>
                <w:rFonts w:hint="eastAsia" w:ascii="仿宋" w:hAnsi="仿宋" w:eastAsia="仿宋" w:cs="仿宋"/>
                <w:color w:val="auto"/>
                <w:highlight w:val="none"/>
                <w:lang w:val="zh-CN" w:eastAsia="zh-CN"/>
              </w:rPr>
            </w:pPr>
          </w:p>
          <w:p w14:paraId="53B15F1D">
            <w:pPr>
              <w:spacing w:line="400" w:lineRule="exact"/>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履约保证金</w:t>
            </w:r>
          </w:p>
          <w:p w14:paraId="6D492373">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1EE66C4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zh-CN" w:eastAsia="zh-CN"/>
              </w:rPr>
              <w:t>中标人</w:t>
            </w:r>
            <w:r>
              <w:rPr>
                <w:rFonts w:hint="eastAsia" w:ascii="仿宋" w:hAnsi="仿宋" w:eastAsia="仿宋" w:cs="仿宋"/>
                <w:color w:val="auto"/>
                <w:highlight w:val="none"/>
                <w:lang w:val="en-US" w:eastAsia="zh-CN"/>
              </w:rPr>
              <w:t>应在领取《中标通知书》后的十个日历日内，办理履约保证金，</w:t>
            </w:r>
            <w:r>
              <w:rPr>
                <w:rFonts w:hint="eastAsia" w:ascii="仿宋" w:hAnsi="仿宋" w:eastAsia="仿宋" w:cs="仿宋"/>
                <w:color w:val="auto"/>
                <w:highlight w:val="none"/>
                <w:u w:val="single"/>
                <w:lang w:val="zh-CN" w:eastAsia="zh-CN"/>
              </w:rPr>
              <w:t>金额为不超过合同总价的</w:t>
            </w:r>
            <w:r>
              <w:rPr>
                <w:rFonts w:hint="eastAsia" w:ascii="仿宋" w:hAnsi="仿宋" w:eastAsia="仿宋" w:cs="仿宋"/>
                <w:color w:val="auto"/>
                <w:highlight w:val="none"/>
                <w:u w:val="single"/>
                <w:lang w:val="en-US" w:eastAsia="zh-CN"/>
              </w:rPr>
              <w:t>10</w:t>
            </w:r>
            <w:r>
              <w:rPr>
                <w:rFonts w:hint="eastAsia" w:ascii="仿宋" w:hAnsi="仿宋" w:eastAsia="仿宋" w:cs="仿宋"/>
                <w:color w:val="auto"/>
                <w:highlight w:val="none"/>
                <w:u w:val="single"/>
                <w:lang w:val="zh-CN" w:eastAsia="zh-CN"/>
              </w:rPr>
              <w:t>%</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lang w:val="en-US" w:eastAsia="zh-CN"/>
              </w:rPr>
              <w:t>否则招标人可取消</w:t>
            </w:r>
            <w:r>
              <w:rPr>
                <w:rFonts w:hint="eastAsia" w:ascii="仿宋" w:hAnsi="仿宋" w:eastAsia="仿宋" w:cs="仿宋"/>
                <w:color w:val="auto"/>
                <w:highlight w:val="none"/>
                <w:lang w:val="zh-CN" w:eastAsia="zh-CN"/>
              </w:rPr>
              <w:t>成交人</w:t>
            </w:r>
            <w:r>
              <w:rPr>
                <w:rFonts w:hint="eastAsia" w:ascii="仿宋" w:hAnsi="仿宋" w:eastAsia="仿宋" w:cs="仿宋"/>
                <w:color w:val="auto"/>
                <w:highlight w:val="none"/>
                <w:lang w:val="en-US" w:eastAsia="zh-CN"/>
              </w:rPr>
              <w:t>的</w:t>
            </w:r>
            <w:r>
              <w:rPr>
                <w:rFonts w:hint="eastAsia" w:ascii="仿宋" w:hAnsi="仿宋" w:eastAsia="仿宋" w:cs="仿宋"/>
                <w:color w:val="auto"/>
                <w:highlight w:val="none"/>
                <w:lang w:val="zh-CN" w:eastAsia="zh-CN"/>
              </w:rPr>
              <w:t>成交</w:t>
            </w:r>
            <w:r>
              <w:rPr>
                <w:rFonts w:hint="eastAsia" w:ascii="仿宋" w:hAnsi="仿宋" w:eastAsia="仿宋" w:cs="仿宋"/>
                <w:color w:val="auto"/>
                <w:highlight w:val="none"/>
                <w:lang w:val="en-US" w:eastAsia="zh-CN"/>
              </w:rPr>
              <w:t>资格，并没收其投标保证金。</w:t>
            </w:r>
          </w:p>
        </w:tc>
      </w:tr>
      <w:tr w14:paraId="6EB7BA33">
        <w:tblPrEx>
          <w:tblCellMar>
            <w:top w:w="0" w:type="dxa"/>
            <w:left w:w="108" w:type="dxa"/>
            <w:bottom w:w="0" w:type="dxa"/>
            <w:right w:w="108" w:type="dxa"/>
          </w:tblCellMar>
        </w:tblPrEx>
        <w:trPr>
          <w:trHeight w:val="84" w:hRule="atLeast"/>
          <w:jc w:val="center"/>
        </w:trPr>
        <w:tc>
          <w:tcPr>
            <w:tcW w:w="2280" w:type="dxa"/>
            <w:gridSpan w:val="2"/>
            <w:tcBorders>
              <w:top w:val="single" w:color="auto" w:sz="4" w:space="0"/>
              <w:left w:val="single" w:color="auto" w:sz="4" w:space="0"/>
              <w:bottom w:val="single" w:color="auto" w:sz="4" w:space="0"/>
              <w:right w:val="single" w:color="auto" w:sz="4" w:space="0"/>
            </w:tcBorders>
            <w:vAlign w:val="center"/>
          </w:tcPr>
          <w:p w14:paraId="6D9861BB">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备注</w:t>
            </w:r>
          </w:p>
        </w:tc>
        <w:tc>
          <w:tcPr>
            <w:tcW w:w="7612" w:type="dxa"/>
            <w:tcBorders>
              <w:top w:val="single" w:color="auto" w:sz="4" w:space="0"/>
              <w:left w:val="single" w:color="auto" w:sz="4" w:space="0"/>
              <w:bottom w:val="single" w:color="auto" w:sz="4" w:space="0"/>
              <w:right w:val="single" w:color="auto" w:sz="4" w:space="0"/>
            </w:tcBorders>
            <w:vAlign w:val="center"/>
          </w:tcPr>
          <w:p w14:paraId="0BA1C8B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1、着重提醒各供应商注意，并认真查看招标文件中的每一个条款及要求，因误读招标文件而造成的后果，招标人概不负责。</w:t>
            </w:r>
          </w:p>
          <w:p w14:paraId="39C9526F">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2、供应商使用相同IP地址的，一经发现，相关部门将进一步核实，查实后按串通投标处理。</w:t>
            </w:r>
          </w:p>
          <w:p w14:paraId="7CB67154">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3、为保证本项目质量，良好的售后服务，最低报价不作为中标的唯一依据。</w:t>
            </w:r>
          </w:p>
          <w:p w14:paraId="4BAF009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2BCE0597">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5、如为信息系统采购项目，供应商不得为该整体项目或其中分项目前期工作提供过设计、编制、管理等服务的法人及附属单位。</w:t>
            </w:r>
          </w:p>
          <w:p w14:paraId="676DDE23">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单位负责人为同一人或者存在直接控股、管理关系的不同供应商，不得参加同一合同项下的政府采购活动。除单一来源采购项目外，为采购项目提供整理设计、规范编制或者项目管理、监理、检测等服务的供应商，不得再参加该采购项目的其他采购活动。</w:t>
            </w:r>
          </w:p>
          <w:p w14:paraId="0176588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7、其它：</w:t>
            </w:r>
          </w:p>
          <w:p w14:paraId="720FAA1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（1）投标企业严格遵守国家的法律法规及招标纪律，无违法违纪及商业贿赂行为。</w:t>
            </w:r>
          </w:p>
          <w:p w14:paraId="3B28983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（2）不管投标结果如何，供应商均应自行承担投标所需一切费用。</w:t>
            </w:r>
          </w:p>
          <w:p w14:paraId="1335B5DB">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（3）供应商应以书面形式保证中标后由本公司组织实施，不得以任何理由将项目转包给其他机构。</w:t>
            </w:r>
          </w:p>
          <w:p w14:paraId="77476E79">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（4）招标文件中如出现前后不一致情况，均以前附表内容为准。</w:t>
            </w:r>
          </w:p>
        </w:tc>
      </w:tr>
    </w:tbl>
    <w:p w14:paraId="352F2E7F">
      <w:pPr>
        <w:pageBreakBefore/>
        <w:spacing w:beforeLines="100" w:afterLines="100" w:line="340" w:lineRule="exact"/>
        <w:jc w:val="center"/>
        <w:outlineLvl w:val="1"/>
        <w:rPr>
          <w:rFonts w:ascii="仿宋" w:hAnsi="仿宋" w:eastAsia="仿宋" w:cs="仿宋"/>
          <w:b/>
          <w:color w:val="auto"/>
          <w:sz w:val="28"/>
          <w:szCs w:val="32"/>
          <w:highlight w:val="none"/>
          <w:lang w:eastAsia="zh-CN"/>
        </w:rPr>
      </w:pPr>
      <w:r>
        <w:rPr>
          <w:rFonts w:hint="eastAsia" w:ascii="仿宋" w:hAnsi="仿宋" w:eastAsia="仿宋" w:cs="仿宋"/>
          <w:b/>
          <w:color w:val="auto"/>
          <w:sz w:val="28"/>
          <w:szCs w:val="28"/>
          <w:highlight w:val="none"/>
          <w:lang w:eastAsia="zh-CN"/>
        </w:rPr>
        <w:t>二、供应商须知</w:t>
      </w:r>
    </w:p>
    <w:p w14:paraId="4388B59E">
      <w:pPr>
        <w:spacing w:line="340" w:lineRule="exact"/>
        <w:jc w:val="center"/>
        <w:outlineLvl w:val="2"/>
        <w:rPr>
          <w:rFonts w:ascii="仿宋" w:hAnsi="仿宋" w:eastAsia="仿宋" w:cs="仿宋"/>
          <w:color w:val="auto"/>
          <w:sz w:val="28"/>
          <w:szCs w:val="28"/>
          <w:highlight w:val="none"/>
          <w:lang w:eastAsia="zh-CN"/>
        </w:rPr>
      </w:pPr>
      <w:bookmarkStart w:id="0" w:name="_Toc469495724"/>
      <w:r>
        <w:rPr>
          <w:rFonts w:hint="eastAsia" w:ascii="仿宋" w:hAnsi="仿宋" w:eastAsia="仿宋" w:cs="仿宋"/>
          <w:b/>
          <w:color w:val="auto"/>
          <w:sz w:val="28"/>
          <w:szCs w:val="28"/>
          <w:highlight w:val="none"/>
          <w:lang w:eastAsia="zh-CN"/>
        </w:rPr>
        <w:t>（一）</w:t>
      </w:r>
      <w:r>
        <w:rPr>
          <w:rFonts w:hint="eastAsia" w:ascii="仿宋" w:hAnsi="仿宋" w:eastAsia="仿宋" w:cs="仿宋"/>
          <w:b/>
          <w:color w:val="auto"/>
          <w:sz w:val="28"/>
          <w:szCs w:val="32"/>
          <w:highlight w:val="none"/>
          <w:lang w:eastAsia="zh-CN"/>
        </w:rPr>
        <w:t>总  则</w:t>
      </w:r>
      <w:bookmarkEnd w:id="0"/>
    </w:p>
    <w:p w14:paraId="63D2CEAE">
      <w:pPr>
        <w:snapToGrid w:val="0"/>
        <w:spacing w:line="3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1.项目概况</w:t>
      </w:r>
    </w:p>
    <w:p w14:paraId="1000113C">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1.1本次招标采购项目名称：见供应商须知前附表。</w:t>
      </w:r>
    </w:p>
    <w:p w14:paraId="4B217991">
      <w:pPr>
        <w:snapToGrid w:val="0"/>
        <w:spacing w:line="440" w:lineRule="exact"/>
        <w:ind w:firstLine="2430" w:firstLineChars="10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项目编号：见供应商须知前附表。</w:t>
      </w:r>
    </w:p>
    <w:p w14:paraId="2492F7AB">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招标人：见供应商须知前附表。</w:t>
      </w:r>
    </w:p>
    <w:p w14:paraId="6AC0C719">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供货期：见供应商须知前附表。</w:t>
      </w:r>
    </w:p>
    <w:p w14:paraId="00E44901">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供货地点：见供应商须知前附表。</w:t>
      </w:r>
    </w:p>
    <w:p w14:paraId="11B209CC">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1.2招标人及联系人: 见供应商须知前附表。</w:t>
      </w:r>
    </w:p>
    <w:p w14:paraId="7E082DC2">
      <w:pPr>
        <w:snapToGrid w:val="0"/>
        <w:spacing w:line="440" w:lineRule="exact"/>
        <w:ind w:firstLine="607" w:firstLineChars="25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代理机构及联系人: 见供应商须知前附表。</w:t>
      </w:r>
    </w:p>
    <w:p w14:paraId="591E49DA">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1.3资金来源：见供应商须知前附表。</w:t>
      </w:r>
    </w:p>
    <w:p w14:paraId="520B6B7C">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1.4本项目预算：见供应商须知前附表。</w:t>
      </w:r>
    </w:p>
    <w:p w14:paraId="76B53F22">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1.5本项目控制价：见供应商须知前附表。</w:t>
      </w:r>
    </w:p>
    <w:p w14:paraId="708D507A">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2.招标范围：</w:t>
      </w:r>
    </w:p>
    <w:p w14:paraId="68D95F9F">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2.1 采购内容：见供应商须知前附表。</w:t>
      </w:r>
    </w:p>
    <w:p w14:paraId="37A012B6">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 技术要求：详见采购文件第四章采购内容及技术要求。</w:t>
      </w:r>
    </w:p>
    <w:p w14:paraId="27AACC6B">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3.标包划分：</w:t>
      </w:r>
    </w:p>
    <w:p w14:paraId="7FD1CD43">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3.1本项目划分：</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lang w:eastAsia="zh-CN"/>
        </w:rPr>
        <w:t>个包。</w:t>
      </w:r>
    </w:p>
    <w:p w14:paraId="61B5788E">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4.招标方式：</w:t>
      </w:r>
    </w:p>
    <w:p w14:paraId="3179758B">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4.1本项目招标方式：公开招标。</w:t>
      </w:r>
    </w:p>
    <w:p w14:paraId="7F347071">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5.计价方式：</w:t>
      </w:r>
    </w:p>
    <w:p w14:paraId="1345FB69">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5.1本次招标项目合同采用</w:t>
      </w:r>
      <w:r>
        <w:rPr>
          <w:rFonts w:hint="eastAsia" w:ascii="仿宋" w:hAnsi="仿宋" w:eastAsia="仿宋" w:cs="仿宋"/>
          <w:color w:val="auto"/>
          <w:szCs w:val="21"/>
          <w:highlight w:val="none"/>
          <w:u w:val="single"/>
          <w:lang w:eastAsia="zh-CN"/>
        </w:rPr>
        <w:t xml:space="preserve">  固定总价  。</w:t>
      </w:r>
    </w:p>
    <w:p w14:paraId="4CA5ECD8">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6.评标办法：</w:t>
      </w:r>
    </w:p>
    <w:p w14:paraId="689D9A0B">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6.1本次招标评标采用</w:t>
      </w:r>
      <w:r>
        <w:rPr>
          <w:rFonts w:hint="eastAsia" w:ascii="仿宋" w:hAnsi="仿宋" w:eastAsia="仿宋" w:cs="仿宋"/>
          <w:color w:val="auto"/>
          <w:szCs w:val="21"/>
          <w:highlight w:val="none"/>
          <w:u w:val="single"/>
          <w:lang w:eastAsia="zh-CN"/>
        </w:rPr>
        <w:t xml:space="preserve">  综合评分法 </w:t>
      </w:r>
      <w:r>
        <w:rPr>
          <w:rFonts w:hint="eastAsia" w:ascii="仿宋" w:hAnsi="仿宋" w:eastAsia="仿宋" w:cs="仿宋"/>
          <w:color w:val="auto"/>
          <w:szCs w:val="21"/>
          <w:highlight w:val="none"/>
          <w:lang w:eastAsia="zh-CN"/>
        </w:rPr>
        <w:t>（详见第三章评标办法）</w:t>
      </w:r>
    </w:p>
    <w:p w14:paraId="0F27EAF5">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7.供应商资格：</w:t>
      </w:r>
    </w:p>
    <w:p w14:paraId="0EE1AC39">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7.1参与采购活动的供应商必须是满足《中华人民共和国政府采购法》规定条件的法人、其他组织或者自然人：</w:t>
      </w:r>
    </w:p>
    <w:p w14:paraId="61AEF1D8">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7.2由于政府采购项目的差异性，供应商在参与具体政府采购项目活动时，应仔细阅读该项目的资质要求,具体见供应商须知前附表。</w:t>
      </w:r>
    </w:p>
    <w:p w14:paraId="6DD3FF54">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7.3根据电子化政府采购的特点，各供应商在开标前应确保成为新疆维吾尔自治区政府采购网正式注册入库供应商，</w:t>
      </w:r>
      <w:r>
        <w:rPr>
          <w:rFonts w:hint="eastAsia" w:ascii="仿宋" w:hAnsi="仿宋" w:eastAsia="仿宋" w:cs="仿宋"/>
          <w:color w:val="auto"/>
          <w:kern w:val="2"/>
          <w:highlight w:val="none"/>
          <w:lang w:eastAsia="zh-CN" w:bidi="ar-SA"/>
        </w:rPr>
        <w:t>(已在政采云平台其他省份入驻的供应商无须重复注册），</w:t>
      </w:r>
      <w:r>
        <w:rPr>
          <w:rFonts w:hint="eastAsia" w:ascii="仿宋" w:hAnsi="仿宋" w:eastAsia="仿宋" w:cs="仿宋"/>
          <w:color w:val="auto"/>
          <w:szCs w:val="21"/>
          <w:highlight w:val="none"/>
          <w:lang w:eastAsia="zh-CN"/>
        </w:rPr>
        <w:t>并完成CA数字证书申领。因未注册入库、未办理CA数字证书等原因造成无法投标或投标失败等后果由供应商自行承担。</w:t>
      </w:r>
    </w:p>
    <w:p w14:paraId="35135585">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7.4供应商必须确保自己在信息库中注册的信息真实、准确，并保证投标文件中的有关信息与库中的信息相一致。否则，供应商因此蒙受损失，招标人概不负责。</w:t>
      </w:r>
    </w:p>
    <w:p w14:paraId="0F125708">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8. 投标费用</w:t>
      </w:r>
    </w:p>
    <w:p w14:paraId="396C6958">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8.1供应商准备和参加投标活动发生的费用自理。</w:t>
      </w:r>
    </w:p>
    <w:p w14:paraId="6AB71CAD">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9.</w:t>
      </w:r>
      <w:bookmarkStart w:id="1" w:name="_Toc152045539"/>
      <w:bookmarkStart w:id="2" w:name="_Toc247592876"/>
      <w:bookmarkStart w:id="3" w:name="_Toc247527563"/>
      <w:bookmarkStart w:id="4" w:name="_Toc152042315"/>
      <w:bookmarkStart w:id="5" w:name="_Toc144974507"/>
      <w:bookmarkStart w:id="6" w:name="_Toc296602429"/>
      <w:bookmarkStart w:id="7" w:name="_Toc247513962"/>
      <w:r>
        <w:rPr>
          <w:rFonts w:hint="eastAsia" w:ascii="仿宋" w:hAnsi="仿宋" w:eastAsia="仿宋" w:cs="仿宋"/>
          <w:b/>
          <w:color w:val="auto"/>
          <w:szCs w:val="21"/>
          <w:highlight w:val="none"/>
          <w:lang w:eastAsia="zh-CN"/>
        </w:rPr>
        <w:t xml:space="preserve"> 踏勘现场</w:t>
      </w:r>
      <w:bookmarkEnd w:id="1"/>
      <w:bookmarkEnd w:id="2"/>
      <w:bookmarkEnd w:id="3"/>
      <w:bookmarkEnd w:id="4"/>
      <w:bookmarkEnd w:id="5"/>
      <w:bookmarkEnd w:id="6"/>
      <w:bookmarkEnd w:id="7"/>
    </w:p>
    <w:p w14:paraId="49434B19">
      <w:pPr>
        <w:spacing w:line="440" w:lineRule="exact"/>
        <w:ind w:firstLine="473" w:firstLineChars="195"/>
        <w:rPr>
          <w:rFonts w:ascii="仿宋" w:hAnsi="仿宋" w:eastAsia="仿宋" w:cs="仿宋"/>
          <w:b w:val="0"/>
          <w:bCs w:val="0"/>
          <w:color w:val="auto"/>
          <w:szCs w:val="21"/>
          <w:highlight w:val="none"/>
          <w:lang w:eastAsia="zh-CN"/>
        </w:rPr>
      </w:pPr>
      <w:r>
        <w:rPr>
          <w:rFonts w:hint="eastAsia" w:ascii="仿宋" w:hAnsi="仿宋" w:eastAsia="仿宋" w:cs="仿宋"/>
          <w:color w:val="auto"/>
          <w:szCs w:val="21"/>
          <w:highlight w:val="none"/>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auto"/>
          <w:highlight w:val="none"/>
          <w:lang w:eastAsia="zh-CN"/>
        </w:rPr>
        <w:t>供应商自行踏勘现场的，可咨询本项目采购人或采购代理机构联系人。</w:t>
      </w:r>
      <w:r>
        <w:rPr>
          <w:rFonts w:hint="eastAsia" w:ascii="仿宋" w:hAnsi="仿宋" w:eastAsia="仿宋" w:cs="仿宋"/>
          <w:b w:val="0"/>
          <w:bCs w:val="0"/>
          <w:color w:val="auto"/>
          <w:highlight w:val="none"/>
          <w:lang w:eastAsia="zh-CN"/>
        </w:rPr>
        <w:t>供应商自行踏勘现场的，可咨询本项目采购人或采购代理机构联系人。</w:t>
      </w:r>
      <w:r>
        <w:rPr>
          <w:rFonts w:hint="eastAsia" w:ascii="仿宋" w:hAnsi="仿宋" w:eastAsia="仿宋" w:cs="仿宋"/>
          <w:b w:val="0"/>
          <w:bCs w:val="0"/>
          <w:color w:val="auto"/>
          <w:szCs w:val="21"/>
          <w:highlight w:val="none"/>
          <w:lang w:eastAsia="zh-CN"/>
        </w:rPr>
        <w:t xml:space="preserve"> </w:t>
      </w:r>
    </w:p>
    <w:p w14:paraId="538F5B3B">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9.2 供应商踏勘现场发生的费用自理。</w:t>
      </w:r>
    </w:p>
    <w:p w14:paraId="5973CC34">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9.3 除招标人的原因外，供应商自行负责在踏勘现场中所发生的人员伤亡和财产损失。</w:t>
      </w:r>
    </w:p>
    <w:p w14:paraId="7EA8696F">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9.4 招标人在踏勘现场中介绍的场地和相关的周边环境情况，供供应商在编制投标文件时参考，招标人不对供应商据此作出的判断和决策负责。</w:t>
      </w:r>
      <w:bookmarkStart w:id="8" w:name="_Toc247513963"/>
      <w:bookmarkStart w:id="9" w:name="_Toc152045540"/>
      <w:bookmarkStart w:id="10" w:name="_Toc296602430"/>
      <w:bookmarkStart w:id="11" w:name="_Toc247592877"/>
      <w:bookmarkStart w:id="12" w:name="_Toc144974508"/>
      <w:bookmarkStart w:id="13" w:name="_Toc247527564"/>
      <w:bookmarkStart w:id="14" w:name="_Toc152042316"/>
    </w:p>
    <w:p w14:paraId="5CB3B46E">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10. 投标预备会</w:t>
      </w:r>
      <w:bookmarkEnd w:id="8"/>
      <w:bookmarkEnd w:id="9"/>
      <w:bookmarkEnd w:id="10"/>
      <w:bookmarkEnd w:id="11"/>
      <w:bookmarkEnd w:id="12"/>
      <w:bookmarkEnd w:id="13"/>
      <w:bookmarkEnd w:id="14"/>
    </w:p>
    <w:p w14:paraId="2F44A0B8">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10.1供应商须知前附表规定召开投标预备会的，招标人按供应商须知前附表规定的时间和地点召开投标预备会，澄清供应商提出的问题。</w:t>
      </w:r>
    </w:p>
    <w:p w14:paraId="159086B8">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10.2供应商应在供应商须知前附表规定的时间前，将提出的问题送达招标人，以便招标人澄清。</w:t>
      </w:r>
    </w:p>
    <w:p w14:paraId="49725320">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10.3招标人在供应商须知前附表规定的时间，将对供应商所提的问题进行澄清。该澄清内容为采购文件的组成部分。</w:t>
      </w:r>
    </w:p>
    <w:p w14:paraId="34FF337D">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11. 联合投标</w:t>
      </w:r>
    </w:p>
    <w:p w14:paraId="55473F95">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14:paraId="7BF9D957">
      <w:pPr>
        <w:spacing w:line="40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5F751CA3">
      <w:pPr>
        <w:spacing w:line="400" w:lineRule="exact"/>
        <w:ind w:firstLine="475" w:firstLineChars="196"/>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11.3 联合体应当确定其中一个单位为投标的全权代表，负责参加投标的一切事务，并承担投标及履约中应承担的全部责任与义务。</w:t>
      </w:r>
    </w:p>
    <w:p w14:paraId="6259F2BA">
      <w:pPr>
        <w:pStyle w:val="11"/>
        <w:spacing w:after="0" w:line="400" w:lineRule="exact"/>
        <w:ind w:left="0" w:leftChars="0" w:firstLine="490" w:firstLineChars="202"/>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11.4 联合体各方应当共同与招标人签订采购合同，就采购合同约定的事项对招标人承担连带责任。</w:t>
      </w:r>
    </w:p>
    <w:p w14:paraId="721CC787">
      <w:pPr>
        <w:spacing w:line="440" w:lineRule="exact"/>
        <w:ind w:firstLine="475" w:firstLineChars="196"/>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12.招标代理费:</w:t>
      </w:r>
      <w:r>
        <w:rPr>
          <w:rFonts w:hint="eastAsia" w:ascii="仿宋" w:hAnsi="仿宋" w:eastAsia="仿宋" w:cs="仿宋"/>
          <w:color w:val="auto"/>
          <w:szCs w:val="21"/>
          <w:highlight w:val="none"/>
          <w:lang w:eastAsia="zh-CN"/>
        </w:rPr>
        <w:t xml:space="preserve"> 见供应商须知前附表。</w:t>
      </w:r>
    </w:p>
    <w:p w14:paraId="4647BA98">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13.供应商应注意的事项</w:t>
      </w:r>
    </w:p>
    <w:p w14:paraId="550BDF38">
      <w:pPr>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color w:val="auto"/>
          <w:szCs w:val="21"/>
          <w:highlight w:val="none"/>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14:paraId="74FF8855">
      <w:pPr>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13.2 供应商对采购内容中规定的技术参数、规格等要求必须完全响应或优于采购文件中的要求。</w:t>
      </w:r>
    </w:p>
    <w:p w14:paraId="5267D8B5">
      <w:pPr>
        <w:spacing w:line="440" w:lineRule="exact"/>
        <w:ind w:firstLine="475" w:firstLineChars="196"/>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13.3所有供应商的投标保证金都应在采购文件规定的投标保证金缴纳截止日期前缴纳。</w:t>
      </w:r>
    </w:p>
    <w:p w14:paraId="64FC61AA">
      <w:pPr>
        <w:spacing w:line="440" w:lineRule="exact"/>
        <w:ind w:firstLine="475" w:firstLineChars="196"/>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13.4单位负责人为同一人或者存在直接控股、管理关系的不同供应商，不得参加同一合同项下的政府采购活动。</w:t>
      </w:r>
      <w:r>
        <w:rPr>
          <w:rFonts w:hint="eastAsia" w:ascii="仿宋" w:hAnsi="仿宋" w:eastAsia="仿宋" w:cs="仿宋"/>
          <w:color w:val="auto"/>
          <w:szCs w:val="21"/>
          <w:highlight w:val="none"/>
          <w:lang w:eastAsia="zh-CN"/>
        </w:rPr>
        <w:t>为采购项目提供整体设计、规范编制或者项目管理、监理、检测等服务的供应商，不得再参加该采购项目的其他采购活动。</w:t>
      </w:r>
    </w:p>
    <w:p w14:paraId="0B0ED77A">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bCs/>
          <w:color w:val="auto"/>
          <w:szCs w:val="21"/>
          <w:highlight w:val="none"/>
          <w:lang w:eastAsia="zh-CN"/>
        </w:rPr>
        <w:t>13.5本项目只接受</w:t>
      </w:r>
      <w:r>
        <w:rPr>
          <w:rFonts w:hint="eastAsia" w:ascii="仿宋" w:hAnsi="仿宋" w:eastAsia="仿宋" w:cs="仿宋"/>
          <w:color w:val="auto"/>
          <w:szCs w:val="21"/>
          <w:highlight w:val="none"/>
          <w:lang w:eastAsia="zh-CN"/>
        </w:rPr>
        <w:t>成为新疆维吾尔自治区政府采购网正式注册入库并完成CA数字证书申领供应商参与投标。因未注册入库、未办理CA数字证书等原因造成无法投标或投标失败等后果由供应商自行承担。</w:t>
      </w:r>
    </w:p>
    <w:p w14:paraId="20E05083">
      <w:pPr>
        <w:wordWrap w:val="0"/>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13.6  供应商被视为充分熟悉本招标项目所在地的与履行合同有关的各种情况，包括但不限于：</w:t>
      </w:r>
    </w:p>
    <w:p w14:paraId="65A780E7">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（1）国家对本次投标货物和服务的生产、安装调试、验收、维修等有关法律、法规及行业管理标准；</w:t>
      </w:r>
    </w:p>
    <w:p w14:paraId="2619455F">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（2）本地区有关管理部门的相关规定；</w:t>
      </w:r>
    </w:p>
    <w:p w14:paraId="0F15388A">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（3）招标人的相关场地情况、基础建设、电力供应情况及相关设计标准。</w:t>
      </w:r>
    </w:p>
    <w:p w14:paraId="31CB678B">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本采购文件不再对上述情况进行描述。</w:t>
      </w:r>
      <w:bookmarkStart w:id="15" w:name="_Toc469495725"/>
    </w:p>
    <w:p w14:paraId="54495BE4">
      <w:pPr>
        <w:spacing w:line="400" w:lineRule="exact"/>
        <w:ind w:firstLine="424" w:firstLineChars="150"/>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（二）</w:t>
      </w:r>
      <w:bookmarkEnd w:id="15"/>
      <w:r>
        <w:rPr>
          <w:rFonts w:hint="eastAsia" w:ascii="仿宋" w:hAnsi="仿宋" w:eastAsia="仿宋" w:cs="仿宋"/>
          <w:b/>
          <w:color w:val="auto"/>
          <w:sz w:val="28"/>
          <w:szCs w:val="28"/>
          <w:highlight w:val="none"/>
          <w:lang w:eastAsia="zh-CN"/>
        </w:rPr>
        <w:t>招标文件</w:t>
      </w:r>
    </w:p>
    <w:p w14:paraId="64D42F72">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15. 采购文件的编制依据</w:t>
      </w:r>
    </w:p>
    <w:p w14:paraId="76934574">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根据《中华人民共和国政府采购法》、《政府采购货物和服务招标投标管理办法》和《中华人民共和国民法典》</w:t>
      </w:r>
      <w:r>
        <w:rPr>
          <w:rFonts w:hint="eastAsia" w:ascii="仿宋" w:hAnsi="仿宋" w:eastAsia="仿宋" w:cs="仿宋"/>
          <w:color w:val="auto"/>
          <w:spacing w:val="-2"/>
          <w:szCs w:val="21"/>
          <w:highlight w:val="none"/>
          <w:lang w:eastAsia="zh-CN"/>
        </w:rPr>
        <w:t>等相关法律法规和规章及部、省、市级规范性文件的规定，编制本采购文件。</w:t>
      </w:r>
    </w:p>
    <w:p w14:paraId="6B0527EC">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16. 采购文件的组成</w:t>
      </w:r>
    </w:p>
    <w:p w14:paraId="69CBCD37">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16.1 采购文件包括内容：</w:t>
      </w:r>
    </w:p>
    <w:p w14:paraId="1A374B59">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第一章  招标公告</w:t>
      </w:r>
    </w:p>
    <w:p w14:paraId="69122976">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第二章  投标须知</w:t>
      </w:r>
    </w:p>
    <w:p w14:paraId="61E16461">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第三章  评标办法</w:t>
      </w:r>
    </w:p>
    <w:p w14:paraId="225520E9">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第四章  采购内容及技术要求</w:t>
      </w:r>
    </w:p>
    <w:p w14:paraId="56841642">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第五章  合同条款及格式</w:t>
      </w:r>
    </w:p>
    <w:p w14:paraId="496A3071">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第六章  投标文件格式文本</w:t>
      </w:r>
    </w:p>
    <w:p w14:paraId="732175E0">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16.2 除16.1内容外，招标答疑亦为采购文件的组成部分，对招标人和供应商起约束作用。</w:t>
      </w:r>
    </w:p>
    <w:p w14:paraId="62011664">
      <w:pPr>
        <w:pStyle w:val="13"/>
        <w:wordWrap w:val="0"/>
        <w:spacing w:line="4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14:paraId="3340646D">
      <w:pPr>
        <w:wordWrap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采购文件的澄清将在政采云平台“更正公告”栏目予以公告，但不指明澄清问题的来源。如果澄清内容影响投标文件编制的，将相应延长投标截止时间。</w:t>
      </w:r>
    </w:p>
    <w:p w14:paraId="2977B5C9">
      <w:pPr>
        <w:spacing w:line="440" w:lineRule="exact"/>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17. 采购文件的修改、补充、解释</w:t>
      </w:r>
    </w:p>
    <w:p w14:paraId="4DF120E3">
      <w:pPr>
        <w:wordWrap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14:paraId="52F19F50">
      <w:pPr>
        <w:wordWrap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4514F882">
      <w:pPr>
        <w:wordWrap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bCs/>
          <w:color w:val="auto"/>
          <w:szCs w:val="21"/>
          <w:highlight w:val="none"/>
          <w:lang w:eastAsia="zh-CN"/>
        </w:rPr>
        <w:t xml:space="preserve">17.3 </w:t>
      </w:r>
      <w:r>
        <w:rPr>
          <w:rFonts w:hint="eastAsia" w:ascii="仿宋" w:hAnsi="仿宋" w:eastAsia="仿宋" w:cs="仿宋"/>
          <w:color w:val="auto"/>
          <w:szCs w:val="21"/>
          <w:highlight w:val="none"/>
          <w:lang w:eastAsia="zh-CN"/>
        </w:rPr>
        <w:t>供应商在规定的时间内未对采购文件提出疑问、质疑或要求澄清的，将视其为无异议。</w:t>
      </w:r>
    </w:p>
    <w:p w14:paraId="45F50288">
      <w:pPr>
        <w:spacing w:line="400" w:lineRule="exact"/>
        <w:ind w:firstLine="243" w:firstLineChars="1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17.4 采购文件的解释</w:t>
      </w:r>
    </w:p>
    <w:p w14:paraId="38F458C4">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本采购文件由招标人（或其委托的招标代理机构）负责解释。</w:t>
      </w:r>
    </w:p>
    <w:p w14:paraId="52FB97E1">
      <w:pPr>
        <w:spacing w:line="40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 18. 采购文件的发出</w:t>
      </w:r>
    </w:p>
    <w:p w14:paraId="4A7A6093">
      <w:pPr>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18.1 采购文件、采购文件的澄清、修改、补充及招标答疑等均应报相关部门备案后，方可发出。</w:t>
      </w:r>
    </w:p>
    <w:p w14:paraId="53799E87">
      <w:pPr>
        <w:spacing w:line="440" w:lineRule="exact"/>
        <w:ind w:firstLine="243" w:firstLineChars="100"/>
        <w:rPr>
          <w:rFonts w:ascii="仿宋" w:hAnsi="仿宋" w:eastAsia="仿宋" w:cs="仿宋"/>
          <w:color w:val="auto"/>
          <w:szCs w:val="21"/>
          <w:highlight w:val="none"/>
          <w:lang w:eastAsia="zh-CN"/>
        </w:rPr>
      </w:pPr>
      <w:bookmarkStart w:id="16" w:name="_Toc469495726"/>
      <w:r>
        <w:rPr>
          <w:rFonts w:hint="eastAsia" w:ascii="仿宋" w:hAnsi="仿宋" w:eastAsia="仿宋" w:cs="仿宋"/>
          <w:b/>
          <w:color w:val="auto"/>
          <w:szCs w:val="21"/>
          <w:highlight w:val="none"/>
          <w:lang w:eastAsia="zh-CN"/>
        </w:rPr>
        <w:t xml:space="preserve">19. </w:t>
      </w:r>
      <w:r>
        <w:rPr>
          <w:rFonts w:hint="eastAsia" w:ascii="仿宋" w:hAnsi="仿宋" w:eastAsia="仿宋" w:cs="仿宋"/>
          <w:color w:val="auto"/>
          <w:szCs w:val="21"/>
          <w:highlight w:val="none"/>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14:paraId="26591D96">
      <w:pPr>
        <w:spacing w:beforeLines="100" w:afterLines="100" w:line="440" w:lineRule="exact"/>
        <w:jc w:val="center"/>
        <w:outlineLvl w:val="2"/>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（三）投标文件的编制</w:t>
      </w:r>
      <w:bookmarkEnd w:id="16"/>
    </w:p>
    <w:p w14:paraId="61159536">
      <w:pPr>
        <w:spacing w:line="440" w:lineRule="exact"/>
        <w:ind w:firstLine="352" w:firstLineChars="145"/>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20. 投标的语言及度量衡单位</w:t>
      </w:r>
    </w:p>
    <w:p w14:paraId="1FAF130B">
      <w:pPr>
        <w:spacing w:line="440" w:lineRule="exact"/>
        <w:ind w:firstLine="328" w:firstLineChars="13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20.1供应商提交的投标文件、技术文件和资料，以及供应商与招标人就有关投标的所有来往函电均应使用中文。投标文件中若有英文或其他语言文字的资料，应提供相应的中文翻译资料。对不同文本投标文件的解释发生异议的，以中文文本为准。</w:t>
      </w:r>
    </w:p>
    <w:p w14:paraId="52BD450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20.2除采购文件中另有规定外，投标书所使用的度量衡均须采用法定计量单位。</w:t>
      </w:r>
    </w:p>
    <w:p w14:paraId="612539D1">
      <w:pPr>
        <w:spacing w:line="400" w:lineRule="exact"/>
        <w:ind w:firstLine="237" w:firstLineChars="98"/>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21. 投标文件的组成</w:t>
      </w:r>
    </w:p>
    <w:p w14:paraId="03E4D4CB">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资格证明文件和商务及技术文件两部分。</w:t>
      </w:r>
    </w:p>
    <w:p w14:paraId="69C21981">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21.1资格证明文件（包括但不限于）</w:t>
      </w:r>
    </w:p>
    <w:p w14:paraId="0D1B09B9">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资格证明文件是证明供应商有资格参加投标和中标后有能力履行合同的文件，这些文件应能满足招标的要求，否则作无效投标处理。</w:t>
      </w:r>
    </w:p>
    <w:p w14:paraId="6E25ED6B">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1、法人或者非法人组织的营业执照等证明文件复印件（须加盖本单位章）或自然人的身份证明复印件;</w:t>
      </w:r>
    </w:p>
    <w:p w14:paraId="2616857C">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2、法定代表人资格证明书</w:t>
      </w:r>
    </w:p>
    <w:p w14:paraId="3657B432">
      <w:pPr>
        <w:spacing w:line="440" w:lineRule="exact"/>
        <w:ind w:firstLine="356" w:firstLineChars="14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3、法定代表人授权书</w:t>
      </w:r>
    </w:p>
    <w:p w14:paraId="172A2257">
      <w:pPr>
        <w:spacing w:line="440" w:lineRule="exact"/>
        <w:ind w:firstLine="356" w:firstLineChars="147"/>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、参加政府采购活动前3年内在经营活动中没有重大违法记录的书面声明;</w:t>
      </w:r>
    </w:p>
    <w:p w14:paraId="4EF53014">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、投标保证金缴纳凭证或投标担保函；</w:t>
      </w:r>
    </w:p>
    <w:p w14:paraId="2C93F46F">
      <w:pPr>
        <w:spacing w:line="440" w:lineRule="exact"/>
        <w:ind w:firstLine="356" w:firstLineChars="147"/>
        <w:rPr>
          <w:color w:val="auto"/>
          <w:highlight w:val="none"/>
          <w:lang w:eastAsia="zh-CN"/>
        </w:rPr>
      </w:pPr>
      <w:r>
        <w:rPr>
          <w:rFonts w:hint="eastAsia" w:ascii="仿宋" w:hAnsi="仿宋" w:eastAsia="仿宋" w:cs="仿宋"/>
          <w:color w:val="auto"/>
          <w:szCs w:val="21"/>
          <w:highlight w:val="none"/>
          <w:lang w:eastAsia="zh-CN"/>
        </w:rPr>
        <w:t>6、投标企业须提供投标人（被授权在职人员）近6个月内任意一个月有效的社保证明；</w:t>
      </w:r>
    </w:p>
    <w:p w14:paraId="0BE9244D">
      <w:pPr>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28BDF007">
      <w:pPr>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8、供应商须知前附表要求的其他资格证明文件。</w:t>
      </w:r>
    </w:p>
    <w:p w14:paraId="45988BCB">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21.2 商务及技术文件（包括但不限于）</w:t>
      </w:r>
    </w:p>
    <w:p w14:paraId="539BE507">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1、投标函</w:t>
      </w:r>
    </w:p>
    <w:p w14:paraId="7433B654">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2、开标一览表</w:t>
      </w:r>
    </w:p>
    <w:p w14:paraId="4FD21177">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3、货物说明一览表</w:t>
      </w:r>
    </w:p>
    <w:p w14:paraId="039F223B">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4、投标分项报价明细表</w:t>
      </w:r>
    </w:p>
    <w:p w14:paraId="65CB61F8">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5、技术规格偏离表</w:t>
      </w:r>
    </w:p>
    <w:p w14:paraId="0EE6D90A">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6、商务条款偏离表</w:t>
      </w:r>
    </w:p>
    <w:p w14:paraId="1F821876">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7、供应商基本情况表</w:t>
      </w:r>
    </w:p>
    <w:p w14:paraId="1E1A9722">
      <w:pPr>
        <w:spacing w:line="400" w:lineRule="exact"/>
        <w:ind w:firstLine="482" w:firstLineChars="199"/>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8、中标服务费支付承诺书</w:t>
      </w:r>
    </w:p>
    <w:p w14:paraId="515156DC">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9</w:t>
      </w:r>
      <w:r>
        <w:rPr>
          <w:rFonts w:hint="eastAsia" w:ascii="仿宋" w:hAnsi="仿宋" w:eastAsia="仿宋" w:cs="仿宋"/>
          <w:bCs/>
          <w:color w:val="auto"/>
          <w:szCs w:val="21"/>
          <w:highlight w:val="none"/>
          <w:lang w:eastAsia="zh-CN"/>
        </w:rPr>
        <w:t>、中小企业声明函(货物)</w:t>
      </w:r>
    </w:p>
    <w:p w14:paraId="0AB5F415">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10</w:t>
      </w:r>
      <w:r>
        <w:rPr>
          <w:rFonts w:hint="eastAsia" w:ascii="仿宋" w:hAnsi="仿宋" w:eastAsia="仿宋" w:cs="仿宋"/>
          <w:bCs/>
          <w:color w:val="auto"/>
          <w:szCs w:val="21"/>
          <w:highlight w:val="none"/>
          <w:lang w:eastAsia="zh-CN"/>
        </w:rPr>
        <w:t>、《残疾人福利性单位声明函》</w:t>
      </w:r>
    </w:p>
    <w:p w14:paraId="412BECFE">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11</w:t>
      </w:r>
      <w:r>
        <w:rPr>
          <w:rFonts w:hint="eastAsia" w:ascii="仿宋" w:hAnsi="仿宋" w:eastAsia="仿宋" w:cs="仿宋"/>
          <w:bCs/>
          <w:color w:val="auto"/>
          <w:szCs w:val="21"/>
          <w:highlight w:val="none"/>
          <w:lang w:eastAsia="zh-CN"/>
        </w:rPr>
        <w:t>、评分标准和细则中技术、</w:t>
      </w:r>
      <w:r>
        <w:rPr>
          <w:rFonts w:hint="eastAsia" w:ascii="仿宋" w:hAnsi="仿宋" w:eastAsia="仿宋" w:cs="仿宋"/>
          <w:bCs/>
          <w:color w:val="auto"/>
          <w:szCs w:val="21"/>
          <w:highlight w:val="none"/>
          <w:lang w:val="en-US" w:eastAsia="zh-CN"/>
        </w:rPr>
        <w:t>商务</w:t>
      </w:r>
      <w:r>
        <w:rPr>
          <w:rFonts w:hint="eastAsia" w:ascii="仿宋" w:hAnsi="仿宋" w:eastAsia="仿宋" w:cs="仿宋"/>
          <w:bCs/>
          <w:color w:val="auto"/>
          <w:szCs w:val="21"/>
          <w:highlight w:val="none"/>
          <w:lang w:eastAsia="zh-CN"/>
        </w:rPr>
        <w:t>部分证明材料</w:t>
      </w:r>
    </w:p>
    <w:p w14:paraId="72487BB7">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12</w:t>
      </w:r>
      <w:r>
        <w:rPr>
          <w:rFonts w:hint="eastAsia" w:ascii="仿宋" w:hAnsi="仿宋" w:eastAsia="仿宋" w:cs="仿宋"/>
          <w:bCs/>
          <w:color w:val="auto"/>
          <w:szCs w:val="21"/>
          <w:highlight w:val="none"/>
          <w:lang w:eastAsia="zh-CN"/>
        </w:rPr>
        <w:t>、供应商认为有必要提供的其他证明材料（格式自拟）</w:t>
      </w:r>
    </w:p>
    <w:p w14:paraId="3878EDD6">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u w:val="single"/>
          <w:lang w:eastAsia="zh-CN"/>
        </w:rPr>
        <w:t>注：以上材料须逐页加盖单位公章。</w:t>
      </w:r>
    </w:p>
    <w:p w14:paraId="53C1B4C4">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21.3投标文件的要求</w:t>
      </w:r>
    </w:p>
    <w:p w14:paraId="2B8145AD">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22257074">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（2）投标文件格式应按本采购文件第六章格式要求编制，不得对采购文件格式进行增删更改，否则按无效标处理。</w:t>
      </w:r>
    </w:p>
    <w:p w14:paraId="0B11DC09">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（3）对采购文件格式可更改的例外情况：采购文件第</w:t>
      </w:r>
      <w:r>
        <w:rPr>
          <w:rFonts w:hint="eastAsia" w:ascii="仿宋" w:hAnsi="仿宋" w:eastAsia="仿宋" w:cs="仿宋"/>
          <w:color w:val="auto"/>
          <w:szCs w:val="21"/>
          <w:highlight w:val="none"/>
          <w:lang w:val="en-US" w:eastAsia="zh-CN"/>
        </w:rPr>
        <w:t>六章</w:t>
      </w:r>
      <w:r>
        <w:rPr>
          <w:rFonts w:hint="eastAsia" w:ascii="仿宋" w:hAnsi="仿宋" w:eastAsia="仿宋" w:cs="仿宋"/>
          <w:color w:val="auto"/>
          <w:szCs w:val="21"/>
          <w:highlight w:val="none"/>
          <w:lang w:eastAsia="zh-CN"/>
        </w:rPr>
        <w:t xml:space="preserve">附件格式要求中明确规定表格中行数不够用时可按相同格式增加行数，其他一切内容和格式不得更改。 </w:t>
      </w:r>
    </w:p>
    <w:p w14:paraId="32C38E47">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（4）投标文件为电子投标文件，电子投标文件按“政采云供应商项目采购-电子招投标操作指南”及本采购文件要求制作、加密传输。</w:t>
      </w:r>
    </w:p>
    <w:p w14:paraId="38A16BEC">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（5）投标文件未在投标截止时间前完成传输的，视为投标文件撤回；投标文件未按时解密也未提供备份投标文件的，亦视为投标文件撤回。</w:t>
      </w:r>
    </w:p>
    <w:p w14:paraId="09A0B07E">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22</w:t>
      </w:r>
      <w:r>
        <w:rPr>
          <w:rFonts w:hint="eastAsia" w:ascii="仿宋" w:hAnsi="仿宋" w:eastAsia="仿宋" w:cs="仿宋"/>
          <w:color w:val="auto"/>
          <w:szCs w:val="21"/>
          <w:highlight w:val="none"/>
          <w:lang w:eastAsia="zh-CN"/>
        </w:rPr>
        <w:t>.</w:t>
      </w:r>
      <w:r>
        <w:rPr>
          <w:rFonts w:hint="eastAsia" w:ascii="仿宋" w:hAnsi="仿宋" w:eastAsia="仿宋" w:cs="仿宋"/>
          <w:b/>
          <w:color w:val="auto"/>
          <w:szCs w:val="21"/>
          <w:highlight w:val="none"/>
          <w:lang w:eastAsia="zh-CN"/>
        </w:rPr>
        <w:t>投标报价</w:t>
      </w:r>
    </w:p>
    <w:p w14:paraId="45EDB29E">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22.1投标报价文件中的单价和总价全部采用人民币表示。</w:t>
      </w:r>
    </w:p>
    <w:p w14:paraId="43D375BC">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22.2投标报价表上应清楚地标明供应商拟提供货物的名称、型号、生产厂家、数量、单价和总价。</w:t>
      </w:r>
    </w:p>
    <w:p w14:paraId="79899FD9">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22.3供应商只允许有一个方案、一个报价。</w:t>
      </w:r>
    </w:p>
    <w:p w14:paraId="42137DDF">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22.4供应商应按“采购内容及技术参数要求”所列货物逐项进行单价报价。综合单价包括：材料费、辅材费、运输费、管理费、利润、风险费用、代理费、调试、验收、培训及后期服务及国家对中标单位征收的各种税费等所有一切费用，综合单价今后将不作任何调整。</w:t>
      </w:r>
    </w:p>
    <w:p w14:paraId="3D9BD3D0">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22.6投标报价应由法定代表人或被授权人签署。</w:t>
      </w:r>
    </w:p>
    <w:p w14:paraId="315D868C">
      <w:pPr>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22.</w:t>
      </w:r>
      <w:r>
        <w:rPr>
          <w:rFonts w:hint="eastAsia" w:ascii="仿宋" w:hAnsi="仿宋" w:eastAsia="仿宋" w:cs="仿宋"/>
          <w:bCs/>
          <w:color w:val="auto"/>
          <w:szCs w:val="21"/>
          <w:highlight w:val="none"/>
          <w:lang w:val="en-US" w:eastAsia="zh-CN"/>
        </w:rPr>
        <w:t>7</w:t>
      </w:r>
      <w:r>
        <w:rPr>
          <w:rFonts w:hint="eastAsia" w:ascii="仿宋" w:hAnsi="仿宋" w:eastAsia="仿宋" w:cs="仿宋"/>
          <w:b/>
          <w:color w:val="auto"/>
          <w:szCs w:val="21"/>
          <w:highlight w:val="none"/>
          <w:lang w:eastAsia="zh-CN"/>
        </w:rPr>
        <w:t>供应商投标总报价，不得高于本次招标设置的最高限价，</w:t>
      </w:r>
      <w:r>
        <w:rPr>
          <w:rFonts w:hint="eastAsia" w:ascii="仿宋" w:hAnsi="仿宋" w:eastAsia="仿宋" w:cs="仿宋"/>
          <w:b/>
          <w:bCs/>
          <w:color w:val="auto"/>
          <w:szCs w:val="21"/>
          <w:highlight w:val="none"/>
          <w:lang w:eastAsia="zh-CN"/>
        </w:rPr>
        <w:t>否则将作为无效投标处理。</w:t>
      </w:r>
    </w:p>
    <w:p w14:paraId="33BD4F75">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如投标文件中未列明全面实现投标货物功能而必须配置的配套或辅助设施及相应技术措施的费用，这些费用将被视为已包含在总投标价中。</w:t>
      </w:r>
    </w:p>
    <w:p w14:paraId="194D6F72">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lang w:eastAsia="zh-CN"/>
        </w:rPr>
        <w:t>总投标价中不得包含采购文件要求以外的内容，否则，在评标时不予核减，但在授予合同时，招标人有权将这部分价格从其中标价格中扣除。</w:t>
      </w:r>
    </w:p>
    <w:p w14:paraId="23E1D763">
      <w:pPr>
        <w:spacing w:line="440" w:lineRule="exact"/>
        <w:ind w:firstLine="465" w:firstLineChars="192"/>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lang w:eastAsia="zh-CN"/>
        </w:rPr>
        <w:t xml:space="preserve">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06EB90CC">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23. 投标有效期</w:t>
      </w:r>
    </w:p>
    <w:p w14:paraId="676C0CAC">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23.1 除供应商须知前附表另有规定外，投标有效期为60天。</w:t>
      </w:r>
    </w:p>
    <w:p w14:paraId="45C01E34">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23.2在投标有效期内，供应商撤销或修改其投标文件的，应承担采购文件和法律规定的责任。</w:t>
      </w:r>
    </w:p>
    <w:p w14:paraId="02673A0C">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23.3出现特殊情况需要延长投标有效期的，招标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14:paraId="11A5D65A">
      <w:pPr>
        <w:spacing w:line="440" w:lineRule="exact"/>
        <w:ind w:firstLine="465" w:firstLineChars="192"/>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24. 投标保证金</w:t>
      </w:r>
    </w:p>
    <w:p w14:paraId="7E4D63F9">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24.1供应商须知前附表规定递交投标保证金的，供应商在递交投标文件的同时，应按供应商须知前附表规定的金额、担保形式和第六</w:t>
      </w:r>
      <w:r>
        <w:rPr>
          <w:rFonts w:hint="eastAsia" w:ascii="仿宋" w:hAnsi="仿宋" w:eastAsia="仿宋" w:cs="仿宋"/>
          <w:color w:val="auto"/>
          <w:szCs w:val="21"/>
          <w:highlight w:val="none"/>
          <w:lang w:val="en-US" w:eastAsia="zh-CN"/>
        </w:rPr>
        <w:t>章</w:t>
      </w:r>
      <w:r>
        <w:rPr>
          <w:rFonts w:hint="eastAsia" w:ascii="仿宋" w:hAnsi="仿宋" w:eastAsia="仿宋" w:cs="仿宋"/>
          <w:color w:val="auto"/>
          <w:szCs w:val="21"/>
          <w:highlight w:val="none"/>
          <w:lang w:eastAsia="zh-CN"/>
        </w:rPr>
        <w:t>“投标文件格式”规定的投标保证金格式递交投标保证金，并作为其投标文件的组成部分。供应商不按要求提交投标保证金的，评标委员会将否决其投标。</w:t>
      </w:r>
    </w:p>
    <w:p w14:paraId="6BCF18B8">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24.2自中标通知书发出之日起5个工作日内退还未中标供应商的投标保证金，自政府采购合同签订之日起5个工作日内退还中标人的投标保证金。</w:t>
      </w:r>
    </w:p>
    <w:p w14:paraId="4CE83CAF">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24.3有下列情形之一的，投标保证金将不予退还： </w:t>
      </w:r>
    </w:p>
    <w:p w14:paraId="587C0299">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（1）供应商在规定的投标有效期内撤回或修改其投标文件；</w:t>
      </w:r>
    </w:p>
    <w:p w14:paraId="3C544E9C">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（2）中标通知书发出后三十天内，中标人无正当理由拒签合同协议书或未按采购文件规定提交履约担保。</w:t>
      </w:r>
    </w:p>
    <w:p w14:paraId="13E08AF6">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（3）提供虚假材料谋取中标的；</w:t>
      </w:r>
    </w:p>
    <w:p w14:paraId="062DF318">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（4）经查实属于陪标、串通投标的等。</w:t>
      </w:r>
    </w:p>
    <w:p w14:paraId="296168AC">
      <w:pPr>
        <w:spacing w:line="400" w:lineRule="exact"/>
        <w:ind w:firstLine="486" w:firstLineChars="200"/>
        <w:rPr>
          <w:rFonts w:ascii="仿宋" w:hAnsi="仿宋" w:eastAsia="仿宋" w:cs="仿宋"/>
          <w:color w:val="auto"/>
          <w:szCs w:val="21"/>
          <w:highlight w:val="none"/>
          <w:lang w:eastAsia="zh-CN"/>
        </w:rPr>
      </w:pPr>
      <w:bookmarkStart w:id="17" w:name="_Toc469495727"/>
      <w:r>
        <w:rPr>
          <w:rFonts w:hint="eastAsia" w:ascii="仿宋" w:hAnsi="仿宋" w:eastAsia="仿宋" w:cs="仿宋"/>
          <w:color w:val="auto"/>
          <w:szCs w:val="21"/>
          <w:highlight w:val="none"/>
          <w:lang w:eastAsia="zh-CN"/>
        </w:rPr>
        <w:t>24.4投标保证金按供应商须知前附表第</w:t>
      </w:r>
      <w:r>
        <w:rPr>
          <w:rFonts w:hint="eastAsia" w:ascii="仿宋" w:hAnsi="仿宋" w:eastAsia="仿宋" w:cs="仿宋"/>
          <w:color w:val="auto"/>
          <w:szCs w:val="21"/>
          <w:highlight w:val="none"/>
          <w:lang w:val="en-US" w:eastAsia="zh-CN"/>
        </w:rPr>
        <w:t>13</w:t>
      </w:r>
      <w:r>
        <w:rPr>
          <w:rFonts w:hint="eastAsia" w:ascii="仿宋" w:hAnsi="仿宋" w:eastAsia="仿宋" w:cs="仿宋"/>
          <w:color w:val="auto"/>
          <w:szCs w:val="21"/>
          <w:highlight w:val="none"/>
          <w:lang w:eastAsia="zh-CN"/>
        </w:rPr>
        <w:t>条规定执行。</w:t>
      </w:r>
    </w:p>
    <w:p w14:paraId="1DEFF721">
      <w:pPr>
        <w:pStyle w:val="2"/>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（四）</w:t>
      </w:r>
      <w:bookmarkEnd w:id="17"/>
      <w:r>
        <w:rPr>
          <w:rFonts w:hint="eastAsia" w:ascii="仿宋" w:hAnsi="仿宋" w:eastAsia="仿宋" w:cs="仿宋"/>
          <w:color w:val="auto"/>
          <w:sz w:val="28"/>
          <w:szCs w:val="28"/>
          <w:highlight w:val="none"/>
          <w:lang w:eastAsia="zh-CN"/>
        </w:rPr>
        <w:t>投标文件的制作、上传及递交要求</w:t>
      </w:r>
    </w:p>
    <w:p w14:paraId="2C5D24BB">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eastAsia="zh-CN"/>
        </w:rPr>
        <w:t>25.投标文件的制作要求</w:t>
      </w:r>
    </w:p>
    <w:p w14:paraId="09B4560F">
      <w:pPr>
        <w:pStyle w:val="7"/>
        <w:snapToGrid w:val="0"/>
        <w:spacing w:line="360" w:lineRule="auto"/>
        <w:rPr>
          <w:rFonts w:ascii="仿宋" w:hAnsi="仿宋" w:eastAsia="仿宋" w:cs="仿宋"/>
          <w:color w:val="auto"/>
          <w:szCs w:val="24"/>
          <w:highlight w:val="none"/>
          <w:lang w:eastAsia="zh-CN"/>
        </w:rPr>
      </w:pPr>
      <w:r>
        <w:rPr>
          <w:rFonts w:hint="eastAsia" w:ascii="仿宋" w:hAnsi="仿宋" w:eastAsia="仿宋" w:cs="仿宋"/>
          <w:bCs/>
          <w:color w:val="auto"/>
          <w:szCs w:val="24"/>
          <w:highlight w:val="none"/>
          <w:lang w:eastAsia="zh-CN"/>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564B8041">
      <w:pPr>
        <w:pStyle w:val="7"/>
        <w:snapToGrid w:val="0"/>
        <w:spacing w:line="360" w:lineRule="auto"/>
        <w:ind w:firstLine="486" w:firstLineChars="200"/>
        <w:rPr>
          <w:rFonts w:ascii="仿宋" w:hAnsi="仿宋" w:eastAsia="仿宋" w:cs="仿宋"/>
          <w:color w:val="auto"/>
          <w:szCs w:val="24"/>
          <w:highlight w:val="none"/>
          <w:lang w:eastAsia="zh-CN"/>
        </w:rPr>
      </w:pPr>
      <w:r>
        <w:rPr>
          <w:rFonts w:hint="eastAsia" w:ascii="仿宋" w:hAnsi="仿宋" w:eastAsia="仿宋" w:cs="仿宋"/>
          <w:bCs/>
          <w:color w:val="auto"/>
          <w:szCs w:val="24"/>
          <w:highlight w:val="none"/>
          <w:lang w:eastAsia="zh-CN"/>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w:t>
      </w:r>
      <w:r>
        <w:rPr>
          <w:rFonts w:hint="eastAsia" w:ascii="仿宋" w:hAnsi="仿宋" w:eastAsia="仿宋" w:cs="仿宋"/>
          <w:bCs/>
          <w:color w:val="auto"/>
          <w:szCs w:val="24"/>
          <w:highlight w:val="none"/>
          <w:lang w:val="en-US" w:eastAsia="zh-CN"/>
        </w:rPr>
        <w:t>章</w:t>
      </w:r>
      <w:r>
        <w:rPr>
          <w:rFonts w:hint="eastAsia" w:ascii="仿宋" w:hAnsi="仿宋" w:eastAsia="仿宋" w:cs="仿宋"/>
          <w:bCs/>
          <w:color w:val="auto"/>
          <w:szCs w:val="24"/>
          <w:highlight w:val="none"/>
          <w:lang w:eastAsia="zh-CN"/>
        </w:rPr>
        <w:t>投标文件格式》未提供格式的，请供应商自行拟定格式，并加盖单位公章，否则视为未提供。</w:t>
      </w:r>
    </w:p>
    <w:p w14:paraId="0DFD7051">
      <w:pPr>
        <w:pStyle w:val="7"/>
        <w:snapToGrid w:val="0"/>
        <w:spacing w:line="360" w:lineRule="auto"/>
        <w:ind w:firstLine="486"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备份电子投标文件：通过“政采云”平台电子投标工具制作投标文件所产生的备份文件。</w:t>
      </w:r>
    </w:p>
    <w:p w14:paraId="4A3A6D7B">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（2）供应商应对所提供的全部资料的真实性、有效性承担法律责任，电子投标文件中所须加盖公章部分均采用CA签章。</w:t>
      </w:r>
    </w:p>
    <w:p w14:paraId="79877040">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（3）投标文件以及供应商与采购组织机构就有关投标事宜的所有来往函电，均应以中文汉语书写。除签章、盖章、专用名称等特殊情形外，以中文汉语以外的文字表述的投标文件视同未提供。</w:t>
      </w:r>
    </w:p>
    <w:p w14:paraId="25CE3DBB">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（4）投标计量单位，采购文件已有明确规定的，使用采购文件规定的计量单位；采购文件没有规定的，应采用中华人民共和国法定计量单位（货币单位：人民币元）。</w:t>
      </w:r>
    </w:p>
    <w:p w14:paraId="1CEE67ED">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（5）若供应商不按采购文件的要求提供资格审查材料，其风险由供应商自行承担。</w:t>
      </w:r>
    </w:p>
    <w:p w14:paraId="273987D4">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（6）与本次投标无关的内容请不要制作在内，确保投标文件有针对性、简洁明了。</w:t>
      </w:r>
    </w:p>
    <w:p w14:paraId="77396B69">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eastAsia="zh-CN"/>
        </w:rPr>
        <w:t>26.投标文件的上传</w:t>
      </w:r>
    </w:p>
    <w:p w14:paraId="436C91AC">
      <w:pPr>
        <w:pStyle w:val="7"/>
        <w:snapToGrid w:val="0"/>
        <w:spacing w:line="360" w:lineRule="auto"/>
        <w:rPr>
          <w:rFonts w:ascii="仿宋" w:hAnsi="仿宋" w:eastAsia="仿宋" w:cs="仿宋"/>
          <w:b/>
          <w:bCs/>
          <w:color w:val="auto"/>
          <w:szCs w:val="24"/>
          <w:highlight w:val="none"/>
          <w:lang w:eastAsia="zh-CN"/>
        </w:rPr>
      </w:pPr>
      <w:r>
        <w:rPr>
          <w:rFonts w:hint="eastAsia" w:ascii="仿宋" w:hAnsi="仿宋" w:eastAsia="仿宋" w:cs="仿宋"/>
          <w:b/>
          <w:bCs/>
          <w:color w:val="auto"/>
          <w:szCs w:val="24"/>
          <w:highlight w:val="none"/>
          <w:lang w:eastAsia="zh-CN"/>
        </w:rPr>
        <w:t>（1）</w:t>
      </w:r>
      <w:r>
        <w:rPr>
          <w:rFonts w:hint="eastAsia" w:ascii="仿宋" w:hAnsi="仿宋" w:eastAsia="仿宋" w:cs="仿宋"/>
          <w:b/>
          <w:bCs/>
          <w:color w:val="auto"/>
          <w:szCs w:val="24"/>
          <w:highlight w:val="none"/>
          <w:lang w:eastAsia="zh-CN" w:bidi="zh-CN"/>
        </w:rPr>
        <w:t>电子加密投标文件（“.jmbs”格式）</w:t>
      </w:r>
      <w:r>
        <w:rPr>
          <w:rFonts w:hint="eastAsia" w:ascii="仿宋" w:hAnsi="仿宋" w:eastAsia="仿宋" w:cs="仿宋"/>
          <w:b/>
          <w:bCs/>
          <w:color w:val="auto"/>
          <w:szCs w:val="24"/>
          <w:highlight w:val="none"/>
          <w:lang w:eastAsia="zh-CN"/>
        </w:rPr>
        <w:t>：</w:t>
      </w:r>
    </w:p>
    <w:p w14:paraId="22254A9A">
      <w:pPr>
        <w:pStyle w:val="7"/>
        <w:snapToGrid w:val="0"/>
        <w:spacing w:line="360" w:lineRule="auto"/>
        <w:ind w:firstLine="607" w:firstLineChars="250"/>
        <w:rPr>
          <w:rFonts w:ascii="仿宋" w:hAnsi="仿宋" w:eastAsia="仿宋" w:cs="仿宋"/>
          <w:bCs/>
          <w:color w:val="auto"/>
          <w:szCs w:val="24"/>
          <w:highlight w:val="none"/>
          <w:lang w:eastAsia="zh-CN" w:bidi="zh-CN"/>
        </w:rPr>
      </w:pPr>
      <w:r>
        <w:rPr>
          <w:rFonts w:hint="eastAsia" w:ascii="仿宋" w:hAnsi="仿宋" w:eastAsia="仿宋" w:cs="仿宋"/>
          <w:bCs/>
          <w:color w:val="auto"/>
          <w:szCs w:val="24"/>
          <w:highlight w:val="none"/>
          <w:lang w:eastAsia="zh-CN" w:bidi="zh-CN"/>
        </w:rPr>
        <w:t>a.</w:t>
      </w:r>
      <w:r>
        <w:rPr>
          <w:rFonts w:hint="eastAsia" w:ascii="仿宋" w:hAnsi="仿宋" w:eastAsia="仿宋" w:cs="仿宋"/>
          <w:bCs/>
          <w:color w:val="auto"/>
          <w:szCs w:val="24"/>
          <w:highlight w:val="none"/>
          <w:lang w:eastAsia="zh-CN"/>
        </w:rPr>
        <w:t xml:space="preserve"> </w:t>
      </w:r>
      <w:r>
        <w:rPr>
          <w:rFonts w:hint="eastAsia" w:ascii="仿宋" w:hAnsi="仿宋" w:eastAsia="仿宋" w:cs="仿宋"/>
          <w:bCs/>
          <w:color w:val="auto"/>
          <w:szCs w:val="24"/>
          <w:highlight w:val="none"/>
          <w:lang w:eastAsia="zh-CN" w:bidi="zh-CN"/>
        </w:rPr>
        <w:t>供应商应在投标截止时间前将电子加密投标文件成功上传递交至新疆政府采购云平台，否则投标无效；</w:t>
      </w:r>
    </w:p>
    <w:p w14:paraId="406F522C">
      <w:pPr>
        <w:pStyle w:val="7"/>
        <w:snapToGrid w:val="0"/>
        <w:spacing w:line="360" w:lineRule="auto"/>
        <w:ind w:firstLine="607" w:firstLineChars="25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bidi="zh-CN"/>
        </w:rPr>
        <w:t>b.供应商成功上传电子加密投标文件后，可自行打印投标文件接收回执。</w:t>
      </w:r>
    </w:p>
    <w:p w14:paraId="0C0BCBBC">
      <w:pPr>
        <w:pStyle w:val="7"/>
        <w:snapToGrid w:val="0"/>
        <w:spacing w:line="360" w:lineRule="auto"/>
        <w:rPr>
          <w:rFonts w:ascii="仿宋" w:hAnsi="仿宋" w:eastAsia="仿宋" w:cs="仿宋"/>
          <w:b/>
          <w:bCs/>
          <w:color w:val="auto"/>
          <w:szCs w:val="24"/>
          <w:highlight w:val="none"/>
          <w:lang w:eastAsia="zh-CN" w:bidi="zh-CN"/>
        </w:rPr>
      </w:pPr>
      <w:r>
        <w:rPr>
          <w:rFonts w:hint="eastAsia" w:ascii="仿宋" w:hAnsi="仿宋" w:eastAsia="仿宋" w:cs="仿宋"/>
          <w:b/>
          <w:bCs/>
          <w:color w:val="auto"/>
          <w:szCs w:val="24"/>
          <w:highlight w:val="none"/>
          <w:lang w:eastAsia="zh-CN"/>
        </w:rPr>
        <w:t>（2）</w:t>
      </w:r>
      <w:r>
        <w:rPr>
          <w:rFonts w:hint="eastAsia" w:ascii="仿宋" w:hAnsi="仿宋" w:eastAsia="仿宋" w:cs="仿宋"/>
          <w:b/>
          <w:bCs/>
          <w:color w:val="auto"/>
          <w:szCs w:val="24"/>
          <w:highlight w:val="none"/>
          <w:lang w:eastAsia="zh-CN" w:bidi="zh-CN"/>
        </w:rPr>
        <w:t>备份投标文件（“.bfbs”格式）：</w:t>
      </w:r>
    </w:p>
    <w:p w14:paraId="570A672C">
      <w:pPr>
        <w:pStyle w:val="7"/>
        <w:snapToGrid w:val="0"/>
        <w:spacing w:line="360" w:lineRule="auto"/>
        <w:ind w:firstLine="607" w:firstLineChars="250"/>
        <w:rPr>
          <w:rFonts w:ascii="仿宋" w:hAnsi="仿宋" w:eastAsia="仿宋" w:cs="仿宋"/>
          <w:color w:val="auto"/>
          <w:szCs w:val="24"/>
          <w:highlight w:val="none"/>
          <w:lang w:eastAsia="zh-CN" w:bidi="zh-CN"/>
        </w:rPr>
      </w:pPr>
      <w:r>
        <w:rPr>
          <w:rFonts w:hint="eastAsia" w:ascii="仿宋" w:hAnsi="仿宋" w:eastAsia="仿宋" w:cs="仿宋"/>
          <w:bCs/>
          <w:color w:val="auto"/>
          <w:szCs w:val="24"/>
          <w:highlight w:val="none"/>
          <w:lang w:eastAsia="zh-CN"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Cs w:val="24"/>
          <w:highlight w:val="none"/>
          <w:lang w:eastAsia="zh-CN" w:bidi="zh-CN"/>
        </w:rPr>
        <w:t>“备份投标文件”以投标截止时间前指定接收邮箱最终收到的文件为准，逾期或未按要求提供的视为未提供，建议供应商提前1日办理邮件提供事宜（接收人邮箱：</w:t>
      </w:r>
      <w:r>
        <w:rPr>
          <w:color w:val="auto"/>
          <w:highlight w:val="none"/>
        </w:rPr>
        <w:fldChar w:fldCharType="begin"/>
      </w:r>
      <w:r>
        <w:rPr>
          <w:color w:val="auto"/>
          <w:highlight w:val="none"/>
        </w:rPr>
        <w:instrText xml:space="preserve"> HYPERLINK "mailto:1207446769@qq.com，接收人：陈加轲，电话：15157655122" </w:instrText>
      </w:r>
      <w:r>
        <w:rPr>
          <w:color w:val="auto"/>
          <w:highlight w:val="none"/>
        </w:rPr>
        <w:fldChar w:fldCharType="separate"/>
      </w:r>
      <w:r>
        <w:rPr>
          <w:rFonts w:hint="eastAsia" w:ascii="仿宋" w:hAnsi="仿宋" w:eastAsia="仿宋" w:cs="仿宋"/>
          <w:color w:val="auto"/>
          <w:szCs w:val="24"/>
          <w:highlight w:val="none"/>
          <w:u w:val="single"/>
          <w:lang w:val="en-US" w:eastAsia="zh-CN" w:bidi="zh-CN"/>
        </w:rPr>
        <w:t>3265613387</w:t>
      </w:r>
      <w:r>
        <w:rPr>
          <w:rFonts w:hint="eastAsia" w:ascii="仿宋" w:hAnsi="仿宋" w:eastAsia="仿宋" w:cs="仿宋"/>
          <w:color w:val="auto"/>
          <w:szCs w:val="24"/>
          <w:highlight w:val="none"/>
          <w:u w:val="single"/>
          <w:lang w:eastAsia="zh-CN" w:bidi="zh-CN"/>
        </w:rPr>
        <w:t>@qq.com</w:t>
      </w:r>
      <w:r>
        <w:rPr>
          <w:rStyle w:val="29"/>
          <w:rFonts w:hint="eastAsia" w:ascii="仿宋" w:hAnsi="仿宋" w:eastAsia="仿宋" w:cs="仿宋"/>
          <w:color w:val="auto"/>
          <w:szCs w:val="24"/>
          <w:highlight w:val="none"/>
          <w:lang w:eastAsia="zh-CN" w:bidi="zh-CN"/>
        </w:rPr>
        <w:t>，接收人：</w:t>
      </w:r>
      <w:r>
        <w:rPr>
          <w:rFonts w:hint="eastAsia" w:ascii="仿宋" w:hAnsi="仿宋" w:eastAsia="仿宋" w:cs="仿宋"/>
          <w:color w:val="auto"/>
          <w:szCs w:val="24"/>
          <w:highlight w:val="none"/>
          <w:u w:val="single"/>
          <w:lang w:eastAsia="zh-CN" w:bidi="zh-CN"/>
        </w:rPr>
        <w:t>朱先生</w:t>
      </w:r>
      <w:r>
        <w:rPr>
          <w:rStyle w:val="29"/>
          <w:rFonts w:hint="eastAsia" w:ascii="仿宋" w:hAnsi="仿宋" w:eastAsia="仿宋" w:cs="仿宋"/>
          <w:color w:val="auto"/>
          <w:szCs w:val="24"/>
          <w:highlight w:val="none"/>
          <w:lang w:eastAsia="zh-CN" w:bidi="zh-CN"/>
        </w:rPr>
        <w:t>，电话：</w:t>
      </w:r>
      <w:r>
        <w:rPr>
          <w:rFonts w:hint="eastAsia" w:ascii="仿宋" w:hAnsi="仿宋" w:eastAsia="仿宋" w:cs="仿宋"/>
          <w:color w:val="auto"/>
          <w:szCs w:val="24"/>
          <w:highlight w:val="none"/>
          <w:u w:val="single"/>
          <w:lang w:eastAsia="zh-CN" w:bidi="zh-CN"/>
        </w:rPr>
        <w:t>1</w:t>
      </w:r>
      <w:r>
        <w:rPr>
          <w:rFonts w:hint="eastAsia" w:ascii="仿宋" w:hAnsi="仿宋" w:eastAsia="仿宋" w:cs="仿宋"/>
          <w:color w:val="auto"/>
          <w:szCs w:val="24"/>
          <w:highlight w:val="none"/>
          <w:u w:val="single"/>
          <w:lang w:eastAsia="zh-CN" w:bidi="zh-CN"/>
        </w:rPr>
        <w:fldChar w:fldCharType="end"/>
      </w:r>
      <w:r>
        <w:rPr>
          <w:rFonts w:hint="eastAsia" w:ascii="仿宋" w:hAnsi="仿宋" w:eastAsia="仿宋" w:cs="仿宋"/>
          <w:color w:val="auto"/>
          <w:szCs w:val="24"/>
          <w:highlight w:val="none"/>
          <w:u w:val="single"/>
          <w:lang w:eastAsia="zh-CN" w:bidi="zh-CN"/>
        </w:rPr>
        <w:t>8609088999</w:t>
      </w:r>
      <w:r>
        <w:rPr>
          <w:rFonts w:hint="eastAsia" w:ascii="仿宋" w:hAnsi="仿宋" w:eastAsia="仿宋" w:cs="仿宋"/>
          <w:color w:val="auto"/>
          <w:szCs w:val="24"/>
          <w:highlight w:val="none"/>
          <w:lang w:eastAsia="zh-CN" w:bidi="zh-CN"/>
        </w:rPr>
        <w:t>）；</w:t>
      </w:r>
    </w:p>
    <w:p w14:paraId="2AA41026">
      <w:pPr>
        <w:pStyle w:val="7"/>
        <w:snapToGrid w:val="0"/>
        <w:spacing w:line="360" w:lineRule="auto"/>
        <w:ind w:firstLine="607" w:firstLineChars="250"/>
        <w:rPr>
          <w:rFonts w:ascii="仿宋" w:hAnsi="仿宋" w:eastAsia="仿宋" w:cs="仿宋"/>
          <w:bCs/>
          <w:color w:val="auto"/>
          <w:szCs w:val="24"/>
          <w:highlight w:val="none"/>
          <w:lang w:eastAsia="zh-CN" w:bidi="zh-CN"/>
        </w:rPr>
      </w:pPr>
      <w:r>
        <w:rPr>
          <w:rFonts w:hint="eastAsia" w:ascii="仿宋" w:hAnsi="仿宋" w:eastAsia="仿宋" w:cs="仿宋"/>
          <w:bCs/>
          <w:color w:val="auto"/>
          <w:szCs w:val="24"/>
          <w:highlight w:val="none"/>
          <w:lang w:eastAsia="zh-CN"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30563A38">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eastAsia="zh-CN"/>
        </w:rPr>
        <w:t>27.</w:t>
      </w:r>
      <w:r>
        <w:rPr>
          <w:rFonts w:hint="eastAsia" w:ascii="仿宋" w:hAnsi="仿宋" w:eastAsia="仿宋" w:cs="仿宋"/>
          <w:b/>
          <w:color w:val="auto"/>
          <w:highlight w:val="none"/>
          <w:lang w:eastAsia="zh-CN"/>
        </w:rPr>
        <w:t>投标文件的递交要求</w:t>
      </w:r>
    </w:p>
    <w:p w14:paraId="4C617157">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（1）供应商须按照采购文件和政采云平台的要求编制并加密投标文件。在投标文件递交截止时间以前完成投标文件的传输递交，截止时间后递交的投标文件，将被拒收。</w:t>
      </w:r>
    </w:p>
    <w:p w14:paraId="73FB0C6C">
      <w:pPr>
        <w:tabs>
          <w:tab w:val="left" w:pos="1418"/>
        </w:tabs>
        <w:autoSpaceDE w:val="0"/>
        <w:autoSpaceDN w:val="0"/>
        <w:adjustRightInd w:val="0"/>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（2）备份电子投标文件必须在投标截止时间前送达指定的投标地点。备份电子投标文件在截止时间后提交，采购组织机构将拒绝接收。</w:t>
      </w:r>
    </w:p>
    <w:p w14:paraId="4D79D662">
      <w:pPr>
        <w:tabs>
          <w:tab w:val="left" w:pos="1418"/>
        </w:tabs>
        <w:autoSpaceDE w:val="0"/>
        <w:autoSpaceDN w:val="0"/>
        <w:adjustRightInd w:val="0"/>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（3）如有特殊情况，采购组织机构延长截止时间和开标时间，采购组织机构和供应商的权利和义务将受到新的截止时间和开标时间的约束。</w:t>
      </w:r>
    </w:p>
    <w:p w14:paraId="20170C74">
      <w:pPr>
        <w:snapToGrid w:val="0"/>
        <w:spacing w:line="360" w:lineRule="auto"/>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28．投标文件的补充、修改与撤回</w:t>
      </w:r>
    </w:p>
    <w:p w14:paraId="0AFB0B8F">
      <w:pPr>
        <w:tabs>
          <w:tab w:val="left" w:pos="960"/>
          <w:tab w:val="left" w:pos="1418"/>
        </w:tabs>
        <w:autoSpaceDE w:val="0"/>
        <w:autoSpaceDN w:val="0"/>
        <w:adjustRightInd w:val="0"/>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18" w:name="_Toc469495728"/>
    </w:p>
    <w:p w14:paraId="2EA987AF">
      <w:pPr>
        <w:tabs>
          <w:tab w:val="left" w:pos="960"/>
          <w:tab w:val="left" w:pos="1418"/>
        </w:tabs>
        <w:autoSpaceDE w:val="0"/>
        <w:autoSpaceDN w:val="0"/>
        <w:adjustRightInd w:val="0"/>
        <w:snapToGrid w:val="0"/>
        <w:spacing w:line="360" w:lineRule="auto"/>
        <w:ind w:firstLine="566" w:firstLineChars="200"/>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（五）开标、评标和定标</w:t>
      </w:r>
      <w:bookmarkEnd w:id="18"/>
    </w:p>
    <w:p w14:paraId="25DA2CB9">
      <w:pPr>
        <w:snapToGrid w:val="0"/>
        <w:spacing w:line="360" w:lineRule="auto"/>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29. 开标</w:t>
      </w:r>
    </w:p>
    <w:p w14:paraId="2A340AE1">
      <w:pPr>
        <w:snapToGrid w:val="0"/>
        <w:spacing w:line="360" w:lineRule="auto"/>
        <w:ind w:firstLine="486" w:firstLineChars="200"/>
        <w:rPr>
          <w:rFonts w:ascii="仿宋" w:hAnsi="仿宋" w:eastAsia="仿宋" w:cs="仿宋"/>
          <w:b/>
          <w:bCs/>
          <w:color w:val="auto"/>
          <w:highlight w:val="none"/>
          <w:lang w:eastAsia="zh-CN"/>
        </w:rPr>
      </w:pPr>
      <w:bookmarkStart w:id="19" w:name="_Toc73975822"/>
      <w:r>
        <w:rPr>
          <w:rFonts w:hint="eastAsia" w:ascii="仿宋" w:hAnsi="仿宋" w:eastAsia="仿宋" w:cs="仿宋"/>
          <w:b/>
          <w:bCs/>
          <w:color w:val="auto"/>
          <w:highlight w:val="none"/>
          <w:lang w:eastAsia="zh-CN"/>
        </w:rPr>
        <w:t>29.1开标邀请</w:t>
      </w:r>
      <w:bookmarkEnd w:id="19"/>
    </w:p>
    <w:p w14:paraId="50DA02F8">
      <w:pPr>
        <w:pStyle w:val="13"/>
        <w:snapToGrid w:val="0"/>
        <w:spacing w:line="360" w:lineRule="auto"/>
        <w:ind w:firstLine="486"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（1）开标准备：本项目开标的准备工作由采购组织机构负责落实，开标过程由采购组织机构负责记录；</w:t>
      </w:r>
    </w:p>
    <w:p w14:paraId="40C08B80">
      <w:pPr>
        <w:pStyle w:val="13"/>
        <w:snapToGrid w:val="0"/>
        <w:spacing w:line="360" w:lineRule="auto"/>
        <w:ind w:firstLine="486"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（2）开标主持:本项目开标由采购人或者采购代理机构主持；</w:t>
      </w:r>
    </w:p>
    <w:p w14:paraId="5E840787">
      <w:pPr>
        <w:pStyle w:val="13"/>
        <w:snapToGrid w:val="0"/>
        <w:spacing w:line="360" w:lineRule="auto"/>
        <w:ind w:firstLine="486" w:firstLineChars="200"/>
        <w:rPr>
          <w:rFonts w:ascii="仿宋" w:hAnsi="仿宋" w:eastAsia="仿宋" w:cs="仿宋"/>
          <w:color w:val="auto"/>
          <w:szCs w:val="24"/>
          <w:highlight w:val="none"/>
        </w:rPr>
      </w:pPr>
      <w:r>
        <w:rPr>
          <w:rFonts w:hint="eastAsia" w:ascii="仿宋" w:hAnsi="仿宋" w:eastAsia="仿宋" w:cs="仿宋"/>
          <w:color w:val="auto"/>
          <w:szCs w:val="24"/>
          <w:highlight w:val="none"/>
          <w:lang w:eastAsia="zh-CN"/>
        </w:rPr>
        <w:t>（3）</w:t>
      </w:r>
      <w:r>
        <w:rPr>
          <w:rFonts w:hint="eastAsia" w:ascii="仿宋" w:hAnsi="仿宋" w:eastAsia="仿宋" w:cs="仿宋"/>
          <w:color w:val="auto"/>
          <w:szCs w:val="24"/>
          <w:highlight w:val="none"/>
        </w:rPr>
        <w:t>开标邀请：本项目采用电子交易，采购组织机构将按照采购文件规定的时间通过“</w:t>
      </w:r>
      <w:r>
        <w:rPr>
          <w:rFonts w:hint="eastAsia" w:ascii="仿宋" w:hAnsi="仿宋" w:eastAsia="仿宋" w:cs="仿宋"/>
          <w:color w:val="auto"/>
          <w:szCs w:val="24"/>
          <w:highlight w:val="none"/>
          <w:lang w:eastAsia="zh-CN"/>
        </w:rPr>
        <w:t>新疆</w:t>
      </w:r>
      <w:r>
        <w:rPr>
          <w:rFonts w:hint="eastAsia" w:ascii="仿宋" w:hAnsi="仿宋" w:eastAsia="仿宋" w:cs="仿宋"/>
          <w:color w:val="auto"/>
          <w:szCs w:val="24"/>
          <w:highlight w:val="none"/>
        </w:rPr>
        <w:t>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29"/>
          <w:rFonts w:hint="eastAsia" w:ascii="仿宋" w:hAnsi="仿宋" w:eastAsia="仿宋" w:cs="仿宋"/>
          <w:color w:val="auto"/>
          <w:szCs w:val="24"/>
          <w:highlight w:val="none"/>
          <w:u w:val="none"/>
        </w:rPr>
        <w:t>www.zcygov.cn</w:t>
      </w:r>
      <w:r>
        <w:rPr>
          <w:rStyle w:val="29"/>
          <w:rFonts w:hint="eastAsia" w:ascii="仿宋" w:hAnsi="仿宋" w:eastAsia="仿宋" w:cs="仿宋"/>
          <w:color w:val="auto"/>
          <w:szCs w:val="24"/>
          <w:highlight w:val="none"/>
          <w:u w:val="none"/>
        </w:rPr>
        <w:fldChar w:fldCharType="end"/>
      </w:r>
      <w:r>
        <w:rPr>
          <w:rFonts w:hint="eastAsia" w:ascii="仿宋" w:hAnsi="仿宋" w:eastAsia="仿宋" w:cs="仿宋"/>
          <w:color w:val="auto"/>
          <w:szCs w:val="24"/>
          <w:highlight w:val="none"/>
        </w:rPr>
        <w:t>”组织开标、开启投标响应文件，所有供应商均应当准时在线参加。</w:t>
      </w:r>
    </w:p>
    <w:p w14:paraId="0B70BF02">
      <w:pPr>
        <w:pStyle w:val="13"/>
        <w:snapToGrid w:val="0"/>
        <w:spacing w:line="360" w:lineRule="auto"/>
        <w:ind w:firstLine="486" w:firstLineChars="200"/>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63DC6BC0">
      <w:pPr>
        <w:snapToGrid w:val="0"/>
        <w:spacing w:line="360" w:lineRule="auto"/>
        <w:ind w:firstLine="486" w:firstLineChars="200"/>
        <w:outlineLvl w:val="2"/>
        <w:rPr>
          <w:rFonts w:ascii="仿宋" w:hAnsi="仿宋" w:eastAsia="仿宋" w:cs="仿宋"/>
          <w:b/>
          <w:color w:val="auto"/>
          <w:highlight w:val="none"/>
          <w:lang w:eastAsia="zh-CN"/>
        </w:rPr>
      </w:pPr>
      <w:bookmarkStart w:id="20" w:name="_Toc73975823"/>
      <w:r>
        <w:rPr>
          <w:rFonts w:hint="eastAsia" w:ascii="仿宋" w:hAnsi="仿宋" w:eastAsia="仿宋" w:cs="仿宋"/>
          <w:b/>
          <w:color w:val="auto"/>
          <w:highlight w:val="none"/>
          <w:lang w:eastAsia="zh-CN"/>
        </w:rPr>
        <w:t>29.2</w:t>
      </w:r>
      <w:r>
        <w:rPr>
          <w:rFonts w:hint="eastAsia" w:ascii="仿宋" w:hAnsi="仿宋" w:eastAsia="仿宋" w:cs="仿宋"/>
          <w:b/>
          <w:bCs/>
          <w:color w:val="auto"/>
          <w:highlight w:val="none"/>
          <w:lang w:eastAsia="zh-CN"/>
        </w:rPr>
        <w:t>开标程序（先资格、商务技术后报价）</w:t>
      </w:r>
      <w:bookmarkEnd w:id="20"/>
    </w:p>
    <w:p w14:paraId="7A79AA1A">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（1）开标时间到后，主持人宣布开标会议开始。</w:t>
      </w:r>
    </w:p>
    <w:p w14:paraId="257D1659">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（2）投标文件解密（</w:t>
      </w:r>
      <w:r>
        <w:rPr>
          <w:rFonts w:hint="eastAsia" w:ascii="仿宋" w:hAnsi="仿宋" w:eastAsia="仿宋" w:cs="仿宋"/>
          <w:b/>
          <w:color w:val="auto"/>
          <w:highlight w:val="none"/>
          <w:lang w:eastAsia="zh-CN"/>
        </w:rPr>
        <w:t>解密规定见《供应商须知前附表》</w:t>
      </w:r>
      <w:r>
        <w:rPr>
          <w:rFonts w:hint="eastAsia" w:ascii="仿宋" w:hAnsi="仿宋" w:eastAsia="仿宋" w:cs="仿宋"/>
          <w:color w:val="auto"/>
          <w:highlight w:val="none"/>
          <w:lang w:eastAsia="zh-CN"/>
        </w:rPr>
        <w:t>）。</w:t>
      </w:r>
    </w:p>
    <w:p w14:paraId="3EF7C255">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（3）投标文件解密异常情况处理（</w:t>
      </w:r>
      <w:r>
        <w:rPr>
          <w:rFonts w:hint="eastAsia" w:ascii="仿宋" w:hAnsi="仿宋" w:eastAsia="仿宋" w:cs="仿宋"/>
          <w:b/>
          <w:color w:val="auto"/>
          <w:highlight w:val="none"/>
          <w:lang w:eastAsia="zh-CN"/>
        </w:rPr>
        <w:t>处理办法见《供应商须知前附表》</w:t>
      </w:r>
      <w:r>
        <w:rPr>
          <w:rFonts w:hint="eastAsia" w:ascii="仿宋" w:hAnsi="仿宋" w:eastAsia="仿宋" w:cs="仿宋"/>
          <w:color w:val="auto"/>
          <w:highlight w:val="none"/>
          <w:lang w:eastAsia="zh-CN"/>
        </w:rPr>
        <w:t>）。</w:t>
      </w:r>
    </w:p>
    <w:p w14:paraId="003B579D">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（4）公布投标文件解密情况（投标文件成功解密的供应商名单等信息），组织签署</w:t>
      </w:r>
      <w:r>
        <w:rPr>
          <w:rFonts w:hint="eastAsia" w:ascii="仿宋" w:hAnsi="仿宋" w:eastAsia="仿宋" w:cs="仿宋"/>
          <w:b/>
          <w:bCs/>
          <w:color w:val="auto"/>
          <w:highlight w:val="none"/>
          <w:lang w:eastAsia="zh-CN"/>
        </w:rPr>
        <w:t>《政府采购活动现场确认声明书》，供应商应在20分钟内通过邮件形式将经签署的《政府采购活动现场确认声明书》发送至采购代理机构指定邮箱</w:t>
      </w:r>
      <w:r>
        <w:rPr>
          <w:rFonts w:hint="eastAsia" w:ascii="仿宋" w:hAnsi="仿宋" w:eastAsia="仿宋" w:cs="仿宋"/>
          <w:b/>
          <w:bCs/>
          <w:color w:val="auto"/>
          <w:highlight w:val="none"/>
          <w:lang w:val="en-US" w:eastAsia="zh-CN"/>
        </w:rPr>
        <w:t>3265613387</w:t>
      </w:r>
      <w:r>
        <w:rPr>
          <w:rFonts w:hint="eastAsia" w:ascii="仿宋" w:hAnsi="仿宋" w:eastAsia="仿宋" w:cs="仿宋"/>
          <w:b/>
          <w:bCs/>
          <w:color w:val="auto"/>
          <w:highlight w:val="none"/>
          <w:lang w:eastAsia="zh-CN"/>
        </w:rPr>
        <w:t>@qq.com ，逾期发送或未发送的视为无异议</w:t>
      </w:r>
      <w:r>
        <w:rPr>
          <w:rFonts w:hint="eastAsia" w:ascii="仿宋" w:hAnsi="仿宋" w:eastAsia="仿宋" w:cs="仿宋"/>
          <w:color w:val="auto"/>
          <w:highlight w:val="none"/>
          <w:lang w:eastAsia="zh-CN"/>
        </w:rPr>
        <w:t>。</w:t>
      </w:r>
    </w:p>
    <w:p w14:paraId="28B7539F">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14:paraId="007F6E1E">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（6）商务技术评审结束后，主持人公布商务技术评审无效投标供应商名单和商务技术评审有效投标供应商名单及其商务技术得分情况。商务技术评审无效的供应商，其报价不再进入评审。</w:t>
      </w:r>
    </w:p>
    <w:p w14:paraId="04014318">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（7）开启有效投标供应商的报价，公布开标一览表有关内容，</w:t>
      </w:r>
      <w:r>
        <w:rPr>
          <w:rFonts w:hint="eastAsia" w:ascii="仿宋" w:hAnsi="仿宋" w:eastAsia="仿宋" w:cs="仿宋"/>
          <w:color w:val="auto"/>
          <w:highlight w:val="none"/>
          <w:lang w:eastAsia="zh-CN" w:bidi="zh-CN"/>
        </w:rPr>
        <w:t>并【开启签章时段】，供应商对开标记录进行在线签章确认（不予确认的应说明理由，否则视为无异议）</w:t>
      </w:r>
      <w:r>
        <w:rPr>
          <w:rFonts w:hint="eastAsia" w:ascii="仿宋" w:hAnsi="仿宋" w:eastAsia="仿宋" w:cs="仿宋"/>
          <w:color w:val="auto"/>
          <w:highlight w:val="none"/>
          <w:lang w:eastAsia="zh-CN"/>
        </w:rPr>
        <w:t>。开标结束后，由评标委员会对报价的合理性、准确性等进行审查核实。</w:t>
      </w:r>
    </w:p>
    <w:p w14:paraId="0E87D21D">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（8）评审结束后，采购代理机构在系统上公布评审结果。</w:t>
      </w:r>
    </w:p>
    <w:p w14:paraId="677F4AD3">
      <w:pPr>
        <w:snapToGrid w:val="0"/>
        <w:spacing w:line="360" w:lineRule="auto"/>
        <w:ind w:left="480"/>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特别情况说明：</w:t>
      </w:r>
    </w:p>
    <w:p w14:paraId="07D90CF6">
      <w:pPr>
        <w:snapToGrid w:val="0"/>
        <w:spacing w:line="360" w:lineRule="auto"/>
        <w:ind w:firstLine="429" w:firstLineChars="177"/>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（1）本项目采用电子交易，如遇“新疆政府采购云平台”电子化开标或评审程序调整的，按调整后程序执行。</w:t>
      </w:r>
    </w:p>
    <w:p w14:paraId="346D7151">
      <w:pPr>
        <w:snapToGrid w:val="0"/>
        <w:spacing w:line="360" w:lineRule="auto"/>
        <w:ind w:firstLine="429" w:firstLineChars="177"/>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auto"/>
          <w:highlight w:val="none"/>
          <w:u w:val="single"/>
          <w:lang w:eastAsia="zh-CN"/>
        </w:rPr>
        <w:t>请供应商保证办理投标事宜人员电话畅通、网络在线，签章或盖章确认的时间为20分钟。如未及时签章或盖章确认的，视为无异议</w:t>
      </w:r>
      <w:r>
        <w:rPr>
          <w:rFonts w:hint="eastAsia" w:ascii="仿宋" w:hAnsi="仿宋" w:eastAsia="仿宋" w:cs="仿宋"/>
          <w:b/>
          <w:color w:val="auto"/>
          <w:highlight w:val="none"/>
          <w:lang w:eastAsia="zh-CN"/>
        </w:rPr>
        <w:t>。</w:t>
      </w:r>
    </w:p>
    <w:p w14:paraId="330959B8">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29.3 投标供应商资格审查：</w:t>
      </w:r>
    </w:p>
    <w:p w14:paraId="72A1592D">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bCs/>
          <w:color w:val="auto"/>
          <w:highlight w:val="none"/>
          <w:lang w:eastAsia="zh-CN"/>
        </w:rPr>
        <w:t>开标（标书信息开启）后，采购人或采购代理机构或</w:t>
      </w:r>
      <w:r>
        <w:rPr>
          <w:rFonts w:hint="eastAsia" w:ascii="仿宋" w:hAnsi="仿宋" w:eastAsia="仿宋" w:cs="仿宋"/>
          <w:color w:val="auto"/>
          <w:highlight w:val="none"/>
          <w:lang w:eastAsia="zh-CN"/>
        </w:rPr>
        <w:t>评审小组</w:t>
      </w:r>
      <w:r>
        <w:rPr>
          <w:rFonts w:hint="eastAsia" w:ascii="仿宋" w:hAnsi="仿宋" w:eastAsia="仿宋" w:cs="仿宋"/>
          <w:bCs/>
          <w:color w:val="auto"/>
          <w:highlight w:val="none"/>
          <w:lang w:eastAsia="zh-CN"/>
        </w:rPr>
        <w:t>首先依法对投标供应商的资格文件进行审查，审查各投标供应商的资格符合情况。</w:t>
      </w:r>
      <w:r>
        <w:rPr>
          <w:rFonts w:hint="eastAsia" w:ascii="仿宋" w:hAnsi="仿宋" w:eastAsia="仿宋" w:cs="仿宋"/>
          <w:color w:val="auto"/>
          <w:highlight w:val="none"/>
          <w:lang w:eastAsia="zh-CN"/>
        </w:rPr>
        <w:t>采购人或采购代理机构</w:t>
      </w:r>
      <w:r>
        <w:rPr>
          <w:rFonts w:hint="eastAsia" w:ascii="仿宋" w:hAnsi="仿宋" w:eastAsia="仿宋" w:cs="仿宋"/>
          <w:bCs/>
          <w:color w:val="auto"/>
          <w:highlight w:val="none"/>
          <w:lang w:eastAsia="zh-CN"/>
        </w:rPr>
        <w:t>或</w:t>
      </w:r>
      <w:r>
        <w:rPr>
          <w:rFonts w:hint="eastAsia" w:ascii="仿宋" w:hAnsi="仿宋" w:eastAsia="仿宋" w:cs="仿宋"/>
          <w:color w:val="auto"/>
          <w:highlight w:val="none"/>
          <w:lang w:eastAsia="zh-CN"/>
        </w:rPr>
        <w:t>评审小组对投标供应商所提交的资格证明材料仅负审核的责任。如发现投标供应商所提交的资格证明材料不合法或与事实不符，采购人可取消其中标资格并追究投标供应商的法律责任。</w:t>
      </w:r>
    </w:p>
    <w:p w14:paraId="5595B6CC">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08C4AA7E">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（3）供应商信用记录查询与使用：见《供应商须知前附表》。</w:t>
      </w:r>
    </w:p>
    <w:p w14:paraId="59DABE94">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30.评审工作的组织</w:t>
      </w:r>
    </w:p>
    <w:p w14:paraId="32892450">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采购人或采购代理机构负责组织本项目的评审工作，并依据《政府采购货物和服务招标投标管理办法（财政部第87号令）》第四十五条的相关规定履行职责。</w:t>
      </w:r>
    </w:p>
    <w:p w14:paraId="4725B71A">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 评标委员会的组建</w:t>
      </w:r>
    </w:p>
    <w:p w14:paraId="256A1590">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31.1评标委员会由采购人或采购代理机构依法组建，成员由采购人代表1人和评审专家</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人，成员人数为</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人，其中评审专家不少于成员总数的三分之二。</w:t>
      </w:r>
    </w:p>
    <w:p w14:paraId="01839EE4">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31.2评审专家从新疆政府采购云平台专家库中通过随机方式抽取产生。评标委员会成员名单在采购结果公告前保密。</w:t>
      </w:r>
    </w:p>
    <w:p w14:paraId="1E40A7BF">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32.评标委员会的职责</w:t>
      </w:r>
    </w:p>
    <w:p w14:paraId="1012FC9A">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32.1审查、评价投标文件是否符合采购文件的商务、技术等实质性要求。</w:t>
      </w:r>
    </w:p>
    <w:p w14:paraId="26AA34CB">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32.2要求供应商对投标文件有关事项作出澄清或者说明。</w:t>
      </w:r>
    </w:p>
    <w:p w14:paraId="366D1844">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32.3对投标文件进行比较和评价。</w:t>
      </w:r>
    </w:p>
    <w:p w14:paraId="58F944BD">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32.4确定中标候选人名单，以及根据采购人委托直接确定中标人。</w:t>
      </w:r>
    </w:p>
    <w:p w14:paraId="08F7A8C7">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32.5向采购人、采购代理机构或者有关部门报告评审中发现的违法行为。</w:t>
      </w:r>
    </w:p>
    <w:p w14:paraId="37D6FAA6">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33. 评标原则</w:t>
      </w:r>
    </w:p>
    <w:p w14:paraId="46D7B567">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33.1评标委员会将遵循公平、公正、科学的原则，对供应商提交的投标文件进行综合评审，评标委员会按照采购文件规定的评标细则进行评分。</w:t>
      </w:r>
    </w:p>
    <w:p w14:paraId="35AA288F">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33.2客观公正对待所有供应商，对所有投标评价均采用相同的程序和标准。 </w:t>
      </w:r>
    </w:p>
    <w:p w14:paraId="1D20D2DC">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33.3评标委员会成员对需要共同认定的事项存在争议的，按照少数服从多数的原则作出结论。持不同意见的评标委员会成员应当在评审报告上签署不同意见及理由，否则视为同意评审报告。</w:t>
      </w:r>
    </w:p>
    <w:p w14:paraId="6B438829">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62EF5215">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非单一产品采购项目，采购人应当根据采购项目技术构成、产品价格比重等合理确定核心产品，并在采购文件中载明。多家供应商提供的核心产品品牌相同的，按前款规定处理。      </w:t>
      </w:r>
    </w:p>
    <w:p w14:paraId="3C0B784D">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34. 评委纪律</w:t>
      </w:r>
    </w:p>
    <w:p w14:paraId="3D7B0CB9">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委员会成员必须严格遵守保密规定，不得泄露评审的有关情况，任何单位和个人不得干扰、影响评标的正常进行，评标委员会成员不得私下与投标供应商接触，不得出现政府采购活动现场组织管理办法中规定的其他禁止行为。</w:t>
      </w:r>
    </w:p>
    <w:p w14:paraId="1943ED29">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35.评标程序</w:t>
      </w:r>
    </w:p>
    <w:p w14:paraId="53A93CE2">
      <w:pPr>
        <w:widowControl/>
        <w:spacing w:line="440" w:lineRule="exact"/>
        <w:ind w:left="243" w:leftChars="100" w:firstLine="0" w:firstLineChars="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35.1 在评审专家中推选评标委员会组长，采购人代表不得担任评标委员会组长。35.2 评标委员会组长召集成员认真阅读采购文件以及相关补充、质疑、答复文项目书面说明等材料，熟悉采购项目的基本概况，采购项目的质量要求、数量、主要技术标准或服务需求，采购合同主要条款，投标文件无效情形，评审方法、评审依据、评审标准等。</w:t>
      </w:r>
    </w:p>
    <w:p w14:paraId="73B4AA6D">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35.3 评审人员对符合资格的供应商的投标文件的有效性、符合性、完整性和响应程度进行审查，确定是否对采购文件作出实质性响应。</w:t>
      </w:r>
    </w:p>
    <w:p w14:paraId="73F194F4">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35.4 评审人员按采购文件规定的评审方法和评审标准，依法独立对供应商投标文件进行评估、比较，并给予评价或打分，不受任何单位和个人的干预。</w:t>
      </w:r>
    </w:p>
    <w:p w14:paraId="2F933952">
      <w:pPr>
        <w:widowControl/>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综合评分法货物项目的价格分值占总分值的比重(即权值)为</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lang w:eastAsia="zh-CN"/>
        </w:rPr>
        <w:t>％，采购项目中含不同采购对象的，以占项目资金比例最高的采购对象确定其项目属性。其价格不列为评分因素，有特殊情况需要在上述规定范围外设定价格分权重的。</w:t>
      </w:r>
    </w:p>
    <w:p w14:paraId="1E1BEE69">
      <w:pPr>
        <w:widowControl/>
        <w:spacing w:line="440" w:lineRule="exact"/>
        <w:ind w:firstLine="48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综合评分法中的价格分统一采用低价优先法计算，即满足招标文件要求且最后报价最低的供应商的价格为招标基准价，其价格分为满分。其他供应商的价格分统一按照下列公式计算：</w:t>
      </w:r>
    </w:p>
    <w:p w14:paraId="749F64DD">
      <w:pPr>
        <w:widowControl/>
        <w:spacing w:line="440" w:lineRule="exact"/>
        <w:ind w:firstLine="48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投标报价得分=（基准价/投标报价）×价格权值×100</w:t>
      </w:r>
    </w:p>
    <w:p w14:paraId="3A060ACD">
      <w:pPr>
        <w:widowControl/>
        <w:spacing w:line="440" w:lineRule="exact"/>
        <w:ind w:firstLine="48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项目评审过程中，不得去掉最后报价中的最高报价和最低报价。</w:t>
      </w:r>
    </w:p>
    <w:p w14:paraId="624EF9D2">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229BC2FD">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lang w:eastAsia="zh-CN"/>
        </w:rPr>
        <w:t>%以上的）情形的，应由相关人员当场改正或作出书面说明；拒不改正又不作书面说明的，由现场监督员如实记载后存入项目档案资料。</w:t>
      </w:r>
    </w:p>
    <w:p w14:paraId="56588386">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35.7 评标委员会根据评审汇总情况和采购文件规定确定中标候选供应商排序名单。</w:t>
      </w:r>
    </w:p>
    <w:p w14:paraId="6B8EE688">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35.8 起草评审报告，所有评审人员须在评审报告上签章确认，对自己的评审意见承担法律责任。 </w:t>
      </w:r>
    </w:p>
    <w:p w14:paraId="7089786D">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35.9 采购组织机构对评标委员会评审专家进行评价。</w:t>
      </w:r>
    </w:p>
    <w:p w14:paraId="4300A942">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35.10 修改评审结果</w:t>
      </w:r>
    </w:p>
    <w:p w14:paraId="734AB699">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评标结果汇总完成后，除下列情形外，任何人不得修改评标结果：</w:t>
      </w:r>
    </w:p>
    <w:p w14:paraId="49AA1D28">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（1）分值汇总计算错误的；</w:t>
      </w:r>
    </w:p>
    <w:p w14:paraId="7FA10EDF">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（2）分项评分超出评分标准范围的；</w:t>
      </w:r>
    </w:p>
    <w:p w14:paraId="7C7378D9">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（3）评标委员会成员对客观评审因素评分不一致的；</w:t>
      </w:r>
    </w:p>
    <w:p w14:paraId="2143E775">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（4）经评标委员会认定评分畸高、畸低的。</w:t>
      </w:r>
    </w:p>
    <w:p w14:paraId="37D3C30A">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61A6C3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36．澄清、说明或补正的形式</w:t>
      </w:r>
    </w:p>
    <w:p w14:paraId="55F93D9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Cs w:val="21"/>
          <w:highlight w:val="none"/>
          <w:lang w:eastAsia="zh-CN"/>
        </w:rPr>
        <w:t>投标供应商澄清、说明或补正时间为20分钟</w:t>
      </w:r>
      <w:r>
        <w:rPr>
          <w:rFonts w:hint="eastAsia" w:ascii="仿宋" w:hAnsi="仿宋" w:eastAsia="仿宋" w:cs="仿宋"/>
          <w:color w:val="auto"/>
          <w:szCs w:val="21"/>
          <w:highlight w:val="none"/>
          <w:lang w:eastAsia="zh-CN"/>
        </w:rPr>
        <w:t>。</w:t>
      </w:r>
    </w:p>
    <w:p w14:paraId="299D3D2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01AD34D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59A81BF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37．错误修正的原则</w:t>
      </w:r>
    </w:p>
    <w:p w14:paraId="4A14F979">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电子交易平台客户端里开标一览表录入的投标报价或优惠率与扫描上传的报价文件信息不一致的，以扫描上传的报价文件信息为准进行修正。</w:t>
      </w:r>
    </w:p>
    <w:p w14:paraId="3B6AEA2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投标文件报价出现前后不一致的，除采购文件另有规定外，按照下列规定修正：</w:t>
      </w:r>
    </w:p>
    <w:p w14:paraId="0585D99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37.1 投标函中表述的内容与报价表中不一致的，以报价表为准；报价表中的内容与报价明细表不一致的，以报价表为准；</w:t>
      </w:r>
    </w:p>
    <w:p w14:paraId="637D815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37.2 投标文件中的大写金额和小写金额不一致的，以大写金额为准；</w:t>
      </w:r>
    </w:p>
    <w:p w14:paraId="43E64FB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37.3 单价金额小数点有明显错位的，以开标一览表的总价为准，并修改单价；</w:t>
      </w:r>
    </w:p>
    <w:p w14:paraId="10A19CB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37.4 总价金额与按单价汇总金额不一致的，以单价金额计算结果为准；</w:t>
      </w:r>
    </w:p>
    <w:p w14:paraId="5E6B6CA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37.5 若用文字表示的数值与用数字表示的数值不一致，以文字表示的数值为准；</w:t>
      </w:r>
    </w:p>
    <w:p w14:paraId="3FAB034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37.6 如有多报（指数量超出采购文件需求）、重报（指同一货物重复报价），其投标总价在评标过程中不予调整，如其中标，其合同价按其投标单价予以调整；</w:t>
      </w:r>
    </w:p>
    <w:p w14:paraId="6656FA1C">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37.7 对不同文字文本投标文件的解释发生异议的，以中文文本为准；</w:t>
      </w:r>
    </w:p>
    <w:p w14:paraId="2093F4AF">
      <w:pPr>
        <w:spacing w:line="440" w:lineRule="exact"/>
        <w:ind w:firstLine="243" w:firstLineChars="100"/>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Cs w:val="21"/>
          <w:highlight w:val="none"/>
          <w:lang w:eastAsia="zh-CN"/>
        </w:rPr>
        <w:t>修正应当采用电子询标的形式，并加盖公章（电子印章）。</w:t>
      </w:r>
    </w:p>
    <w:p w14:paraId="7469B73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38．无效投标文件</w:t>
      </w:r>
    </w:p>
    <w:p w14:paraId="6F37355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有下列情形之一的，投标文件按无效标处理：</w:t>
      </w:r>
    </w:p>
    <w:p w14:paraId="347A11A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 报名的供应商与参加投标的供应商发生实质性变更的且未提供有效证明的；</w:t>
      </w:r>
    </w:p>
    <w:p w14:paraId="1E26FA2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38.2 供应商提交两份或两份以上内容不同的投标文件，未声明哪一份有效的；</w:t>
      </w:r>
    </w:p>
    <w:p w14:paraId="54AC9FF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38.3 投标文件非供应商法定代表人签署的，未提供或提供无效的法定代表人授权书；</w:t>
      </w:r>
    </w:p>
    <w:p w14:paraId="7CCE028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38.4 未按招标文件规定装订；</w:t>
      </w:r>
    </w:p>
    <w:p w14:paraId="38228D1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38.5 投标文件内容未按招标文件规定签章或盖章的；</w:t>
      </w:r>
    </w:p>
    <w:p w14:paraId="4A4A911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38.6 投标文件组成漏项或未按规定的格式编制或投标文件正、副本份数不足或内容不全或内容字迹模糊辨认不清的等而导致评标活动无法正常进行；</w:t>
      </w:r>
    </w:p>
    <w:p w14:paraId="7093D21C">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38.7 供应商未按招标文件变更通知更改投标文件的；</w:t>
      </w:r>
    </w:p>
    <w:p w14:paraId="0497C88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38.8 《开标一览表》和《投标分项报价表》内容不完整且不接受修正意见或字迹不能辨认的或未提供；</w:t>
      </w:r>
    </w:p>
    <w:p w14:paraId="4C66F6C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38.9 标项投标报价超过招标文件规定的预算金额或最高限价</w:t>
      </w:r>
    </w:p>
    <w:p w14:paraId="5569839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38.10 因供应商原因编制错误造成经评标委员会修正后的报价达到或超过投标报价的0.5%；</w:t>
      </w:r>
    </w:p>
    <w:p w14:paraId="5DF963D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38.11 供应商的报价明显低于其他通过符合性审查供应商的报价，有可能影响产品质量或者不能诚信履约的，且在规定时间内不能合理说明原因并提供证明材料的；</w:t>
      </w:r>
    </w:p>
    <w:p w14:paraId="717EDD8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38.12 未实质性响应招标文件中条款要求的投标文件；</w:t>
      </w:r>
    </w:p>
    <w:p w14:paraId="45D1683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38.13 不符合招标范围、技术规格、技术标准的要求无法满足采购人使用要求；</w:t>
      </w:r>
    </w:p>
    <w:p w14:paraId="23BD4A5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38.14 投标文件附有采购人不能接受的条款；</w:t>
      </w:r>
    </w:p>
    <w:p w14:paraId="78F544B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38.15 投标文件中提供了赠品或者与本项目采购无关的其他商品、服务；</w:t>
      </w:r>
    </w:p>
    <w:p w14:paraId="388388A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38.16 投标文件中承诺的投标有效期少于招标文件中载明的投标有效期；</w:t>
      </w:r>
    </w:p>
    <w:p w14:paraId="211863A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38.17供应商串通投标，妨碍其他供应商的竞争行为，损害采购人或者其他供应商的合法权益；</w:t>
      </w:r>
    </w:p>
    <w:p w14:paraId="3FCFF13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38.18违反国家及政府部门相关法律、法规、文件规定或经评标委员会认定的其他属于重大偏离；</w:t>
      </w:r>
    </w:p>
    <w:p w14:paraId="74A976F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39．废标</w:t>
      </w:r>
    </w:p>
    <w:p w14:paraId="719A4A6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39.1 符合招标文件规定废标情形的；</w:t>
      </w:r>
    </w:p>
    <w:p w14:paraId="4843A37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39.2 出现影响采购公正的违法、违规行为的；</w:t>
      </w:r>
    </w:p>
    <w:p w14:paraId="7F5F5EF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39.3 供应商的报价均超过了采购预算（或最高限价），采购人不能支付的;</w:t>
      </w:r>
    </w:p>
    <w:p w14:paraId="1BBB6A4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39.4 因重大变故，采购任务取消的。</w:t>
      </w:r>
    </w:p>
    <w:p w14:paraId="738F03D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40．突发情况处理</w:t>
      </w:r>
    </w:p>
    <w:p w14:paraId="41BBF63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40.1 采购过程中出现以下情形，导致电子交易平台无法正常运行，或者无法保证电子交易的公平、公正和安全时，采购组织机构可中止电子交易活动：</w:t>
      </w:r>
    </w:p>
    <w:p w14:paraId="133B421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（1）电子交易平台发生故障而无法登录访问的； </w:t>
      </w:r>
    </w:p>
    <w:p w14:paraId="379C2D6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（2）电子交易平台应用或数据库出现错误，不能进行正常操作的；</w:t>
      </w:r>
    </w:p>
    <w:p w14:paraId="1693097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（3）电子交易平台发现严重安全漏洞，有潜在泄密危险的；</w:t>
      </w:r>
    </w:p>
    <w:p w14:paraId="2F0F04F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（4）病毒发作导致不能进行正常操作的； </w:t>
      </w:r>
    </w:p>
    <w:p w14:paraId="1EB30B5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（5）其他无法保证电子交易的公平、公正和安全的情况。</w:t>
      </w:r>
    </w:p>
    <w:p w14:paraId="70C38CD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08AAE68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40.2 采购代理机构或评审小组因不可抗力（不可抗力包括但不限于自然灾害、断电、传播疫病等）原因造成电子交易活动无法正常运行的，将采取以下措施：</w:t>
      </w:r>
    </w:p>
    <w:p w14:paraId="2717C01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（1）短时间内能消除不可抗力因素的，采购代理机构或评审小组在消除不可抗力因素后继续组织电子交易活动； </w:t>
      </w:r>
    </w:p>
    <w:p w14:paraId="3E8D832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（2）长时间内无法消除不可抗力因素的，采购代理机构或评审小组将中止电子交易活动。中止电子交易活动的，采购人应当重新组织政府采购活动。</w:t>
      </w:r>
    </w:p>
    <w:p w14:paraId="58C3ABB0">
      <w:pPr>
        <w:snapToGrid w:val="0"/>
        <w:spacing w:line="360" w:lineRule="exact"/>
        <w:ind w:firstLine="421"/>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41. 定标</w:t>
      </w:r>
    </w:p>
    <w:p w14:paraId="6C47F9A2">
      <w:pPr>
        <w:spacing w:line="440" w:lineRule="exact"/>
        <w:ind w:firstLine="243" w:firstLineChars="100"/>
        <w:rPr>
          <w:rFonts w:ascii="仿宋" w:hAnsi="仿宋" w:eastAsia="仿宋" w:cs="仿宋"/>
          <w:color w:val="auto"/>
          <w:szCs w:val="21"/>
          <w:highlight w:val="none"/>
          <w:lang w:eastAsia="zh-CN"/>
        </w:rPr>
      </w:pPr>
      <w:bookmarkStart w:id="21" w:name="_Toc469495729"/>
      <w:r>
        <w:rPr>
          <w:rFonts w:hint="eastAsia" w:ascii="仿宋" w:hAnsi="仿宋" w:eastAsia="仿宋" w:cs="仿宋"/>
          <w:color w:val="auto"/>
          <w:szCs w:val="21"/>
          <w:highlight w:val="none"/>
          <w:lang w:eastAsia="zh-CN"/>
        </w:rPr>
        <w:t>41.1采购结果确认（确定中标供应商）</w:t>
      </w:r>
    </w:p>
    <w:p w14:paraId="3C77B15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采购结果确认（确定中标供应商）：本项目由采购人根据评标委员会提交的《评审报告》，通过“政府采购云平台”依法确认采购结果、确定中标供应商。具体流程如下：</w:t>
      </w:r>
    </w:p>
    <w:p w14:paraId="7319AA8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（1）采购代理机构将在评审结束后2个工作日内将评审报告送采购人。</w:t>
      </w:r>
    </w:p>
    <w:p w14:paraId="693E44D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（2）采购人将在收到评审报告之日起5个工作日内，在评审报告推荐的中标候选供应商名单中按顺序确定中标供应商，并将确认意见以书面形式回复采购代理机构。 </w:t>
      </w:r>
    </w:p>
    <w:p w14:paraId="655FAA1C">
      <w:pPr>
        <w:spacing w:line="440" w:lineRule="exact"/>
        <w:ind w:firstLine="243" w:firstLineChars="100"/>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41.2采购结果经采购人确认后2个工作日内，采购代理机构将在</w:t>
      </w:r>
      <w:r>
        <w:rPr>
          <w:rFonts w:hint="eastAsia" w:ascii="仿宋" w:hAnsi="仿宋" w:eastAsia="仿宋" w:cs="仿宋"/>
          <w:b/>
          <w:bCs/>
          <w:color w:val="auto"/>
          <w:szCs w:val="21"/>
          <w:highlight w:val="none"/>
          <w:lang w:eastAsia="zh-CN"/>
        </w:rPr>
        <w:t>新疆政府采购网（www.</w:t>
      </w:r>
      <w:r>
        <w:rPr>
          <w:rFonts w:hint="eastAsia" w:ascii="仿宋" w:hAnsi="仿宋" w:eastAsia="仿宋" w:cs="仿宋"/>
          <w:b/>
          <w:bCs/>
          <w:color w:val="auto"/>
          <w:szCs w:val="21"/>
          <w:highlight w:val="none"/>
          <w:lang w:val="en-US" w:eastAsia="zh-CN"/>
        </w:rPr>
        <w:t>x</w:t>
      </w:r>
      <w:r>
        <w:rPr>
          <w:rFonts w:hint="eastAsia" w:ascii="仿宋" w:hAnsi="仿宋" w:eastAsia="仿宋" w:cs="仿宋"/>
          <w:b/>
          <w:bCs/>
          <w:color w:val="auto"/>
          <w:szCs w:val="21"/>
          <w:highlight w:val="none"/>
          <w:lang w:eastAsia="zh-CN"/>
        </w:rPr>
        <w:t>jzfcg.gov.cn）、克州公共资源交易中心网上公告采购结果，中标公告期限为1个工作日。</w:t>
      </w:r>
    </w:p>
    <w:p w14:paraId="102E412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 中标通知书</w:t>
      </w:r>
    </w:p>
    <w:p w14:paraId="427F712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42.1在中标通知书发出前，招标人将中标侯选人的情况在克州公共资源交易中心网、新疆政府采购网予以公示，</w:t>
      </w:r>
      <w:r>
        <w:rPr>
          <w:rFonts w:hint="eastAsia" w:ascii="仿宋" w:hAnsi="仿宋" w:eastAsia="仿宋" w:cs="仿宋"/>
          <w:b/>
          <w:bCs/>
          <w:color w:val="auto"/>
          <w:szCs w:val="21"/>
          <w:highlight w:val="none"/>
          <w:lang w:eastAsia="zh-CN"/>
        </w:rPr>
        <w:t>公示期为一个工作日。待公示期结束后，</w:t>
      </w:r>
      <w:r>
        <w:rPr>
          <w:rFonts w:hint="eastAsia" w:ascii="仿宋" w:hAnsi="仿宋" w:eastAsia="仿宋" w:cs="仿宋"/>
          <w:color w:val="auto"/>
          <w:szCs w:val="21"/>
          <w:highlight w:val="none"/>
          <w:lang w:eastAsia="zh-CN"/>
        </w:rPr>
        <w:t>采购组织机构向中标人发出中标通知书。</w:t>
      </w:r>
    </w:p>
    <w:p w14:paraId="7C4DE40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73407A04">
      <w:pPr>
        <w:spacing w:beforeLines="50" w:line="440" w:lineRule="exact"/>
        <w:jc w:val="center"/>
        <w:outlineLvl w:val="2"/>
        <w:rPr>
          <w:rFonts w:ascii="仿宋" w:hAnsi="仿宋" w:eastAsia="仿宋" w:cs="仿宋"/>
          <w:b/>
          <w:bCs/>
          <w:color w:val="auto"/>
          <w:highlight w:val="none"/>
          <w:lang w:eastAsia="zh-CN"/>
        </w:rPr>
      </w:pPr>
      <w:r>
        <w:rPr>
          <w:rFonts w:hint="eastAsia" w:ascii="仿宋" w:hAnsi="仿宋" w:eastAsia="仿宋" w:cs="仿宋"/>
          <w:b/>
          <w:bCs/>
          <w:color w:val="auto"/>
          <w:sz w:val="28"/>
          <w:szCs w:val="28"/>
          <w:highlight w:val="none"/>
          <w:lang w:eastAsia="zh-CN"/>
        </w:rPr>
        <w:t>（六）合同的授予</w:t>
      </w:r>
      <w:bookmarkEnd w:id="21"/>
    </w:p>
    <w:p w14:paraId="28C20553">
      <w:pPr>
        <w:spacing w:line="440" w:lineRule="exact"/>
        <w:ind w:firstLine="243" w:firstLineChars="100"/>
        <w:rPr>
          <w:rFonts w:ascii="仿宋" w:hAnsi="仿宋" w:eastAsia="仿宋" w:cs="仿宋"/>
          <w:color w:val="auto"/>
          <w:szCs w:val="21"/>
          <w:highlight w:val="none"/>
          <w:lang w:eastAsia="zh-CN"/>
        </w:rPr>
      </w:pPr>
      <w:bookmarkStart w:id="22" w:name="_Toc73975842"/>
      <w:bookmarkStart w:id="23" w:name="_Toc469495730"/>
      <w:r>
        <w:rPr>
          <w:rFonts w:hint="eastAsia" w:ascii="仿宋" w:hAnsi="仿宋" w:eastAsia="仿宋" w:cs="仿宋"/>
          <w:color w:val="auto"/>
          <w:szCs w:val="21"/>
          <w:highlight w:val="none"/>
          <w:lang w:eastAsia="zh-CN"/>
        </w:rPr>
        <w:t>43．履约保证金</w:t>
      </w:r>
      <w:bookmarkEnd w:id="22"/>
    </w:p>
    <w:p w14:paraId="613287AC">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43.1 中标供应商在签订合同后10个工作日内向采购人缴纳不超过</w:t>
      </w:r>
      <w:r>
        <w:rPr>
          <w:rFonts w:hint="eastAsia" w:ascii="仿宋" w:hAnsi="仿宋" w:eastAsia="仿宋" w:cs="仿宋"/>
          <w:color w:val="auto"/>
          <w:szCs w:val="21"/>
          <w:highlight w:val="none"/>
          <w:u w:val="single"/>
          <w:lang w:eastAsia="zh-CN"/>
        </w:rPr>
        <w:t>中标合同价</w:t>
      </w:r>
      <w:r>
        <w:rPr>
          <w:rFonts w:hint="eastAsia" w:ascii="仿宋" w:hAnsi="仿宋" w:eastAsia="仿宋" w:cs="仿宋"/>
          <w:color w:val="auto"/>
          <w:szCs w:val="21"/>
          <w:highlight w:val="none"/>
          <w:u w:val="single"/>
          <w:lang w:val="en-US" w:eastAsia="zh-CN"/>
        </w:rPr>
        <w:t>10</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lang w:eastAsia="zh-CN"/>
        </w:rPr>
        <w:t>的履约保证金（鼓励以银行、保险公司出具的履约保函形式提交；若以电汇、银行转账方式提交的，必须转到采购人的指定账户）。</w:t>
      </w:r>
    </w:p>
    <w:p w14:paraId="210CA02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43.2 签订合同后，如中标供应商不按合同约定履约的，履约保证金不予退还，履约保证金不足以赔偿损失的，按实际损失赔偿。</w:t>
      </w:r>
    </w:p>
    <w:p w14:paraId="508539C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43.3 如果中标供应商在建设期内没有涉及采购人的应付而未付金额或违约行为，采购人在项目验收合格后或提前终止合同后全额无息退还履约保证金。</w:t>
      </w:r>
    </w:p>
    <w:p w14:paraId="4E0F72D5">
      <w:pPr>
        <w:spacing w:line="440" w:lineRule="exact"/>
        <w:ind w:firstLine="243" w:firstLineChars="100"/>
        <w:rPr>
          <w:rFonts w:ascii="仿宋" w:hAnsi="仿宋" w:eastAsia="仿宋" w:cs="仿宋"/>
          <w:color w:val="auto"/>
          <w:szCs w:val="21"/>
          <w:highlight w:val="none"/>
          <w:lang w:eastAsia="zh-CN"/>
        </w:rPr>
      </w:pPr>
      <w:bookmarkStart w:id="24" w:name="_Toc73975843"/>
      <w:r>
        <w:rPr>
          <w:rFonts w:hint="eastAsia" w:ascii="仿宋" w:hAnsi="仿宋" w:eastAsia="仿宋" w:cs="仿宋"/>
          <w:color w:val="auto"/>
          <w:szCs w:val="21"/>
          <w:highlight w:val="none"/>
          <w:lang w:eastAsia="zh-CN"/>
        </w:rPr>
        <w:t>44．签订合同及公告</w:t>
      </w:r>
      <w:bookmarkEnd w:id="24"/>
    </w:p>
    <w:p w14:paraId="1CA0C99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44.1采购人在中标通知书发出之日起30日内与中标供应商签订合同。</w:t>
      </w:r>
    </w:p>
    <w:p w14:paraId="6697120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44.2中标供应商拖延、拒签合同的,取消中标资格。</w:t>
      </w:r>
    </w:p>
    <w:p w14:paraId="0CC135E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44.3 采购文件、中标供应商的投标文件及评标过程中有关澄清文件等均作为签订合同的依据。所签订的合同不得对采购文件和中标供应商的投标文件的内容作实质性修改。</w:t>
      </w:r>
    </w:p>
    <w:p w14:paraId="6F802E1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44.4采购人应当自政府采购合同签订之日起2个工作日内，在省级以上财政部门指定的政府采购信息发布媒体及相关网站上公告。</w:t>
      </w:r>
    </w:p>
    <w:p w14:paraId="6E07203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44.5采购人应当自政府采购合同签订之日起7个工作日内，将政府采购合同副本报同级人民政府财政部门备案以及采购代理机构存档。</w:t>
      </w:r>
    </w:p>
    <w:p w14:paraId="77641DFF">
      <w:pPr>
        <w:adjustRightInd w:val="0"/>
        <w:snapToGrid w:val="0"/>
        <w:spacing w:line="440" w:lineRule="exact"/>
        <w:jc w:val="center"/>
        <w:outlineLvl w:val="2"/>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（七）纪律和监督</w:t>
      </w:r>
      <w:bookmarkEnd w:id="23"/>
    </w:p>
    <w:p w14:paraId="6BB512C7">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45. 对招标人的纪律要求 </w:t>
      </w:r>
    </w:p>
    <w:p w14:paraId="5D9513F4">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 xml:space="preserve">45.1招标人不得泄漏招标投标活动中应当保密的情况和资料，不得与供应商串通损害国家利益，社会公共利益或者他人合法权益。 </w:t>
      </w:r>
    </w:p>
    <w:p w14:paraId="0809F832">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46. 对供应商的纪律要求 </w:t>
      </w:r>
    </w:p>
    <w:p w14:paraId="526B4034">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46.1供应商不得相互串通投标或者与招标人串通投标，不得向招标人或者评标委员会成员行贿谋取中标，不得以他人名义投标或者以其他方式弄虚作假骗取中标；供应商不得以任何方式干扰、影响评标工作。</w:t>
      </w:r>
    </w:p>
    <w:p w14:paraId="7D9BFF67">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47. 对评标委员会成员的纪律要求 </w:t>
      </w:r>
    </w:p>
    <w:p w14:paraId="42F9CCE2">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47.1评标委员会成员不得收受他人的财物或者其他好处，不得向他人透漏对投标文件的评审和比较、中标候选人的推荐情况以及评标有关的其他情况。</w:t>
      </w:r>
    </w:p>
    <w:p w14:paraId="6ECA3B63">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 xml:space="preserve">47.2在评标活动中，评标委员会成员不得擅离职守，影响评标程序正常进行，不得使用第三章“评标办法”没有规定的评审因素和标准进行评标。 </w:t>
      </w:r>
    </w:p>
    <w:p w14:paraId="65C0E773">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48. 对与评标活动有关的工作人员的纪律要求 </w:t>
      </w:r>
    </w:p>
    <w:p w14:paraId="2E640D22">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33E5F48">
      <w:pPr>
        <w:spacing w:beforeLines="50" w:afterLines="50" w:line="320" w:lineRule="exact"/>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（八）质疑与投诉</w:t>
      </w:r>
    </w:p>
    <w:p w14:paraId="6B232E6E">
      <w:pPr>
        <w:spacing w:line="36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49．质疑和投诉</w:t>
      </w:r>
    </w:p>
    <w:p w14:paraId="4A899B45">
      <w:pPr>
        <w:spacing w:line="36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3C42E043">
      <w:pPr>
        <w:spacing w:line="36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（一）对可以质疑的采购文件提出质疑的，为收到采购文件之日或者采购文件公告期限届满之日；</w:t>
      </w:r>
    </w:p>
    <w:p w14:paraId="4B798F6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（二）对采购过程提出质疑的，为各采购程序环节结束之日；</w:t>
      </w:r>
    </w:p>
    <w:p w14:paraId="54F548F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（三）对中标或者成交结果提出质疑的，为中标或者成交结果公告期限届满之日。</w:t>
      </w:r>
    </w:p>
    <w:p w14:paraId="5929EDF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781C192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供应商为自然人的，应当由本人签章；供应商为法人或者其他组织的，应当由法定代表人、主要负责人，或者其授权代表签章或者盖章，并加盖公章。</w:t>
      </w:r>
    </w:p>
    <w:p w14:paraId="7CABA4E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49.3供应商质疑、投诉应当有明确的请求和必要的证明材料。供应商投诉的事项不得超出已质疑事项的范围。采购人及采购代理机构按《政府采购质疑和投诉办法》进行处理供应商质疑事项。</w:t>
      </w:r>
    </w:p>
    <w:p w14:paraId="0A15231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49.4质疑供应商对采购人、采购代理机构的质疑答复不满意，或者采购人、采购代理机构未在规定期限内作出答复的，供应商可以在答复期满后15个工作日内向同级财政部门提起投诉。</w:t>
      </w:r>
    </w:p>
    <w:p w14:paraId="309DC5A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49.5供应商有下列情形之一的，采购代理机构将报告阿图什市财政局，将其列入不良行为记录名单：</w:t>
      </w:r>
    </w:p>
    <w:p w14:paraId="3CE27A59">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（一）一年内三次以上质疑均查无实据的；</w:t>
      </w:r>
    </w:p>
    <w:p w14:paraId="1C574EA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（二）捏造事实或者提供虚假质疑材料的。</w:t>
      </w:r>
    </w:p>
    <w:p w14:paraId="03F801F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（三）以非法手段取得证明材料。证据来源的合法性存在明显疑问，质疑人无法证明其取得方式合法的，视为以非法手段取得证明材料。</w:t>
      </w:r>
    </w:p>
    <w:p w14:paraId="2A4C3517">
      <w:pPr>
        <w:spacing w:line="360" w:lineRule="exact"/>
        <w:jc w:val="center"/>
        <w:rPr>
          <w:rFonts w:ascii="仿宋" w:hAnsi="仿宋" w:eastAsia="仿宋" w:cs="仿宋"/>
          <w:color w:val="auto"/>
          <w:sz w:val="30"/>
          <w:szCs w:val="30"/>
          <w:highlight w:val="none"/>
          <w:lang w:eastAsia="zh-CN"/>
        </w:rPr>
      </w:pPr>
    </w:p>
    <w:p w14:paraId="558B2D31">
      <w:pPr>
        <w:pStyle w:val="34"/>
        <w:rPr>
          <w:rFonts w:ascii="仿宋" w:hAnsi="仿宋" w:eastAsia="仿宋" w:cs="仿宋"/>
          <w:color w:val="auto"/>
          <w:sz w:val="30"/>
          <w:szCs w:val="30"/>
          <w:highlight w:val="none"/>
          <w:lang w:eastAsia="zh-CN"/>
        </w:rPr>
      </w:pPr>
    </w:p>
    <w:p w14:paraId="287C7574">
      <w:pPr>
        <w:pStyle w:val="34"/>
        <w:rPr>
          <w:rFonts w:ascii="仿宋" w:hAnsi="仿宋" w:eastAsia="仿宋" w:cs="仿宋"/>
          <w:color w:val="auto"/>
          <w:sz w:val="30"/>
          <w:szCs w:val="30"/>
          <w:highlight w:val="none"/>
          <w:lang w:eastAsia="zh-CN"/>
        </w:rPr>
      </w:pPr>
    </w:p>
    <w:p w14:paraId="2E67CDA6">
      <w:pPr>
        <w:pStyle w:val="34"/>
        <w:rPr>
          <w:rFonts w:ascii="仿宋" w:hAnsi="仿宋" w:eastAsia="仿宋" w:cs="仿宋"/>
          <w:color w:val="auto"/>
          <w:sz w:val="30"/>
          <w:szCs w:val="30"/>
          <w:highlight w:val="none"/>
          <w:lang w:eastAsia="zh-CN"/>
        </w:rPr>
      </w:pPr>
    </w:p>
    <w:p w14:paraId="0FF9C2F4">
      <w:pPr>
        <w:pStyle w:val="34"/>
        <w:rPr>
          <w:rFonts w:ascii="仿宋" w:hAnsi="仿宋" w:eastAsia="仿宋" w:cs="仿宋"/>
          <w:color w:val="auto"/>
          <w:sz w:val="30"/>
          <w:szCs w:val="30"/>
          <w:highlight w:val="none"/>
          <w:lang w:eastAsia="zh-CN"/>
        </w:rPr>
      </w:pPr>
    </w:p>
    <w:p w14:paraId="5D38F8DA">
      <w:pPr>
        <w:pStyle w:val="34"/>
        <w:rPr>
          <w:rFonts w:ascii="仿宋" w:hAnsi="仿宋" w:eastAsia="仿宋" w:cs="仿宋"/>
          <w:color w:val="auto"/>
          <w:sz w:val="30"/>
          <w:szCs w:val="30"/>
          <w:highlight w:val="none"/>
          <w:lang w:eastAsia="zh-CN"/>
        </w:rPr>
      </w:pPr>
    </w:p>
    <w:p w14:paraId="2900B51E">
      <w:pPr>
        <w:pStyle w:val="34"/>
        <w:rPr>
          <w:rFonts w:ascii="仿宋" w:hAnsi="仿宋" w:eastAsia="仿宋" w:cs="仿宋"/>
          <w:color w:val="auto"/>
          <w:sz w:val="30"/>
          <w:szCs w:val="30"/>
          <w:highlight w:val="none"/>
          <w:lang w:eastAsia="zh-CN"/>
        </w:rPr>
      </w:pPr>
    </w:p>
    <w:p w14:paraId="39E8CC06">
      <w:pPr>
        <w:pStyle w:val="34"/>
        <w:rPr>
          <w:rFonts w:ascii="仿宋" w:hAnsi="仿宋" w:eastAsia="仿宋" w:cs="仿宋"/>
          <w:color w:val="auto"/>
          <w:sz w:val="30"/>
          <w:szCs w:val="30"/>
          <w:highlight w:val="none"/>
          <w:lang w:eastAsia="zh-CN"/>
        </w:rPr>
      </w:pPr>
    </w:p>
    <w:p w14:paraId="18335361">
      <w:pPr>
        <w:pStyle w:val="34"/>
        <w:rPr>
          <w:rFonts w:ascii="仿宋" w:hAnsi="仿宋" w:eastAsia="仿宋" w:cs="仿宋"/>
          <w:color w:val="auto"/>
          <w:sz w:val="30"/>
          <w:szCs w:val="30"/>
          <w:highlight w:val="none"/>
          <w:lang w:eastAsia="zh-CN"/>
        </w:rPr>
      </w:pPr>
    </w:p>
    <w:p w14:paraId="01F5B75F">
      <w:pPr>
        <w:pStyle w:val="34"/>
        <w:rPr>
          <w:rFonts w:ascii="仿宋" w:hAnsi="仿宋" w:eastAsia="仿宋" w:cs="仿宋"/>
          <w:color w:val="auto"/>
          <w:sz w:val="30"/>
          <w:szCs w:val="30"/>
          <w:highlight w:val="none"/>
          <w:lang w:eastAsia="zh-CN"/>
        </w:rPr>
      </w:pPr>
    </w:p>
    <w:p w14:paraId="2287EF52">
      <w:pPr>
        <w:pStyle w:val="34"/>
        <w:rPr>
          <w:rFonts w:ascii="仿宋" w:hAnsi="仿宋" w:eastAsia="仿宋" w:cs="仿宋"/>
          <w:color w:val="auto"/>
          <w:sz w:val="30"/>
          <w:szCs w:val="30"/>
          <w:highlight w:val="none"/>
          <w:lang w:eastAsia="zh-CN"/>
        </w:rPr>
      </w:pPr>
    </w:p>
    <w:p w14:paraId="64FA47B3">
      <w:pPr>
        <w:pStyle w:val="34"/>
        <w:rPr>
          <w:rFonts w:ascii="仿宋" w:hAnsi="仿宋" w:eastAsia="仿宋" w:cs="仿宋"/>
          <w:color w:val="auto"/>
          <w:sz w:val="30"/>
          <w:szCs w:val="30"/>
          <w:highlight w:val="none"/>
          <w:lang w:eastAsia="zh-CN"/>
        </w:rPr>
      </w:pPr>
    </w:p>
    <w:p w14:paraId="6E3D915C">
      <w:pPr>
        <w:pStyle w:val="34"/>
        <w:rPr>
          <w:rFonts w:ascii="仿宋" w:hAnsi="仿宋" w:eastAsia="仿宋" w:cs="仿宋"/>
          <w:color w:val="auto"/>
          <w:sz w:val="30"/>
          <w:szCs w:val="30"/>
          <w:highlight w:val="none"/>
          <w:lang w:eastAsia="zh-CN"/>
        </w:rPr>
      </w:pPr>
    </w:p>
    <w:p w14:paraId="364AB2C2">
      <w:pPr>
        <w:pStyle w:val="34"/>
        <w:rPr>
          <w:rFonts w:ascii="仿宋" w:hAnsi="仿宋" w:eastAsia="仿宋" w:cs="仿宋"/>
          <w:color w:val="auto"/>
          <w:sz w:val="30"/>
          <w:szCs w:val="30"/>
          <w:highlight w:val="none"/>
          <w:lang w:eastAsia="zh-CN"/>
        </w:rPr>
      </w:pPr>
    </w:p>
    <w:p w14:paraId="5F9095AF">
      <w:pPr>
        <w:pStyle w:val="34"/>
        <w:rPr>
          <w:rFonts w:ascii="仿宋" w:hAnsi="仿宋" w:eastAsia="仿宋" w:cs="仿宋"/>
          <w:color w:val="auto"/>
          <w:sz w:val="30"/>
          <w:szCs w:val="30"/>
          <w:highlight w:val="none"/>
          <w:lang w:eastAsia="zh-CN"/>
        </w:rPr>
      </w:pPr>
    </w:p>
    <w:p w14:paraId="17DFBCDA">
      <w:pPr>
        <w:rPr>
          <w:rFonts w:hint="eastAsia" w:ascii="仿宋" w:hAnsi="仿宋" w:eastAsia="仿宋" w:cs="仿宋"/>
          <w:b/>
          <w:bCs/>
          <w:color w:val="auto"/>
          <w:highlight w:val="none"/>
          <w:lang w:eastAsia="zh-CN"/>
        </w:rPr>
      </w:pPr>
    </w:p>
    <w:p w14:paraId="62908AA6">
      <w:pPr>
        <w:rPr>
          <w:rFonts w:hint="eastAsia" w:ascii="仿宋" w:hAnsi="仿宋" w:eastAsia="仿宋" w:cs="仿宋"/>
          <w:b/>
          <w:bCs/>
          <w:color w:val="auto"/>
          <w:highlight w:val="none"/>
          <w:lang w:eastAsia="zh-CN"/>
        </w:rPr>
      </w:pPr>
    </w:p>
    <w:p w14:paraId="06439EEB">
      <w:pPr>
        <w:rPr>
          <w:rFonts w:hint="eastAsia" w:ascii="仿宋" w:hAnsi="仿宋" w:eastAsia="仿宋" w:cs="仿宋"/>
          <w:b/>
          <w:bCs/>
          <w:color w:val="auto"/>
          <w:highlight w:val="none"/>
          <w:lang w:eastAsia="zh-CN"/>
        </w:rPr>
      </w:pPr>
    </w:p>
    <w:p w14:paraId="067A7476">
      <w:pPr>
        <w:rPr>
          <w:rFonts w:hint="eastAsia" w:ascii="仿宋" w:hAnsi="仿宋" w:eastAsia="仿宋" w:cs="仿宋"/>
          <w:b/>
          <w:bCs/>
          <w:color w:val="auto"/>
          <w:highlight w:val="none"/>
          <w:lang w:eastAsia="zh-CN"/>
        </w:rPr>
      </w:pPr>
    </w:p>
    <w:p w14:paraId="170A9497">
      <w:pPr>
        <w:rPr>
          <w:rFonts w:hint="eastAsia" w:ascii="仿宋" w:hAnsi="仿宋" w:eastAsia="仿宋" w:cs="仿宋"/>
          <w:b/>
          <w:bCs/>
          <w:color w:val="auto"/>
          <w:highlight w:val="none"/>
          <w:lang w:eastAsia="zh-CN"/>
        </w:rPr>
      </w:pPr>
    </w:p>
    <w:p w14:paraId="4362C1BD">
      <w:pPr>
        <w:rPr>
          <w:rFonts w:hint="eastAsia" w:ascii="仿宋" w:hAnsi="仿宋" w:eastAsia="仿宋" w:cs="仿宋"/>
          <w:b/>
          <w:bCs/>
          <w:color w:val="auto"/>
          <w:highlight w:val="none"/>
          <w:lang w:eastAsia="zh-CN"/>
        </w:rPr>
      </w:pPr>
    </w:p>
    <w:p w14:paraId="0BBBA66F">
      <w:pPr>
        <w:rPr>
          <w:rFonts w:hint="eastAsia" w:ascii="仿宋" w:hAnsi="仿宋" w:eastAsia="仿宋" w:cs="仿宋"/>
          <w:b/>
          <w:bCs/>
          <w:color w:val="auto"/>
          <w:highlight w:val="none"/>
          <w:lang w:eastAsia="zh-CN"/>
        </w:rPr>
      </w:pPr>
    </w:p>
    <w:p w14:paraId="335FC765">
      <w:pPr>
        <w:rPr>
          <w:rFonts w:hint="eastAsia" w:ascii="仿宋" w:hAnsi="仿宋" w:eastAsia="仿宋" w:cs="仿宋"/>
          <w:b/>
          <w:bCs/>
          <w:color w:val="auto"/>
          <w:highlight w:val="none"/>
          <w:lang w:eastAsia="zh-CN"/>
        </w:rPr>
      </w:pPr>
    </w:p>
    <w:p w14:paraId="2B013036">
      <w:pPr>
        <w:rPr>
          <w:rFonts w:hint="eastAsia" w:ascii="仿宋" w:hAnsi="仿宋" w:eastAsia="仿宋" w:cs="仿宋"/>
          <w:b/>
          <w:bCs/>
          <w:color w:val="auto"/>
          <w:highlight w:val="none"/>
          <w:lang w:eastAsia="zh-CN"/>
        </w:rPr>
      </w:pPr>
    </w:p>
    <w:p w14:paraId="50902299">
      <w:pPr>
        <w:rPr>
          <w:rFonts w:hint="eastAsia" w:ascii="仿宋" w:hAnsi="仿宋" w:eastAsia="仿宋" w:cs="仿宋"/>
          <w:b/>
          <w:bCs/>
          <w:color w:val="auto"/>
          <w:highlight w:val="none"/>
          <w:lang w:eastAsia="zh-CN"/>
        </w:rPr>
      </w:pPr>
    </w:p>
    <w:p w14:paraId="6A3A22D7">
      <w:pPr>
        <w:rPr>
          <w:rFonts w:hint="eastAsia" w:ascii="仿宋" w:hAnsi="仿宋" w:eastAsia="仿宋" w:cs="仿宋"/>
          <w:b/>
          <w:bCs/>
          <w:color w:val="auto"/>
          <w:highlight w:val="none"/>
          <w:lang w:eastAsia="zh-CN"/>
        </w:rPr>
      </w:pPr>
    </w:p>
    <w:p w14:paraId="51B8862C">
      <w:pPr>
        <w:rPr>
          <w:rFonts w:hint="eastAsia" w:ascii="仿宋" w:hAnsi="仿宋" w:eastAsia="仿宋" w:cs="仿宋"/>
          <w:b/>
          <w:bCs/>
          <w:color w:val="auto"/>
          <w:highlight w:val="none"/>
          <w:lang w:eastAsia="zh-CN"/>
        </w:rPr>
      </w:pPr>
    </w:p>
    <w:p w14:paraId="15697869">
      <w:pPr>
        <w:rPr>
          <w:rFonts w:hint="eastAsia" w:ascii="仿宋" w:hAnsi="仿宋" w:eastAsia="仿宋" w:cs="仿宋"/>
          <w:b/>
          <w:bCs/>
          <w:color w:val="auto"/>
          <w:highlight w:val="none"/>
          <w:lang w:eastAsia="zh-CN"/>
        </w:rPr>
      </w:pPr>
    </w:p>
    <w:p w14:paraId="5A19A59B">
      <w:pPr>
        <w:rPr>
          <w:rFonts w:hint="eastAsia" w:ascii="仿宋" w:hAnsi="仿宋" w:eastAsia="仿宋" w:cs="仿宋"/>
          <w:b/>
          <w:bCs/>
          <w:color w:val="auto"/>
          <w:highlight w:val="none"/>
          <w:lang w:eastAsia="zh-CN"/>
        </w:rPr>
      </w:pPr>
    </w:p>
    <w:p w14:paraId="2C8EE705">
      <w:pPr>
        <w:rPr>
          <w:rFonts w:hint="eastAsia" w:ascii="仿宋" w:hAnsi="仿宋" w:eastAsia="仿宋" w:cs="仿宋"/>
          <w:b/>
          <w:bCs/>
          <w:color w:val="auto"/>
          <w:highlight w:val="none"/>
          <w:lang w:eastAsia="zh-CN"/>
        </w:rPr>
      </w:pPr>
    </w:p>
    <w:p w14:paraId="71596F85">
      <w:pPr>
        <w:rPr>
          <w:rFonts w:hint="eastAsia" w:ascii="仿宋" w:hAnsi="仿宋" w:eastAsia="仿宋" w:cs="仿宋"/>
          <w:b/>
          <w:bCs/>
          <w:color w:val="auto"/>
          <w:highlight w:val="none"/>
          <w:lang w:eastAsia="zh-CN"/>
        </w:rPr>
      </w:pPr>
    </w:p>
    <w:p w14:paraId="5B8CF32A">
      <w:pPr>
        <w:rPr>
          <w:rFonts w:hint="eastAsia" w:ascii="仿宋" w:hAnsi="仿宋" w:eastAsia="仿宋" w:cs="仿宋"/>
          <w:b/>
          <w:bCs/>
          <w:color w:val="auto"/>
          <w:highlight w:val="none"/>
          <w:lang w:eastAsia="zh-CN"/>
        </w:rPr>
      </w:pPr>
    </w:p>
    <w:p w14:paraId="5CD98D8C">
      <w:pP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附件：</w:t>
      </w:r>
    </w:p>
    <w:p w14:paraId="609CF8BF">
      <w:pPr>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32"/>
          <w:szCs w:val="32"/>
          <w:highlight w:val="none"/>
          <w:lang w:eastAsia="zh-CN"/>
        </w:rPr>
        <w:t>政府采购投诉书（范本）、质疑函范本</w:t>
      </w:r>
    </w:p>
    <w:p w14:paraId="3826B808">
      <w:pPr>
        <w:spacing w:line="400" w:lineRule="exact"/>
        <w:jc w:val="center"/>
        <w:rPr>
          <w:rFonts w:ascii="仿宋" w:hAnsi="仿宋" w:eastAsia="仿宋" w:cs="仿宋"/>
          <w:color w:val="auto"/>
          <w:highlight w:val="none"/>
          <w:u w:val="single"/>
          <w:lang w:eastAsia="zh-CN"/>
        </w:rPr>
      </w:pPr>
      <w:r>
        <w:rPr>
          <w:rFonts w:hint="eastAsia" w:ascii="仿宋" w:hAnsi="仿宋" w:eastAsia="仿宋" w:cs="仿宋"/>
          <w:b/>
          <w:bCs/>
          <w:color w:val="auto"/>
          <w:sz w:val="28"/>
          <w:szCs w:val="28"/>
          <w:highlight w:val="none"/>
          <w:lang w:eastAsia="zh-CN"/>
        </w:rPr>
        <w:t>政府采购投诉书（范本）</w:t>
      </w:r>
    </w:p>
    <w:p w14:paraId="72E7EDCD">
      <w:pPr>
        <w:spacing w:line="400" w:lineRule="exact"/>
        <w:rPr>
          <w:rFonts w:ascii="仿宋" w:hAnsi="仿宋" w:eastAsia="仿宋" w:cs="仿宋"/>
          <w:color w:val="auto"/>
          <w:highlight w:val="none"/>
          <w:lang w:eastAsia="zh-CN"/>
        </w:rPr>
      </w:pPr>
    </w:p>
    <w:p w14:paraId="22C250B8">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outlineLvl w:val="0"/>
        <w:rPr>
          <w:rFonts w:hint="eastAsia" w:ascii="仿宋" w:hAnsi="仿宋" w:eastAsia="仿宋" w:cs="仿宋"/>
          <w:color w:val="auto"/>
          <w:kern w:val="0"/>
          <w:sz w:val="24"/>
          <w:szCs w:val="24"/>
          <w:highlight w:val="none"/>
          <w:lang w:eastAsia="zh-CN"/>
        </w:rPr>
      </w:pPr>
      <w:bookmarkStart w:id="25" w:name="_Toc17515"/>
      <w:r>
        <w:rPr>
          <w:rFonts w:hint="eastAsia" w:ascii="仿宋" w:hAnsi="仿宋" w:eastAsia="仿宋" w:cs="仿宋"/>
          <w:color w:val="auto"/>
          <w:kern w:val="0"/>
          <w:sz w:val="24"/>
          <w:szCs w:val="24"/>
          <w:highlight w:val="none"/>
          <w:lang w:eastAsia="zh-CN"/>
        </w:rPr>
        <w:t>一、投诉相关主体基本情况</w:t>
      </w:r>
    </w:p>
    <w:p w14:paraId="39777116">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投诉人：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 xml:space="preserve">  </w:t>
      </w:r>
    </w:p>
    <w:p w14:paraId="5C2FE58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邮</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编：</w:t>
      </w:r>
      <w:r>
        <w:rPr>
          <w:rFonts w:hint="eastAsia" w:ascii="仿宋" w:hAnsi="仿宋" w:eastAsia="仿宋" w:cs="仿宋"/>
          <w:color w:val="auto"/>
          <w:kern w:val="0"/>
          <w:sz w:val="24"/>
          <w:szCs w:val="24"/>
          <w:highlight w:val="none"/>
          <w:u w:val="single"/>
        </w:rPr>
        <w:t xml:space="preserve">             </w:t>
      </w:r>
    </w:p>
    <w:p w14:paraId="2561DE6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法定代表人/主要负责人：</w:t>
      </w:r>
      <w:r>
        <w:rPr>
          <w:rFonts w:hint="eastAsia" w:ascii="仿宋" w:hAnsi="仿宋" w:eastAsia="仿宋" w:cs="仿宋"/>
          <w:color w:val="auto"/>
          <w:kern w:val="0"/>
          <w:sz w:val="24"/>
          <w:szCs w:val="24"/>
          <w:highlight w:val="none"/>
          <w:u w:val="single"/>
          <w:lang w:val="en-US" w:eastAsia="zh-CN"/>
        </w:rPr>
        <w:t xml:space="preserve">                             </w:t>
      </w:r>
    </w:p>
    <w:p w14:paraId="0C8EF995">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联系电话：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7202611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邮</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编：</w:t>
      </w:r>
      <w:r>
        <w:rPr>
          <w:rFonts w:hint="eastAsia" w:ascii="仿宋" w:hAnsi="仿宋" w:eastAsia="仿宋" w:cs="仿宋"/>
          <w:color w:val="auto"/>
          <w:kern w:val="0"/>
          <w:sz w:val="24"/>
          <w:szCs w:val="24"/>
          <w:highlight w:val="none"/>
          <w:u w:val="single"/>
        </w:rPr>
        <w:t xml:space="preserve">             </w:t>
      </w:r>
    </w:p>
    <w:p w14:paraId="46C43FE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u w:val="none"/>
          <w:lang w:eastAsia="zh-CN"/>
        </w:rPr>
        <w:t>授权代表（如有）：</w:t>
      </w:r>
      <w:r>
        <w:rPr>
          <w:rFonts w:hint="eastAsia" w:ascii="仿宋" w:hAnsi="仿宋" w:eastAsia="仿宋" w:cs="仿宋"/>
          <w:color w:val="auto"/>
          <w:kern w:val="0"/>
          <w:sz w:val="24"/>
          <w:szCs w:val="24"/>
          <w:highlight w:val="none"/>
          <w:u w:val="single"/>
          <w:lang w:val="en-US" w:eastAsia="zh-CN"/>
        </w:rPr>
        <w:t xml:space="preserve">                         </w:t>
      </w:r>
    </w:p>
    <w:p w14:paraId="7AADA80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val="en-US" w:eastAsia="zh-CN"/>
        </w:rPr>
        <w:t>联系电话：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523988F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邮</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编：</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14:paraId="14707E1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none"/>
          <w:lang w:eastAsia="zh-CN"/>
        </w:rPr>
        <w:t>被投诉人</w:t>
      </w:r>
      <w:r>
        <w:rPr>
          <w:rFonts w:hint="eastAsia" w:ascii="仿宋" w:hAnsi="仿宋" w:eastAsia="仿宋" w:cs="仿宋"/>
          <w:color w:val="auto"/>
          <w:kern w:val="0"/>
          <w:sz w:val="24"/>
          <w:szCs w:val="24"/>
          <w:highlight w:val="none"/>
          <w:u w:val="none"/>
          <w:lang w:val="en-US" w:eastAsia="zh-CN"/>
        </w:rPr>
        <w:t>1：</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5B34BFB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邮</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编：</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31444C4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eastAsia="zh-CN"/>
        </w:rPr>
        <w:t>联系人：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联系电话：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0189B2A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u w:val="none"/>
          <w:lang w:eastAsia="zh-CN"/>
        </w:rPr>
        <w:t>被投诉人</w:t>
      </w:r>
      <w:r>
        <w:rPr>
          <w:rFonts w:hint="eastAsia" w:ascii="仿宋" w:hAnsi="仿宋" w:eastAsia="仿宋" w:cs="仿宋"/>
          <w:color w:val="auto"/>
          <w:kern w:val="0"/>
          <w:sz w:val="24"/>
          <w:szCs w:val="24"/>
          <w:highlight w:val="none"/>
          <w:u w:val="none"/>
          <w:lang w:val="en-US" w:eastAsia="zh-CN"/>
        </w:rPr>
        <w:t>2：</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714F3D9F">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none"/>
          <w:lang w:val="en-US" w:eastAsia="zh-CN"/>
        </w:rPr>
        <w:t>相关供应商</w:t>
      </w:r>
      <w:r>
        <w:rPr>
          <w:rFonts w:hint="eastAsia" w:ascii="仿宋" w:hAnsi="仿宋" w:eastAsia="仿宋" w:cs="仿宋"/>
          <w:color w:val="auto"/>
          <w:kern w:val="0"/>
          <w:sz w:val="24"/>
          <w:szCs w:val="24"/>
          <w:highlight w:val="none"/>
          <w:u w:val="none"/>
          <w:lang w:eastAsia="zh-CN"/>
        </w:rPr>
        <w:t>（如有）</w:t>
      </w:r>
      <w:r>
        <w:rPr>
          <w:rFonts w:hint="eastAsia" w:ascii="仿宋" w:hAnsi="仿宋" w:eastAsia="仿宋" w:cs="仿宋"/>
          <w:color w:val="auto"/>
          <w:kern w:val="0"/>
          <w:sz w:val="24"/>
          <w:szCs w:val="24"/>
          <w:highlight w:val="none"/>
          <w:u w:val="none"/>
          <w:lang w:val="en-US" w:eastAsia="zh-CN"/>
        </w:rPr>
        <w:t>：</w:t>
      </w:r>
      <w:r>
        <w:rPr>
          <w:rFonts w:hint="eastAsia" w:ascii="仿宋" w:hAnsi="仿宋" w:eastAsia="仿宋" w:cs="仿宋"/>
          <w:color w:val="auto"/>
          <w:kern w:val="0"/>
          <w:sz w:val="24"/>
          <w:szCs w:val="24"/>
          <w:highlight w:val="none"/>
          <w:u w:val="single"/>
        </w:rPr>
        <w:t xml:space="preserve">                                        </w:t>
      </w:r>
    </w:p>
    <w:p w14:paraId="76A7F4E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邮编：</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01A5195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联系人：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联系电话：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4C2D7DF5">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outlineLvl w:val="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二、投诉项目基本情况</w:t>
      </w:r>
    </w:p>
    <w:p w14:paraId="304F3715">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采购项目名称：</w:t>
      </w:r>
    </w:p>
    <w:p w14:paraId="1461C89B">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采购项目编号：</w:t>
      </w:r>
      <w:r>
        <w:rPr>
          <w:rFonts w:hint="eastAsia" w:ascii="仿宋" w:hAnsi="仿宋" w:eastAsia="仿宋" w:cs="仿宋"/>
          <w:color w:val="auto"/>
          <w:kern w:val="0"/>
          <w:sz w:val="24"/>
          <w:szCs w:val="24"/>
          <w:highlight w:val="none"/>
          <w:lang w:val="en-US" w:eastAsia="zh-CN"/>
        </w:rPr>
        <w:t xml:space="preserve">        包号：</w:t>
      </w:r>
    </w:p>
    <w:p w14:paraId="30760ACC">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采购人名称：</w:t>
      </w:r>
    </w:p>
    <w:p w14:paraId="5353DF31">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代理机构名称：</w:t>
      </w:r>
    </w:p>
    <w:p w14:paraId="4B71414E">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采购文件公告：是/否 公告期限：</w:t>
      </w:r>
    </w:p>
    <w:p w14:paraId="161AB295">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采购结果公告：是/否 公告期限：</w:t>
      </w:r>
    </w:p>
    <w:p w14:paraId="118563E2">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outlineLvl w:val="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三、质疑基本情况</w:t>
      </w:r>
    </w:p>
    <w:p w14:paraId="24CCE24A">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投诉人于    年  月  日，向       提出质疑，</w:t>
      </w:r>
    </w:p>
    <w:p w14:paraId="37935AD5">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质疑事项为：</w:t>
      </w:r>
    </w:p>
    <w:p w14:paraId="27A2C511">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采购人/代理机构于    年  月  日，就质疑事项做出了答复/没有在法定期限内做出答复。</w:t>
      </w:r>
    </w:p>
    <w:p w14:paraId="52B75165">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outlineLvl w:val="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四、投诉事项具体内容</w:t>
      </w:r>
    </w:p>
    <w:p w14:paraId="61FE47B8">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投诉事项1：</w:t>
      </w:r>
    </w:p>
    <w:p w14:paraId="465B302C">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事实依据：</w:t>
      </w:r>
    </w:p>
    <w:p w14:paraId="14060538">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法律依据1：</w:t>
      </w:r>
    </w:p>
    <w:p w14:paraId="0F13812F">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法律依据2：</w:t>
      </w:r>
    </w:p>
    <w:p w14:paraId="42F43437">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p>
    <w:p w14:paraId="0FFFE8A7">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投诉事项2：</w:t>
      </w:r>
    </w:p>
    <w:p w14:paraId="0244662B">
      <w:pPr>
        <w:keepNext w:val="0"/>
        <w:keepLines w:val="0"/>
        <w:pageBreakBefore w:val="0"/>
        <w:kinsoku/>
        <w:wordWrap/>
        <w:overflowPunct/>
        <w:topLinePunct w:val="0"/>
        <w:autoSpaceDE/>
        <w:autoSpaceDN/>
        <w:bidi w:val="0"/>
        <w:adjustRightInd/>
        <w:snapToGrid/>
        <w:spacing w:line="500" w:lineRule="exact"/>
        <w:ind w:firstLine="486" w:firstLineChars="200"/>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szCs w:val="24"/>
          <w:highlight w:val="none"/>
        </w:rPr>
        <w:t>……</w:t>
      </w:r>
    </w:p>
    <w:p w14:paraId="6673BA42">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outlineLvl w:val="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五、与投诉事项相关的投诉请求</w:t>
      </w:r>
    </w:p>
    <w:p w14:paraId="63A22F2B">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请求：</w:t>
      </w:r>
    </w:p>
    <w:p w14:paraId="773DDEE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rPr>
      </w:pPr>
    </w:p>
    <w:p w14:paraId="07C6889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签字（签章）</w:t>
      </w:r>
      <w:r>
        <w:rPr>
          <w:rFonts w:hint="eastAsia" w:ascii="仿宋" w:hAnsi="仿宋" w:eastAsia="仿宋" w:cs="仿宋"/>
          <w:color w:val="auto"/>
          <w:kern w:val="0"/>
          <w:sz w:val="22"/>
          <w:szCs w:val="22"/>
          <w:highlight w:val="none"/>
          <w:lang w:eastAsia="zh-CN"/>
        </w:rPr>
        <w:t>（法人代表或负责人、代理人）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 xml:space="preserve">       </w:t>
      </w:r>
    </w:p>
    <w:p w14:paraId="21B929E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公章</w:t>
      </w:r>
      <w:r>
        <w:rPr>
          <w:rFonts w:hint="eastAsia" w:ascii="仿宋" w:hAnsi="仿宋" w:eastAsia="仿宋" w:cs="仿宋"/>
          <w:color w:val="auto"/>
          <w:kern w:val="0"/>
          <w:sz w:val="22"/>
          <w:szCs w:val="22"/>
          <w:highlight w:val="none"/>
          <w:lang w:eastAsia="zh-CN"/>
        </w:rPr>
        <w:t>（单位）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w:t>
      </w:r>
    </w:p>
    <w:p w14:paraId="30CD319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日期：</w:t>
      </w:r>
    </w:p>
    <w:p w14:paraId="56E59C3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附件：质疑及答复材料</w:t>
      </w:r>
    </w:p>
    <w:p w14:paraId="35297B6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kern w:val="0"/>
          <w:sz w:val="32"/>
          <w:szCs w:val="32"/>
          <w:highlight w:val="none"/>
          <w:lang w:eastAsia="zh-CN"/>
        </w:rPr>
      </w:pPr>
      <w:r>
        <w:rPr>
          <w:rFonts w:hint="eastAsia" w:ascii="仿宋" w:hAnsi="仿宋" w:eastAsia="仿宋" w:cs="仿宋"/>
          <w:b/>
          <w:bCs/>
          <w:color w:val="auto"/>
          <w:kern w:val="0"/>
          <w:sz w:val="32"/>
          <w:szCs w:val="32"/>
          <w:highlight w:val="none"/>
          <w:lang w:eastAsia="zh-CN"/>
        </w:rPr>
        <w:br w:type="page"/>
      </w:r>
    </w:p>
    <w:p w14:paraId="01B38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outlineLvl w:val="0"/>
        <w:rPr>
          <w:rFonts w:hint="eastAsia" w:ascii="仿宋" w:hAnsi="仿宋" w:eastAsia="仿宋" w:cs="仿宋"/>
          <w:b/>
          <w:bCs/>
          <w:color w:val="auto"/>
          <w:kern w:val="0"/>
          <w:sz w:val="28"/>
          <w:szCs w:val="28"/>
          <w:highlight w:val="none"/>
          <w:lang w:eastAsia="zh-CN"/>
        </w:rPr>
      </w:pPr>
      <w:r>
        <w:rPr>
          <w:rFonts w:hint="eastAsia" w:ascii="仿宋" w:hAnsi="仿宋" w:eastAsia="仿宋" w:cs="仿宋"/>
          <w:b/>
          <w:bCs/>
          <w:color w:val="auto"/>
          <w:kern w:val="0"/>
          <w:sz w:val="28"/>
          <w:szCs w:val="28"/>
          <w:highlight w:val="none"/>
          <w:lang w:eastAsia="zh-CN"/>
        </w:rPr>
        <w:t>投诉书制作说明：</w:t>
      </w:r>
    </w:p>
    <w:p w14:paraId="5D7CDA1A">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1.投诉人应当按照《政府采购质疑和投诉办法》（财政部令第94号）规定提起投诉。</w:t>
      </w:r>
    </w:p>
    <w:p w14:paraId="5B4D5C33">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2.投诉人提起投诉时，应当提交投诉书和必要的证明材料，并按照被投诉人和与投诉事项有关的供应商数量提供投诉书副本。</w:t>
      </w:r>
    </w:p>
    <w:p w14:paraId="3E4B9F2B">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7CC868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4.投诉人若对项目的某一分包进行投诉，投诉书应列明具体分包号。</w:t>
      </w:r>
    </w:p>
    <w:p w14:paraId="215FD42F">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5.投诉书应简要列明质疑事项，质疑函、质疑答复等作为附件材料提供。</w:t>
      </w:r>
    </w:p>
    <w:p w14:paraId="39D267F9">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6.投诉书的投诉事项应具体、明确，并由必要的事实依据和法律依据。</w:t>
      </w:r>
    </w:p>
    <w:p w14:paraId="28E60C5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7.投诉书的投诉请求应与投诉事项相关。</w:t>
      </w:r>
    </w:p>
    <w:p w14:paraId="41EF6BA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8.投诉人为自然人的，投诉书应当由本人签字；投诉书应当由法定代表人、主要负责人，或者其授权代表签字或者盖章，并加盖公章。</w:t>
      </w:r>
    </w:p>
    <w:p w14:paraId="33879915">
      <w:pPr>
        <w:ind w:left="5783" w:hanging="4374" w:hangingChars="1800"/>
        <w:jc w:val="center"/>
        <w:outlineLvl w:val="0"/>
        <w:rPr>
          <w:rFonts w:hint="eastAsia" w:ascii="仿宋" w:hAnsi="仿宋" w:eastAsia="仿宋" w:cs="仿宋"/>
          <w:b/>
          <w:bCs/>
          <w:color w:val="auto"/>
          <w:sz w:val="24"/>
          <w:szCs w:val="24"/>
          <w:highlight w:val="none"/>
          <w:lang w:eastAsia="zh-CN"/>
        </w:rPr>
      </w:pPr>
    </w:p>
    <w:p w14:paraId="3C8C128B">
      <w:pPr>
        <w:ind w:left="5783" w:hanging="4374" w:hangingChars="1800"/>
        <w:jc w:val="center"/>
        <w:outlineLvl w:val="0"/>
        <w:rPr>
          <w:rFonts w:hint="eastAsia" w:ascii="仿宋" w:hAnsi="仿宋" w:eastAsia="仿宋" w:cs="仿宋"/>
          <w:b/>
          <w:bCs/>
          <w:color w:val="auto"/>
          <w:sz w:val="24"/>
          <w:szCs w:val="24"/>
          <w:highlight w:val="none"/>
          <w:lang w:eastAsia="zh-CN"/>
        </w:rPr>
      </w:pPr>
    </w:p>
    <w:p w14:paraId="491C4B48">
      <w:pPr>
        <w:pStyle w:val="31"/>
        <w:rPr>
          <w:rFonts w:hint="eastAsia" w:ascii="仿宋" w:hAnsi="仿宋" w:eastAsia="仿宋" w:cs="仿宋"/>
          <w:b/>
          <w:bCs/>
          <w:color w:val="auto"/>
          <w:sz w:val="24"/>
          <w:szCs w:val="24"/>
          <w:highlight w:val="none"/>
          <w:lang w:eastAsia="zh-CN"/>
        </w:rPr>
      </w:pPr>
    </w:p>
    <w:p w14:paraId="23D1F1D2">
      <w:pPr>
        <w:pStyle w:val="31"/>
        <w:rPr>
          <w:rFonts w:hint="eastAsia" w:ascii="仿宋" w:hAnsi="仿宋" w:eastAsia="仿宋" w:cs="仿宋"/>
          <w:b/>
          <w:bCs/>
          <w:color w:val="auto"/>
          <w:sz w:val="24"/>
          <w:szCs w:val="24"/>
          <w:highlight w:val="none"/>
          <w:lang w:eastAsia="zh-CN"/>
        </w:rPr>
      </w:pPr>
    </w:p>
    <w:p w14:paraId="0B9BA9E0">
      <w:pPr>
        <w:pStyle w:val="31"/>
        <w:rPr>
          <w:rFonts w:hint="eastAsia" w:ascii="仿宋" w:hAnsi="仿宋" w:eastAsia="仿宋" w:cs="仿宋"/>
          <w:b/>
          <w:bCs/>
          <w:color w:val="auto"/>
          <w:sz w:val="24"/>
          <w:szCs w:val="24"/>
          <w:highlight w:val="none"/>
          <w:lang w:eastAsia="zh-CN"/>
        </w:rPr>
      </w:pPr>
    </w:p>
    <w:p w14:paraId="58C254D4">
      <w:pPr>
        <w:pStyle w:val="31"/>
        <w:rPr>
          <w:rFonts w:hint="eastAsia" w:ascii="仿宋" w:hAnsi="仿宋" w:eastAsia="仿宋" w:cs="仿宋"/>
          <w:b/>
          <w:bCs/>
          <w:color w:val="auto"/>
          <w:sz w:val="24"/>
          <w:szCs w:val="24"/>
          <w:highlight w:val="none"/>
          <w:lang w:eastAsia="zh-CN"/>
        </w:rPr>
      </w:pPr>
    </w:p>
    <w:p w14:paraId="3A2D81EB">
      <w:pPr>
        <w:pStyle w:val="31"/>
        <w:rPr>
          <w:rFonts w:hint="eastAsia" w:ascii="仿宋" w:hAnsi="仿宋" w:eastAsia="仿宋" w:cs="仿宋"/>
          <w:b/>
          <w:bCs/>
          <w:color w:val="auto"/>
          <w:sz w:val="24"/>
          <w:szCs w:val="24"/>
          <w:highlight w:val="none"/>
          <w:lang w:eastAsia="zh-CN"/>
        </w:rPr>
      </w:pPr>
    </w:p>
    <w:p w14:paraId="028EA536">
      <w:pPr>
        <w:pStyle w:val="31"/>
        <w:rPr>
          <w:rFonts w:hint="eastAsia" w:ascii="仿宋" w:hAnsi="仿宋" w:eastAsia="仿宋" w:cs="仿宋"/>
          <w:b/>
          <w:bCs/>
          <w:color w:val="auto"/>
          <w:sz w:val="24"/>
          <w:szCs w:val="24"/>
          <w:highlight w:val="none"/>
          <w:lang w:eastAsia="zh-CN"/>
        </w:rPr>
      </w:pPr>
    </w:p>
    <w:p w14:paraId="6E3CB934">
      <w:pPr>
        <w:pStyle w:val="31"/>
        <w:rPr>
          <w:rFonts w:hint="eastAsia" w:ascii="仿宋" w:hAnsi="仿宋" w:eastAsia="仿宋" w:cs="仿宋"/>
          <w:b/>
          <w:bCs/>
          <w:color w:val="auto"/>
          <w:sz w:val="24"/>
          <w:szCs w:val="24"/>
          <w:highlight w:val="none"/>
          <w:lang w:eastAsia="zh-CN"/>
        </w:rPr>
      </w:pPr>
    </w:p>
    <w:p w14:paraId="55184094">
      <w:pPr>
        <w:pStyle w:val="31"/>
        <w:rPr>
          <w:rFonts w:hint="eastAsia" w:ascii="仿宋" w:hAnsi="仿宋" w:eastAsia="仿宋" w:cs="仿宋"/>
          <w:b/>
          <w:bCs/>
          <w:color w:val="auto"/>
          <w:sz w:val="24"/>
          <w:szCs w:val="24"/>
          <w:highlight w:val="none"/>
          <w:lang w:eastAsia="zh-CN"/>
        </w:rPr>
      </w:pPr>
    </w:p>
    <w:p w14:paraId="5474F7C8">
      <w:pPr>
        <w:ind w:left="5783" w:hanging="4374" w:hangingChars="1800"/>
        <w:jc w:val="center"/>
        <w:outlineLvl w:val="0"/>
        <w:rPr>
          <w:rFonts w:hint="eastAsia" w:ascii="仿宋" w:hAnsi="仿宋" w:eastAsia="仿宋" w:cs="仿宋"/>
          <w:b/>
          <w:bCs/>
          <w:color w:val="auto"/>
          <w:sz w:val="24"/>
          <w:szCs w:val="24"/>
          <w:highlight w:val="none"/>
          <w:lang w:eastAsia="zh-CN"/>
        </w:rPr>
      </w:pPr>
    </w:p>
    <w:p w14:paraId="4EB6D21E">
      <w:pPr>
        <w:ind w:left="5783" w:hanging="4374" w:hangingChars="1800"/>
        <w:jc w:val="center"/>
        <w:outlineLvl w:val="0"/>
        <w:rPr>
          <w:rFonts w:hint="eastAsia" w:ascii="仿宋" w:hAnsi="仿宋" w:eastAsia="仿宋" w:cs="仿宋"/>
          <w:b/>
          <w:bCs/>
          <w:color w:val="auto"/>
          <w:sz w:val="24"/>
          <w:szCs w:val="24"/>
          <w:highlight w:val="none"/>
          <w:lang w:eastAsia="zh-CN"/>
        </w:rPr>
      </w:pPr>
    </w:p>
    <w:p w14:paraId="44FF8EE0">
      <w:pPr>
        <w:ind w:left="5783" w:hanging="4374" w:hangingChars="1800"/>
        <w:jc w:val="center"/>
        <w:outlineLvl w:val="0"/>
        <w:rPr>
          <w:rFonts w:hint="eastAsia" w:ascii="仿宋" w:hAnsi="仿宋" w:eastAsia="仿宋" w:cs="仿宋"/>
          <w:b/>
          <w:bCs/>
          <w:color w:val="auto"/>
          <w:sz w:val="24"/>
          <w:szCs w:val="24"/>
          <w:highlight w:val="none"/>
          <w:lang w:eastAsia="zh-CN"/>
        </w:rPr>
      </w:pPr>
    </w:p>
    <w:p w14:paraId="15A7F23D">
      <w:pPr>
        <w:ind w:left="5783" w:hanging="4374" w:hangingChars="1800"/>
        <w:jc w:val="center"/>
        <w:outlineLvl w:val="0"/>
        <w:rPr>
          <w:rFonts w:hint="eastAsia" w:ascii="仿宋" w:hAnsi="仿宋" w:eastAsia="仿宋" w:cs="仿宋"/>
          <w:b/>
          <w:bCs/>
          <w:color w:val="auto"/>
          <w:sz w:val="24"/>
          <w:szCs w:val="24"/>
          <w:highlight w:val="none"/>
          <w:lang w:eastAsia="zh-CN"/>
        </w:rPr>
      </w:pPr>
    </w:p>
    <w:p w14:paraId="28B4561A">
      <w:pPr>
        <w:ind w:left="5783" w:hanging="5814" w:hangingChars="1800"/>
        <w:jc w:val="center"/>
        <w:outlineLvl w:val="0"/>
        <w:rPr>
          <w:rFonts w:hint="eastAsia" w:ascii="仿宋" w:hAnsi="仿宋" w:eastAsia="仿宋" w:cs="仿宋"/>
          <w:b/>
          <w:bCs/>
          <w:color w:val="auto"/>
          <w:sz w:val="32"/>
          <w:szCs w:val="32"/>
          <w:highlight w:val="none"/>
          <w:lang w:eastAsia="zh-CN"/>
        </w:rPr>
      </w:pPr>
    </w:p>
    <w:p w14:paraId="28F4B7E6">
      <w:pPr>
        <w:jc w:val="center"/>
        <w:outlineLvl w:val="0"/>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投诉相关说明</w:t>
      </w:r>
      <w:bookmarkEnd w:id="25"/>
    </w:p>
    <w:p w14:paraId="5860A154">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投诉人应当满足《政府采购法》、《政府采购法实施条例》和《政府采购供应商投诉处理办法》的相关规定。</w:t>
      </w:r>
    </w:p>
    <w:p w14:paraId="5AAFB63A">
      <w:pPr>
        <w:numPr>
          <w:ilvl w:val="0"/>
          <w:numId w:val="4"/>
        </w:numPr>
        <w:spacing w:line="400" w:lineRule="exact"/>
        <w:ind w:left="4626" w:leftChars="304" w:hanging="3888" w:hangingChars="1600"/>
        <w:outlineLvl w:val="0"/>
        <w:rPr>
          <w:rFonts w:ascii="仿宋" w:hAnsi="仿宋" w:eastAsia="仿宋" w:cs="仿宋"/>
          <w:b/>
          <w:bCs/>
          <w:color w:val="auto"/>
          <w:sz w:val="24"/>
          <w:szCs w:val="24"/>
          <w:highlight w:val="none"/>
        </w:rPr>
      </w:pPr>
      <w:bookmarkStart w:id="26" w:name="_Toc11499"/>
      <w:r>
        <w:rPr>
          <w:rFonts w:hint="eastAsia" w:ascii="仿宋" w:hAnsi="仿宋" w:eastAsia="仿宋" w:cs="仿宋"/>
          <w:b/>
          <w:bCs/>
          <w:color w:val="auto"/>
          <w:sz w:val="24"/>
          <w:szCs w:val="24"/>
          <w:highlight w:val="none"/>
        </w:rPr>
        <w:t>质疑前置及时间要求</w:t>
      </w:r>
      <w:bookmarkEnd w:id="26"/>
    </w:p>
    <w:p w14:paraId="59F58ECE">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lang w:eastAsia="zh-CN"/>
        </w:rPr>
        <w:t>《中华人民共和国政府采购法》</w:t>
      </w:r>
      <w:r>
        <w:rPr>
          <w:rFonts w:hint="eastAsia" w:ascii="仿宋" w:hAnsi="仿宋" w:eastAsia="仿宋" w:cs="仿宋"/>
          <w:color w:val="auto"/>
          <w:highlight w:val="none"/>
          <w:shd w:val="clear" w:color="auto" w:fill="FFFFFF"/>
          <w:lang w:eastAsia="zh-CN"/>
        </w:rPr>
        <w:t>第五十一条：供应商对政府采购活动事项有疑问的，可以向采购人提出询问，采购人应当及时作出答复，但答复的内容不得涉及商业秘密。</w:t>
      </w:r>
    </w:p>
    <w:p w14:paraId="4502AB2F">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14:paraId="2ED820A7">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31E152B7">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7383564C">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《政府采购实施条例》第五十五条：供应商质疑、投诉应当有明确的请求和必要的证明材料。供应商投诉的事项不得超出质疑事项的范围。</w:t>
      </w:r>
    </w:p>
    <w:p w14:paraId="2630A6B0">
      <w:pPr>
        <w:spacing w:line="400" w:lineRule="exact"/>
        <w:ind w:left="3780" w:hanging="3834" w:hangingChars="1800"/>
        <w:outlineLvl w:val="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b/>
          <w:bCs/>
          <w:color w:val="auto"/>
          <w:sz w:val="21"/>
          <w:szCs w:val="21"/>
          <w:highlight w:val="none"/>
          <w:lang w:eastAsia="zh-CN"/>
        </w:rPr>
        <w:t xml:space="preserve"> </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lang w:eastAsia="zh-CN"/>
        </w:rPr>
        <w:t xml:space="preserve"> </w:t>
      </w:r>
      <w:r>
        <w:rPr>
          <w:rFonts w:hint="eastAsia" w:ascii="仿宋" w:hAnsi="仿宋" w:eastAsia="仿宋" w:cs="仿宋"/>
          <w:b/>
          <w:bCs/>
          <w:color w:val="auto"/>
          <w:sz w:val="24"/>
          <w:szCs w:val="24"/>
          <w:highlight w:val="none"/>
          <w:lang w:eastAsia="zh-CN"/>
        </w:rPr>
        <w:t xml:space="preserve"> </w:t>
      </w:r>
      <w:bookmarkStart w:id="27" w:name="_Toc13508"/>
      <w:r>
        <w:rPr>
          <w:rFonts w:hint="eastAsia" w:ascii="仿宋" w:hAnsi="仿宋" w:eastAsia="仿宋" w:cs="仿宋"/>
          <w:b/>
          <w:bCs/>
          <w:color w:val="auto"/>
          <w:sz w:val="24"/>
          <w:szCs w:val="24"/>
          <w:highlight w:val="none"/>
          <w:lang w:eastAsia="zh-CN"/>
        </w:rPr>
        <w:t>二、书面方式</w:t>
      </w:r>
      <w:bookmarkEnd w:id="27"/>
    </w:p>
    <w:p w14:paraId="101840CB">
      <w:pPr>
        <w:spacing w:line="400" w:lineRule="exact"/>
        <w:ind w:firstLine="426" w:firstLineChars="200"/>
        <w:rPr>
          <w:rFonts w:ascii="仿宋" w:hAnsi="仿宋" w:eastAsia="仿宋" w:cs="仿宋"/>
          <w:color w:val="auto"/>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highlight w:val="none"/>
          <w:lang w:eastAsia="zh-CN"/>
        </w:rPr>
        <w:t>政府采购供应商投诉处理办法》第八条：投诉人投诉</w:t>
      </w:r>
    </w:p>
    <w:p w14:paraId="0B5A933E">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时，应当提交投诉书，并按照被投诉人以及与投诉事项有关的供应商数量提供投诉书的副本。</w:t>
      </w:r>
    </w:p>
    <w:p w14:paraId="369E804C">
      <w:pPr>
        <w:spacing w:line="400" w:lineRule="exact"/>
        <w:ind w:left="4320" w:hanging="4374"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投诉书应当包括下列主要内容：</w:t>
      </w:r>
    </w:p>
    <w:p w14:paraId="6321479D">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投诉人和被投诉人的名称、地址、电话等；</w:t>
      </w:r>
    </w:p>
    <w:p w14:paraId="70290D05">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具体的投诉事项及事实依据；</w:t>
      </w:r>
    </w:p>
    <w:p w14:paraId="549A5778">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质疑和质疑答复情况及相关证明材料；</w:t>
      </w:r>
    </w:p>
    <w:p w14:paraId="1EAF0588">
      <w:pPr>
        <w:numPr>
          <w:ilvl w:val="0"/>
          <w:numId w:val="5"/>
        </w:numPr>
        <w:spacing w:line="400" w:lineRule="exact"/>
        <w:rPr>
          <w:rFonts w:ascii="仿宋" w:hAnsi="仿宋" w:eastAsia="仿宋" w:cs="仿宋"/>
          <w:color w:val="auto"/>
          <w:highlight w:val="none"/>
        </w:rPr>
      </w:pPr>
      <w:r>
        <w:rPr>
          <w:rFonts w:hint="eastAsia" w:ascii="仿宋" w:hAnsi="仿宋" w:eastAsia="仿宋" w:cs="仿宋"/>
          <w:color w:val="auto"/>
          <w:highlight w:val="none"/>
        </w:rPr>
        <w:t>提起投诉的日期。</w:t>
      </w:r>
    </w:p>
    <w:p w14:paraId="1146C998">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投诉书应当署名。投诉人为自然人，应当由本人签章；投诉人为法人或者其他组织的，应当由法定代表人或者主要负责人签章并加盖公章。</w:t>
      </w:r>
    </w:p>
    <w:p w14:paraId="49C91FB5">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242D3BE2">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《政府采购供应商投诉处理办法》第十条：投诉人提起投诉应当符合下列条件：</w:t>
      </w:r>
    </w:p>
    <w:p w14:paraId="22D19735">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投诉人是参与所投诉政府采购活动的供应商；</w:t>
      </w:r>
    </w:p>
    <w:p w14:paraId="498DA266">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提起投诉诉前已依法进行质疑；</w:t>
      </w:r>
    </w:p>
    <w:p w14:paraId="480B3542">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投诉书内容符合本办法的规定；</w:t>
      </w:r>
    </w:p>
    <w:p w14:paraId="2537089C">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在投诉有效期内提起投诉；</w:t>
      </w:r>
    </w:p>
    <w:p w14:paraId="460F367C">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属于本级财政部门管辖；</w:t>
      </w:r>
    </w:p>
    <w:p w14:paraId="21B1FC7C">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同一投诉事项未经财政部门投诉处理；</w:t>
      </w:r>
    </w:p>
    <w:p w14:paraId="0F8A6D90">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国务院财政部门规定的其他条件。</w:t>
      </w:r>
    </w:p>
    <w:p w14:paraId="4A9C92B1">
      <w:pPr>
        <w:spacing w:line="400" w:lineRule="exact"/>
        <w:ind w:left="4320" w:hanging="4374"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0E3BA6F3">
      <w:pPr>
        <w:outlineLvl w:val="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b/>
          <w:bCs/>
          <w:color w:val="auto"/>
          <w:highlight w:val="none"/>
          <w:lang w:eastAsia="zh-CN"/>
        </w:rPr>
        <w:t xml:space="preserve">   </w:t>
      </w:r>
      <w:bookmarkStart w:id="28" w:name="_Toc5978"/>
      <w:r>
        <w:rPr>
          <w:rFonts w:hint="eastAsia" w:ascii="仿宋" w:hAnsi="仿宋" w:eastAsia="仿宋" w:cs="仿宋"/>
          <w:b/>
          <w:bCs/>
          <w:color w:val="auto"/>
          <w:highlight w:val="none"/>
          <w:lang w:eastAsia="zh-CN"/>
        </w:rPr>
        <w:t>三、虚假、恶意投诉法律责任</w:t>
      </w:r>
      <w:bookmarkEnd w:id="28"/>
    </w:p>
    <w:p w14:paraId="3E30E501">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第七十三条：供应商捏造实施、提供虚假材料或者以非法手段取得证明材料进行投诉的，由财政部门列入不良行为记录名单，禁止其1至3年内参加政府采购活动。</w:t>
      </w:r>
    </w:p>
    <w:p w14:paraId="25E15533">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《政府采购供应商投诉处理办法》第二十六条：投诉人有下列情形之一的，属于虚假、恶意投诉，财政部门应当驳回投诉，将其列入不良行为记录名单，并依法予以处罚：</w:t>
      </w:r>
    </w:p>
    <w:p w14:paraId="1B52E77A">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（一）1年内3次以上投诉均查无实据的；</w:t>
      </w:r>
    </w:p>
    <w:p w14:paraId="5EA3B878">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（二）捏造事实或者提供虚假投诉材料的。</w:t>
      </w:r>
    </w:p>
    <w:p w14:paraId="4961273B">
      <w:pPr>
        <w:spacing w:line="400" w:lineRule="exact"/>
        <w:rPr>
          <w:rFonts w:ascii="仿宋" w:hAnsi="仿宋" w:eastAsia="仿宋" w:cs="仿宋"/>
          <w:color w:val="auto"/>
          <w:sz w:val="21"/>
          <w:szCs w:val="21"/>
          <w:highlight w:val="none"/>
          <w:lang w:eastAsia="zh-CN"/>
        </w:rPr>
      </w:pPr>
    </w:p>
    <w:p w14:paraId="15766685">
      <w:pPr>
        <w:spacing w:line="400" w:lineRule="exact"/>
        <w:rPr>
          <w:rFonts w:ascii="仿宋" w:hAnsi="仿宋" w:eastAsia="仿宋" w:cs="仿宋"/>
          <w:color w:val="auto"/>
          <w:sz w:val="21"/>
          <w:szCs w:val="21"/>
          <w:highlight w:val="none"/>
          <w:lang w:eastAsia="zh-CN"/>
        </w:rPr>
      </w:pPr>
    </w:p>
    <w:p w14:paraId="4527C355">
      <w:pPr>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递交投诉书地址：阿克陶县政府采购办监管办公室</w:t>
      </w:r>
    </w:p>
    <w:p w14:paraId="048BF14A">
      <w:pPr>
        <w:jc w:val="right"/>
        <w:rPr>
          <w:rFonts w:ascii="仿宋" w:hAnsi="仿宋" w:eastAsia="仿宋" w:cs="仿宋"/>
          <w:color w:val="auto"/>
          <w:sz w:val="32"/>
          <w:szCs w:val="32"/>
          <w:highlight w:val="none"/>
          <w:lang w:eastAsia="zh-CN"/>
        </w:rPr>
      </w:pPr>
    </w:p>
    <w:p w14:paraId="48683013">
      <w:pPr>
        <w:spacing w:line="540" w:lineRule="exact"/>
        <w:jc w:val="center"/>
        <w:rPr>
          <w:rFonts w:ascii="仿宋" w:hAnsi="仿宋" w:eastAsia="仿宋" w:cs="仿宋"/>
          <w:b/>
          <w:bCs/>
          <w:color w:val="auto"/>
          <w:sz w:val="44"/>
          <w:szCs w:val="44"/>
          <w:highlight w:val="none"/>
          <w:lang w:eastAsia="zh-CN"/>
        </w:rPr>
      </w:pPr>
    </w:p>
    <w:p w14:paraId="42C9E2D5">
      <w:pPr>
        <w:spacing w:line="540" w:lineRule="exact"/>
        <w:jc w:val="center"/>
        <w:rPr>
          <w:rFonts w:ascii="仿宋" w:hAnsi="仿宋" w:eastAsia="仿宋" w:cs="仿宋"/>
          <w:b/>
          <w:bCs/>
          <w:color w:val="auto"/>
          <w:sz w:val="44"/>
          <w:szCs w:val="44"/>
          <w:highlight w:val="none"/>
          <w:lang w:eastAsia="zh-CN"/>
        </w:rPr>
      </w:pPr>
    </w:p>
    <w:p w14:paraId="60ED8229">
      <w:pPr>
        <w:spacing w:line="540" w:lineRule="exact"/>
        <w:jc w:val="center"/>
        <w:rPr>
          <w:rFonts w:ascii="仿宋" w:hAnsi="仿宋" w:eastAsia="仿宋" w:cs="仿宋"/>
          <w:b/>
          <w:bCs/>
          <w:color w:val="auto"/>
          <w:sz w:val="44"/>
          <w:szCs w:val="44"/>
          <w:highlight w:val="none"/>
          <w:lang w:eastAsia="zh-CN"/>
        </w:rPr>
      </w:pPr>
    </w:p>
    <w:p w14:paraId="4B1D78B0">
      <w:pPr>
        <w:spacing w:line="540" w:lineRule="exact"/>
        <w:jc w:val="center"/>
        <w:rPr>
          <w:rFonts w:ascii="仿宋" w:hAnsi="仿宋" w:eastAsia="仿宋" w:cs="仿宋"/>
          <w:b/>
          <w:bCs/>
          <w:color w:val="auto"/>
          <w:sz w:val="44"/>
          <w:szCs w:val="44"/>
          <w:highlight w:val="none"/>
          <w:lang w:eastAsia="zh-CN"/>
        </w:rPr>
      </w:pPr>
    </w:p>
    <w:p w14:paraId="72B1AEB7">
      <w:pPr>
        <w:spacing w:line="540" w:lineRule="exact"/>
        <w:jc w:val="center"/>
        <w:rPr>
          <w:rFonts w:ascii="仿宋" w:hAnsi="仿宋" w:eastAsia="仿宋" w:cs="仿宋"/>
          <w:b/>
          <w:bCs/>
          <w:color w:val="auto"/>
          <w:sz w:val="44"/>
          <w:szCs w:val="44"/>
          <w:highlight w:val="none"/>
          <w:lang w:eastAsia="zh-CN"/>
        </w:rPr>
      </w:pPr>
    </w:p>
    <w:p w14:paraId="7E45C040">
      <w:pPr>
        <w:spacing w:line="540" w:lineRule="exact"/>
        <w:jc w:val="center"/>
        <w:rPr>
          <w:rFonts w:ascii="仿宋" w:hAnsi="仿宋" w:eastAsia="仿宋" w:cs="仿宋"/>
          <w:b/>
          <w:bCs/>
          <w:color w:val="auto"/>
          <w:sz w:val="44"/>
          <w:szCs w:val="44"/>
          <w:highlight w:val="none"/>
          <w:lang w:eastAsia="zh-CN"/>
        </w:rPr>
      </w:pPr>
    </w:p>
    <w:p w14:paraId="2016592F">
      <w:pPr>
        <w:spacing w:line="540" w:lineRule="exact"/>
        <w:jc w:val="center"/>
        <w:rPr>
          <w:rFonts w:ascii="仿宋" w:hAnsi="仿宋" w:eastAsia="仿宋" w:cs="仿宋"/>
          <w:b/>
          <w:bCs/>
          <w:color w:val="auto"/>
          <w:sz w:val="44"/>
          <w:szCs w:val="44"/>
          <w:highlight w:val="none"/>
          <w:lang w:eastAsia="zh-CN"/>
        </w:rPr>
      </w:pPr>
    </w:p>
    <w:p w14:paraId="676241E6">
      <w:pPr>
        <w:spacing w:line="540" w:lineRule="exact"/>
        <w:jc w:val="center"/>
        <w:rPr>
          <w:rFonts w:ascii="仿宋" w:hAnsi="仿宋" w:eastAsia="仿宋" w:cs="仿宋"/>
          <w:b/>
          <w:bCs/>
          <w:color w:val="auto"/>
          <w:sz w:val="44"/>
          <w:szCs w:val="44"/>
          <w:highlight w:val="none"/>
          <w:lang w:eastAsia="zh-CN"/>
        </w:rPr>
      </w:pPr>
    </w:p>
    <w:p w14:paraId="21316B4F">
      <w:pPr>
        <w:spacing w:line="540" w:lineRule="exact"/>
        <w:jc w:val="center"/>
        <w:rPr>
          <w:rFonts w:ascii="仿宋" w:hAnsi="仿宋" w:eastAsia="仿宋" w:cs="仿宋"/>
          <w:b/>
          <w:bCs/>
          <w:color w:val="auto"/>
          <w:sz w:val="44"/>
          <w:szCs w:val="44"/>
          <w:highlight w:val="none"/>
          <w:lang w:eastAsia="zh-CN"/>
        </w:rPr>
      </w:pPr>
    </w:p>
    <w:p w14:paraId="2C6B7969">
      <w:pPr>
        <w:spacing w:line="540" w:lineRule="exact"/>
        <w:jc w:val="center"/>
        <w:rPr>
          <w:rFonts w:ascii="仿宋" w:hAnsi="仿宋" w:eastAsia="仿宋" w:cs="仿宋"/>
          <w:b/>
          <w:bCs/>
          <w:color w:val="auto"/>
          <w:sz w:val="44"/>
          <w:szCs w:val="44"/>
          <w:highlight w:val="none"/>
          <w:lang w:eastAsia="zh-CN"/>
        </w:rPr>
      </w:pPr>
    </w:p>
    <w:p w14:paraId="0D7E0E9F">
      <w:pPr>
        <w:pStyle w:val="31"/>
        <w:ind w:left="0" w:leftChars="0" w:firstLine="0" w:firstLineChars="0"/>
        <w:rPr>
          <w:rFonts w:ascii="仿宋" w:hAnsi="仿宋" w:eastAsia="仿宋" w:cs="仿宋"/>
          <w:b/>
          <w:bCs/>
          <w:color w:val="auto"/>
          <w:sz w:val="44"/>
          <w:szCs w:val="44"/>
          <w:highlight w:val="none"/>
          <w:lang w:eastAsia="zh-CN"/>
        </w:rPr>
      </w:pPr>
    </w:p>
    <w:p w14:paraId="7595E3AA">
      <w:pPr>
        <w:spacing w:line="540" w:lineRule="exact"/>
        <w:jc w:val="center"/>
        <w:outlineLvl w:val="0"/>
        <w:rPr>
          <w:rFonts w:hint="eastAsia" w:ascii="仿宋" w:hAnsi="仿宋" w:eastAsia="仿宋" w:cs="仿宋"/>
          <w:b/>
          <w:bCs/>
          <w:color w:val="auto"/>
          <w:sz w:val="32"/>
          <w:szCs w:val="32"/>
          <w:highlight w:val="none"/>
          <w:lang w:eastAsia="zh-CN"/>
        </w:rPr>
      </w:pPr>
      <w:bookmarkStart w:id="29" w:name="_Toc1697"/>
    </w:p>
    <w:p w14:paraId="7FD0FF04">
      <w:pPr>
        <w:spacing w:line="540" w:lineRule="exact"/>
        <w:jc w:val="center"/>
        <w:outlineLvl w:val="0"/>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质疑函范本</w:t>
      </w:r>
      <w:bookmarkEnd w:id="29"/>
    </w:p>
    <w:p w14:paraId="6B2308F4">
      <w:pPr>
        <w:keepNext w:val="0"/>
        <w:keepLines w:val="0"/>
        <w:pageBreakBefore w:val="0"/>
        <w:widowControl w:val="0"/>
        <w:kinsoku/>
        <w:wordWrap/>
        <w:overflowPunct/>
        <w:topLinePunct w:val="0"/>
        <w:autoSpaceDE/>
        <w:autoSpaceDN/>
        <w:bidi w:val="0"/>
        <w:adjustRightInd w:val="0"/>
        <w:snapToGrid w:val="0"/>
        <w:spacing w:beforeLines="100" w:line="500" w:lineRule="exact"/>
        <w:ind w:firstLine="486" w:firstLineChars="200"/>
        <w:textAlignment w:val="auto"/>
        <w:outlineLvl w:val="0"/>
        <w:rPr>
          <w:rFonts w:ascii="仿宋" w:hAnsi="仿宋" w:eastAsia="仿宋" w:cs="仿宋"/>
          <w:bCs/>
          <w:color w:val="auto"/>
          <w:highlight w:val="none"/>
          <w:lang w:eastAsia="zh-CN"/>
        </w:rPr>
      </w:pPr>
      <w:bookmarkStart w:id="30" w:name="_Toc9061"/>
      <w:r>
        <w:rPr>
          <w:rFonts w:hint="eastAsia" w:ascii="仿宋" w:hAnsi="仿宋" w:eastAsia="仿宋" w:cs="仿宋"/>
          <w:bCs/>
          <w:color w:val="auto"/>
          <w:highlight w:val="none"/>
          <w:lang w:eastAsia="zh-CN"/>
        </w:rPr>
        <w:t>一、质疑供应商基本信息</w:t>
      </w:r>
      <w:bookmarkEnd w:id="30"/>
    </w:p>
    <w:p w14:paraId="4FD07E6C">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质疑供应商：</w:t>
      </w:r>
      <w:r>
        <w:rPr>
          <w:rFonts w:hint="eastAsia" w:ascii="仿宋" w:hAnsi="仿宋" w:eastAsia="仿宋" w:cs="仿宋"/>
          <w:color w:val="auto"/>
          <w:highlight w:val="none"/>
          <w:u w:val="dotted"/>
          <w:lang w:eastAsia="zh-CN"/>
        </w:rPr>
        <w:t xml:space="preserve">                         </w:t>
      </w:r>
    </w:p>
    <w:p w14:paraId="0BC4A9FB">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7D379965">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46D1EE39">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授权代表：</w:t>
      </w:r>
      <w:r>
        <w:rPr>
          <w:rFonts w:hint="eastAsia" w:ascii="仿宋" w:hAnsi="仿宋" w:eastAsia="仿宋" w:cs="仿宋"/>
          <w:color w:val="auto"/>
          <w:highlight w:val="none"/>
          <w:u w:val="dotted"/>
          <w:lang w:eastAsia="zh-CN"/>
        </w:rPr>
        <w:t xml:space="preserve">                                          </w:t>
      </w:r>
    </w:p>
    <w:p w14:paraId="23E638BA">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6BA345F0">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地址： </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538975DF">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outlineLvl w:val="0"/>
        <w:rPr>
          <w:rFonts w:ascii="仿宋" w:hAnsi="仿宋" w:eastAsia="仿宋" w:cs="仿宋"/>
          <w:bCs/>
          <w:color w:val="auto"/>
          <w:highlight w:val="none"/>
          <w:lang w:eastAsia="zh-CN"/>
        </w:rPr>
      </w:pPr>
      <w:bookmarkStart w:id="31" w:name="_Toc15938"/>
      <w:r>
        <w:rPr>
          <w:rFonts w:hint="eastAsia" w:ascii="仿宋" w:hAnsi="仿宋" w:eastAsia="仿宋" w:cs="仿宋"/>
          <w:bCs/>
          <w:color w:val="auto"/>
          <w:highlight w:val="none"/>
          <w:lang w:eastAsia="zh-CN"/>
        </w:rPr>
        <w:t>二、质疑项目基本情况</w:t>
      </w:r>
      <w:bookmarkEnd w:id="31"/>
    </w:p>
    <w:p w14:paraId="3B16372D">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质疑项目的名称：</w:t>
      </w:r>
      <w:r>
        <w:rPr>
          <w:rFonts w:hint="eastAsia" w:ascii="仿宋" w:hAnsi="仿宋" w:eastAsia="仿宋" w:cs="仿宋"/>
          <w:color w:val="auto"/>
          <w:highlight w:val="none"/>
          <w:u w:val="dotted"/>
          <w:lang w:eastAsia="zh-CN"/>
        </w:rPr>
        <w:t xml:space="preserve">                                     </w:t>
      </w:r>
    </w:p>
    <w:p w14:paraId="3154BAF9">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质疑项目的编号：</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包号：</w:t>
      </w:r>
      <w:r>
        <w:rPr>
          <w:rFonts w:hint="eastAsia" w:ascii="仿宋" w:hAnsi="仿宋" w:eastAsia="仿宋" w:cs="仿宋"/>
          <w:color w:val="auto"/>
          <w:highlight w:val="none"/>
          <w:u w:val="dotted"/>
          <w:lang w:eastAsia="zh-CN"/>
        </w:rPr>
        <w:t xml:space="preserve">                </w:t>
      </w:r>
    </w:p>
    <w:p w14:paraId="41F479CF">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采购人名称：</w:t>
      </w:r>
      <w:r>
        <w:rPr>
          <w:rFonts w:hint="eastAsia" w:ascii="仿宋" w:hAnsi="仿宋" w:eastAsia="仿宋" w:cs="仿宋"/>
          <w:color w:val="auto"/>
          <w:highlight w:val="none"/>
          <w:u w:val="dotted"/>
          <w:lang w:eastAsia="zh-CN"/>
        </w:rPr>
        <w:t xml:space="preserve">                                         </w:t>
      </w:r>
    </w:p>
    <w:p w14:paraId="15B30BEE">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采购文件获取日期：</w:t>
      </w:r>
      <w:r>
        <w:rPr>
          <w:rFonts w:hint="eastAsia" w:ascii="仿宋" w:hAnsi="仿宋" w:eastAsia="仿宋" w:cs="仿宋"/>
          <w:color w:val="auto"/>
          <w:highlight w:val="none"/>
          <w:u w:val="dotted"/>
          <w:lang w:eastAsia="zh-CN"/>
        </w:rPr>
        <w:t xml:space="preserve">                                   </w:t>
      </w:r>
    </w:p>
    <w:p w14:paraId="531FAEF3">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outlineLvl w:val="0"/>
        <w:rPr>
          <w:rFonts w:ascii="仿宋" w:hAnsi="仿宋" w:eastAsia="仿宋" w:cs="仿宋"/>
          <w:bCs/>
          <w:color w:val="auto"/>
          <w:highlight w:val="none"/>
          <w:lang w:eastAsia="zh-CN"/>
        </w:rPr>
      </w:pPr>
      <w:bookmarkStart w:id="32" w:name="_Toc18271"/>
      <w:r>
        <w:rPr>
          <w:rFonts w:hint="eastAsia" w:ascii="仿宋" w:hAnsi="仿宋" w:eastAsia="仿宋" w:cs="仿宋"/>
          <w:bCs/>
          <w:color w:val="auto"/>
          <w:highlight w:val="none"/>
          <w:lang w:eastAsia="zh-CN"/>
        </w:rPr>
        <w:t>三、质疑事项具体内容</w:t>
      </w:r>
      <w:bookmarkEnd w:id="32"/>
    </w:p>
    <w:p w14:paraId="391A117C">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质疑事项1：</w:t>
      </w:r>
      <w:r>
        <w:rPr>
          <w:rFonts w:hint="eastAsia" w:ascii="仿宋" w:hAnsi="仿宋" w:eastAsia="仿宋" w:cs="仿宋"/>
          <w:color w:val="auto"/>
          <w:highlight w:val="none"/>
          <w:u w:val="dotted"/>
          <w:lang w:eastAsia="zh-CN"/>
        </w:rPr>
        <w:t xml:space="preserve">                                         </w:t>
      </w:r>
    </w:p>
    <w:p w14:paraId="3BAC67FE">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事实依据：</w:t>
      </w:r>
      <w:r>
        <w:rPr>
          <w:rFonts w:hint="eastAsia" w:ascii="仿宋" w:hAnsi="仿宋" w:eastAsia="仿宋" w:cs="仿宋"/>
          <w:color w:val="auto"/>
          <w:highlight w:val="none"/>
          <w:u w:val="dotted"/>
          <w:lang w:eastAsia="zh-CN"/>
        </w:rPr>
        <w:t xml:space="preserve">                                           </w:t>
      </w:r>
    </w:p>
    <w:p w14:paraId="3D74BBC3">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法律依据：</w:t>
      </w:r>
      <w:r>
        <w:rPr>
          <w:rFonts w:hint="eastAsia" w:ascii="仿宋" w:hAnsi="仿宋" w:eastAsia="仿宋" w:cs="仿宋"/>
          <w:color w:val="auto"/>
          <w:highlight w:val="none"/>
          <w:u w:val="dotted"/>
          <w:lang w:eastAsia="zh-CN"/>
        </w:rPr>
        <w:t xml:space="preserve">                                           </w:t>
      </w:r>
    </w:p>
    <w:p w14:paraId="0BB2E8F9">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质疑事项2</w:t>
      </w:r>
    </w:p>
    <w:p w14:paraId="7823D812">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470BFA70">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outlineLvl w:val="0"/>
        <w:rPr>
          <w:rFonts w:ascii="仿宋" w:hAnsi="仿宋" w:eastAsia="仿宋" w:cs="仿宋"/>
          <w:bCs/>
          <w:color w:val="auto"/>
          <w:highlight w:val="none"/>
          <w:lang w:eastAsia="zh-CN"/>
        </w:rPr>
      </w:pPr>
      <w:bookmarkStart w:id="33" w:name="_Toc22365"/>
      <w:r>
        <w:rPr>
          <w:rFonts w:hint="eastAsia" w:ascii="仿宋" w:hAnsi="仿宋" w:eastAsia="仿宋" w:cs="仿宋"/>
          <w:bCs/>
          <w:color w:val="auto"/>
          <w:highlight w:val="none"/>
          <w:lang w:eastAsia="zh-CN"/>
        </w:rPr>
        <w:t>四、与质疑事项相关的质疑请求</w:t>
      </w:r>
      <w:bookmarkEnd w:id="33"/>
    </w:p>
    <w:p w14:paraId="4F8F8A3A">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请求：</w:t>
      </w:r>
      <w:r>
        <w:rPr>
          <w:rFonts w:hint="eastAsia" w:ascii="仿宋" w:hAnsi="仿宋" w:eastAsia="仿宋" w:cs="仿宋"/>
          <w:color w:val="auto"/>
          <w:highlight w:val="none"/>
          <w:u w:val="dotted"/>
          <w:lang w:eastAsia="zh-CN"/>
        </w:rPr>
        <w:t xml:space="preserve">                                               </w:t>
      </w:r>
    </w:p>
    <w:p w14:paraId="4F4E2644">
      <w:pPr>
        <w:keepNext w:val="0"/>
        <w:keepLines w:val="0"/>
        <w:pageBreakBefore w:val="0"/>
        <w:widowControl w:val="0"/>
        <w:kinsoku/>
        <w:wordWrap/>
        <w:overflowPunct/>
        <w:topLinePunct w:val="0"/>
        <w:autoSpaceDE/>
        <w:autoSpaceDN/>
        <w:bidi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签章(签章)：                   公章：                      </w:t>
      </w:r>
    </w:p>
    <w:p w14:paraId="424BBAEA">
      <w:pPr>
        <w:keepNext w:val="0"/>
        <w:keepLines w:val="0"/>
        <w:pageBreakBefore w:val="0"/>
        <w:widowControl w:val="0"/>
        <w:kinsoku/>
        <w:wordWrap/>
        <w:overflowPunct/>
        <w:topLinePunct w:val="0"/>
        <w:autoSpaceDE/>
        <w:autoSpaceDN/>
        <w:bidi w:val="0"/>
        <w:spacing w:line="500" w:lineRule="exact"/>
        <w:ind w:firstLine="486" w:firstLineChars="200"/>
        <w:textAlignment w:val="auto"/>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 xml:space="preserve">日期：    </w:t>
      </w:r>
    </w:p>
    <w:p w14:paraId="6F9A7482">
      <w:pPr>
        <w:pageBreakBefore/>
        <w:spacing w:line="440" w:lineRule="exact"/>
        <w:jc w:val="center"/>
        <w:outlineLvl w:val="0"/>
        <w:rPr>
          <w:rFonts w:ascii="仿宋" w:hAnsi="仿宋" w:eastAsia="仿宋" w:cs="仿宋"/>
          <w:b/>
          <w:bCs/>
          <w:color w:val="auto"/>
          <w:sz w:val="30"/>
          <w:szCs w:val="30"/>
          <w:highlight w:val="none"/>
          <w:lang w:eastAsia="zh-CN"/>
        </w:rPr>
      </w:pPr>
      <w:bookmarkStart w:id="34" w:name="_Toc469495731"/>
      <w:r>
        <w:rPr>
          <w:rFonts w:hint="eastAsia" w:ascii="仿宋" w:hAnsi="仿宋" w:eastAsia="仿宋" w:cs="仿宋"/>
          <w:b/>
          <w:bCs/>
          <w:color w:val="auto"/>
          <w:sz w:val="30"/>
          <w:szCs w:val="30"/>
          <w:highlight w:val="none"/>
          <w:lang w:eastAsia="zh-CN"/>
        </w:rPr>
        <w:t>第三章 评标办法</w:t>
      </w:r>
      <w:bookmarkEnd w:id="34"/>
    </w:p>
    <w:p w14:paraId="170C73EF">
      <w:pPr>
        <w:jc w:val="center"/>
        <w:outlineLvl w:val="1"/>
        <w:rPr>
          <w:rFonts w:ascii="仿宋" w:hAnsi="仿宋" w:eastAsia="仿宋" w:cs="仿宋"/>
          <w:b/>
          <w:color w:val="auto"/>
          <w:sz w:val="28"/>
          <w:szCs w:val="28"/>
          <w:highlight w:val="none"/>
          <w:lang w:eastAsia="zh-CN"/>
        </w:rPr>
      </w:pPr>
      <w:bookmarkStart w:id="35" w:name="_Toc362983802"/>
      <w:bookmarkStart w:id="36" w:name="_Toc469495733"/>
      <w:bookmarkStart w:id="37" w:name="_Toc267320058"/>
      <w:bookmarkStart w:id="38" w:name="_Toc363135205"/>
      <w:r>
        <w:rPr>
          <w:rFonts w:hint="eastAsia" w:ascii="仿宋" w:hAnsi="仿宋" w:eastAsia="仿宋" w:cs="仿宋"/>
          <w:b/>
          <w:color w:val="auto"/>
          <w:sz w:val="28"/>
          <w:szCs w:val="28"/>
          <w:highlight w:val="none"/>
          <w:lang w:eastAsia="zh-CN"/>
        </w:rPr>
        <w:t>一  总  则</w:t>
      </w:r>
    </w:p>
    <w:p w14:paraId="1DC34A19">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1、一般规定</w:t>
      </w:r>
    </w:p>
    <w:p w14:paraId="7724478B">
      <w:pPr>
        <w:keepNext w:val="0"/>
        <w:keepLines w:val="0"/>
        <w:pageBreakBefore w:val="0"/>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1.1本项目的招标按照《中华人民共和国政府采购法》、《政府采购货物和服务招标投标管理办法》及政府采购的有关规定进行。</w:t>
      </w:r>
    </w:p>
    <w:p w14:paraId="7F19B8A5">
      <w:pPr>
        <w:keepNext w:val="0"/>
        <w:keepLines w:val="0"/>
        <w:pageBreakBefore w:val="0"/>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1.2评标必须遵循邀请、公平、公正、诚实信用的原则。</w:t>
      </w:r>
    </w:p>
    <w:p w14:paraId="41C3C181">
      <w:pPr>
        <w:keepNext w:val="0"/>
        <w:keepLines w:val="0"/>
        <w:pageBreakBefore w:val="0"/>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1.3招标代理机构组织招标、开标、评标工作，全过程接受政府采购有关部门的监督、管理和指导。</w:t>
      </w:r>
    </w:p>
    <w:p w14:paraId="5A216AC0">
      <w:pPr>
        <w:keepNext w:val="0"/>
        <w:keepLines w:val="0"/>
        <w:pageBreakBefore w:val="0"/>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1.4评标按照招标文件规定的内容进行，采取符合招标文件要求的</w:t>
      </w:r>
      <w:r>
        <w:rPr>
          <w:rFonts w:hint="eastAsia" w:ascii="仿宋" w:hAnsi="仿宋" w:eastAsia="仿宋" w:cs="仿宋"/>
          <w:color w:val="auto"/>
          <w:highlight w:val="none"/>
          <w:lang w:eastAsia="zh-CN"/>
        </w:rPr>
        <w:t>综合评分法</w:t>
      </w:r>
      <w:r>
        <w:rPr>
          <w:rFonts w:hint="eastAsia" w:ascii="仿宋" w:hAnsi="仿宋" w:eastAsia="仿宋" w:cs="仿宋"/>
          <w:color w:val="auto"/>
          <w:szCs w:val="21"/>
          <w:highlight w:val="none"/>
          <w:lang w:eastAsia="zh-CN"/>
        </w:rPr>
        <w:t>；</w:t>
      </w:r>
    </w:p>
    <w:p w14:paraId="6F9100A0">
      <w:pPr>
        <w:keepNext w:val="0"/>
        <w:keepLines w:val="0"/>
        <w:pageBreakBefore w:val="0"/>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1.5本办法的评标对象是指供应商按照招标文件要求提供的有效投标文件，包括供应商应评标委员会要求对原投标文件作出的正式书面澄清文件。</w:t>
      </w:r>
    </w:p>
    <w:p w14:paraId="07B19033">
      <w:pPr>
        <w:keepNext w:val="0"/>
        <w:keepLines w:val="0"/>
        <w:pageBreakBefore w:val="0"/>
        <w:tabs>
          <w:tab w:val="left" w:pos="567"/>
          <w:tab w:val="left" w:pos="1145"/>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2、评标组织机构的组成</w:t>
      </w:r>
    </w:p>
    <w:p w14:paraId="71C91376">
      <w:pPr>
        <w:keepNext w:val="0"/>
        <w:keepLines w:val="0"/>
        <w:pageBreakBefore w:val="0"/>
        <w:tabs>
          <w:tab w:val="left" w:pos="567"/>
          <w:tab w:val="left" w:pos="1145"/>
        </w:tabs>
        <w:kinsoku/>
        <w:wordWrap/>
        <w:overflowPunct/>
        <w:topLinePunct w:val="0"/>
        <w:autoSpaceDE/>
        <w:autoSpaceDN/>
        <w:bidi w:val="0"/>
        <w:adjustRightInd/>
        <w:snapToGrid/>
        <w:spacing w:line="360" w:lineRule="auto"/>
        <w:ind w:firstLine="619" w:firstLineChars="255"/>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highlight w:val="none"/>
          <w:lang w:eastAsia="zh-CN"/>
        </w:rPr>
        <w:t>2.1</w:t>
      </w:r>
      <w:r>
        <w:rPr>
          <w:rFonts w:hint="eastAsia" w:ascii="仿宋" w:hAnsi="仿宋" w:eastAsia="仿宋" w:cs="仿宋"/>
          <w:b w:val="0"/>
          <w:bCs w:val="0"/>
          <w:color w:val="auto"/>
          <w:spacing w:val="-2"/>
          <w:highlight w:val="none"/>
          <w:lang w:eastAsia="zh-CN"/>
        </w:rPr>
        <w:t xml:space="preserve"> </w:t>
      </w:r>
      <w:r>
        <w:rPr>
          <w:rFonts w:hint="eastAsia" w:ascii="仿宋" w:hAnsi="仿宋" w:eastAsia="仿宋" w:cs="仿宋"/>
          <w:color w:val="auto"/>
          <w:spacing w:val="-2"/>
          <w:highlight w:val="none"/>
          <w:lang w:eastAsia="zh-CN"/>
        </w:rPr>
        <w:t>评标委员会</w:t>
      </w:r>
      <w:r>
        <w:rPr>
          <w:rFonts w:hint="eastAsia" w:ascii="仿宋" w:hAnsi="仿宋" w:eastAsia="仿宋" w:cs="仿宋"/>
          <w:b w:val="0"/>
          <w:bCs w:val="0"/>
          <w:color w:val="auto"/>
          <w:szCs w:val="21"/>
        </w:rPr>
        <w:t>成员</w:t>
      </w:r>
      <w:r>
        <w:rPr>
          <w:rFonts w:hint="eastAsia" w:ascii="仿宋" w:hAnsi="仿宋" w:eastAsia="仿宋" w:cs="仿宋"/>
          <w:b w:val="0"/>
          <w:bCs w:val="0"/>
          <w:color w:val="auto"/>
          <w:szCs w:val="21"/>
          <w:u w:val="single"/>
        </w:rPr>
        <w:t>为</w:t>
      </w:r>
      <w:r>
        <w:rPr>
          <w:rFonts w:hint="eastAsia" w:ascii="仿宋" w:hAnsi="仿宋" w:eastAsia="仿宋" w:cs="仿宋"/>
          <w:b w:val="0"/>
          <w:bCs w:val="0"/>
          <w:color w:val="auto"/>
          <w:szCs w:val="21"/>
          <w:u w:val="single"/>
          <w:lang w:val="en-US" w:eastAsia="zh-CN"/>
        </w:rPr>
        <w:t>5</w:t>
      </w:r>
      <w:r>
        <w:rPr>
          <w:rFonts w:hint="eastAsia" w:ascii="仿宋" w:hAnsi="仿宋" w:eastAsia="仿宋" w:cs="仿宋"/>
          <w:b w:val="0"/>
          <w:bCs w:val="0"/>
          <w:color w:val="auto"/>
          <w:szCs w:val="21"/>
          <w:u w:val="single"/>
        </w:rPr>
        <w:t>人</w:t>
      </w:r>
      <w:r>
        <w:rPr>
          <w:rFonts w:hint="eastAsia" w:ascii="仿宋" w:hAnsi="仿宋" w:eastAsia="仿宋" w:cs="仿宋"/>
          <w:b w:val="0"/>
          <w:bCs w:val="0"/>
          <w:color w:val="auto"/>
          <w:szCs w:val="21"/>
          <w:u w:val="none"/>
          <w:lang w:eastAsia="zh-CN"/>
        </w:rPr>
        <w:t>，</w:t>
      </w:r>
      <w:r>
        <w:rPr>
          <w:rFonts w:hint="eastAsia" w:ascii="仿宋" w:hAnsi="仿宋" w:eastAsia="仿宋" w:cs="仿宋"/>
          <w:b w:val="0"/>
          <w:bCs w:val="0"/>
          <w:color w:val="auto"/>
          <w:szCs w:val="21"/>
        </w:rPr>
        <w:t>由招标人</w:t>
      </w:r>
      <w:r>
        <w:rPr>
          <w:rFonts w:hint="eastAsia" w:ascii="仿宋" w:hAnsi="仿宋" w:eastAsia="仿宋" w:cs="仿宋"/>
          <w:b w:val="0"/>
          <w:bCs w:val="0"/>
          <w:color w:val="auto"/>
          <w:szCs w:val="21"/>
          <w:lang w:eastAsia="zh-CN"/>
        </w:rPr>
        <w:t>组织的从政采云专家库随机抽取的</w:t>
      </w:r>
      <w:r>
        <w:rPr>
          <w:rFonts w:hint="eastAsia" w:ascii="仿宋" w:hAnsi="仿宋" w:eastAsia="仿宋" w:cs="仿宋"/>
          <w:b w:val="0"/>
          <w:bCs w:val="0"/>
          <w:color w:val="auto"/>
          <w:szCs w:val="21"/>
        </w:rPr>
        <w:t>有关方面的</w:t>
      </w:r>
      <w:r>
        <w:rPr>
          <w:rFonts w:hint="eastAsia" w:ascii="仿宋" w:hAnsi="仿宋" w:eastAsia="仿宋" w:cs="仿宋"/>
          <w:b w:val="0"/>
          <w:bCs w:val="0"/>
          <w:color w:val="auto"/>
          <w:szCs w:val="21"/>
          <w:u w:val="single"/>
        </w:rPr>
        <w:t>专家</w:t>
      </w:r>
      <w:r>
        <w:rPr>
          <w:rFonts w:hint="eastAsia" w:ascii="仿宋" w:hAnsi="仿宋" w:eastAsia="仿宋" w:cs="仿宋"/>
          <w:b w:val="0"/>
          <w:bCs w:val="0"/>
          <w:color w:val="auto"/>
          <w:szCs w:val="21"/>
          <w:u w:val="single"/>
          <w:lang w:val="en-US" w:eastAsia="zh-CN"/>
        </w:rPr>
        <w:t>5</w:t>
      </w:r>
      <w:r>
        <w:rPr>
          <w:rFonts w:hint="eastAsia" w:ascii="仿宋" w:hAnsi="仿宋" w:eastAsia="仿宋" w:cs="仿宋"/>
          <w:b w:val="0"/>
          <w:bCs w:val="0"/>
          <w:color w:val="auto"/>
          <w:szCs w:val="21"/>
          <w:u w:val="single"/>
        </w:rPr>
        <w:t>名组成</w:t>
      </w:r>
      <w:r>
        <w:rPr>
          <w:rFonts w:hint="eastAsia" w:ascii="仿宋" w:hAnsi="仿宋" w:eastAsia="仿宋" w:cs="仿宋"/>
          <w:b w:val="0"/>
          <w:bCs w:val="0"/>
          <w:color w:val="auto"/>
          <w:szCs w:val="21"/>
          <w:u w:val="none"/>
        </w:rPr>
        <w:t>，</w:t>
      </w:r>
      <w:r>
        <w:rPr>
          <w:rFonts w:hint="eastAsia" w:ascii="仿宋" w:hAnsi="仿宋" w:eastAsia="仿宋" w:cs="仿宋"/>
          <w:color w:val="auto"/>
          <w:spacing w:val="-2"/>
          <w:highlight w:val="none"/>
          <w:lang w:eastAsia="zh-CN"/>
        </w:rPr>
        <w:t>评标委员会</w:t>
      </w:r>
      <w:r>
        <w:rPr>
          <w:rFonts w:hint="eastAsia" w:ascii="仿宋" w:hAnsi="仿宋" w:eastAsia="仿宋" w:cs="仿宋"/>
          <w:b w:val="0"/>
          <w:bCs w:val="0"/>
          <w:color w:val="auto"/>
          <w:szCs w:val="21"/>
        </w:rPr>
        <w:t>小组的成员在评标过程中</w:t>
      </w:r>
      <w:r>
        <w:rPr>
          <w:rFonts w:hint="eastAsia" w:ascii="仿宋" w:hAnsi="仿宋" w:eastAsia="仿宋" w:cs="仿宋"/>
          <w:b w:val="0"/>
          <w:bCs w:val="0"/>
          <w:color w:val="auto"/>
          <w:szCs w:val="21"/>
          <w:lang w:val="zh-CN"/>
        </w:rPr>
        <w:t>必须严格遵守政府采购的有关规定</w:t>
      </w:r>
      <w:r>
        <w:rPr>
          <w:rFonts w:hint="eastAsia" w:ascii="仿宋" w:hAnsi="仿宋" w:eastAsia="仿宋" w:cs="仿宋"/>
          <w:b w:val="0"/>
          <w:bCs w:val="0"/>
          <w:color w:val="auto"/>
          <w:szCs w:val="21"/>
        </w:rPr>
        <w:t>。专家从当地专家库中随机抽取产生。</w:t>
      </w:r>
    </w:p>
    <w:p w14:paraId="536CCF2E">
      <w:pPr>
        <w:keepNext w:val="0"/>
        <w:keepLines w:val="0"/>
        <w:pageBreakBefore w:val="0"/>
        <w:tabs>
          <w:tab w:val="left" w:pos="567"/>
          <w:tab w:val="left" w:pos="1145"/>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2.2评标工作组由招标人及有关专家组成，由评标委员会确认，并接受其领导。</w:t>
      </w:r>
    </w:p>
    <w:p w14:paraId="1DEF2C4E">
      <w:pPr>
        <w:keepNext w:val="0"/>
        <w:keepLines w:val="0"/>
        <w:pageBreakBefore w:val="0"/>
        <w:tabs>
          <w:tab w:val="left" w:pos="567"/>
          <w:tab w:val="left" w:pos="1145"/>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2.3评标委员会应相对独立工作，负责评标、撰写技术、商务评标报告。采购代理机构负责评标过程中资料的保管、发放、回收，整理、汇总评标资料。</w:t>
      </w:r>
    </w:p>
    <w:p w14:paraId="7C2138B0">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3、评标委员会职责</w:t>
      </w:r>
    </w:p>
    <w:p w14:paraId="6F5E6670">
      <w:pPr>
        <w:pStyle w:val="4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3.1审查投标文件是否符合招标文件要求，并作出评价；</w:t>
      </w:r>
    </w:p>
    <w:p w14:paraId="3E1096FC">
      <w:pPr>
        <w:pStyle w:val="4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3.2要求供应商对投标文件有关事项作出解释或者澄清；</w:t>
      </w:r>
    </w:p>
    <w:p w14:paraId="4C7FFE16">
      <w:pPr>
        <w:pStyle w:val="4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3.3推荐中标候选人名单；</w:t>
      </w:r>
    </w:p>
    <w:p w14:paraId="6A6AF62B">
      <w:pPr>
        <w:pStyle w:val="4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3.4向招标人、招标代理机构或者有关部门报告非法干预评标工作的行为。</w:t>
      </w:r>
    </w:p>
    <w:p w14:paraId="66D93BE6">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4、评标委员会义务</w:t>
      </w:r>
    </w:p>
    <w:p w14:paraId="1CBFA421">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4.1遵纪守法，客观、公正、廉洁地履行职责；</w:t>
      </w:r>
    </w:p>
    <w:p w14:paraId="29013265">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4.2按照招标文件规定的评标方法和评标标准进行评标，对评审意见承担个人责任；</w:t>
      </w:r>
    </w:p>
    <w:p w14:paraId="47BE3388">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4.3对评标过程和结果，以及供应商的商业秘密保密；</w:t>
      </w:r>
    </w:p>
    <w:p w14:paraId="483AF8F2">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4.4参与评标报告的起草；</w:t>
      </w:r>
    </w:p>
    <w:p w14:paraId="43397FCE">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4.5配合有关部门的投诉处理工作；</w:t>
      </w:r>
    </w:p>
    <w:p w14:paraId="15051CDC">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4.6配合招标人、招标代理机构答复投标供应商提出的质疑。</w:t>
      </w:r>
    </w:p>
    <w:p w14:paraId="78E5EB45">
      <w:pPr>
        <w:keepNext w:val="0"/>
        <w:keepLines w:val="0"/>
        <w:pageBreakBefore w:val="0"/>
        <w:tabs>
          <w:tab w:val="left" w:pos="1547"/>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 评标程序</w:t>
      </w:r>
    </w:p>
    <w:p w14:paraId="23438518">
      <w:pPr>
        <w:pStyle w:val="21"/>
        <w:keepNext w:val="0"/>
        <w:keepLines w:val="0"/>
        <w:pageBreakBefore w:val="0"/>
        <w:tabs>
          <w:tab w:val="left" w:pos="720"/>
          <w:tab w:val="clear" w:pos="0"/>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bCs/>
          <w:color w:val="auto"/>
          <w:szCs w:val="21"/>
          <w:highlight w:val="none"/>
          <w:lang w:eastAsia="zh-CN" w:bidi="ar-SA"/>
        </w:rPr>
      </w:pPr>
      <w:r>
        <w:rPr>
          <w:rFonts w:hint="eastAsia" w:ascii="仿宋" w:hAnsi="仿宋" w:eastAsia="仿宋" w:cs="仿宋"/>
          <w:bCs/>
          <w:color w:val="auto"/>
          <w:szCs w:val="21"/>
          <w:highlight w:val="none"/>
          <w:lang w:eastAsia="zh-CN" w:bidi="ar-SA"/>
        </w:rPr>
        <w:t>5.1本次评标首先由评标委员会对供应商的投标文件进行初审，对未能通过初审的投标文件作无效标处理；</w:t>
      </w:r>
    </w:p>
    <w:p w14:paraId="35377D70">
      <w:pPr>
        <w:keepNext w:val="0"/>
        <w:keepLines w:val="0"/>
        <w:pageBreakBefore w:val="0"/>
        <w:tabs>
          <w:tab w:val="left" w:pos="720"/>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5.2对通过初审的供应商的投标文件进行详细的比较和评价。如需要，进行必要的澄清工作；</w:t>
      </w:r>
    </w:p>
    <w:p w14:paraId="278FBF6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ascii="仿宋" w:hAnsi="仿宋" w:eastAsia="仿宋" w:cs="仿宋"/>
          <w:b/>
          <w:bCs/>
          <w:color w:val="auto"/>
          <w:sz w:val="36"/>
          <w:szCs w:val="36"/>
          <w:highlight w:val="none"/>
          <w:lang w:eastAsia="zh-CN" w:bidi="ar-SA"/>
        </w:rPr>
      </w:pPr>
      <w:r>
        <w:rPr>
          <w:rFonts w:hint="eastAsia" w:ascii="仿宋" w:hAnsi="仿宋" w:eastAsia="仿宋" w:cs="仿宋"/>
          <w:color w:val="auto"/>
          <w:szCs w:val="21"/>
          <w:highlight w:val="none"/>
          <w:lang w:eastAsia="zh-CN" w:bidi="ar-SA"/>
        </w:rPr>
        <w:t>5.3依据评分标准以及各项权值，各位评委单独就每个供应商的投标文件进行价格、技术、信誉、业绩、服务、对招标文件的响应程度，以及相应的比重或者权值等各项因素进行综合评审后，按最终综合得分由高向低排序，由评标委员会推荐综合得分最高的供应商为第一中标候选人，综合得分第二名的供应商为第二中标候选人，综合得分第三名的供应商为第三中标候选人。</w:t>
      </w:r>
    </w:p>
    <w:p w14:paraId="1D6707E3">
      <w:pPr>
        <w:jc w:val="center"/>
        <w:outlineLvl w:val="1"/>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二  投标文件初审</w:t>
      </w:r>
      <w:bookmarkEnd w:id="35"/>
      <w:bookmarkEnd w:id="36"/>
    </w:p>
    <w:p w14:paraId="392729CB">
      <w:pPr>
        <w:spacing w:line="40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6.资格性审查:</w:t>
      </w:r>
    </w:p>
    <w:p w14:paraId="6C8DA107">
      <w:pPr>
        <w:spacing w:line="400" w:lineRule="exact"/>
        <w:ind w:firstLine="356" w:firstLineChars="147"/>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6</w:t>
      </w:r>
      <w:r>
        <w:rPr>
          <w:rFonts w:hint="eastAsia" w:ascii="仿宋" w:hAnsi="仿宋" w:eastAsia="仿宋" w:cs="仿宋"/>
          <w:color w:val="auto"/>
          <w:szCs w:val="21"/>
          <w:highlight w:val="none"/>
        </w:rPr>
        <w:t>.1评审细则</w:t>
      </w:r>
    </w:p>
    <w:p w14:paraId="0E26A8C2">
      <w:pPr>
        <w:spacing w:line="400" w:lineRule="exact"/>
        <w:ind w:firstLine="356" w:firstLineChars="147"/>
        <w:rPr>
          <w:rFonts w:ascii="仿宋" w:hAnsi="仿宋" w:eastAsia="仿宋" w:cs="仿宋"/>
          <w:color w:val="auto"/>
          <w:szCs w:val="21"/>
          <w:highlight w:val="none"/>
        </w:rPr>
      </w:pPr>
    </w:p>
    <w:tbl>
      <w:tblPr>
        <w:tblStyle w:val="25"/>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360"/>
        <w:gridCol w:w="7590"/>
        <w:gridCol w:w="597"/>
        <w:gridCol w:w="568"/>
      </w:tblGrid>
      <w:tr w14:paraId="736B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47" w:type="dxa"/>
            <w:vMerge w:val="restart"/>
            <w:vAlign w:val="center"/>
          </w:tcPr>
          <w:p w14:paraId="0337688A">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w:t>
            </w:r>
          </w:p>
        </w:tc>
        <w:tc>
          <w:tcPr>
            <w:tcW w:w="7950" w:type="dxa"/>
            <w:gridSpan w:val="2"/>
            <w:vMerge w:val="restart"/>
            <w:vAlign w:val="center"/>
          </w:tcPr>
          <w:p w14:paraId="2545860E">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评审内容</w:t>
            </w:r>
          </w:p>
        </w:tc>
        <w:tc>
          <w:tcPr>
            <w:tcW w:w="1165" w:type="dxa"/>
            <w:gridSpan w:val="2"/>
            <w:vAlign w:val="center"/>
          </w:tcPr>
          <w:p w14:paraId="60DC561E">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评审意见</w:t>
            </w:r>
          </w:p>
        </w:tc>
      </w:tr>
      <w:tr w14:paraId="23AB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47" w:type="dxa"/>
            <w:vMerge w:val="continue"/>
            <w:vAlign w:val="center"/>
          </w:tcPr>
          <w:p w14:paraId="3B2B61D4">
            <w:pPr>
              <w:rPr>
                <w:rFonts w:ascii="仿宋" w:hAnsi="仿宋" w:eastAsia="仿宋" w:cs="仿宋"/>
                <w:color w:val="auto"/>
                <w:sz w:val="18"/>
                <w:szCs w:val="21"/>
                <w:highlight w:val="none"/>
              </w:rPr>
            </w:pPr>
          </w:p>
        </w:tc>
        <w:tc>
          <w:tcPr>
            <w:tcW w:w="7950" w:type="dxa"/>
            <w:gridSpan w:val="2"/>
            <w:vMerge w:val="continue"/>
          </w:tcPr>
          <w:p w14:paraId="35B9FB90">
            <w:pPr>
              <w:rPr>
                <w:rFonts w:ascii="仿宋" w:hAnsi="仿宋" w:eastAsia="仿宋" w:cs="仿宋"/>
                <w:color w:val="auto"/>
                <w:sz w:val="18"/>
                <w:szCs w:val="21"/>
                <w:highlight w:val="none"/>
              </w:rPr>
            </w:pPr>
          </w:p>
        </w:tc>
        <w:tc>
          <w:tcPr>
            <w:tcW w:w="597" w:type="dxa"/>
            <w:vAlign w:val="center"/>
          </w:tcPr>
          <w:p w14:paraId="1171A863">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是</w:t>
            </w:r>
          </w:p>
        </w:tc>
        <w:tc>
          <w:tcPr>
            <w:tcW w:w="568" w:type="dxa"/>
            <w:vAlign w:val="center"/>
          </w:tcPr>
          <w:p w14:paraId="604E1F2E">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否</w:t>
            </w:r>
          </w:p>
        </w:tc>
      </w:tr>
      <w:tr w14:paraId="2694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47" w:type="dxa"/>
            <w:vMerge w:val="continue"/>
            <w:vAlign w:val="center"/>
          </w:tcPr>
          <w:p w14:paraId="5589A29B">
            <w:pPr>
              <w:jc w:val="center"/>
              <w:rPr>
                <w:rFonts w:ascii="仿宋" w:hAnsi="仿宋" w:eastAsia="仿宋" w:cs="仿宋"/>
                <w:color w:val="auto"/>
                <w:szCs w:val="21"/>
                <w:highlight w:val="none"/>
                <w:lang w:eastAsia="zh-CN"/>
              </w:rPr>
            </w:pPr>
          </w:p>
        </w:tc>
        <w:tc>
          <w:tcPr>
            <w:tcW w:w="360" w:type="dxa"/>
            <w:vAlign w:val="center"/>
          </w:tcPr>
          <w:p w14:paraId="568BBA43">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p>
        </w:tc>
        <w:tc>
          <w:tcPr>
            <w:tcW w:w="7590" w:type="dxa"/>
            <w:vAlign w:val="center"/>
          </w:tcPr>
          <w:p w14:paraId="146DD518">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（三证合一）营业执照</w:t>
            </w:r>
          </w:p>
        </w:tc>
        <w:tc>
          <w:tcPr>
            <w:tcW w:w="597" w:type="dxa"/>
          </w:tcPr>
          <w:p w14:paraId="72BD2963">
            <w:pPr>
              <w:rPr>
                <w:rFonts w:ascii="仿宋" w:hAnsi="仿宋" w:eastAsia="仿宋" w:cs="仿宋"/>
                <w:color w:val="auto"/>
                <w:szCs w:val="21"/>
                <w:highlight w:val="none"/>
                <w:lang w:eastAsia="zh-CN"/>
              </w:rPr>
            </w:pPr>
          </w:p>
        </w:tc>
        <w:tc>
          <w:tcPr>
            <w:tcW w:w="568" w:type="dxa"/>
          </w:tcPr>
          <w:p w14:paraId="7A212CAA">
            <w:pPr>
              <w:rPr>
                <w:rFonts w:ascii="仿宋" w:hAnsi="仿宋" w:eastAsia="仿宋" w:cs="仿宋"/>
                <w:color w:val="auto"/>
                <w:szCs w:val="21"/>
                <w:highlight w:val="none"/>
                <w:lang w:eastAsia="zh-CN"/>
              </w:rPr>
            </w:pPr>
          </w:p>
        </w:tc>
      </w:tr>
      <w:tr w14:paraId="4A6C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447" w:type="dxa"/>
            <w:vMerge w:val="continue"/>
            <w:vAlign w:val="center"/>
          </w:tcPr>
          <w:p w14:paraId="6844CC0E">
            <w:pPr>
              <w:rPr>
                <w:rFonts w:ascii="仿宋" w:hAnsi="仿宋" w:eastAsia="仿宋" w:cs="仿宋"/>
                <w:color w:val="auto"/>
                <w:highlight w:val="none"/>
                <w:lang w:eastAsia="zh-CN"/>
              </w:rPr>
            </w:pPr>
          </w:p>
        </w:tc>
        <w:tc>
          <w:tcPr>
            <w:tcW w:w="360" w:type="dxa"/>
            <w:vAlign w:val="center"/>
          </w:tcPr>
          <w:p w14:paraId="6EFE5DB9">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7590" w:type="dxa"/>
            <w:vAlign w:val="center"/>
          </w:tcPr>
          <w:p w14:paraId="535556C0">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法定代表人投标需提供法定代表人资格证明书，委托代理人投标需提供法定代表人授权委托书</w:t>
            </w:r>
          </w:p>
        </w:tc>
        <w:tc>
          <w:tcPr>
            <w:tcW w:w="597" w:type="dxa"/>
          </w:tcPr>
          <w:p w14:paraId="747CBCF4">
            <w:pPr>
              <w:rPr>
                <w:rFonts w:ascii="仿宋" w:hAnsi="仿宋" w:eastAsia="仿宋" w:cs="仿宋"/>
                <w:color w:val="auto"/>
                <w:szCs w:val="21"/>
                <w:highlight w:val="none"/>
                <w:lang w:eastAsia="zh-CN"/>
              </w:rPr>
            </w:pPr>
          </w:p>
        </w:tc>
        <w:tc>
          <w:tcPr>
            <w:tcW w:w="568" w:type="dxa"/>
          </w:tcPr>
          <w:p w14:paraId="0922992D">
            <w:pPr>
              <w:rPr>
                <w:rFonts w:ascii="仿宋" w:hAnsi="仿宋" w:eastAsia="仿宋" w:cs="仿宋"/>
                <w:color w:val="auto"/>
                <w:szCs w:val="21"/>
                <w:highlight w:val="none"/>
                <w:lang w:eastAsia="zh-CN"/>
              </w:rPr>
            </w:pPr>
          </w:p>
        </w:tc>
      </w:tr>
      <w:tr w14:paraId="6953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447" w:type="dxa"/>
            <w:vMerge w:val="continue"/>
            <w:vAlign w:val="center"/>
          </w:tcPr>
          <w:p w14:paraId="7D810758">
            <w:pPr>
              <w:rPr>
                <w:rFonts w:ascii="仿宋" w:hAnsi="仿宋" w:eastAsia="仿宋" w:cs="仿宋"/>
                <w:color w:val="auto"/>
                <w:highlight w:val="none"/>
                <w:lang w:eastAsia="zh-CN"/>
              </w:rPr>
            </w:pPr>
          </w:p>
        </w:tc>
        <w:tc>
          <w:tcPr>
            <w:tcW w:w="360" w:type="dxa"/>
            <w:vAlign w:val="center"/>
          </w:tcPr>
          <w:p w14:paraId="3B098E6E">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7590" w:type="dxa"/>
            <w:vAlign w:val="center"/>
          </w:tcPr>
          <w:p w14:paraId="7A34A042">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参加政府采购活动前三年内，在经营活动中没有重大违法记录；未被“信用中国”（www.creditchina.gov.cn）、中国政府采购网（www.ccgp.gov.cn）列入失信被执行人、税收违法黑名单、政府采购严重违法失信行为记录名单。</w:t>
            </w:r>
          </w:p>
        </w:tc>
        <w:tc>
          <w:tcPr>
            <w:tcW w:w="597" w:type="dxa"/>
          </w:tcPr>
          <w:p w14:paraId="43641F33">
            <w:pPr>
              <w:rPr>
                <w:rFonts w:ascii="仿宋" w:hAnsi="仿宋" w:eastAsia="仿宋" w:cs="仿宋"/>
                <w:color w:val="auto"/>
                <w:szCs w:val="21"/>
                <w:highlight w:val="none"/>
                <w:lang w:eastAsia="zh-CN"/>
              </w:rPr>
            </w:pPr>
          </w:p>
        </w:tc>
        <w:tc>
          <w:tcPr>
            <w:tcW w:w="568" w:type="dxa"/>
          </w:tcPr>
          <w:p w14:paraId="207C1BC5">
            <w:pPr>
              <w:rPr>
                <w:rFonts w:ascii="仿宋" w:hAnsi="仿宋" w:eastAsia="仿宋" w:cs="仿宋"/>
                <w:color w:val="auto"/>
                <w:szCs w:val="21"/>
                <w:highlight w:val="none"/>
                <w:lang w:eastAsia="zh-CN"/>
              </w:rPr>
            </w:pPr>
          </w:p>
        </w:tc>
      </w:tr>
      <w:tr w14:paraId="74A8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47" w:type="dxa"/>
            <w:vMerge w:val="continue"/>
            <w:vAlign w:val="center"/>
          </w:tcPr>
          <w:p w14:paraId="444A6E8F">
            <w:pPr>
              <w:rPr>
                <w:rFonts w:ascii="仿宋" w:hAnsi="仿宋" w:eastAsia="仿宋" w:cs="仿宋"/>
                <w:color w:val="auto"/>
                <w:highlight w:val="none"/>
                <w:lang w:eastAsia="zh-CN"/>
              </w:rPr>
            </w:pPr>
          </w:p>
        </w:tc>
        <w:tc>
          <w:tcPr>
            <w:tcW w:w="360" w:type="dxa"/>
            <w:vAlign w:val="center"/>
          </w:tcPr>
          <w:p w14:paraId="2DB887E8">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7590" w:type="dxa"/>
            <w:vAlign w:val="center"/>
          </w:tcPr>
          <w:p w14:paraId="39BE5713">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投标保证金缴纳凭证或投标担保函</w:t>
            </w:r>
          </w:p>
        </w:tc>
        <w:tc>
          <w:tcPr>
            <w:tcW w:w="597" w:type="dxa"/>
          </w:tcPr>
          <w:p w14:paraId="01880E74">
            <w:pPr>
              <w:rPr>
                <w:rFonts w:ascii="仿宋" w:hAnsi="仿宋" w:eastAsia="仿宋" w:cs="仿宋"/>
                <w:color w:val="auto"/>
                <w:szCs w:val="21"/>
                <w:highlight w:val="none"/>
                <w:lang w:eastAsia="zh-CN"/>
              </w:rPr>
            </w:pPr>
          </w:p>
        </w:tc>
        <w:tc>
          <w:tcPr>
            <w:tcW w:w="568" w:type="dxa"/>
          </w:tcPr>
          <w:p w14:paraId="66B7E0AB">
            <w:pPr>
              <w:rPr>
                <w:rFonts w:ascii="仿宋" w:hAnsi="仿宋" w:eastAsia="仿宋" w:cs="仿宋"/>
                <w:color w:val="auto"/>
                <w:szCs w:val="21"/>
                <w:highlight w:val="none"/>
                <w:lang w:eastAsia="zh-CN"/>
              </w:rPr>
            </w:pPr>
          </w:p>
        </w:tc>
      </w:tr>
      <w:tr w14:paraId="4DA7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47" w:type="dxa"/>
            <w:vMerge w:val="continue"/>
            <w:vAlign w:val="center"/>
          </w:tcPr>
          <w:p w14:paraId="66F15E7E">
            <w:pPr>
              <w:rPr>
                <w:rFonts w:ascii="仿宋" w:hAnsi="仿宋" w:eastAsia="仿宋" w:cs="仿宋"/>
                <w:color w:val="auto"/>
                <w:highlight w:val="none"/>
                <w:lang w:eastAsia="zh-CN"/>
              </w:rPr>
            </w:pPr>
          </w:p>
        </w:tc>
        <w:tc>
          <w:tcPr>
            <w:tcW w:w="360" w:type="dxa"/>
            <w:vAlign w:val="center"/>
          </w:tcPr>
          <w:p w14:paraId="3F4A3E73">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7590" w:type="dxa"/>
            <w:vAlign w:val="center"/>
          </w:tcPr>
          <w:p w14:paraId="4BE1A779">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投标企业须提供投标人（被授权在职人员）近6个月内任意一个月有效的社保证明</w:t>
            </w:r>
          </w:p>
        </w:tc>
        <w:tc>
          <w:tcPr>
            <w:tcW w:w="597" w:type="dxa"/>
          </w:tcPr>
          <w:p w14:paraId="1F96FBD5">
            <w:pPr>
              <w:rPr>
                <w:rFonts w:ascii="仿宋" w:hAnsi="仿宋" w:eastAsia="仿宋" w:cs="仿宋"/>
                <w:color w:val="auto"/>
                <w:szCs w:val="21"/>
                <w:highlight w:val="none"/>
                <w:lang w:eastAsia="zh-CN"/>
              </w:rPr>
            </w:pPr>
          </w:p>
        </w:tc>
        <w:tc>
          <w:tcPr>
            <w:tcW w:w="568" w:type="dxa"/>
          </w:tcPr>
          <w:p w14:paraId="7C364312">
            <w:pPr>
              <w:rPr>
                <w:rFonts w:ascii="仿宋" w:hAnsi="仿宋" w:eastAsia="仿宋" w:cs="仿宋"/>
                <w:color w:val="auto"/>
                <w:szCs w:val="21"/>
                <w:highlight w:val="none"/>
                <w:lang w:eastAsia="zh-CN"/>
              </w:rPr>
            </w:pPr>
          </w:p>
        </w:tc>
      </w:tr>
      <w:tr w14:paraId="4B1B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47" w:type="dxa"/>
            <w:vMerge w:val="continue"/>
            <w:vAlign w:val="center"/>
          </w:tcPr>
          <w:p w14:paraId="169E9CA9">
            <w:pPr>
              <w:jc w:val="center"/>
              <w:rPr>
                <w:rFonts w:ascii="仿宋" w:hAnsi="仿宋" w:eastAsia="仿宋" w:cs="仿宋"/>
                <w:color w:val="auto"/>
                <w:szCs w:val="21"/>
                <w:highlight w:val="none"/>
                <w:lang w:eastAsia="zh-CN"/>
              </w:rPr>
            </w:pPr>
          </w:p>
        </w:tc>
        <w:tc>
          <w:tcPr>
            <w:tcW w:w="360" w:type="dxa"/>
          </w:tcPr>
          <w:p w14:paraId="561C9D0F">
            <w:pPr>
              <w:spacing w:line="440" w:lineRule="exact"/>
              <w:rPr>
                <w:rFonts w:ascii="仿宋" w:hAnsi="仿宋" w:eastAsia="仿宋" w:cs="仿宋"/>
                <w:color w:val="auto"/>
                <w:szCs w:val="21"/>
                <w:highlight w:val="none"/>
                <w:lang w:eastAsia="zh-CN"/>
              </w:rPr>
            </w:pPr>
          </w:p>
        </w:tc>
        <w:tc>
          <w:tcPr>
            <w:tcW w:w="7590" w:type="dxa"/>
          </w:tcPr>
          <w:p w14:paraId="12AB703D">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1EBC868C">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165" w:type="dxa"/>
            <w:gridSpan w:val="2"/>
          </w:tcPr>
          <w:p w14:paraId="146FA5B8">
            <w:pPr>
              <w:rPr>
                <w:rFonts w:ascii="仿宋" w:hAnsi="仿宋" w:eastAsia="仿宋" w:cs="仿宋"/>
                <w:color w:val="auto"/>
                <w:szCs w:val="21"/>
                <w:highlight w:val="none"/>
                <w:lang w:eastAsia="zh-CN"/>
              </w:rPr>
            </w:pPr>
          </w:p>
        </w:tc>
      </w:tr>
    </w:tbl>
    <w:p w14:paraId="33BC25AE">
      <w:pPr>
        <w:keepNext w:val="0"/>
        <w:keepLines w:val="0"/>
        <w:pageBreakBefore w:val="0"/>
        <w:widowControl w:val="0"/>
        <w:kinsoku/>
        <w:wordWrap/>
        <w:overflowPunct/>
        <w:topLinePunct w:val="0"/>
        <w:autoSpaceDE/>
        <w:autoSpaceDN/>
        <w:bidi w:val="0"/>
        <w:adjustRightInd/>
        <w:snapToGrid/>
        <w:spacing w:line="480" w:lineRule="exact"/>
        <w:ind w:firstLine="585" w:firstLineChars="241"/>
        <w:textAlignment w:val="auto"/>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14:paraId="788AC400">
      <w:pPr>
        <w:pStyle w:val="31"/>
        <w:rPr>
          <w:rFonts w:hint="eastAsia" w:ascii="仿宋" w:hAnsi="仿宋" w:eastAsia="仿宋" w:cs="仿宋"/>
          <w:b/>
          <w:color w:val="auto"/>
          <w:szCs w:val="21"/>
          <w:highlight w:val="none"/>
          <w:lang w:eastAsia="zh-CN"/>
        </w:rPr>
      </w:pPr>
    </w:p>
    <w:p w14:paraId="733D7293">
      <w:pPr>
        <w:keepNext w:val="0"/>
        <w:keepLines w:val="0"/>
        <w:pageBreakBefore w:val="0"/>
        <w:widowControl w:val="0"/>
        <w:kinsoku/>
        <w:wordWrap/>
        <w:overflowPunct/>
        <w:topLinePunct w:val="0"/>
        <w:autoSpaceDE/>
        <w:autoSpaceDN/>
        <w:bidi w:val="0"/>
        <w:adjustRightInd/>
        <w:snapToGrid/>
        <w:spacing w:beforeLines="50" w:line="480" w:lineRule="exact"/>
        <w:ind w:firstLine="356" w:firstLineChars="147"/>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7</w:t>
      </w:r>
      <w:r>
        <w:rPr>
          <w:rFonts w:hint="eastAsia" w:ascii="仿宋" w:hAnsi="仿宋" w:eastAsia="仿宋" w:cs="仿宋"/>
          <w:b/>
          <w:color w:val="auto"/>
          <w:szCs w:val="21"/>
          <w:highlight w:val="none"/>
        </w:rPr>
        <w:t>.符合性审查</w:t>
      </w:r>
    </w:p>
    <w:p w14:paraId="217275FD">
      <w:pPr>
        <w:keepNext w:val="0"/>
        <w:keepLines w:val="0"/>
        <w:pageBreakBefore w:val="0"/>
        <w:widowControl w:val="0"/>
        <w:kinsoku/>
        <w:wordWrap/>
        <w:overflowPunct/>
        <w:topLinePunct w:val="0"/>
        <w:autoSpaceDE/>
        <w:autoSpaceDN/>
        <w:bidi w:val="0"/>
        <w:adjustRightInd/>
        <w:snapToGrid/>
        <w:spacing w:line="480" w:lineRule="exact"/>
        <w:ind w:firstLine="364" w:firstLineChars="15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．1评审细则</w:t>
      </w:r>
    </w:p>
    <w:tbl>
      <w:tblPr>
        <w:tblStyle w:val="25"/>
        <w:tblpPr w:leftFromText="180" w:rightFromText="180" w:vertAnchor="text" w:horzAnchor="page" w:tblpX="1772" w:tblpY="544"/>
        <w:tblW w:w="89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5"/>
        <w:gridCol w:w="597"/>
        <w:gridCol w:w="6378"/>
        <w:gridCol w:w="749"/>
        <w:gridCol w:w="617"/>
      </w:tblGrid>
      <w:tr w14:paraId="60EB0E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615" w:type="dxa"/>
            <w:vMerge w:val="restart"/>
            <w:tcBorders>
              <w:top w:val="single" w:color="auto" w:sz="4" w:space="0"/>
              <w:left w:val="single" w:color="auto" w:sz="4" w:space="0"/>
            </w:tcBorders>
            <w:vAlign w:val="center"/>
          </w:tcPr>
          <w:p w14:paraId="459DF596">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项目</w:t>
            </w:r>
          </w:p>
        </w:tc>
        <w:tc>
          <w:tcPr>
            <w:tcW w:w="6975" w:type="dxa"/>
            <w:gridSpan w:val="2"/>
            <w:vMerge w:val="restart"/>
            <w:tcBorders>
              <w:top w:val="single" w:color="auto" w:sz="4" w:space="0"/>
            </w:tcBorders>
            <w:vAlign w:val="center"/>
          </w:tcPr>
          <w:p w14:paraId="29C31D13">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评审内容</w:t>
            </w:r>
          </w:p>
        </w:tc>
        <w:tc>
          <w:tcPr>
            <w:tcW w:w="1366" w:type="dxa"/>
            <w:gridSpan w:val="2"/>
            <w:tcBorders>
              <w:top w:val="single" w:color="auto" w:sz="4" w:space="0"/>
              <w:right w:val="single" w:color="auto" w:sz="4" w:space="0"/>
            </w:tcBorders>
            <w:vAlign w:val="center"/>
          </w:tcPr>
          <w:p w14:paraId="60444D1F">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评审意见</w:t>
            </w:r>
          </w:p>
        </w:tc>
      </w:tr>
      <w:tr w14:paraId="64270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15" w:type="dxa"/>
            <w:vMerge w:val="continue"/>
            <w:tcBorders>
              <w:left w:val="single" w:color="auto" w:sz="4" w:space="0"/>
              <w:bottom w:val="single" w:color="auto" w:sz="4" w:space="0"/>
            </w:tcBorders>
            <w:vAlign w:val="center"/>
          </w:tcPr>
          <w:p w14:paraId="3001C864">
            <w:pPr>
              <w:spacing w:line="240" w:lineRule="auto"/>
              <w:rPr>
                <w:rFonts w:ascii="仿宋" w:hAnsi="仿宋" w:eastAsia="仿宋" w:cs="仿宋"/>
                <w:color w:val="auto"/>
                <w:highlight w:val="none"/>
              </w:rPr>
            </w:pPr>
          </w:p>
        </w:tc>
        <w:tc>
          <w:tcPr>
            <w:tcW w:w="6975" w:type="dxa"/>
            <w:gridSpan w:val="2"/>
            <w:vMerge w:val="continue"/>
            <w:tcBorders>
              <w:bottom w:val="single" w:color="auto" w:sz="4" w:space="0"/>
            </w:tcBorders>
          </w:tcPr>
          <w:p w14:paraId="5DBBDA8B">
            <w:pPr>
              <w:spacing w:line="240" w:lineRule="auto"/>
              <w:rPr>
                <w:rFonts w:ascii="仿宋" w:hAnsi="仿宋" w:eastAsia="仿宋" w:cs="仿宋"/>
                <w:color w:val="auto"/>
                <w:highlight w:val="none"/>
              </w:rPr>
            </w:pPr>
          </w:p>
        </w:tc>
        <w:tc>
          <w:tcPr>
            <w:tcW w:w="749" w:type="dxa"/>
            <w:vAlign w:val="center"/>
          </w:tcPr>
          <w:p w14:paraId="6FBCBD5D">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是</w:t>
            </w:r>
          </w:p>
        </w:tc>
        <w:tc>
          <w:tcPr>
            <w:tcW w:w="617" w:type="dxa"/>
            <w:tcBorders>
              <w:right w:val="single" w:color="auto" w:sz="4" w:space="0"/>
            </w:tcBorders>
            <w:vAlign w:val="center"/>
          </w:tcPr>
          <w:p w14:paraId="08E4DF1D">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否</w:t>
            </w:r>
          </w:p>
        </w:tc>
      </w:tr>
      <w:tr w14:paraId="5D035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615" w:type="dxa"/>
            <w:vMerge w:val="restart"/>
            <w:tcBorders>
              <w:top w:val="single" w:color="auto" w:sz="4" w:space="0"/>
              <w:left w:val="single" w:color="auto" w:sz="4" w:space="0"/>
              <w:right w:val="single" w:color="auto" w:sz="4" w:space="0"/>
            </w:tcBorders>
            <w:vAlign w:val="center"/>
          </w:tcPr>
          <w:p w14:paraId="5A25E037">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审</w:t>
            </w:r>
          </w:p>
          <w:p w14:paraId="704F9E76">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查</w:t>
            </w:r>
          </w:p>
          <w:p w14:paraId="6D3DA2E7">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w:t>
            </w:r>
          </w:p>
          <w:p w14:paraId="05E35795">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597" w:type="dxa"/>
            <w:tcBorders>
              <w:top w:val="single" w:color="auto" w:sz="4" w:space="0"/>
              <w:left w:val="single" w:color="auto" w:sz="4" w:space="0"/>
              <w:right w:val="single" w:color="auto" w:sz="4" w:space="0"/>
            </w:tcBorders>
            <w:vAlign w:val="center"/>
          </w:tcPr>
          <w:p w14:paraId="2EE07C7B">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6378" w:type="dxa"/>
            <w:tcBorders>
              <w:top w:val="single" w:color="auto" w:sz="4" w:space="0"/>
              <w:left w:val="single" w:color="auto" w:sz="4" w:space="0"/>
              <w:right w:val="single" w:color="auto" w:sz="4" w:space="0"/>
            </w:tcBorders>
            <w:vAlign w:val="center"/>
          </w:tcPr>
          <w:p w14:paraId="3D8B1E69">
            <w:pPr>
              <w:widowControl/>
              <w:spacing w:line="240" w:lineRule="auto"/>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由政府立项核准、审批的采购项目, 报价高于设定的采购预算价的。</w:t>
            </w:r>
          </w:p>
        </w:tc>
        <w:tc>
          <w:tcPr>
            <w:tcW w:w="749" w:type="dxa"/>
            <w:tcBorders>
              <w:left w:val="single" w:color="auto" w:sz="4" w:space="0"/>
              <w:right w:val="single" w:color="auto" w:sz="4" w:space="0"/>
            </w:tcBorders>
          </w:tcPr>
          <w:p w14:paraId="467625F3">
            <w:pPr>
              <w:spacing w:line="240" w:lineRule="auto"/>
              <w:jc w:val="center"/>
              <w:rPr>
                <w:rFonts w:ascii="仿宋" w:hAnsi="仿宋" w:eastAsia="仿宋" w:cs="仿宋"/>
                <w:b/>
                <w:color w:val="auto"/>
                <w:szCs w:val="21"/>
                <w:highlight w:val="none"/>
                <w:lang w:eastAsia="zh-CN"/>
              </w:rPr>
            </w:pPr>
          </w:p>
        </w:tc>
        <w:tc>
          <w:tcPr>
            <w:tcW w:w="617" w:type="dxa"/>
            <w:tcBorders>
              <w:left w:val="single" w:color="auto" w:sz="4" w:space="0"/>
              <w:right w:val="single" w:color="auto" w:sz="4" w:space="0"/>
            </w:tcBorders>
          </w:tcPr>
          <w:p w14:paraId="31F252C9">
            <w:pPr>
              <w:spacing w:line="240" w:lineRule="auto"/>
              <w:jc w:val="center"/>
              <w:rPr>
                <w:rFonts w:ascii="仿宋" w:hAnsi="仿宋" w:eastAsia="仿宋" w:cs="仿宋"/>
                <w:b/>
                <w:color w:val="auto"/>
                <w:szCs w:val="21"/>
                <w:highlight w:val="none"/>
                <w:lang w:eastAsia="zh-CN"/>
              </w:rPr>
            </w:pPr>
          </w:p>
        </w:tc>
      </w:tr>
      <w:tr w14:paraId="67E017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615" w:type="dxa"/>
            <w:vMerge w:val="continue"/>
            <w:tcBorders>
              <w:left w:val="single" w:color="auto" w:sz="4" w:space="0"/>
              <w:right w:val="single" w:color="auto" w:sz="4" w:space="0"/>
            </w:tcBorders>
            <w:vAlign w:val="center"/>
          </w:tcPr>
          <w:p w14:paraId="6B038D12">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0E0ED60E">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6378" w:type="dxa"/>
            <w:tcBorders>
              <w:top w:val="single" w:color="auto" w:sz="4" w:space="0"/>
              <w:left w:val="single" w:color="auto" w:sz="4" w:space="0"/>
              <w:bottom w:val="single" w:color="auto" w:sz="4" w:space="0"/>
              <w:right w:val="single" w:color="auto" w:sz="4" w:space="0"/>
            </w:tcBorders>
            <w:vAlign w:val="center"/>
          </w:tcPr>
          <w:p w14:paraId="109BE8D1">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法定代表人身份证明及授权委托书有效，且符合招标文件规定的格式。</w:t>
            </w:r>
          </w:p>
        </w:tc>
        <w:tc>
          <w:tcPr>
            <w:tcW w:w="749" w:type="dxa"/>
            <w:tcBorders>
              <w:left w:val="single" w:color="auto" w:sz="4" w:space="0"/>
            </w:tcBorders>
          </w:tcPr>
          <w:p w14:paraId="7CFCB0DC">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195BCE5F">
            <w:pPr>
              <w:spacing w:line="240" w:lineRule="auto"/>
              <w:rPr>
                <w:rFonts w:ascii="仿宋" w:hAnsi="仿宋" w:eastAsia="仿宋" w:cs="仿宋"/>
                <w:color w:val="auto"/>
                <w:szCs w:val="21"/>
                <w:highlight w:val="none"/>
                <w:lang w:eastAsia="zh-CN"/>
              </w:rPr>
            </w:pPr>
          </w:p>
        </w:tc>
      </w:tr>
      <w:tr w14:paraId="5F358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615" w:type="dxa"/>
            <w:vMerge w:val="continue"/>
            <w:tcBorders>
              <w:left w:val="single" w:color="auto" w:sz="4" w:space="0"/>
              <w:right w:val="single" w:color="auto" w:sz="4" w:space="0"/>
            </w:tcBorders>
            <w:vAlign w:val="center"/>
          </w:tcPr>
          <w:p w14:paraId="41A20F6C">
            <w:pPr>
              <w:spacing w:line="240" w:lineRule="auto"/>
              <w:rPr>
                <w:rFonts w:ascii="仿宋" w:hAnsi="仿宋" w:eastAsia="仿宋" w:cs="仿宋"/>
                <w:color w:val="auto"/>
                <w:highlight w:val="none"/>
              </w:rPr>
            </w:pPr>
          </w:p>
        </w:tc>
        <w:tc>
          <w:tcPr>
            <w:tcW w:w="597" w:type="dxa"/>
            <w:tcBorders>
              <w:left w:val="single" w:color="auto" w:sz="4" w:space="0"/>
            </w:tcBorders>
            <w:vAlign w:val="center"/>
          </w:tcPr>
          <w:p w14:paraId="471FE955">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3</w:t>
            </w:r>
          </w:p>
        </w:tc>
        <w:tc>
          <w:tcPr>
            <w:tcW w:w="6378" w:type="dxa"/>
            <w:tcBorders>
              <w:right w:val="single" w:color="auto" w:sz="4" w:space="0"/>
            </w:tcBorders>
            <w:vAlign w:val="center"/>
          </w:tcPr>
          <w:p w14:paraId="608E77D9">
            <w:pPr>
              <w:widowControl/>
              <w:spacing w:line="240" w:lineRule="auto"/>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投标文件内容齐全、无遗漏</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lang w:eastAsia="zh-CN"/>
              </w:rPr>
              <w:t>对招标文件规定的招标内容全部作出响应。</w:t>
            </w:r>
          </w:p>
          <w:p w14:paraId="1FEB34AF">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lang w:eastAsia="zh-CN"/>
              </w:rPr>
              <w:t>（注：参数允许出现负偏离，具体详见评分标准）</w:t>
            </w:r>
          </w:p>
        </w:tc>
        <w:tc>
          <w:tcPr>
            <w:tcW w:w="749" w:type="dxa"/>
            <w:tcBorders>
              <w:left w:val="single" w:color="auto" w:sz="4" w:space="0"/>
            </w:tcBorders>
          </w:tcPr>
          <w:p w14:paraId="3A77216F">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28A335AB">
            <w:pPr>
              <w:spacing w:line="240" w:lineRule="auto"/>
              <w:rPr>
                <w:rFonts w:ascii="仿宋" w:hAnsi="仿宋" w:eastAsia="仿宋" w:cs="仿宋"/>
                <w:color w:val="auto"/>
                <w:szCs w:val="21"/>
                <w:highlight w:val="none"/>
                <w:lang w:eastAsia="zh-CN"/>
              </w:rPr>
            </w:pPr>
          </w:p>
        </w:tc>
      </w:tr>
      <w:tr w14:paraId="0FC7F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615" w:type="dxa"/>
            <w:vMerge w:val="continue"/>
            <w:tcBorders>
              <w:left w:val="single" w:color="auto" w:sz="4" w:space="0"/>
              <w:right w:val="single" w:color="auto" w:sz="4" w:space="0"/>
            </w:tcBorders>
            <w:vAlign w:val="center"/>
          </w:tcPr>
          <w:p w14:paraId="684E58F6">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24697538">
            <w:pPr>
              <w:spacing w:line="24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p>
        </w:tc>
        <w:tc>
          <w:tcPr>
            <w:tcW w:w="6378" w:type="dxa"/>
            <w:tcBorders>
              <w:top w:val="single" w:color="auto" w:sz="4" w:space="0"/>
              <w:left w:val="single" w:color="auto" w:sz="4" w:space="0"/>
              <w:bottom w:val="single" w:color="auto" w:sz="4" w:space="0"/>
              <w:right w:val="single" w:color="auto" w:sz="4" w:space="0"/>
            </w:tcBorders>
            <w:vAlign w:val="center"/>
          </w:tcPr>
          <w:p w14:paraId="73A3490B">
            <w:pPr>
              <w:widowControl/>
              <w:spacing w:line="240" w:lineRule="auto"/>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满足招标文件提出的技术和质量要求。</w:t>
            </w:r>
          </w:p>
          <w:p w14:paraId="25BF95E5">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lang w:eastAsia="zh-CN"/>
              </w:rPr>
              <w:t>（注：参数允许出现负偏离，具体详见评分标准）</w:t>
            </w:r>
          </w:p>
        </w:tc>
        <w:tc>
          <w:tcPr>
            <w:tcW w:w="749" w:type="dxa"/>
            <w:tcBorders>
              <w:top w:val="single" w:color="auto" w:sz="4" w:space="0"/>
              <w:left w:val="single" w:color="auto" w:sz="4" w:space="0"/>
              <w:bottom w:val="single" w:color="auto" w:sz="4" w:space="0"/>
              <w:right w:val="single" w:color="auto" w:sz="4" w:space="0"/>
            </w:tcBorders>
          </w:tcPr>
          <w:p w14:paraId="1E5E9872">
            <w:pPr>
              <w:spacing w:line="240" w:lineRule="auto"/>
              <w:rPr>
                <w:rFonts w:ascii="仿宋" w:hAnsi="仿宋" w:eastAsia="仿宋" w:cs="仿宋"/>
                <w:color w:val="auto"/>
                <w:szCs w:val="21"/>
                <w:highlight w:val="none"/>
                <w:lang w:eastAsia="zh-CN"/>
              </w:rPr>
            </w:pPr>
          </w:p>
        </w:tc>
        <w:tc>
          <w:tcPr>
            <w:tcW w:w="617" w:type="dxa"/>
            <w:tcBorders>
              <w:top w:val="single" w:color="auto" w:sz="4" w:space="0"/>
              <w:left w:val="single" w:color="auto" w:sz="4" w:space="0"/>
              <w:bottom w:val="single" w:color="auto" w:sz="4" w:space="0"/>
              <w:right w:val="single" w:color="auto" w:sz="4" w:space="0"/>
            </w:tcBorders>
          </w:tcPr>
          <w:p w14:paraId="11363A51">
            <w:pPr>
              <w:spacing w:line="240" w:lineRule="auto"/>
              <w:rPr>
                <w:rFonts w:ascii="仿宋" w:hAnsi="仿宋" w:eastAsia="仿宋" w:cs="仿宋"/>
                <w:color w:val="auto"/>
                <w:szCs w:val="21"/>
                <w:highlight w:val="none"/>
                <w:lang w:eastAsia="zh-CN"/>
              </w:rPr>
            </w:pPr>
          </w:p>
        </w:tc>
      </w:tr>
      <w:tr w14:paraId="49C68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615" w:type="dxa"/>
            <w:vMerge w:val="continue"/>
            <w:tcBorders>
              <w:left w:val="single" w:color="auto" w:sz="4" w:space="0"/>
              <w:right w:val="single" w:color="auto" w:sz="4" w:space="0"/>
            </w:tcBorders>
            <w:vAlign w:val="center"/>
          </w:tcPr>
          <w:p w14:paraId="271E8587">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tcBorders>
            <w:vAlign w:val="center"/>
          </w:tcPr>
          <w:p w14:paraId="2F310FE1">
            <w:pPr>
              <w:spacing w:line="24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p>
        </w:tc>
        <w:tc>
          <w:tcPr>
            <w:tcW w:w="6378" w:type="dxa"/>
            <w:tcBorders>
              <w:top w:val="single" w:color="auto" w:sz="4" w:space="0"/>
              <w:right w:val="single" w:color="auto" w:sz="4" w:space="0"/>
            </w:tcBorders>
            <w:vAlign w:val="center"/>
          </w:tcPr>
          <w:p w14:paraId="606A472A">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完成期限满足招标文件要求。</w:t>
            </w:r>
          </w:p>
        </w:tc>
        <w:tc>
          <w:tcPr>
            <w:tcW w:w="749" w:type="dxa"/>
            <w:tcBorders>
              <w:top w:val="single" w:color="auto" w:sz="4" w:space="0"/>
              <w:left w:val="single" w:color="auto" w:sz="4" w:space="0"/>
            </w:tcBorders>
          </w:tcPr>
          <w:p w14:paraId="786F8E9B">
            <w:pPr>
              <w:spacing w:line="240" w:lineRule="auto"/>
              <w:rPr>
                <w:rFonts w:ascii="仿宋" w:hAnsi="仿宋" w:eastAsia="仿宋" w:cs="仿宋"/>
                <w:color w:val="auto"/>
                <w:szCs w:val="21"/>
                <w:highlight w:val="none"/>
                <w:lang w:eastAsia="zh-CN"/>
              </w:rPr>
            </w:pPr>
          </w:p>
        </w:tc>
        <w:tc>
          <w:tcPr>
            <w:tcW w:w="617" w:type="dxa"/>
            <w:tcBorders>
              <w:top w:val="single" w:color="auto" w:sz="4" w:space="0"/>
              <w:right w:val="single" w:color="auto" w:sz="4" w:space="0"/>
            </w:tcBorders>
          </w:tcPr>
          <w:p w14:paraId="3B3980FB">
            <w:pPr>
              <w:spacing w:line="240" w:lineRule="auto"/>
              <w:rPr>
                <w:rFonts w:ascii="仿宋" w:hAnsi="仿宋" w:eastAsia="仿宋" w:cs="仿宋"/>
                <w:color w:val="auto"/>
                <w:szCs w:val="21"/>
                <w:highlight w:val="none"/>
                <w:lang w:eastAsia="zh-CN"/>
              </w:rPr>
            </w:pPr>
          </w:p>
        </w:tc>
      </w:tr>
      <w:tr w14:paraId="223006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615" w:type="dxa"/>
            <w:vMerge w:val="continue"/>
            <w:tcBorders>
              <w:left w:val="single" w:color="auto" w:sz="4" w:space="0"/>
              <w:right w:val="single" w:color="auto" w:sz="4" w:space="0"/>
            </w:tcBorders>
            <w:vAlign w:val="center"/>
          </w:tcPr>
          <w:p w14:paraId="637FA5F6">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7487FC1F">
            <w:pPr>
              <w:spacing w:line="24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p>
        </w:tc>
        <w:tc>
          <w:tcPr>
            <w:tcW w:w="6378" w:type="dxa"/>
            <w:tcBorders>
              <w:right w:val="single" w:color="auto" w:sz="4" w:space="0"/>
            </w:tcBorders>
            <w:vAlign w:val="center"/>
          </w:tcPr>
          <w:p w14:paraId="18ADF495">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售后服务满足招标文件要求。</w:t>
            </w:r>
          </w:p>
        </w:tc>
        <w:tc>
          <w:tcPr>
            <w:tcW w:w="749" w:type="dxa"/>
            <w:tcBorders>
              <w:left w:val="single" w:color="auto" w:sz="4" w:space="0"/>
            </w:tcBorders>
          </w:tcPr>
          <w:p w14:paraId="38E01883">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58BF085C">
            <w:pPr>
              <w:spacing w:line="240" w:lineRule="auto"/>
              <w:rPr>
                <w:rFonts w:ascii="仿宋" w:hAnsi="仿宋" w:eastAsia="仿宋" w:cs="仿宋"/>
                <w:color w:val="auto"/>
                <w:szCs w:val="21"/>
                <w:highlight w:val="none"/>
                <w:lang w:eastAsia="zh-CN"/>
              </w:rPr>
            </w:pPr>
          </w:p>
        </w:tc>
      </w:tr>
      <w:tr w14:paraId="2530AE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615" w:type="dxa"/>
            <w:vMerge w:val="continue"/>
            <w:tcBorders>
              <w:left w:val="single" w:color="auto" w:sz="4" w:space="0"/>
              <w:right w:val="single" w:color="auto" w:sz="4" w:space="0"/>
            </w:tcBorders>
            <w:vAlign w:val="center"/>
          </w:tcPr>
          <w:p w14:paraId="12590726">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7D7D0E9B">
            <w:pPr>
              <w:spacing w:line="24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p>
        </w:tc>
        <w:tc>
          <w:tcPr>
            <w:tcW w:w="6378" w:type="dxa"/>
            <w:tcBorders>
              <w:right w:val="single" w:color="auto" w:sz="4" w:space="0"/>
            </w:tcBorders>
            <w:vAlign w:val="center"/>
          </w:tcPr>
          <w:p w14:paraId="75C1C29D">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投标有效期满足招标文件要求。</w:t>
            </w:r>
          </w:p>
        </w:tc>
        <w:tc>
          <w:tcPr>
            <w:tcW w:w="749" w:type="dxa"/>
            <w:tcBorders>
              <w:left w:val="single" w:color="auto" w:sz="4" w:space="0"/>
            </w:tcBorders>
          </w:tcPr>
          <w:p w14:paraId="10ABAE68">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718B27E3">
            <w:pPr>
              <w:spacing w:line="240" w:lineRule="auto"/>
              <w:rPr>
                <w:rFonts w:ascii="仿宋" w:hAnsi="仿宋" w:eastAsia="仿宋" w:cs="仿宋"/>
                <w:color w:val="auto"/>
                <w:szCs w:val="21"/>
                <w:highlight w:val="none"/>
                <w:lang w:eastAsia="zh-CN"/>
              </w:rPr>
            </w:pPr>
          </w:p>
        </w:tc>
      </w:tr>
      <w:tr w14:paraId="70E67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615" w:type="dxa"/>
            <w:vMerge w:val="continue"/>
            <w:tcBorders>
              <w:left w:val="single" w:color="auto" w:sz="4" w:space="0"/>
              <w:right w:val="single" w:color="auto" w:sz="4" w:space="0"/>
            </w:tcBorders>
            <w:vAlign w:val="center"/>
          </w:tcPr>
          <w:p w14:paraId="482B52E2">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62C60DDC">
            <w:pPr>
              <w:spacing w:line="24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8</w:t>
            </w:r>
          </w:p>
        </w:tc>
        <w:tc>
          <w:tcPr>
            <w:tcW w:w="6378" w:type="dxa"/>
            <w:tcBorders>
              <w:right w:val="single" w:color="auto" w:sz="4" w:space="0"/>
            </w:tcBorders>
            <w:vAlign w:val="center"/>
          </w:tcPr>
          <w:p w14:paraId="22DA38BF">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供应商详细地址、联系人、电话。</w:t>
            </w:r>
          </w:p>
        </w:tc>
        <w:tc>
          <w:tcPr>
            <w:tcW w:w="749" w:type="dxa"/>
            <w:tcBorders>
              <w:left w:val="single" w:color="auto" w:sz="4" w:space="0"/>
            </w:tcBorders>
          </w:tcPr>
          <w:p w14:paraId="3B99DF07">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432BF548">
            <w:pPr>
              <w:spacing w:line="240" w:lineRule="auto"/>
              <w:rPr>
                <w:rFonts w:ascii="仿宋" w:hAnsi="仿宋" w:eastAsia="仿宋" w:cs="仿宋"/>
                <w:color w:val="auto"/>
                <w:szCs w:val="21"/>
                <w:highlight w:val="none"/>
                <w:lang w:eastAsia="zh-CN"/>
              </w:rPr>
            </w:pPr>
          </w:p>
        </w:tc>
      </w:tr>
      <w:tr w14:paraId="6A5AA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615" w:type="dxa"/>
            <w:tcBorders>
              <w:left w:val="single" w:color="auto" w:sz="4" w:space="0"/>
              <w:bottom w:val="single" w:color="auto" w:sz="4" w:space="0"/>
              <w:right w:val="single" w:color="auto" w:sz="4" w:space="0"/>
            </w:tcBorders>
            <w:vAlign w:val="center"/>
          </w:tcPr>
          <w:p w14:paraId="2AFAF597">
            <w:pPr>
              <w:spacing w:line="240" w:lineRule="auto"/>
              <w:jc w:val="center"/>
              <w:rPr>
                <w:rFonts w:ascii="仿宋" w:hAnsi="仿宋" w:eastAsia="仿宋" w:cs="仿宋"/>
                <w:color w:val="auto"/>
                <w:szCs w:val="21"/>
                <w:highlight w:val="none"/>
                <w:lang w:eastAsia="zh-CN"/>
              </w:rPr>
            </w:pPr>
          </w:p>
        </w:tc>
        <w:tc>
          <w:tcPr>
            <w:tcW w:w="6975" w:type="dxa"/>
            <w:gridSpan w:val="2"/>
            <w:tcBorders>
              <w:left w:val="single" w:color="auto" w:sz="4" w:space="0"/>
              <w:bottom w:val="single" w:color="auto" w:sz="4" w:space="0"/>
              <w:right w:val="single" w:color="auto" w:sz="4" w:space="0"/>
            </w:tcBorders>
          </w:tcPr>
          <w:p w14:paraId="052AFBDE">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10BE86CF">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1B361072">
            <w:pPr>
              <w:spacing w:line="240" w:lineRule="auto"/>
              <w:rPr>
                <w:rFonts w:ascii="仿宋" w:hAnsi="仿宋" w:eastAsia="仿宋" w:cs="仿宋"/>
                <w:color w:val="auto"/>
                <w:szCs w:val="21"/>
                <w:highlight w:val="none"/>
                <w:lang w:eastAsia="zh-CN"/>
              </w:rPr>
            </w:pPr>
          </w:p>
        </w:tc>
      </w:tr>
    </w:tbl>
    <w:p w14:paraId="3B5448EF">
      <w:pPr>
        <w:rPr>
          <w:rFonts w:ascii="仿宋" w:hAnsi="仿宋" w:eastAsia="仿宋" w:cs="仿宋"/>
          <w:color w:val="auto"/>
          <w:highlight w:val="none"/>
          <w:lang w:eastAsia="zh-CN"/>
        </w:rPr>
      </w:pPr>
    </w:p>
    <w:p w14:paraId="300F2FF9">
      <w:pPr>
        <w:keepNext w:val="0"/>
        <w:keepLines w:val="0"/>
        <w:pageBreakBefore w:val="0"/>
        <w:widowControl w:val="0"/>
        <w:kinsoku/>
        <w:wordWrap/>
        <w:overflowPunct/>
        <w:topLinePunct w:val="0"/>
        <w:autoSpaceDE/>
        <w:autoSpaceDN/>
        <w:bidi w:val="0"/>
        <w:adjustRightInd/>
        <w:snapToGrid/>
        <w:spacing w:line="420" w:lineRule="exact"/>
        <w:ind w:firstLine="585" w:firstLineChars="241"/>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7.2评委会判定投标文件的响应性只根据投标文件本身的内容，而不寻求外部的证据，但投标有不真实不正确的内容时除外。</w:t>
      </w:r>
    </w:p>
    <w:p w14:paraId="746B11FA">
      <w:pPr>
        <w:keepNext w:val="0"/>
        <w:keepLines w:val="0"/>
        <w:pageBreakBefore w:val="0"/>
        <w:widowControl w:val="0"/>
        <w:kinsoku/>
        <w:wordWrap/>
        <w:overflowPunct/>
        <w:topLinePunct w:val="0"/>
        <w:autoSpaceDE/>
        <w:autoSpaceDN/>
        <w:bidi w:val="0"/>
        <w:adjustRightInd/>
        <w:snapToGrid/>
        <w:spacing w:line="420" w:lineRule="exact"/>
        <w:ind w:firstLine="585" w:firstLineChars="241"/>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7.3如果投标文件实质上没有响应采购文件的要求，评委会将予以拒绝，供应商不得通过修正或撤销不符合要求的偏离或保留，而使其投标成为实质上响应的投标。</w:t>
      </w:r>
    </w:p>
    <w:p w14:paraId="06C62CE7">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7.4供应商可在现场20分钟内对评标委员会的评审结论提出异议，评标委员会根据采购文件及有关规定对供应商的异议进行复议</w:t>
      </w:r>
    </w:p>
    <w:p w14:paraId="06909019">
      <w:pPr>
        <w:keepNext w:val="0"/>
        <w:keepLines w:val="0"/>
        <w:pageBreakBefore w:val="0"/>
        <w:widowControl w:val="0"/>
        <w:kinsoku/>
        <w:wordWrap/>
        <w:overflowPunct/>
        <w:topLinePunct w:val="0"/>
        <w:autoSpaceDE/>
        <w:autoSpaceDN/>
        <w:bidi w:val="0"/>
        <w:adjustRightInd/>
        <w:snapToGrid/>
        <w:spacing w:line="420" w:lineRule="exact"/>
        <w:ind w:firstLine="607" w:firstLineChars="2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7.5只有通过初审的供应商才能进入下一步评标程序。</w:t>
      </w:r>
    </w:p>
    <w:p w14:paraId="32945588">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14:paraId="68CBA318">
      <w:pPr>
        <w:keepNext w:val="0"/>
        <w:keepLines w:val="0"/>
        <w:pageBreakBefore w:val="0"/>
        <w:widowControl w:val="0"/>
        <w:kinsoku/>
        <w:wordWrap/>
        <w:overflowPunct/>
        <w:topLinePunct w:val="0"/>
        <w:autoSpaceDE/>
        <w:autoSpaceDN/>
        <w:bidi w:val="0"/>
        <w:adjustRightInd/>
        <w:snapToGrid/>
        <w:spacing w:beforeLines="50" w:line="420" w:lineRule="exact"/>
        <w:jc w:val="center"/>
        <w:textAlignment w:val="auto"/>
        <w:outlineLvl w:val="1"/>
        <w:rPr>
          <w:rFonts w:ascii="仿宋" w:hAnsi="仿宋" w:eastAsia="仿宋" w:cs="仿宋"/>
          <w:b/>
          <w:color w:val="auto"/>
          <w:highlight w:val="none"/>
          <w:lang w:eastAsia="zh-CN"/>
        </w:rPr>
      </w:pPr>
      <w:bookmarkStart w:id="39" w:name="_Toc362983803"/>
      <w:bookmarkStart w:id="40" w:name="_Toc469495734"/>
      <w:r>
        <w:rPr>
          <w:rFonts w:hint="eastAsia" w:ascii="仿宋" w:hAnsi="仿宋" w:eastAsia="仿宋" w:cs="仿宋"/>
          <w:b/>
          <w:color w:val="auto"/>
          <w:highlight w:val="none"/>
          <w:lang w:eastAsia="zh-CN"/>
        </w:rPr>
        <w:t xml:space="preserve">三 </w:t>
      </w:r>
      <w:r>
        <w:rPr>
          <w:rFonts w:hint="eastAsia" w:ascii="仿宋" w:hAnsi="仿宋" w:eastAsia="仿宋" w:cs="仿宋"/>
          <w:b/>
          <w:color w:val="auto"/>
          <w:sz w:val="28"/>
          <w:szCs w:val="28"/>
          <w:highlight w:val="none"/>
          <w:lang w:eastAsia="zh-CN"/>
        </w:rPr>
        <w:t xml:space="preserve"> </w:t>
      </w:r>
      <w:r>
        <w:rPr>
          <w:rFonts w:hint="eastAsia" w:ascii="仿宋" w:hAnsi="仿宋" w:eastAsia="仿宋" w:cs="仿宋"/>
          <w:b/>
          <w:color w:val="auto"/>
          <w:highlight w:val="none"/>
          <w:lang w:eastAsia="zh-CN"/>
        </w:rPr>
        <w:t>投标文件的澄清和补正</w:t>
      </w:r>
      <w:bookmarkEnd w:id="39"/>
      <w:bookmarkEnd w:id="40"/>
    </w:p>
    <w:p w14:paraId="6E94EAB8">
      <w:pPr>
        <w:keepNext w:val="0"/>
        <w:keepLines w:val="0"/>
        <w:pageBreakBefore w:val="0"/>
        <w:widowControl w:val="0"/>
        <w:kinsoku/>
        <w:wordWrap/>
        <w:overflowPunct/>
        <w:topLinePunct w:val="0"/>
        <w:autoSpaceDE/>
        <w:autoSpaceDN/>
        <w:bidi w:val="0"/>
        <w:adjustRightInd/>
        <w:snapToGrid/>
        <w:spacing w:line="42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8．澄清、说明或补正的形式</w:t>
      </w:r>
    </w:p>
    <w:p w14:paraId="09EA4524">
      <w:pPr>
        <w:keepNext w:val="0"/>
        <w:keepLines w:val="0"/>
        <w:pageBreakBefore w:val="0"/>
        <w:widowControl w:val="0"/>
        <w:kinsoku/>
        <w:wordWrap/>
        <w:overflowPunct/>
        <w:topLinePunct w:val="0"/>
        <w:autoSpaceDE/>
        <w:autoSpaceDN/>
        <w:bidi w:val="0"/>
        <w:adjustRightInd/>
        <w:snapToGrid/>
        <w:spacing w:line="42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032819E2">
      <w:pPr>
        <w:keepNext w:val="0"/>
        <w:keepLines w:val="0"/>
        <w:pageBreakBefore w:val="0"/>
        <w:widowControl w:val="0"/>
        <w:kinsoku/>
        <w:wordWrap/>
        <w:overflowPunct/>
        <w:topLinePunct w:val="0"/>
        <w:autoSpaceDE/>
        <w:autoSpaceDN/>
        <w:bidi w:val="0"/>
        <w:adjustRightInd/>
        <w:snapToGrid/>
        <w:spacing w:line="42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2BB556F3">
      <w:pPr>
        <w:keepNext w:val="0"/>
        <w:keepLines w:val="0"/>
        <w:pageBreakBefore w:val="0"/>
        <w:widowControl w:val="0"/>
        <w:kinsoku/>
        <w:wordWrap/>
        <w:overflowPunct/>
        <w:topLinePunct w:val="0"/>
        <w:autoSpaceDE/>
        <w:autoSpaceDN/>
        <w:bidi w:val="0"/>
        <w:adjustRightInd/>
        <w:snapToGrid/>
        <w:spacing w:line="42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45BFD5ED">
      <w:pPr>
        <w:keepNext w:val="0"/>
        <w:keepLines w:val="0"/>
        <w:pageBreakBefore w:val="0"/>
        <w:widowControl w:val="0"/>
        <w:kinsoku/>
        <w:wordWrap/>
        <w:overflowPunct/>
        <w:topLinePunct w:val="0"/>
        <w:autoSpaceDE/>
        <w:autoSpaceDN/>
        <w:bidi w:val="0"/>
        <w:adjustRightInd/>
        <w:snapToGrid/>
        <w:spacing w:line="42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9．错误修正的原则</w:t>
      </w:r>
    </w:p>
    <w:p w14:paraId="412FAFEC">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电子交易平台客户端里开标一览表录入的投标报价或优惠率与扫描上传的报价文件信息不一致的，以扫描上传的报价文件信息为准进行修正。</w:t>
      </w:r>
    </w:p>
    <w:p w14:paraId="5E18B81F">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投标文件报价出现前后不一致的，除采购文件另有规定外，按照下列规定修正：</w:t>
      </w:r>
    </w:p>
    <w:p w14:paraId="766E864E">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9.1 投标函中表述的内容与报价表中不一致的，以报价表为准；报价表中的内容与报价明细表不一致的，以报价表为准；</w:t>
      </w:r>
    </w:p>
    <w:p w14:paraId="629E0017">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9.2 投标文件中的大写金额和小写金额不一致的，以大写金额为准；</w:t>
      </w:r>
    </w:p>
    <w:p w14:paraId="35A37827">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9.3 单价金额小数点有明显错位的，以开标一览表的总价为准，并修改单价；</w:t>
      </w:r>
    </w:p>
    <w:p w14:paraId="4397A2A6">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9.4 总价金额与按单价汇总金额不一致的，以单价金额计算结果为准；</w:t>
      </w:r>
    </w:p>
    <w:p w14:paraId="4F631FE5">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9.5 若用文字表示的数值与用数字表示的数值不一致，以文字表示的数值为准；</w:t>
      </w:r>
    </w:p>
    <w:p w14:paraId="0E11949A">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9.6 如有多报（指数量超出采购文件需求）、重报（指同一货物重复报价），其投标总价在评标过程中不予调整，如其中标，其合同价按其投标单价予以调整；</w:t>
      </w:r>
    </w:p>
    <w:p w14:paraId="6B0E8EC1">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9.7 对不同文字文本投标文件的解释发生异议的，以中文文本为准；</w:t>
      </w:r>
    </w:p>
    <w:p w14:paraId="7A51B4A7">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72930FCC">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1"/>
        <w:rPr>
          <w:rFonts w:ascii="仿宋" w:hAnsi="仿宋" w:eastAsia="仿宋" w:cs="仿宋"/>
          <w:b/>
          <w:color w:val="auto"/>
          <w:highlight w:val="none"/>
          <w:lang w:eastAsia="zh-CN"/>
        </w:rPr>
      </w:pPr>
      <w:bookmarkStart w:id="41" w:name="_Toc469495735"/>
      <w:r>
        <w:rPr>
          <w:rFonts w:hint="eastAsia" w:ascii="仿宋" w:hAnsi="仿宋" w:eastAsia="仿宋" w:cs="仿宋"/>
          <w:b/>
          <w:color w:val="auto"/>
          <w:highlight w:val="none"/>
          <w:lang w:eastAsia="zh-CN"/>
        </w:rPr>
        <w:t>四 比较与评价</w:t>
      </w:r>
      <w:bookmarkEnd w:id="41"/>
    </w:p>
    <w:p w14:paraId="0C2AD799">
      <w:pPr>
        <w:keepNext w:val="0"/>
        <w:keepLines w:val="0"/>
        <w:pageBreakBefore w:val="0"/>
        <w:widowControl w:val="0"/>
        <w:tabs>
          <w:tab w:val="left" w:pos="720"/>
        </w:tabs>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bookmarkStart w:id="42" w:name="_Toc469495736"/>
      <w:bookmarkStart w:id="43" w:name="_Toc362983805"/>
      <w:r>
        <w:rPr>
          <w:rFonts w:hint="eastAsia" w:ascii="仿宋" w:hAnsi="仿宋" w:eastAsia="仿宋" w:cs="仿宋"/>
          <w:color w:val="auto"/>
          <w:szCs w:val="21"/>
          <w:highlight w:val="none"/>
          <w:lang w:eastAsia="zh-CN" w:bidi="ar-SA"/>
        </w:rPr>
        <w:t>10.1评标委员会按招标文件中规定的评标方法和标准，对资格性检查和符合性检查合格的投标文件进行商务和技术评估、综合比较与评价。</w:t>
      </w:r>
    </w:p>
    <w:p w14:paraId="5C23AD77">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10.2评标委员会根据商务和技术评估的结果，采用综合评分法，分别对投标文件的商务、技术、价格等内容进行打分。其中，商务评估、技术评估、价格评估的评分权值（详见附件1）。</w:t>
      </w:r>
    </w:p>
    <w:p w14:paraId="279610ED">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bCs/>
          <w:color w:val="auto"/>
          <w:szCs w:val="21"/>
          <w:highlight w:val="none"/>
          <w:lang w:eastAsia="zh-CN" w:bidi="ar-SA"/>
        </w:rPr>
      </w:pPr>
      <w:r>
        <w:rPr>
          <w:rFonts w:hint="eastAsia" w:ascii="仿宋" w:hAnsi="仿宋" w:eastAsia="仿宋" w:cs="仿宋"/>
          <w:color w:val="auto"/>
          <w:szCs w:val="21"/>
          <w:highlight w:val="none"/>
          <w:lang w:eastAsia="zh-CN" w:bidi="ar-SA"/>
        </w:rPr>
        <w:t>10.</w:t>
      </w:r>
      <w:r>
        <w:rPr>
          <w:rFonts w:hint="eastAsia" w:ascii="仿宋" w:hAnsi="仿宋" w:eastAsia="仿宋" w:cs="仿宋"/>
          <w:bCs/>
          <w:color w:val="auto"/>
          <w:szCs w:val="21"/>
          <w:highlight w:val="none"/>
          <w:lang w:eastAsia="zh-CN" w:bidi="ar-SA"/>
        </w:rPr>
        <w:t>2.1评委打分办法</w:t>
      </w:r>
    </w:p>
    <w:p w14:paraId="46E19F3A">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bCs/>
          <w:color w:val="auto"/>
          <w:szCs w:val="21"/>
          <w:highlight w:val="none"/>
          <w:lang w:eastAsia="zh-CN" w:bidi="ar-SA"/>
        </w:rPr>
        <w:t>（1）</w:t>
      </w:r>
      <w:r>
        <w:rPr>
          <w:rFonts w:hint="eastAsia" w:ascii="仿宋" w:hAnsi="仿宋" w:eastAsia="仿宋" w:cs="仿宋"/>
          <w:color w:val="auto"/>
          <w:szCs w:val="21"/>
          <w:highlight w:val="none"/>
          <w:lang w:eastAsia="zh-CN" w:bidi="ar-SA"/>
        </w:rPr>
        <w:t>参加评分的评委应尽力体现客观、实事求是，避免学派偏见和个人偏好。</w:t>
      </w:r>
    </w:p>
    <w:p w14:paraId="2447A852">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（2）衡量、对比的依据，应以招标文件、投标文件、提供的正式试验数据、质询澄清中的文字为准，口头回答和收集的资料只作为参考。</w:t>
      </w:r>
    </w:p>
    <w:p w14:paraId="08B006E9">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（3）评分主要是为比较各供应商的价格、商务和技术综合排序。</w:t>
      </w:r>
    </w:p>
    <w:p w14:paraId="17021076">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（4）评委打分采取记名形式。</w:t>
      </w:r>
    </w:p>
    <w:p w14:paraId="2AB72158">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（5）各评委根据提供的技术打分表独立自主打分，任何人不得要求评委统一打分或统一确定等次顺序。</w:t>
      </w:r>
    </w:p>
    <w:p w14:paraId="16743E76">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（6）对打分表中的每项条款，各评委应根据投标文件、澄清材料、招标文件要求，按满足的程度给供应商打分。</w:t>
      </w:r>
    </w:p>
    <w:p w14:paraId="5BF7E234">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（7）评分程序</w:t>
      </w:r>
    </w:p>
    <w:p w14:paraId="5E0BBCA1">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1)就供应商的投标文件对照整理出商务、技术评标因素对比表、偏差表，并在经过校核的基础上逐项打分。</w:t>
      </w:r>
    </w:p>
    <w:p w14:paraId="78B27735">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2)各评委独立完成打分后分别提交，由代理机构组织进行分数统计。</w:t>
      </w:r>
    </w:p>
    <w:p w14:paraId="63B8D318">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3)最终汇总表中各供应商得分应为评委打分的算术平均值。</w:t>
      </w:r>
    </w:p>
    <w:p w14:paraId="70A3C9A2">
      <w:pPr>
        <w:pStyle w:val="7"/>
        <w:keepNext w:val="0"/>
        <w:keepLines w:val="0"/>
        <w:pageBreakBefore w:val="0"/>
        <w:widowControl w:val="0"/>
        <w:numPr>
          <w:ilvl w:val="0"/>
          <w:numId w:val="7"/>
        </w:numPr>
        <w:kinsoku/>
        <w:wordWrap/>
        <w:overflowPunct/>
        <w:topLinePunct w:val="0"/>
        <w:bidi w:val="0"/>
        <w:snapToGrid/>
        <w:spacing w:line="480" w:lineRule="exact"/>
        <w:jc w:val="left"/>
        <w:textAlignment w:val="auto"/>
        <w:rPr>
          <w:rFonts w:hint="eastAsia" w:ascii="仿宋" w:hAnsi="仿宋" w:eastAsia="仿宋" w:cs="仿宋"/>
          <w:b/>
          <w:bCs/>
          <w:color w:val="auto"/>
          <w:szCs w:val="21"/>
          <w:highlight w:val="none"/>
          <w:lang w:eastAsia="zh-CN" w:bidi="ar-SA"/>
        </w:rPr>
      </w:pPr>
      <w:r>
        <w:rPr>
          <w:rFonts w:hint="eastAsia" w:ascii="仿宋" w:hAnsi="仿宋" w:eastAsia="仿宋" w:cs="仿宋"/>
          <w:b/>
          <w:bCs/>
          <w:color w:val="auto"/>
          <w:szCs w:val="21"/>
          <w:highlight w:val="none"/>
          <w:lang w:eastAsia="zh-CN" w:bidi="ar-SA"/>
        </w:rPr>
        <w:t>评分标准和细则（综合评分法评分标准）</w:t>
      </w:r>
    </w:p>
    <w:p w14:paraId="7D77DE79">
      <w:pPr>
        <w:pStyle w:val="4"/>
        <w:jc w:val="center"/>
        <w:rPr>
          <w:rFonts w:hint="eastAsia" w:ascii="仿宋" w:hAnsi="仿宋" w:eastAsia="仿宋" w:cs="仿宋"/>
          <w:b/>
          <w:bCs/>
          <w:color w:val="auto"/>
          <w:sz w:val="32"/>
          <w:szCs w:val="21"/>
          <w:highlight w:val="none"/>
          <w:lang w:eastAsia="zh-CN" w:bidi="ar-SA"/>
        </w:rPr>
      </w:pPr>
      <w:r>
        <w:rPr>
          <w:rFonts w:hint="eastAsia" w:ascii="仿宋" w:hAnsi="仿宋" w:eastAsia="仿宋" w:cs="仿宋"/>
          <w:b/>
          <w:bCs/>
          <w:color w:val="auto"/>
          <w:sz w:val="28"/>
          <w:szCs w:val="21"/>
          <w:highlight w:val="none"/>
          <w:lang w:val="en-US" w:eastAsia="zh-CN"/>
        </w:rPr>
        <w:t>评分标准</w:t>
      </w:r>
    </w:p>
    <w:tbl>
      <w:tblPr>
        <w:tblStyle w:val="25"/>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579"/>
        <w:gridCol w:w="6979"/>
      </w:tblGrid>
      <w:tr w14:paraId="3416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20" w:type="dxa"/>
            <w:vAlign w:val="center"/>
          </w:tcPr>
          <w:p w14:paraId="7994EC35">
            <w:pPr>
              <w:spacing w:line="440" w:lineRule="exact"/>
              <w:jc w:val="center"/>
              <w:rPr>
                <w:rFonts w:ascii="仿宋" w:hAnsi="仿宋" w:eastAsia="仿宋" w:cs="仿宋"/>
                <w:color w:val="auto"/>
                <w:sz w:val="21"/>
                <w:szCs w:val="21"/>
                <w:lang w:eastAsia="zh-CN" w:bidi="ar-SA"/>
              </w:rPr>
            </w:pPr>
            <w:r>
              <w:rPr>
                <w:rFonts w:hint="eastAsia" w:ascii="仿宋" w:hAnsi="仿宋" w:eastAsia="仿宋" w:cs="仿宋"/>
                <w:color w:val="auto"/>
                <w:sz w:val="21"/>
                <w:szCs w:val="21"/>
                <w:lang w:eastAsia="zh-CN" w:bidi="ar-SA"/>
              </w:rPr>
              <w:t>评分因素</w:t>
            </w:r>
          </w:p>
        </w:tc>
        <w:tc>
          <w:tcPr>
            <w:tcW w:w="1579" w:type="dxa"/>
            <w:vAlign w:val="center"/>
          </w:tcPr>
          <w:p w14:paraId="6B0F7407">
            <w:pPr>
              <w:spacing w:line="440" w:lineRule="exact"/>
              <w:jc w:val="center"/>
              <w:rPr>
                <w:rFonts w:ascii="仿宋" w:hAnsi="仿宋" w:eastAsia="仿宋" w:cs="仿宋"/>
                <w:color w:val="auto"/>
                <w:sz w:val="21"/>
                <w:szCs w:val="21"/>
                <w:lang w:eastAsia="zh-CN" w:bidi="ar-SA"/>
              </w:rPr>
            </w:pPr>
            <w:r>
              <w:rPr>
                <w:rFonts w:hint="eastAsia" w:ascii="仿宋" w:hAnsi="仿宋" w:eastAsia="仿宋" w:cs="仿宋"/>
                <w:color w:val="auto"/>
                <w:sz w:val="21"/>
                <w:szCs w:val="21"/>
                <w:lang w:eastAsia="zh-CN" w:bidi="ar-SA"/>
              </w:rPr>
              <w:t>分值</w:t>
            </w:r>
          </w:p>
        </w:tc>
        <w:tc>
          <w:tcPr>
            <w:tcW w:w="6979" w:type="dxa"/>
            <w:vAlign w:val="center"/>
          </w:tcPr>
          <w:p w14:paraId="0D8BAE8D">
            <w:pPr>
              <w:spacing w:line="440" w:lineRule="exact"/>
              <w:jc w:val="center"/>
              <w:rPr>
                <w:rFonts w:ascii="仿宋" w:hAnsi="仿宋" w:eastAsia="仿宋" w:cs="仿宋"/>
                <w:color w:val="auto"/>
                <w:sz w:val="21"/>
                <w:szCs w:val="21"/>
                <w:lang w:eastAsia="zh-CN" w:bidi="ar-SA"/>
              </w:rPr>
            </w:pPr>
            <w:r>
              <w:rPr>
                <w:rFonts w:hint="eastAsia" w:ascii="仿宋" w:hAnsi="仿宋" w:eastAsia="仿宋" w:cs="仿宋"/>
                <w:color w:val="auto"/>
                <w:sz w:val="21"/>
                <w:szCs w:val="21"/>
                <w:lang w:eastAsia="zh-CN" w:bidi="ar-SA"/>
              </w:rPr>
              <w:t>说明</w:t>
            </w:r>
          </w:p>
        </w:tc>
      </w:tr>
      <w:tr w14:paraId="7E81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120" w:type="dxa"/>
            <w:vAlign w:val="center"/>
          </w:tcPr>
          <w:p w14:paraId="090DB872">
            <w:pPr>
              <w:spacing w:line="440" w:lineRule="exact"/>
              <w:jc w:val="center"/>
              <w:rPr>
                <w:rFonts w:ascii="仿宋" w:hAnsi="仿宋" w:eastAsia="仿宋" w:cs="仿宋"/>
                <w:color w:val="auto"/>
                <w:sz w:val="21"/>
                <w:szCs w:val="21"/>
                <w:lang w:eastAsia="zh-CN" w:bidi="ar-SA"/>
              </w:rPr>
            </w:pPr>
            <w:r>
              <w:rPr>
                <w:rFonts w:hint="eastAsia" w:ascii="仿宋" w:hAnsi="仿宋" w:eastAsia="仿宋" w:cs="仿宋"/>
                <w:color w:val="auto"/>
                <w:sz w:val="21"/>
                <w:szCs w:val="21"/>
                <w:lang w:eastAsia="zh-CN" w:bidi="ar-SA"/>
              </w:rPr>
              <w:t>报价得分</w:t>
            </w:r>
          </w:p>
          <w:p w14:paraId="21708DC6">
            <w:pPr>
              <w:spacing w:line="440" w:lineRule="exact"/>
              <w:jc w:val="center"/>
              <w:rPr>
                <w:rFonts w:ascii="仿宋" w:hAnsi="仿宋" w:eastAsia="仿宋" w:cs="仿宋"/>
                <w:color w:val="auto"/>
                <w:sz w:val="21"/>
                <w:szCs w:val="21"/>
                <w:lang w:eastAsia="zh-CN" w:bidi="ar-SA"/>
              </w:rPr>
            </w:pPr>
            <w:r>
              <w:rPr>
                <w:rFonts w:hint="eastAsia" w:ascii="仿宋" w:hAnsi="仿宋" w:eastAsia="仿宋" w:cs="仿宋"/>
                <w:color w:val="auto"/>
                <w:sz w:val="21"/>
                <w:szCs w:val="21"/>
                <w:lang w:eastAsia="zh-CN" w:bidi="ar-SA"/>
              </w:rPr>
              <w:t>（</w:t>
            </w:r>
            <w:r>
              <w:rPr>
                <w:rFonts w:hint="eastAsia" w:ascii="仿宋" w:hAnsi="仿宋" w:eastAsia="仿宋" w:cs="仿宋"/>
                <w:color w:val="auto"/>
                <w:sz w:val="21"/>
                <w:szCs w:val="21"/>
                <w:lang w:val="en-US" w:eastAsia="zh-CN" w:bidi="ar-SA"/>
              </w:rPr>
              <w:t>30</w:t>
            </w:r>
            <w:r>
              <w:rPr>
                <w:rFonts w:hint="eastAsia" w:ascii="仿宋" w:hAnsi="仿宋" w:eastAsia="仿宋" w:cs="仿宋"/>
                <w:color w:val="auto"/>
                <w:sz w:val="21"/>
                <w:szCs w:val="21"/>
                <w:lang w:eastAsia="zh-CN" w:bidi="ar-SA"/>
              </w:rPr>
              <w:t>分）</w:t>
            </w:r>
          </w:p>
        </w:tc>
        <w:tc>
          <w:tcPr>
            <w:tcW w:w="1579" w:type="dxa"/>
            <w:vAlign w:val="center"/>
          </w:tcPr>
          <w:p w14:paraId="5CE38B17">
            <w:pPr>
              <w:spacing w:line="440" w:lineRule="exact"/>
              <w:jc w:val="center"/>
              <w:rPr>
                <w:rFonts w:ascii="仿宋" w:hAnsi="仿宋" w:eastAsia="仿宋" w:cs="仿宋"/>
                <w:color w:val="auto"/>
                <w:sz w:val="21"/>
                <w:szCs w:val="21"/>
                <w:lang w:eastAsia="zh-CN" w:bidi="ar-SA"/>
              </w:rPr>
            </w:pPr>
            <w:r>
              <w:rPr>
                <w:rFonts w:hint="eastAsia" w:ascii="仿宋" w:hAnsi="仿宋" w:eastAsia="仿宋" w:cs="仿宋"/>
                <w:color w:val="auto"/>
                <w:sz w:val="21"/>
                <w:szCs w:val="21"/>
                <w:lang w:val="en-US" w:eastAsia="zh-CN" w:bidi="ar-SA"/>
              </w:rPr>
              <w:t>30</w:t>
            </w:r>
            <w:r>
              <w:rPr>
                <w:rFonts w:hint="eastAsia" w:ascii="仿宋" w:hAnsi="仿宋" w:eastAsia="仿宋" w:cs="仿宋"/>
                <w:color w:val="auto"/>
                <w:sz w:val="21"/>
                <w:szCs w:val="21"/>
                <w:lang w:eastAsia="zh-CN" w:bidi="ar-SA"/>
              </w:rPr>
              <w:t>分</w:t>
            </w:r>
          </w:p>
        </w:tc>
        <w:tc>
          <w:tcPr>
            <w:tcW w:w="6979" w:type="dxa"/>
            <w:vAlign w:val="top"/>
          </w:tcPr>
          <w:p w14:paraId="357DC796">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价格分采用低价优先法计算，满足招标文件要求且投标报价最低的为评审基准价，价格得分=（评审基准价/投标报价）×价格权值×100</w:t>
            </w:r>
          </w:p>
          <w:p w14:paraId="6E8C5F4C">
            <w:pPr>
              <w:pStyle w:val="31"/>
              <w:ind w:left="0" w:leftChars="0" w:firstLine="0" w:firstLineChars="0"/>
              <w:rPr>
                <w:rFonts w:hint="default"/>
                <w:color w:val="auto"/>
                <w:sz w:val="21"/>
                <w:szCs w:val="21"/>
                <w:lang w:val="en-US" w:eastAsia="zh-CN"/>
              </w:rPr>
            </w:pPr>
            <w:r>
              <w:rPr>
                <w:rFonts w:hint="eastAsia" w:ascii="仿宋" w:hAnsi="仿宋" w:eastAsia="仿宋" w:cs="仿宋"/>
                <w:b/>
                <w:bCs/>
                <w:color w:val="auto"/>
                <w:sz w:val="21"/>
                <w:szCs w:val="21"/>
                <w:lang w:val="en-US" w:eastAsia="zh-CN" w:bidi="ar-SA"/>
              </w:rPr>
              <w:t>注：投标报价超过采购最高限价的按废标处理。</w:t>
            </w:r>
          </w:p>
        </w:tc>
      </w:tr>
      <w:tr w14:paraId="2052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120" w:type="dxa"/>
            <w:vMerge w:val="restart"/>
            <w:vAlign w:val="center"/>
          </w:tcPr>
          <w:p w14:paraId="3C4BB89B">
            <w:pPr>
              <w:spacing w:line="440" w:lineRule="exact"/>
              <w:jc w:val="center"/>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商务技术部分</w:t>
            </w:r>
          </w:p>
          <w:p w14:paraId="6AAF52BE">
            <w:pPr>
              <w:spacing w:line="440" w:lineRule="exact"/>
              <w:jc w:val="center"/>
              <w:rPr>
                <w:rFonts w:hint="default"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（70分）</w:t>
            </w:r>
          </w:p>
        </w:tc>
        <w:tc>
          <w:tcPr>
            <w:tcW w:w="1579" w:type="dxa"/>
            <w:vAlign w:val="center"/>
          </w:tcPr>
          <w:p w14:paraId="00C97B33">
            <w:pPr>
              <w:spacing w:line="440" w:lineRule="exact"/>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技术指标、参数响应情况</w:t>
            </w:r>
          </w:p>
          <w:p w14:paraId="7348CB2E">
            <w:pPr>
              <w:spacing w:line="440" w:lineRule="exact"/>
              <w:jc w:val="center"/>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36</w:t>
            </w:r>
            <w:r>
              <w:rPr>
                <w:rFonts w:hint="eastAsia" w:ascii="仿宋" w:hAnsi="仿宋" w:eastAsia="仿宋" w:cs="仿宋"/>
                <w:color w:val="auto"/>
                <w:sz w:val="21"/>
                <w:szCs w:val="21"/>
                <w:highlight w:val="none"/>
              </w:rPr>
              <w:t>分）</w:t>
            </w:r>
          </w:p>
        </w:tc>
        <w:tc>
          <w:tcPr>
            <w:tcW w:w="6979" w:type="dxa"/>
            <w:vAlign w:val="top"/>
          </w:tcPr>
          <w:p w14:paraId="4BB543E8">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以招标文件的技术参数要求为基准，提供详细技术偏离表。根据所投产品的配置与性能指标的响应程度打分：</w:t>
            </w:r>
          </w:p>
          <w:p w14:paraId="564974C3">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1、所投产品技术参数全部满足的得36分；</w:t>
            </w:r>
          </w:p>
          <w:p w14:paraId="63F1541E">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2、带“</w:t>
            </w:r>
            <w:bookmarkStart w:id="44" w:name="OLE_LINK2"/>
            <w:r>
              <w:rPr>
                <w:rFonts w:hint="eastAsia" w:ascii="仿宋" w:hAnsi="仿宋" w:eastAsia="仿宋" w:cs="仿宋"/>
                <w:b w:val="0"/>
                <w:bCs w:val="0"/>
                <w:color w:val="auto"/>
                <w:sz w:val="21"/>
                <w:szCs w:val="21"/>
                <w:highlight w:val="none"/>
                <w:lang w:val="en-US" w:eastAsia="zh-CN"/>
              </w:rPr>
              <w:t>★</w:t>
            </w:r>
            <w:bookmarkEnd w:id="44"/>
            <w:r>
              <w:rPr>
                <w:rFonts w:hint="eastAsia" w:ascii="仿宋" w:hAnsi="仿宋" w:eastAsia="仿宋" w:cs="仿宋"/>
                <w:b w:val="0"/>
                <w:bCs w:val="0"/>
                <w:color w:val="auto"/>
                <w:sz w:val="21"/>
                <w:szCs w:val="21"/>
                <w:highlight w:val="none"/>
                <w:lang w:val="en-US" w:eastAsia="zh-CN"/>
              </w:rPr>
              <w:t>”技术参数指标每有一项负偏离扣3分，扣完为止；</w:t>
            </w:r>
          </w:p>
          <w:p w14:paraId="1F50744B">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 xml:space="preserve">3、非“★”参数每有一项负偏离扣2分，扣完为止。  </w:t>
            </w:r>
          </w:p>
          <w:p w14:paraId="458C83F9">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（注：满足“★”技术参数需提供检测报告等相关证明材料）</w:t>
            </w:r>
          </w:p>
        </w:tc>
      </w:tr>
      <w:tr w14:paraId="57B6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0" w:type="dxa"/>
            <w:vMerge w:val="continue"/>
            <w:vAlign w:val="center"/>
          </w:tcPr>
          <w:p w14:paraId="69B8E486">
            <w:pPr>
              <w:spacing w:line="440" w:lineRule="exact"/>
              <w:jc w:val="center"/>
              <w:rPr>
                <w:rFonts w:hint="eastAsia" w:ascii="仿宋" w:hAnsi="仿宋" w:eastAsia="仿宋" w:cs="仿宋"/>
                <w:color w:val="auto"/>
                <w:sz w:val="21"/>
                <w:szCs w:val="21"/>
                <w:lang w:eastAsia="zh-CN" w:bidi="ar-SA"/>
              </w:rPr>
            </w:pPr>
          </w:p>
        </w:tc>
        <w:tc>
          <w:tcPr>
            <w:tcW w:w="1579" w:type="dxa"/>
            <w:vAlign w:val="center"/>
          </w:tcPr>
          <w:p w14:paraId="19BE660D">
            <w:pPr>
              <w:spacing w:line="440" w:lineRule="exact"/>
              <w:jc w:val="center"/>
              <w:rPr>
                <w:rFonts w:hint="eastAsia" w:ascii="仿宋" w:hAnsi="仿宋" w:eastAsia="仿宋" w:cs="仿宋"/>
                <w:b w:val="0"/>
                <w:bCs w:val="0"/>
                <w:color w:val="auto"/>
                <w:sz w:val="21"/>
                <w:szCs w:val="21"/>
                <w:lang w:val="en-US" w:eastAsia="zh-CN" w:bidi="ar-SA"/>
              </w:rPr>
            </w:pPr>
            <w:r>
              <w:rPr>
                <w:rFonts w:hint="eastAsia" w:ascii="仿宋" w:hAnsi="仿宋" w:eastAsia="仿宋" w:cs="仿宋"/>
                <w:b w:val="0"/>
                <w:bCs w:val="0"/>
                <w:color w:val="auto"/>
                <w:sz w:val="21"/>
                <w:szCs w:val="21"/>
                <w:lang w:val="en-US" w:eastAsia="zh-CN" w:bidi="ar-SA"/>
              </w:rPr>
              <w:t>人员配备</w:t>
            </w:r>
          </w:p>
          <w:p w14:paraId="153929A0">
            <w:pPr>
              <w:spacing w:line="440" w:lineRule="exact"/>
              <w:jc w:val="center"/>
              <w:rPr>
                <w:rFonts w:hint="eastAsia" w:ascii="仿宋" w:hAnsi="仿宋" w:eastAsia="仿宋" w:cs="仿宋"/>
                <w:color w:val="auto"/>
                <w:sz w:val="21"/>
                <w:szCs w:val="21"/>
                <w:lang w:val="en-US" w:eastAsia="zh-CN" w:bidi="ar-SA"/>
              </w:rPr>
            </w:pPr>
            <w:r>
              <w:rPr>
                <w:rFonts w:hint="eastAsia" w:ascii="仿宋" w:hAnsi="仿宋" w:eastAsia="仿宋" w:cs="仿宋"/>
                <w:b w:val="0"/>
                <w:bCs w:val="0"/>
                <w:color w:val="auto"/>
                <w:sz w:val="21"/>
                <w:szCs w:val="21"/>
                <w:lang w:val="en-US" w:eastAsia="zh-CN" w:bidi="ar-SA"/>
              </w:rPr>
              <w:t>（</w:t>
            </w:r>
            <w:r>
              <w:rPr>
                <w:rFonts w:hint="eastAsia" w:ascii="仿宋" w:hAnsi="仿宋" w:eastAsia="仿宋" w:cs="仿宋"/>
                <w:b w:val="0"/>
                <w:bCs w:val="0"/>
                <w:color w:val="auto"/>
                <w:kern w:val="0"/>
                <w:sz w:val="21"/>
                <w:szCs w:val="21"/>
                <w:highlight w:val="none"/>
                <w:lang w:val="en-US" w:eastAsia="zh-CN" w:bidi="ar-SA"/>
              </w:rPr>
              <w:t>10分</w:t>
            </w:r>
            <w:r>
              <w:rPr>
                <w:rFonts w:hint="eastAsia" w:ascii="仿宋" w:hAnsi="仿宋" w:eastAsia="仿宋" w:cs="仿宋"/>
                <w:b w:val="0"/>
                <w:bCs w:val="0"/>
                <w:color w:val="auto"/>
                <w:sz w:val="21"/>
                <w:szCs w:val="21"/>
                <w:lang w:val="en-US" w:eastAsia="zh-CN" w:bidi="ar-SA"/>
              </w:rPr>
              <w:t>）</w:t>
            </w:r>
          </w:p>
        </w:tc>
        <w:tc>
          <w:tcPr>
            <w:tcW w:w="6979" w:type="dxa"/>
            <w:vAlign w:val="top"/>
          </w:tcPr>
          <w:p w14:paraId="662253C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投标人具备完善的安装调试及售后班组队伍，由于本项目采购装备实际使用地点较分散，具有至少10名（含）班组人员的得基准分5分，在10名（含）的基础上，每增加1名得1分，最多加5分；具有10名班组人员以下的，每减少一名扣1分，未提供不得分。</w:t>
            </w:r>
          </w:p>
          <w:p w14:paraId="0C8977F8">
            <w:pPr>
              <w:numPr>
                <w:ilvl w:val="0"/>
                <w:numId w:val="0"/>
              </w:numPr>
              <w:spacing w:beforeLines="-2147483648" w:afterLines="-2147483648" w:line="240" w:lineRule="auto"/>
              <w:jc w:val="left"/>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val="en-US" w:eastAsia="zh-CN" w:bidi="ar-SA"/>
              </w:rPr>
              <w:t>（注：评分认定标准：投标人须提供安装调试及售后人员身份证明、劳动合同、社保等证明材料。）</w:t>
            </w:r>
          </w:p>
        </w:tc>
      </w:tr>
      <w:tr w14:paraId="5F0DA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1120" w:type="dxa"/>
            <w:vMerge w:val="continue"/>
            <w:vAlign w:val="center"/>
          </w:tcPr>
          <w:p w14:paraId="2C1CCE3B">
            <w:pPr>
              <w:spacing w:line="440" w:lineRule="exact"/>
              <w:jc w:val="center"/>
              <w:rPr>
                <w:rFonts w:hint="eastAsia" w:ascii="仿宋" w:hAnsi="仿宋" w:eastAsia="仿宋" w:cs="仿宋"/>
                <w:color w:val="auto"/>
                <w:sz w:val="21"/>
                <w:szCs w:val="21"/>
                <w:lang w:eastAsia="zh-CN" w:bidi="ar-SA"/>
              </w:rPr>
            </w:pPr>
          </w:p>
        </w:tc>
        <w:tc>
          <w:tcPr>
            <w:tcW w:w="1579" w:type="dxa"/>
            <w:vAlign w:val="center"/>
          </w:tcPr>
          <w:p w14:paraId="647F0789">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实施方案及售后服务方案</w:t>
            </w:r>
          </w:p>
          <w:p w14:paraId="6C68F6FD">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（24分）</w:t>
            </w:r>
          </w:p>
        </w:tc>
        <w:tc>
          <w:tcPr>
            <w:tcW w:w="6979" w:type="dxa"/>
            <w:vAlign w:val="top"/>
          </w:tcPr>
          <w:p w14:paraId="180D7515">
            <w:pPr>
              <w:numPr>
                <w:ilvl w:val="0"/>
                <w:numId w:val="0"/>
              </w:numPr>
              <w:shd w:val="clear" w:color="auto" w:fill="auto"/>
              <w:spacing w:line="240" w:lineRule="auto"/>
              <w:jc w:val="left"/>
              <w:rPr>
                <w:rFonts w:hint="eastAsia" w:ascii="仿宋" w:hAnsi="仿宋" w:eastAsia="仿宋" w:cs="仿宋"/>
                <w:b/>
                <w:bCs/>
                <w:color w:val="auto"/>
                <w:sz w:val="21"/>
                <w:szCs w:val="21"/>
                <w:highlight w:val="none"/>
                <w:lang w:val="en-US" w:eastAsia="zh-CN" w:bidi="ar-SA"/>
              </w:rPr>
            </w:pPr>
            <w:r>
              <w:rPr>
                <w:rFonts w:hint="eastAsia" w:ascii="仿宋" w:hAnsi="仿宋" w:eastAsia="仿宋" w:cs="仿宋"/>
                <w:b/>
                <w:bCs/>
                <w:color w:val="auto"/>
                <w:sz w:val="21"/>
                <w:szCs w:val="21"/>
                <w:highlight w:val="none"/>
                <w:lang w:val="en-US" w:eastAsia="zh-CN" w:bidi="ar-SA"/>
              </w:rPr>
              <w:t>项目实施方案：（8分）</w:t>
            </w:r>
          </w:p>
          <w:p w14:paraId="5387104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default"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项目内容应按照采购需求，针对采购人的项目实施方案，应包括但不限于：①项目进度计划及保障措施；②项目质量目标分析；③项目安全管理措施；④项目质量保证措施；以上方案内容完整清晰明确且科学合理、可行性高具有针对性并满足项目实际需求的得8分；</w:t>
            </w:r>
            <w:r>
              <w:rPr>
                <w:rFonts w:hint="default" w:ascii="仿宋" w:hAnsi="仿宋" w:eastAsia="仿宋" w:cs="仿宋"/>
                <w:b w:val="0"/>
                <w:bCs w:val="0"/>
                <w:color w:val="auto"/>
                <w:kern w:val="2"/>
                <w:sz w:val="21"/>
                <w:szCs w:val="21"/>
                <w:highlight w:val="none"/>
                <w:lang w:val="en-US" w:eastAsia="zh-CN" w:bidi="ar-SA"/>
              </w:rPr>
              <w:t>每有一项内容缺失扣</w:t>
            </w:r>
            <w:r>
              <w:rPr>
                <w:rFonts w:hint="eastAsia" w:ascii="仿宋" w:hAnsi="仿宋" w:eastAsia="仿宋" w:cs="仿宋"/>
                <w:b w:val="0"/>
                <w:bCs w:val="0"/>
                <w:color w:val="auto"/>
                <w:kern w:val="2"/>
                <w:sz w:val="21"/>
                <w:szCs w:val="21"/>
                <w:highlight w:val="none"/>
                <w:lang w:val="en-US" w:eastAsia="zh-CN" w:bidi="ar-SA"/>
              </w:rPr>
              <w:t>2</w:t>
            </w:r>
            <w:r>
              <w:rPr>
                <w:rFonts w:hint="default" w:ascii="仿宋" w:hAnsi="仿宋" w:eastAsia="仿宋" w:cs="仿宋"/>
                <w:b w:val="0"/>
                <w:bCs w:val="0"/>
                <w:color w:val="auto"/>
                <w:kern w:val="2"/>
                <w:sz w:val="21"/>
                <w:szCs w:val="21"/>
                <w:highlight w:val="none"/>
                <w:lang w:val="en-US" w:eastAsia="zh-CN" w:bidi="ar-SA"/>
              </w:rPr>
              <w:t>分，</w:t>
            </w:r>
            <w:r>
              <w:rPr>
                <w:rFonts w:hint="eastAsia" w:ascii="仿宋" w:hAnsi="仿宋" w:eastAsia="仿宋" w:cs="仿宋"/>
                <w:color w:val="auto"/>
                <w:sz w:val="21"/>
                <w:szCs w:val="21"/>
                <w:highlight w:val="none"/>
                <w:lang w:val="en-US" w:eastAsia="zh-CN" w:bidi="ar-SA"/>
              </w:rPr>
              <w:t>每项内容中存在缺陷（缺陷是指内容阐述不清晰，存在偏差或过于简略）的扣1分</w:t>
            </w:r>
            <w:r>
              <w:rPr>
                <w:rFonts w:hint="default" w:ascii="仿宋" w:hAnsi="仿宋" w:eastAsia="仿宋" w:cs="仿宋"/>
                <w:b w:val="0"/>
                <w:bCs w:val="0"/>
                <w:color w:val="auto"/>
                <w:kern w:val="2"/>
                <w:sz w:val="21"/>
                <w:szCs w:val="21"/>
                <w:highlight w:val="none"/>
                <w:lang w:val="en-US" w:eastAsia="zh-CN" w:bidi="ar-SA"/>
              </w:rPr>
              <w:t>，扣完为止。未提供或不符合项目实际需求不得分。</w:t>
            </w:r>
          </w:p>
          <w:p w14:paraId="49A5239D">
            <w:pPr>
              <w:numPr>
                <w:ilvl w:val="0"/>
                <w:numId w:val="0"/>
              </w:numPr>
              <w:shd w:val="clear" w:color="auto" w:fill="auto"/>
              <w:spacing w:line="240" w:lineRule="auto"/>
              <w:jc w:val="left"/>
              <w:rPr>
                <w:rFonts w:hint="eastAsia" w:ascii="仿宋" w:hAnsi="仿宋" w:eastAsia="仿宋" w:cs="仿宋"/>
                <w:b/>
                <w:bCs/>
                <w:color w:val="auto"/>
                <w:sz w:val="21"/>
                <w:szCs w:val="21"/>
                <w:highlight w:val="none"/>
                <w:lang w:val="en-US" w:eastAsia="zh-CN" w:bidi="ar-SA"/>
              </w:rPr>
            </w:pPr>
            <w:r>
              <w:rPr>
                <w:rFonts w:hint="eastAsia" w:ascii="仿宋" w:hAnsi="仿宋" w:eastAsia="仿宋" w:cs="仿宋"/>
                <w:b/>
                <w:bCs/>
                <w:color w:val="auto"/>
                <w:sz w:val="21"/>
                <w:szCs w:val="21"/>
                <w:highlight w:val="none"/>
                <w:lang w:val="en-US" w:eastAsia="zh-CN" w:bidi="ar-SA"/>
              </w:rPr>
              <w:t>应急预案：（8分）</w:t>
            </w:r>
          </w:p>
          <w:p w14:paraId="1DBD79F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投标人针对本项目提供应急预案，内容包含：①应急组织机构与职责；②预防措施；③保障措施；④应急响应；以上方案内容完整清晰明确且科学合理、可行性高具有针对性并满足项目实际需求的得8分；</w:t>
            </w:r>
            <w:r>
              <w:rPr>
                <w:rFonts w:hint="default" w:ascii="仿宋" w:hAnsi="仿宋" w:eastAsia="仿宋" w:cs="仿宋"/>
                <w:b w:val="0"/>
                <w:bCs w:val="0"/>
                <w:color w:val="auto"/>
                <w:kern w:val="2"/>
                <w:sz w:val="21"/>
                <w:szCs w:val="21"/>
                <w:highlight w:val="none"/>
                <w:lang w:val="en-US" w:eastAsia="zh-CN" w:bidi="ar-SA"/>
              </w:rPr>
              <w:t>每有一项内容缺失扣</w:t>
            </w:r>
            <w:r>
              <w:rPr>
                <w:rFonts w:hint="eastAsia" w:ascii="仿宋" w:hAnsi="仿宋" w:eastAsia="仿宋" w:cs="仿宋"/>
                <w:b w:val="0"/>
                <w:bCs w:val="0"/>
                <w:color w:val="auto"/>
                <w:kern w:val="2"/>
                <w:sz w:val="21"/>
                <w:szCs w:val="21"/>
                <w:highlight w:val="none"/>
                <w:lang w:val="en-US" w:eastAsia="zh-CN" w:bidi="ar-SA"/>
              </w:rPr>
              <w:t>2</w:t>
            </w:r>
            <w:r>
              <w:rPr>
                <w:rFonts w:hint="default" w:ascii="仿宋" w:hAnsi="仿宋" w:eastAsia="仿宋" w:cs="仿宋"/>
                <w:b w:val="0"/>
                <w:bCs w:val="0"/>
                <w:color w:val="auto"/>
                <w:kern w:val="2"/>
                <w:sz w:val="21"/>
                <w:szCs w:val="21"/>
                <w:highlight w:val="none"/>
                <w:lang w:val="en-US" w:eastAsia="zh-CN" w:bidi="ar-SA"/>
              </w:rPr>
              <w:t>分，</w:t>
            </w:r>
            <w:r>
              <w:rPr>
                <w:rFonts w:hint="eastAsia" w:ascii="仿宋" w:hAnsi="仿宋" w:eastAsia="仿宋" w:cs="仿宋"/>
                <w:color w:val="auto"/>
                <w:sz w:val="21"/>
                <w:szCs w:val="21"/>
                <w:highlight w:val="none"/>
                <w:lang w:val="en-US" w:eastAsia="zh-CN" w:bidi="ar-SA"/>
              </w:rPr>
              <w:t>每项内容中存在缺陷（缺陷是指内容阐述不清晰，存在偏差或过于简略）的扣1分</w:t>
            </w:r>
            <w:r>
              <w:rPr>
                <w:rFonts w:hint="default" w:ascii="仿宋" w:hAnsi="仿宋" w:eastAsia="仿宋" w:cs="仿宋"/>
                <w:b w:val="0"/>
                <w:bCs w:val="0"/>
                <w:color w:val="auto"/>
                <w:kern w:val="2"/>
                <w:sz w:val="21"/>
                <w:szCs w:val="21"/>
                <w:highlight w:val="none"/>
                <w:lang w:val="en-US" w:eastAsia="zh-CN" w:bidi="ar-SA"/>
              </w:rPr>
              <w:t>，扣完为止。未提供或不符合项目实际需求不得分。</w:t>
            </w:r>
          </w:p>
          <w:p w14:paraId="5BFF35F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售后服务方案：（8分）</w:t>
            </w:r>
          </w:p>
          <w:p w14:paraId="418DEF5E">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kern w:val="2"/>
                <w:sz w:val="21"/>
                <w:szCs w:val="21"/>
                <w:highlight w:val="none"/>
                <w:lang w:val="en-US" w:eastAsia="zh-CN" w:bidi="ar-SA"/>
              </w:rPr>
              <w:t>投标人根据本项目需求提供详细的售后服务方案，内容包含但不限于：①售后服务承诺；②售后服务计划；③售后服务响应能力；④后续服务质量保障措施；</w:t>
            </w:r>
            <w:r>
              <w:rPr>
                <w:rFonts w:hint="eastAsia" w:ascii="仿宋" w:hAnsi="仿宋" w:eastAsia="仿宋" w:cs="仿宋"/>
                <w:color w:val="auto"/>
                <w:sz w:val="21"/>
                <w:szCs w:val="21"/>
                <w:highlight w:val="none"/>
                <w:lang w:val="en-US" w:eastAsia="zh-CN" w:bidi="ar-SA"/>
              </w:rPr>
              <w:t>根据售后服务方案的完整性、可行性、全面性等进行综合评审，满分8分；每有一项内容缺失扣2分，每项内容中存在缺陷（缺陷是指内容阐述不清晰，存在偏差或过于简略）的扣1分，扣完为止。未提供或不符合项目实际需求不得分。</w:t>
            </w:r>
          </w:p>
        </w:tc>
      </w:tr>
    </w:tbl>
    <w:p w14:paraId="546C9157">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如评标专家在检验电子标书过程中，如果由于供应商自身原因导致评标专家无法查看并检验电子标书中以上相关资料的，否决其投标。即使投标单位将原件携带至现场的，同样按无效投标处理。</w:t>
      </w:r>
    </w:p>
    <w:p w14:paraId="0723830D">
      <w:pPr>
        <w:pStyle w:val="46"/>
        <w:keepNext w:val="0"/>
        <w:keepLines w:val="0"/>
        <w:pageBreakBefore w:val="0"/>
        <w:widowControl w:val="0"/>
        <w:tabs>
          <w:tab w:val="left" w:pos="1701"/>
        </w:tabs>
        <w:kinsoku/>
        <w:wordWrap/>
        <w:overflowPunct/>
        <w:topLinePunct w:val="0"/>
        <w:autoSpaceDE/>
        <w:autoSpaceDN/>
        <w:bidi w:val="0"/>
        <w:adjustRightInd/>
        <w:snapToGrid/>
        <w:spacing w:line="360" w:lineRule="auto"/>
        <w:ind w:left="0"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10.2.2价格评分方法</w:t>
      </w:r>
    </w:p>
    <w:p w14:paraId="79559FAF">
      <w:pPr>
        <w:shd w:val="clear" w:color="auto" w:fill="auto"/>
        <w:spacing w:line="440" w:lineRule="exact"/>
        <w:ind w:firstLine="623" w:firstLineChars="257"/>
        <w:jc w:val="left"/>
        <w:rPr>
          <w:rFonts w:hint="eastAsia"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满足招标文件技术要求且投标报价最低的为评标基准价，其价格分为满分。其他供应商的价格分别按照下列公式计算：</w:t>
      </w:r>
      <w:r>
        <w:rPr>
          <w:rFonts w:hint="eastAsia" w:ascii="仿宋" w:hAnsi="仿宋" w:eastAsia="仿宋" w:cs="仿宋"/>
          <w:color w:val="auto"/>
          <w:szCs w:val="21"/>
          <w:highlight w:val="none"/>
          <w:lang w:bidi="ar-SA"/>
        </w:rPr>
        <w:t xml:space="preserve"> 投标报价得分=（评标基准价/投标报价）×价格权重×</w:t>
      </w:r>
      <w:r>
        <w:rPr>
          <w:rFonts w:hint="eastAsia" w:ascii="仿宋" w:hAnsi="仿宋" w:eastAsia="仿宋" w:cs="仿宋"/>
          <w:color w:val="auto"/>
          <w:szCs w:val="21"/>
          <w:highlight w:val="none"/>
          <w:lang w:val="en-US" w:eastAsia="zh-CN" w:bidi="ar-SA"/>
        </w:rPr>
        <w:t>100</w:t>
      </w:r>
      <w:r>
        <w:rPr>
          <w:rFonts w:hint="eastAsia" w:ascii="仿宋" w:hAnsi="仿宋" w:eastAsia="仿宋" w:cs="仿宋"/>
          <w:color w:val="auto"/>
          <w:szCs w:val="21"/>
          <w:highlight w:val="none"/>
          <w:lang w:eastAsia="zh-CN" w:bidi="ar-SA"/>
        </w:rPr>
        <w:t>。</w:t>
      </w:r>
    </w:p>
    <w:p w14:paraId="083934BC">
      <w:pPr>
        <w:keepNext w:val="0"/>
        <w:keepLines w:val="0"/>
        <w:pageBreakBefore w:val="0"/>
        <w:kinsoku/>
        <w:wordWrap/>
        <w:overflowPunct/>
        <w:topLinePunct w:val="0"/>
        <w:autoSpaceDE/>
        <w:autoSpaceDN/>
        <w:bidi w:val="0"/>
        <w:adjustRightInd/>
        <w:spacing w:beforeLines="50" w:line="360" w:lineRule="auto"/>
        <w:jc w:val="center"/>
        <w:textAlignment w:val="auto"/>
        <w:outlineLvl w:val="1"/>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五  推荐中标候选人</w:t>
      </w:r>
      <w:bookmarkEnd w:id="42"/>
      <w:bookmarkEnd w:id="43"/>
    </w:p>
    <w:p w14:paraId="024747BC">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11.1评标委员会推荐3名中标候选人，并标明排序。</w:t>
      </w:r>
    </w:p>
    <w:p w14:paraId="0FC5F038">
      <w:pPr>
        <w:keepNext w:val="0"/>
        <w:keepLines w:val="0"/>
        <w:pageBreakBefore w:val="0"/>
        <w:kinsoku/>
        <w:wordWrap/>
        <w:overflowPunct/>
        <w:topLinePunct w:val="0"/>
        <w:autoSpaceDE/>
        <w:autoSpaceDN/>
        <w:bidi w:val="0"/>
        <w:adjustRightInd/>
        <w:spacing w:line="360" w:lineRule="auto"/>
        <w:ind w:firstLine="475" w:firstLineChars="196"/>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11.2如出现报价相同情况，则由招标人现场抽签确定中标候选人排名顺序。</w:t>
      </w:r>
    </w:p>
    <w:bookmarkEnd w:id="37"/>
    <w:p w14:paraId="2804259A">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12.无效投标条款</w:t>
      </w:r>
    </w:p>
    <w:p w14:paraId="6E71CD39">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12.1投标文件有下列情形之一的,其投标文件拒收:</w:t>
      </w:r>
    </w:p>
    <w:p w14:paraId="5BE337CB">
      <w:pPr>
        <w:keepNext w:val="0"/>
        <w:keepLines w:val="0"/>
        <w:pageBreakBefore w:val="0"/>
        <w:kinsoku/>
        <w:wordWrap/>
        <w:overflowPunct/>
        <w:topLinePunct w:val="0"/>
        <w:autoSpaceDE/>
        <w:autoSpaceDN/>
        <w:bidi w:val="0"/>
        <w:adjustRightInd/>
        <w:snapToGrid w:val="0"/>
        <w:spacing w:line="360" w:lineRule="auto"/>
        <w:textAlignment w:val="auto"/>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 xml:space="preserve">   </w:t>
      </w:r>
      <w:r>
        <w:rPr>
          <w:rFonts w:hint="eastAsia" w:ascii="仿宋" w:hAnsi="仿宋" w:eastAsia="仿宋" w:cs="仿宋"/>
          <w:b/>
          <w:bCs/>
          <w:color w:val="auto"/>
          <w:szCs w:val="21"/>
          <w:highlight w:val="none"/>
          <w:lang w:eastAsia="zh-CN"/>
        </w:rPr>
        <w:t xml:space="preserve"> (1) 未在开标截止时间前通过网上招标投标系统递交有效电子投标文件的，开标系统不予接收。</w:t>
      </w:r>
    </w:p>
    <w:p w14:paraId="4258AB8B">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（2）</w:t>
      </w:r>
      <w:r>
        <w:rPr>
          <w:rFonts w:hint="eastAsia" w:ascii="仿宋" w:hAnsi="仿宋" w:eastAsia="仿宋" w:cs="仿宋"/>
          <w:b/>
          <w:color w:val="auto"/>
          <w:szCs w:val="21"/>
          <w:highlight w:val="none"/>
          <w:lang w:eastAsia="zh-CN"/>
        </w:rPr>
        <w:t>所有供应商应在规定时间里完成投标文件的解密工作</w:t>
      </w:r>
      <w:r>
        <w:rPr>
          <w:rFonts w:hint="eastAsia" w:ascii="仿宋" w:hAnsi="仿宋" w:eastAsia="仿宋" w:cs="仿宋"/>
          <w:b/>
          <w:bCs/>
          <w:color w:val="auto"/>
          <w:szCs w:val="21"/>
          <w:highlight w:val="none"/>
          <w:lang w:eastAsia="zh-CN"/>
        </w:rPr>
        <w:t>【供应商使用其有效加密锁（CA锁）进行解密（因供应商原因未能提供有效CA锁对其投标文件进行解密的，其投标文件按无效标处理），以网上招投标系统解密倒计时为准】</w:t>
      </w:r>
      <w:r>
        <w:rPr>
          <w:rFonts w:hint="eastAsia" w:ascii="仿宋" w:hAnsi="仿宋" w:eastAsia="仿宋" w:cs="仿宋"/>
          <w:b/>
          <w:color w:val="auto"/>
          <w:szCs w:val="21"/>
          <w:highlight w:val="none"/>
          <w:lang w:eastAsia="zh-CN"/>
        </w:rPr>
        <w:t>，因系统原因未能成功解密的投标文件，可导入备份投标文件。备份投标文件也无法导入的，则投标文件被否决。</w:t>
      </w:r>
    </w:p>
    <w:p w14:paraId="6F2A6EC1">
      <w:pPr>
        <w:keepNext w:val="0"/>
        <w:keepLines w:val="0"/>
        <w:pageBreakBefore w:val="0"/>
        <w:kinsoku/>
        <w:wordWrap/>
        <w:overflowPunct/>
        <w:topLinePunct w:val="0"/>
        <w:autoSpaceDE/>
        <w:autoSpaceDN/>
        <w:bidi w:val="0"/>
        <w:adjustRightInd/>
        <w:snapToGrid w:val="0"/>
        <w:spacing w:line="360" w:lineRule="auto"/>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12.2供应商有下列情形之一的,资格审查后其投标作无效投标处理：</w:t>
      </w:r>
    </w:p>
    <w:p w14:paraId="360C2AD1">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(1)法定代表人参加开标会议未携带有效的法定代表人身份证明原件和本人身份证的；委托代理人参加开标会议未携带有效的法定代表人授权书和本人身份证；</w:t>
      </w:r>
    </w:p>
    <w:p w14:paraId="5228FFE8">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(2)供应商为本项目提供招标代理服务的；</w:t>
      </w:r>
    </w:p>
    <w:p w14:paraId="7E9A3069">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(3)供应商与在本项目代理机构存在相互任职或工作的；</w:t>
      </w:r>
    </w:p>
    <w:p w14:paraId="3D2F023F">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(4)投标保证金未按规定要求缴纳的；</w:t>
      </w:r>
    </w:p>
    <w:p w14:paraId="67C64BD8">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(5)评标专家无法查看并检验电子标书中相关资料的；</w:t>
      </w:r>
    </w:p>
    <w:p w14:paraId="48456C30">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(6)供应商超出营业范围投标的；</w:t>
      </w:r>
    </w:p>
    <w:p w14:paraId="720A5D31">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(7)联合体投标未提交联合体协议的；</w:t>
      </w:r>
    </w:p>
    <w:p w14:paraId="79FEC517">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(8)被暂停营业的；</w:t>
      </w:r>
    </w:p>
    <w:p w14:paraId="62143892">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(9)被暂停或取消投标资格的；</w:t>
      </w:r>
    </w:p>
    <w:p w14:paraId="1096032D">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(10)财产被接管或冻结的；</w:t>
      </w:r>
    </w:p>
    <w:p w14:paraId="1A724B3C">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(11)供应商单位负责人为同一人或者存在控股、管理关系的不同单位的；</w:t>
      </w:r>
    </w:p>
    <w:p w14:paraId="18C41ED0">
      <w:pPr>
        <w:keepNext w:val="0"/>
        <w:keepLines w:val="0"/>
        <w:pageBreakBefore w:val="0"/>
        <w:kinsoku/>
        <w:wordWrap/>
        <w:overflowPunct/>
        <w:topLinePunct w:val="0"/>
        <w:autoSpaceDE/>
        <w:autoSpaceDN/>
        <w:bidi w:val="0"/>
        <w:adjustRightInd/>
        <w:snapToGrid w:val="0"/>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（12）供应商基本资格条件和特定资格条件中有一项及以上不符合要求的；</w:t>
      </w:r>
    </w:p>
    <w:p w14:paraId="5F2D7C4B">
      <w:pPr>
        <w:keepNext w:val="0"/>
        <w:keepLines w:val="0"/>
        <w:pageBreakBefore w:val="0"/>
        <w:kinsoku/>
        <w:wordWrap/>
        <w:overflowPunct/>
        <w:topLinePunct w:val="0"/>
        <w:autoSpaceDE/>
        <w:autoSpaceDN/>
        <w:bidi w:val="0"/>
        <w:adjustRightInd/>
        <w:snapToGrid w:val="0"/>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（13）供应商使用相同的MAC地址进行报名的；</w:t>
      </w:r>
    </w:p>
    <w:p w14:paraId="7AA3A22E">
      <w:pPr>
        <w:keepNext w:val="0"/>
        <w:keepLines w:val="0"/>
        <w:pageBreakBefore w:val="0"/>
        <w:kinsoku/>
        <w:wordWrap/>
        <w:overflowPunct/>
        <w:topLinePunct w:val="0"/>
        <w:autoSpaceDE/>
        <w:autoSpaceDN/>
        <w:bidi w:val="0"/>
        <w:adjustRightInd/>
        <w:snapToGrid w:val="0"/>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（14）其它情形，经评标委员会委提出按无效投标处理，并经公共资源交易监督部门核准的；</w:t>
      </w:r>
    </w:p>
    <w:p w14:paraId="79EFA317">
      <w:pPr>
        <w:keepNext w:val="0"/>
        <w:keepLines w:val="0"/>
        <w:pageBreakBefore w:val="0"/>
        <w:kinsoku/>
        <w:wordWrap/>
        <w:overflowPunct/>
        <w:topLinePunct w:val="0"/>
        <w:autoSpaceDE/>
        <w:autoSpaceDN/>
        <w:bidi w:val="0"/>
        <w:adjustRightInd/>
        <w:snapToGrid w:val="0"/>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（15）供应商使用相同IP地址报名的，一经发现，监管部门将进一步核实，查实后按串通投标处理；</w:t>
      </w:r>
    </w:p>
    <w:p w14:paraId="2E9B5AFD">
      <w:pPr>
        <w:keepNext w:val="0"/>
        <w:keepLines w:val="0"/>
        <w:pageBreakBefore w:val="0"/>
        <w:kinsoku/>
        <w:wordWrap/>
        <w:overflowPunct/>
        <w:topLinePunct w:val="0"/>
        <w:autoSpaceDE/>
        <w:autoSpaceDN/>
        <w:bidi w:val="0"/>
        <w:adjustRightInd/>
        <w:snapToGrid w:val="0"/>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（16）采购文件规定的其它无效投标情形。</w:t>
      </w:r>
    </w:p>
    <w:p w14:paraId="00D3C632">
      <w:pPr>
        <w:keepNext w:val="0"/>
        <w:keepLines w:val="0"/>
        <w:pageBreakBefore w:val="0"/>
        <w:kinsoku/>
        <w:wordWrap/>
        <w:overflowPunct/>
        <w:topLinePunct w:val="0"/>
        <w:autoSpaceDE/>
        <w:autoSpaceDN/>
        <w:bidi w:val="0"/>
        <w:adjustRightInd/>
        <w:snapToGrid w:val="0"/>
        <w:spacing w:line="360" w:lineRule="auto"/>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12.3 供应商有下列情形之一的,符合性审查后其投标按无效投标处理：</w:t>
      </w:r>
    </w:p>
    <w:p w14:paraId="2335B083">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 投标文件签章、盖章不全，经评标委员会一致认定对开评标内容有实质性影响并经监督部门核准的；</w:t>
      </w:r>
    </w:p>
    <w:p w14:paraId="0D6CB2EA">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(2)未按规定的格式填写，实质性内容不全或关键字迹模糊、无法辨认; 经监督部门核准的；</w:t>
      </w:r>
    </w:p>
    <w:p w14:paraId="184AE090">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(4)同一供应商提交两个以上不同的投标文件或者投标报价，但采购文件规定提交备选方案的除外；</w:t>
      </w:r>
    </w:p>
    <w:p w14:paraId="1476879E">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(3)投标文件没有对采购文件的实质性要求和条件作出响应;</w:t>
      </w:r>
    </w:p>
    <w:p w14:paraId="594A5027">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(4)投标报价超出规定的投标限价或公布的采购预算的；</w:t>
      </w:r>
    </w:p>
    <w:p w14:paraId="0B5412F0">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(5)不按评标委员会要求澄清、说明或补正的，或者评标委员会根据采购文件的规定对采购文件的计算错误进行修正后，供应商不接受修正的投标报价的。</w:t>
      </w:r>
    </w:p>
    <w:p w14:paraId="0CCE5F55">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（6）其它情形，经评标委员会委提出按无效投标处理，并经公共资源交易监督部门核准的；</w:t>
      </w:r>
    </w:p>
    <w:p w14:paraId="28CF3C27">
      <w:pPr>
        <w:keepNext w:val="0"/>
        <w:keepLines w:val="0"/>
        <w:pageBreakBefore w:val="0"/>
        <w:widowControl/>
        <w:kinsoku/>
        <w:wordWrap/>
        <w:overflowPunct/>
        <w:topLinePunct w:val="0"/>
        <w:autoSpaceDE/>
        <w:autoSpaceDN/>
        <w:bidi w:val="0"/>
        <w:adjustRightInd/>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shd w:val="clear" w:color="auto" w:fill="FFFFFF"/>
          <w:lang w:eastAsia="zh-CN"/>
        </w:rPr>
        <w:t>未按照招标文件的规定提交投标保证金的；</w:t>
      </w:r>
    </w:p>
    <w:p w14:paraId="3F9BA391">
      <w:pPr>
        <w:keepNext w:val="0"/>
        <w:keepLines w:val="0"/>
        <w:pageBreakBefore w:val="0"/>
        <w:widowControl/>
        <w:kinsoku/>
        <w:wordWrap/>
        <w:overflowPunct/>
        <w:topLinePunct w:val="0"/>
        <w:autoSpaceDE/>
        <w:autoSpaceDN/>
        <w:bidi w:val="0"/>
        <w:adjustRightInd/>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w:t>
      </w:r>
      <w:r>
        <w:rPr>
          <w:rFonts w:hint="eastAsia" w:ascii="仿宋" w:hAnsi="仿宋" w:eastAsia="仿宋" w:cs="仿宋"/>
          <w:color w:val="auto"/>
          <w:szCs w:val="21"/>
          <w:highlight w:val="none"/>
          <w:shd w:val="clear" w:color="auto" w:fill="FFFFFF"/>
          <w:lang w:eastAsia="zh-CN"/>
        </w:rPr>
        <w:t>投标文件含有采购人不能接受的附加条件的;</w:t>
      </w:r>
    </w:p>
    <w:p w14:paraId="7A53E36F">
      <w:pPr>
        <w:keepNext w:val="0"/>
        <w:keepLines w:val="0"/>
        <w:pageBreakBefore w:val="0"/>
        <w:tabs>
          <w:tab w:val="left" w:pos="1123"/>
        </w:tabs>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（9）采购文件规定的其它无效投标情形。</w:t>
      </w:r>
    </w:p>
    <w:p w14:paraId="63AD4B5F">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12.4 供应商有下列情形之一的, 详细评审后其投标按无效投标处理：</w:t>
      </w:r>
    </w:p>
    <w:p w14:paraId="2AAB9C48">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(1)投标产品不符合必须强制执行的国家标准的；</w:t>
      </w:r>
    </w:p>
    <w:p w14:paraId="6C737F6F">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(2)供应商有串通投标、弄虚作假、行贿等违法行为；</w:t>
      </w:r>
    </w:p>
    <w:p w14:paraId="3C7C22AE">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(3)投标文件含有违反国家法律、法规的内容，或附有招标人不能接受的条件的；</w:t>
      </w:r>
    </w:p>
    <w:p w14:paraId="618BFF56">
      <w:pPr>
        <w:keepNext w:val="0"/>
        <w:keepLines w:val="0"/>
        <w:pageBreakBefore w:val="0"/>
        <w:kinsoku/>
        <w:wordWrap/>
        <w:overflowPunct/>
        <w:topLinePunct w:val="0"/>
        <w:autoSpaceDE/>
        <w:autoSpaceDN/>
        <w:bidi w:val="0"/>
        <w:adjustRightInd/>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（4）在同一项目（或同一标段）中有多个供应商有效投标报价接近最高限价，且评标委员会认为报价出现异常的，可以宣布其投标无效；</w:t>
      </w:r>
    </w:p>
    <w:p w14:paraId="4E8D7D08">
      <w:pPr>
        <w:keepNext w:val="0"/>
        <w:keepLines w:val="0"/>
        <w:pageBreakBefore w:val="0"/>
        <w:kinsoku/>
        <w:wordWrap/>
        <w:overflowPunct/>
        <w:topLinePunct w:val="0"/>
        <w:autoSpaceDE/>
        <w:autoSpaceDN/>
        <w:bidi w:val="0"/>
        <w:adjustRightInd/>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（5）报价明显低于其他供应商，且不能证明报价合理性的投标无效；</w:t>
      </w:r>
    </w:p>
    <w:p w14:paraId="5D9F44E7">
      <w:pPr>
        <w:keepNext w:val="0"/>
        <w:keepLines w:val="0"/>
        <w:pageBreakBefore w:val="0"/>
        <w:kinsoku/>
        <w:wordWrap/>
        <w:overflowPunct/>
        <w:topLinePunct w:val="0"/>
        <w:autoSpaceDE/>
        <w:autoSpaceDN/>
        <w:bidi w:val="0"/>
        <w:adjustRightInd/>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（6）拒不确认评标委员会评审修正的投标无效；</w:t>
      </w:r>
    </w:p>
    <w:p w14:paraId="2732AB64">
      <w:pPr>
        <w:keepNext w:val="0"/>
        <w:keepLines w:val="0"/>
        <w:pageBreakBefore w:val="0"/>
        <w:kinsoku/>
        <w:wordWrap/>
        <w:overflowPunct/>
        <w:topLinePunct w:val="0"/>
        <w:autoSpaceDE/>
        <w:autoSpaceDN/>
        <w:bidi w:val="0"/>
        <w:adjustRightInd/>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（7）其它情形，经评标委员会提出按无效投标处理，并经公共资源交易监督部门核准的；</w:t>
      </w:r>
    </w:p>
    <w:p w14:paraId="433B5DC7">
      <w:pPr>
        <w:keepNext w:val="0"/>
        <w:keepLines w:val="0"/>
        <w:pageBreakBefore w:val="0"/>
        <w:kinsoku/>
        <w:wordWrap/>
        <w:overflowPunct/>
        <w:topLinePunct w:val="0"/>
        <w:autoSpaceDE/>
        <w:autoSpaceDN/>
        <w:bidi w:val="0"/>
        <w:adjustRightInd/>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（8）采购文件规定的其它无效投标情形。</w:t>
      </w:r>
    </w:p>
    <w:p w14:paraId="3A184BA1">
      <w:pPr>
        <w:keepNext w:val="0"/>
        <w:keepLines w:val="0"/>
        <w:pageBreakBefore/>
        <w:widowControl w:val="0"/>
        <w:kinsoku/>
        <w:wordWrap/>
        <w:overflowPunct/>
        <w:topLinePunct w:val="0"/>
        <w:autoSpaceDE/>
        <w:autoSpaceDN/>
        <w:bidi w:val="0"/>
        <w:adjustRightInd/>
        <w:snapToGrid/>
        <w:spacing w:line="600" w:lineRule="exact"/>
        <w:jc w:val="center"/>
        <w:textAlignment w:val="auto"/>
        <w:outlineLvl w:val="0"/>
        <w:rPr>
          <w:rFonts w:hint="eastAsia" w:ascii="仿宋" w:hAnsi="仿宋" w:eastAsia="仿宋" w:cs="仿宋"/>
          <w:b/>
          <w:bCs w:val="0"/>
          <w:color w:val="auto"/>
          <w:sz w:val="36"/>
          <w:szCs w:val="36"/>
          <w:highlight w:val="none"/>
          <w:lang w:eastAsia="zh-CN"/>
        </w:rPr>
      </w:pPr>
      <w:bookmarkStart w:id="45" w:name="_Toc469495737"/>
      <w:bookmarkStart w:id="46" w:name="OLE_LINK4"/>
      <w:r>
        <w:rPr>
          <w:rFonts w:hint="eastAsia" w:ascii="仿宋" w:hAnsi="仿宋" w:eastAsia="仿宋" w:cs="仿宋"/>
          <w:b/>
          <w:bCs w:val="0"/>
          <w:color w:val="auto"/>
          <w:sz w:val="36"/>
          <w:szCs w:val="36"/>
          <w:highlight w:val="none"/>
          <w:lang w:eastAsia="zh-CN"/>
        </w:rPr>
        <w:t>第四</w:t>
      </w:r>
      <w:r>
        <w:rPr>
          <w:rFonts w:hint="eastAsia" w:ascii="仿宋" w:hAnsi="仿宋" w:eastAsia="仿宋" w:cs="仿宋"/>
          <w:b/>
          <w:bCs w:val="0"/>
          <w:color w:val="auto"/>
          <w:sz w:val="36"/>
          <w:szCs w:val="36"/>
          <w:highlight w:val="none"/>
          <w:lang w:val="en-US" w:eastAsia="zh-CN"/>
        </w:rPr>
        <w:t>章</w:t>
      </w:r>
      <w:r>
        <w:rPr>
          <w:rFonts w:hint="eastAsia" w:ascii="仿宋" w:hAnsi="仿宋" w:eastAsia="仿宋" w:cs="仿宋"/>
          <w:b/>
          <w:bCs w:val="0"/>
          <w:color w:val="auto"/>
          <w:sz w:val="36"/>
          <w:szCs w:val="36"/>
          <w:highlight w:val="none"/>
          <w:lang w:eastAsia="zh-CN"/>
        </w:rPr>
        <w:t xml:space="preserve"> 技术规格、数量及质量要求</w:t>
      </w:r>
      <w:bookmarkEnd w:id="38"/>
      <w:bookmarkEnd w:id="45"/>
      <w:bookmarkEnd w:id="46"/>
      <w:bookmarkStart w:id="47" w:name="_Toc267320052"/>
      <w:bookmarkStart w:id="48" w:name="_Toc340225294"/>
    </w:p>
    <w:p w14:paraId="206F8101">
      <w:pPr>
        <w:numPr>
          <w:ilvl w:val="0"/>
          <w:numId w:val="0"/>
        </w:numPr>
        <w:jc w:val="left"/>
        <w:rPr>
          <w:rFonts w:hint="eastAsia" w:ascii="仿宋" w:hAnsi="仿宋" w:eastAsia="仿宋" w:cs="仿宋"/>
          <w:b/>
          <w:bCs/>
          <w:sz w:val="22"/>
          <w:szCs w:val="28"/>
          <w:highlight w:val="none"/>
          <w:lang w:val="en-US" w:eastAsia="zh-CN"/>
        </w:rPr>
      </w:pPr>
      <w:r>
        <w:rPr>
          <w:rFonts w:hint="eastAsia" w:ascii="仿宋" w:hAnsi="仿宋" w:eastAsia="仿宋" w:cs="仿宋"/>
          <w:b/>
          <w:bCs/>
          <w:kern w:val="2"/>
          <w:sz w:val="22"/>
          <w:szCs w:val="28"/>
          <w:highlight w:val="none"/>
          <w:lang w:val="en-US" w:eastAsia="zh-CN" w:bidi="ar-SA"/>
        </w:rPr>
        <w:t>1.1主要技术参数</w:t>
      </w:r>
    </w:p>
    <w:bookmarkEnd w:id="47"/>
    <w:bookmarkEnd w:id="48"/>
    <w:tbl>
      <w:tblPr>
        <w:tblStyle w:val="25"/>
        <w:tblW w:w="10653" w:type="dxa"/>
        <w:tblInd w:w="-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095"/>
        <w:gridCol w:w="6847"/>
        <w:gridCol w:w="729"/>
        <w:gridCol w:w="643"/>
        <w:gridCol w:w="814"/>
      </w:tblGrid>
      <w:tr w14:paraId="39A15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525" w:type="dxa"/>
            <w:tcBorders>
              <w:top w:val="single" w:color="000000" w:sz="4" w:space="0"/>
              <w:left w:val="single" w:color="000000" w:sz="4" w:space="0"/>
              <w:bottom w:val="nil"/>
              <w:right w:val="single" w:color="000000" w:sz="4" w:space="0"/>
            </w:tcBorders>
            <w:shd w:val="clear" w:color="auto" w:fill="auto"/>
            <w:noWrap/>
            <w:vAlign w:val="center"/>
          </w:tcPr>
          <w:p w14:paraId="5BC6DC6C">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序号</w:t>
            </w:r>
          </w:p>
        </w:tc>
        <w:tc>
          <w:tcPr>
            <w:tcW w:w="1095" w:type="dxa"/>
            <w:tcBorders>
              <w:top w:val="single" w:color="000000" w:sz="4" w:space="0"/>
              <w:left w:val="single" w:color="000000" w:sz="4" w:space="0"/>
              <w:bottom w:val="nil"/>
              <w:right w:val="single" w:color="000000" w:sz="4" w:space="0"/>
            </w:tcBorders>
            <w:shd w:val="clear" w:color="auto" w:fill="auto"/>
            <w:vAlign w:val="center"/>
          </w:tcPr>
          <w:p w14:paraId="7B182214">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名称</w:t>
            </w:r>
          </w:p>
        </w:tc>
        <w:tc>
          <w:tcPr>
            <w:tcW w:w="6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B8AA">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sz w:val="21"/>
                <w:szCs w:val="21"/>
                <w:u w:val="none"/>
              </w:rPr>
              <w:t>技术要求</w:t>
            </w:r>
          </w:p>
        </w:tc>
        <w:tc>
          <w:tcPr>
            <w:tcW w:w="729" w:type="dxa"/>
            <w:tcBorders>
              <w:top w:val="single" w:color="000000" w:sz="4" w:space="0"/>
              <w:left w:val="single" w:color="000000" w:sz="4" w:space="0"/>
              <w:bottom w:val="single" w:color="auto" w:sz="4" w:space="0"/>
              <w:right w:val="single" w:color="000000" w:sz="4" w:space="0"/>
            </w:tcBorders>
            <w:shd w:val="clear" w:color="auto" w:fill="auto"/>
            <w:vAlign w:val="center"/>
          </w:tcPr>
          <w:p w14:paraId="069997AD">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auto"/>
                <w:sz w:val="21"/>
                <w:szCs w:val="21"/>
                <w:u w:val="none"/>
                <w:lang w:val="en-US" w:eastAsia="zh-CN"/>
              </w:rPr>
              <w:t>单位</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739F">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数量</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8454">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备注</w:t>
            </w:r>
          </w:p>
        </w:tc>
      </w:tr>
      <w:tr w14:paraId="7F428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674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b/>
                <w:bCs/>
                <w:i w:val="0"/>
                <w:iCs w:val="0"/>
                <w:color w:val="auto"/>
                <w:sz w:val="21"/>
                <w:szCs w:val="21"/>
                <w:u w:val="none"/>
              </w:rPr>
              <w:t>阿克陶县消防救援大队采购车辆装备</w:t>
            </w:r>
          </w:p>
        </w:tc>
      </w:tr>
      <w:tr w14:paraId="15FF6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662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A0D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水罐泡沫消防车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9A9B3AA">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1.整车参数 （整车参数以检验报告为准）</w:t>
            </w:r>
          </w:p>
          <w:p w14:paraId="10D20843">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★1.1外形尺寸 ≤9100mm×2550mm×3700mm（含绞盘）</w:t>
            </w:r>
          </w:p>
          <w:p w14:paraId="266A38C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1.2满载总质量 ≤18100kg</w:t>
            </w:r>
          </w:p>
          <w:p w14:paraId="5F20937F">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1.3乘员人数 6人</w:t>
            </w:r>
          </w:p>
          <w:p w14:paraId="255D85DB">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1.4最高车速 95km/h</w:t>
            </w:r>
          </w:p>
          <w:p w14:paraId="4C59C150">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1.5排放标准 国VI</w:t>
            </w:r>
          </w:p>
          <w:p w14:paraId="2FEF519A">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1.6液罐容量 水≥4050L，泡沫≥2000L</w:t>
            </w:r>
          </w:p>
          <w:p w14:paraId="669B20D4">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1.7消防泵流量≥80L/s</w:t>
            </w:r>
          </w:p>
          <w:p w14:paraId="79A6BB19">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1.8消防炮流量≥64L/s</w:t>
            </w:r>
          </w:p>
          <w:p w14:paraId="6E02FFB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50738B9C">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2.底盘参数 </w:t>
            </w:r>
          </w:p>
          <w:p w14:paraId="1F27D448">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2.1驱动形式 4×2</w:t>
            </w:r>
          </w:p>
          <w:p w14:paraId="2DB1D6BF">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2.2轴距 4700mm</w:t>
            </w:r>
          </w:p>
          <w:p w14:paraId="0407B166">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2.3驾驶室 双排驾驶室</w:t>
            </w:r>
          </w:p>
          <w:p w14:paraId="39D3CDB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2.4发动机形式 直列6缸柴油机，电控高压共轨，涡轮增压中冷</w:t>
            </w:r>
          </w:p>
          <w:p w14:paraId="571E4A57">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2.5额定功率 257/2200（kW/rpm）</w:t>
            </w:r>
          </w:p>
          <w:p w14:paraId="02D5EF8C">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2.6额定扭矩 1400/1200~1600（Nm/rpm）</w:t>
            </w:r>
          </w:p>
          <w:p w14:paraId="7D360001">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2.7变速箱形式 手动变速箱，9个前进挡+1个倒挡，带同步器</w:t>
            </w:r>
          </w:p>
          <w:p w14:paraId="799BABD2">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2.8取力器 夹心式取力器</w:t>
            </w:r>
          </w:p>
          <w:p w14:paraId="06B58A11">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2.9油箱容量 200L</w:t>
            </w:r>
          </w:p>
          <w:p w14:paraId="539DBCE5">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2.10制动系统 EBS（电子制动系统）+ESC(电子防侧翻系统)</w:t>
            </w:r>
          </w:p>
          <w:p w14:paraId="2893394C">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0E938459">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★3.副车架</w:t>
            </w:r>
          </w:p>
          <w:p w14:paraId="1CC4F011">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3.1材质 高强度钢材</w:t>
            </w:r>
          </w:p>
          <w:p w14:paraId="01CDEFDA">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3.2结构形式 井字形焊接式成型，焊后校形振动消除焊接应力，与底盘大梁、上装采用刚性连接方式固定。</w:t>
            </w:r>
          </w:p>
          <w:p w14:paraId="451525B6">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3.3防腐处理 喷砂除油锈，喷涂重型防腐漆。</w:t>
            </w:r>
          </w:p>
          <w:p w14:paraId="371E1C8C">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79A43D39">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4.驾乘室 </w:t>
            </w:r>
          </w:p>
          <w:p w14:paraId="34426BDA">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4.1布局结构 双排四门驾驶室。</w:t>
            </w:r>
          </w:p>
          <w:p w14:paraId="2D3905A9">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4.2座位设置 双排座，座位1+1+4</w:t>
            </w:r>
          </w:p>
          <w:p w14:paraId="3F1D1782">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4.3安全设置 安装有三点式预紧安全带。</w:t>
            </w:r>
          </w:p>
          <w:p w14:paraId="78724D6A">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4.4空气呼吸器设置 后排靠背处均安装有空气呼吸器架。空气呼吸器框架采用结构钢板折弯而成，空气呼吸器框架卡具可调节，可放置6.8L-9L空气呼吸器。</w:t>
            </w:r>
          </w:p>
          <w:p w14:paraId="47A7B01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4.5其他 驾驶室内加装水泵的取力器开关；警报器及警灯开关等。</w:t>
            </w:r>
          </w:p>
          <w:p w14:paraId="5C7FBC20">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4.6照明 原车照明灯。</w:t>
            </w:r>
          </w:p>
          <w:p w14:paraId="76A8A19F">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4.7扶手 安全扶手，提高了救援人员上、下车安全及速度。</w:t>
            </w:r>
          </w:p>
          <w:p w14:paraId="0AD9EE06">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3725F450">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5.车厢 </w:t>
            </w:r>
          </w:p>
          <w:p w14:paraId="1642C927">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★5.1材质 车厢（器材箱、泵室及内骨架）全部采用高强度铝合金型材，内饰板采用光面氧化铝板</w:t>
            </w:r>
          </w:p>
          <w:p w14:paraId="6B6DB854">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★5.2结构 车厢的骨架为全铝合金框架焊接式结构，外蒙皮为铝合金板粘接技术；车厢内器材骨架采用铝合金型材搭接结构，能根据客户要求灵活布局，最大限度地提高空间利用率，充分利用车厢内部有限空间；内饰板和底板均为光面铝合金板材</w:t>
            </w:r>
          </w:p>
          <w:p w14:paraId="2F807270">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5.3车顶护围 采用铝合金整体拉制成型，外侧安装频闪警灯及车外照明灯，内侧安装LED车顶照明灯</w:t>
            </w:r>
          </w:p>
          <w:p w14:paraId="7BB53131">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5.4梯架 车厢顶部设置一套多功能二节拉梯架，可放置二节拉梯、单杠梯、挂钩梯</w:t>
            </w:r>
          </w:p>
          <w:p w14:paraId="4BC61C86">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5.5爬梯 车厢后部设置一架通往车顶的安全爬梯</w:t>
            </w:r>
          </w:p>
          <w:p w14:paraId="6A813E7F">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3787388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6.卷帘门 </w:t>
            </w:r>
          </w:p>
          <w:p w14:paraId="51923532">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★6.1材质 采用轻型优质铝合金，大幅面卷帘门，启闭灵活、密封性好、外形美观、轻便可靠</w:t>
            </w:r>
          </w:p>
          <w:p w14:paraId="4225D0A5">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6.2结构 顶部设有导流槽，四周装有密封条，具有良好的防雨、防尘密封性能。配备拉杆式条锁把手、一点式拉带及两点式固定座；并且安装有传感器，可通过驾驶室内的指示灯了解帘子门开闭状态</w:t>
            </w:r>
          </w:p>
          <w:p w14:paraId="63A336E6">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10A946D5">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★7.脚踏板</w:t>
            </w:r>
          </w:p>
          <w:p w14:paraId="5975FD5F">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7.1材质 优质铝合金型材</w:t>
            </w:r>
          </w:p>
          <w:p w14:paraId="561F5CF7">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7.2结构 该脚踏板采用铝合金型板整体拉制结构，承重≥150kg，踏板面采用横纹防滑设计，带机械弹簧锁定功能 ，防止踏板在行车过程中受震后自行翻转，并采用防尘防滑设计</w:t>
            </w:r>
          </w:p>
          <w:p w14:paraId="3D4171BA">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3BE5B069">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8.电器系统 </w:t>
            </w:r>
          </w:p>
          <w:p w14:paraId="21FAC400">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8.1警灯警报 车头前顶部设置长排式警灯，单音100W警报器、警灯、电路为独立式附加电路，控制器件安装在驾驶室内</w:t>
            </w:r>
          </w:p>
          <w:p w14:paraId="5BA14D66">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8.2器材箱灯 器材箱、泵房卷帘门两侧内设有LED白光照明灯带，能够满足整个箱体的照明，照明灯开关与卷帘门联动</w:t>
            </w:r>
          </w:p>
          <w:p w14:paraId="5418668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8.3频闪灯 车厢左右两侧上部各配置三盏频闪警灯</w:t>
            </w:r>
          </w:p>
          <w:p w14:paraId="75E77E13">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8.4车外照明 车厢左右两侧上部各配置三盏LED侧照明灯</w:t>
            </w:r>
          </w:p>
          <w:p w14:paraId="2E312EFB">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8.5车顶照明 车厢顶部内侧配备LED灯</w:t>
            </w:r>
          </w:p>
          <w:p w14:paraId="45398966">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8.6警示灯 车厢两侧脚踏板放下后朝向消防车前和后方均安装有内嵌式黄色警示闪光灯</w:t>
            </w:r>
          </w:p>
          <w:p w14:paraId="2B73A55E">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6105EB9B">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9.表面处理 </w:t>
            </w:r>
          </w:p>
          <w:p w14:paraId="6D6EFA23">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9.1漆料 车厢表面喷涂进口品牌消防红色漆，为保证夜间工作安全，车身设有符合安全标准要求的荧光反光带</w:t>
            </w:r>
          </w:p>
          <w:p w14:paraId="1113DCCC">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9.2颜色 消防红</w:t>
            </w:r>
          </w:p>
          <w:p w14:paraId="6EFE4814">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2768E36A">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10.消防泵 </w:t>
            </w:r>
          </w:p>
          <w:p w14:paraId="5C6ECF4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10.1额定压力 1.0MPa</w:t>
            </w:r>
          </w:p>
          <w:p w14:paraId="19B3F299">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10.2额定流量≥80L/s</w:t>
            </w:r>
          </w:p>
          <w:p w14:paraId="3A86E8DE">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10.3真空泵 电动真空泵</w:t>
            </w:r>
          </w:p>
          <w:p w14:paraId="1F061600">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★10.4引水形式 刮片引水</w:t>
            </w:r>
          </w:p>
          <w:p w14:paraId="75D8343B">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10.5吸水深度 7m</w:t>
            </w:r>
          </w:p>
          <w:p w14:paraId="05493B52">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10.6引水时间 ≤60s</w:t>
            </w:r>
          </w:p>
          <w:p w14:paraId="6D078052">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10.7安装形式 后置式</w:t>
            </w:r>
          </w:p>
          <w:p w14:paraId="5F0D0361">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43D6AED4">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11.消防炮 </w:t>
            </w:r>
          </w:p>
          <w:p w14:paraId="18A4A56A">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11.1额定流量≥64L/s</w:t>
            </w:r>
          </w:p>
          <w:p w14:paraId="3C0275E1">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11.2射程 水≥75m ，泡沫≥70m</w:t>
            </w:r>
          </w:p>
          <w:p w14:paraId="6E114E96">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11.3控制方式 手动控制</w:t>
            </w:r>
          </w:p>
          <w:p w14:paraId="64CE9FD7">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★11.4水平回转角度 0°~330°</w:t>
            </w:r>
          </w:p>
          <w:p w14:paraId="09FD3583">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★11.5俯仰回转角度 -15°~60°</w:t>
            </w:r>
          </w:p>
          <w:p w14:paraId="5BB94BCC">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0B49E05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12.液罐 </w:t>
            </w:r>
          </w:p>
          <w:p w14:paraId="15116245">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12.1容量 水≥4050L，泡沫≥2000L</w:t>
            </w:r>
          </w:p>
          <w:p w14:paraId="12E2A035">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★12.2材质 高分子复合材料PP采用多项专利技术高分子复合材料制造而成的特殊板材，强度高、抗冲击性强、耐低温、抗腐蚀性强、质量轻的特点</w:t>
            </w:r>
          </w:p>
          <w:p w14:paraId="0772AAD1">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12.3安装形式 内胆式</w:t>
            </w:r>
          </w:p>
          <w:p w14:paraId="53167EAE">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12.4结构 2个人孔；2个溢流/卸压装置；2个液位传感器；1个泡沫罐放余液口，1个水罐放余水口。</w:t>
            </w:r>
          </w:p>
          <w:p w14:paraId="4EC288E7">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0772A93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59A5C0A2">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13.管路系统 </w:t>
            </w:r>
          </w:p>
          <w:p w14:paraId="62FD2176">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13.1进水口 泵室正后方安装带手动控制阀的DN150内扣式吸水口1个。</w:t>
            </w:r>
          </w:p>
          <w:p w14:paraId="4CFE151B">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13.2注水口 泵室左右两侧各安装带手动控制阀的DN80卡式注水口1个。</w:t>
            </w:r>
          </w:p>
          <w:p w14:paraId="2EC38511">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13.3出水口 泵室左右两侧各安装带手动控制阀的DN80卡式出水口2个。</w:t>
            </w:r>
          </w:p>
          <w:p w14:paraId="3856F6D4">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13.4放余水管路 为保护水泵，在管路中加装了放余水阀。</w:t>
            </w:r>
          </w:p>
          <w:p w14:paraId="488F1D98">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13.5冲洗管路 在泵系统管路中设有泡沫冲洗阀及管路。</w:t>
            </w:r>
          </w:p>
          <w:p w14:paraId="48FA5312">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3CA2F193">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★14.消防控制系统 消防车辆智能控制系统V1.0</w:t>
            </w:r>
          </w:p>
          <w:p w14:paraId="1F5AA7CE">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14.1系统概述 该车消防控制系统采用先进的CAN 2.0总线控制技术，配有泵室操作控制面板，可以实现一键出水、稳流稳压、一键放余水、泡沫流量快速调节等功能。</w:t>
            </w:r>
          </w:p>
          <w:p w14:paraId="0EA10268">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14.2一键出水 在泵室即可实现启动发动机、开启后进水阀门、后挂取力器的一键式出水操作，加快人员操作效率。</w:t>
            </w:r>
          </w:p>
          <w:p w14:paraId="550ED3F7">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14.3稳流稳压 可将水泵出水压力稳定在合适的工作压力范围内，不受出水管路水流量变化的影响，保障人员灭火操作安全。</w:t>
            </w:r>
          </w:p>
          <w:p w14:paraId="4DA1E8B3">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14.4一键放余水 将水泵系需要放余水的位置安装气控排水管路一键控制。</w:t>
            </w:r>
          </w:p>
          <w:p w14:paraId="56CEBFE8">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14.5泡沫系统预设模式 根据泡沫枪的流量大小电子调节泡沫流量，并且提供3%、6%常用泡沫比例值预设值。</w:t>
            </w:r>
          </w:p>
          <w:p w14:paraId="5154265F">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14.6一键泡沫冲洗 在泡沫冲洗管路上安装气控阀门，实现一键式控制泡沫管路的冲洗。</w:t>
            </w:r>
          </w:p>
          <w:p w14:paraId="320F63B2">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2708901F">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15.泡沫比例控制器 </w:t>
            </w:r>
          </w:p>
          <w:p w14:paraId="30DD5A24">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15.1控制混合比 预设3%、6%泡沫比例</w:t>
            </w:r>
          </w:p>
          <w:p w14:paraId="21A0FF09">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15.2控制方式 电动</w:t>
            </w:r>
          </w:p>
          <w:p w14:paraId="3FD0BA50">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075E4B25">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★16.绞盘</w:t>
            </w:r>
          </w:p>
          <w:p w14:paraId="193550E3">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16.1安装形式 车头保险杠下</w:t>
            </w:r>
          </w:p>
          <w:p w14:paraId="4459D9C4">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16.2驱动形式 电动</w:t>
            </w:r>
          </w:p>
          <w:p w14:paraId="5BA4D309">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16.3电压 24V</w:t>
            </w:r>
          </w:p>
          <w:p w14:paraId="184D206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16.4标定载荷 60kN</w:t>
            </w:r>
          </w:p>
          <w:p w14:paraId="28416229">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16.5钢丝绳有效长度≥35m</w:t>
            </w:r>
          </w:p>
          <w:p w14:paraId="10DFFAE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68B74E6F">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17.随车资料</w:t>
            </w:r>
          </w:p>
          <w:p w14:paraId="15F5E4D1">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17.1底盘使用说明书</w:t>
            </w:r>
          </w:p>
          <w:p w14:paraId="1C7BA97F">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17.2底盘合格证</w:t>
            </w:r>
          </w:p>
          <w:p w14:paraId="3FCA21A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17.3发动机号码拓印</w:t>
            </w:r>
          </w:p>
          <w:p w14:paraId="52DA4F9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17.4底盘号码拓印件</w:t>
            </w:r>
          </w:p>
          <w:p w14:paraId="6562FDCA">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17.5消防车使用说明书</w:t>
            </w:r>
          </w:p>
          <w:p w14:paraId="338FBDE6">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17.6消防车消防器材清单</w:t>
            </w:r>
          </w:p>
          <w:p w14:paraId="37672659">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17.7消防车合格证</w:t>
            </w:r>
          </w:p>
          <w:p w14:paraId="5399B433">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17.8消防车跟踪服务卡</w:t>
            </w:r>
          </w:p>
          <w:p w14:paraId="525A10BE">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17.9消防车交接清单</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EDEEDA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B13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190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91CD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95CE">
            <w:pPr>
              <w:keepNext w:val="0"/>
              <w:keepLines w:val="0"/>
              <w:widowControl/>
              <w:suppressLineNumbers w:val="0"/>
              <w:tabs>
                <w:tab w:val="left" w:pos="4314"/>
              </w:tabs>
              <w:jc w:val="center"/>
              <w:textAlignment w:val="center"/>
              <w:rPr>
                <w:rFonts w:hint="eastAsia" w:ascii="仿宋" w:hAnsi="仿宋" w:eastAsia="仿宋" w:cs="仿宋"/>
                <w:i w:val="0"/>
                <w:iCs w:val="0"/>
                <w:color w:val="auto"/>
                <w:sz w:val="21"/>
                <w:szCs w:val="21"/>
                <w:u w:val="none"/>
                <w:lang w:eastAsia="zh-CN"/>
              </w:rPr>
            </w:pPr>
            <w:r>
              <w:rPr>
                <w:rFonts w:hint="eastAsia" w:ascii="仿宋" w:hAnsi="仿宋" w:eastAsia="仿宋" w:cs="仿宋"/>
                <w:b/>
                <w:bCs/>
                <w:i w:val="0"/>
                <w:iCs w:val="0"/>
                <w:color w:val="auto"/>
                <w:sz w:val="21"/>
                <w:szCs w:val="21"/>
                <w:u w:val="none"/>
                <w:lang w:eastAsia="zh-CN"/>
              </w:rPr>
              <w:t>灭火防护及抢险救援装备</w:t>
            </w:r>
          </w:p>
        </w:tc>
      </w:tr>
      <w:tr w14:paraId="0C012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A3F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715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新能源火灾扑救管</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90C5FCE">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1.满足GB8181-2005标准。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2.用于火灾扑救、冷却保护。具有高压喷雾功能。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3.喷射雾状水流，对车辆底盘火灾具有很强的灭火能力</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4.表面防腐处理工艺，阳极硬质氧化。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5.水枪所用材质和工艺充分考虑了高温、高湿、高盐和带压工作要等各种工作使用环境，具备良好的耐腐蚀性和机械强度。</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6.水枪握把；耐高温，低温，防滑，抗摔性能好。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7.水枪喷头：采用铝合金材质或优于铝合金材质精密加工制作并硬质氧化处理。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8.锻件表面应无结疤、裂纹及孔眼。</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9.尺寸：≤80*60*20（CM）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10.重量：≤8（KG）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11.水喷雾喷射高度：≥30CM（水压不≥0.4MPa），配有四个万向轮，可接65mm水带(内扣式接口），能变换水的直流雾状，承受压力≥1.8map。</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5F4241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D93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1BB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3BBEC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F1F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E42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敛尸袋</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B0259D2">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尺寸:长度≥2.0米、宽度≥0.7；颜色为黑色，材质牛津布+防水胶层，拉链式，承重≥150kg。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6FC658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603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579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1573E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830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AF5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抓蛇器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EFF0CF2">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可伸缩1米至4米，高碳钢蛇夹，采用优质合金钢材质，承重强度≥2kg，加厚锯齿设计，强劲咬合力。便携式，带携行包。</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A58A89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04A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3E5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6B953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144F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2E0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无人机电池</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58B1751">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容量：3850毫安，电压：15.4伏，充电限制电压：17.6伏</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电池类型：LiPo 4S，能量：59.29瓦时，重量≤297克，充电环境温度：5℃-40℃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最大充电功率：80 瓦；</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8DDDB6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984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A45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2BBEE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A48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CBD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DV摄像机</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814B8A8">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基本参数：光学变焦倍 30倍数，产品净重 190g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产品尺寸长128mm，宽54mm，高59.5mm，功能参数，传感器类型CMOS</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传感器尺寸1/5.8英寸，取景器光学取景器</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防抖功能光学防抖，对焦方式自动／手动</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音效模式内置麦克风，液晶屏尺寸，2.7英寸,储存卡64G,备用电池3块，自带携行包，HDMI视频传输线1根。</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E90066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C8D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BA3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5B772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1BC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7E2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手持运动相机</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262AF3B">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手持运动相机全能套装</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参数：1英寸 CMOS &amp; 4K/120fps，2 英寸旋转屏＆智能横竖拍</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三轴云台机械增稳，智能跟随 6.0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全像素疾速对焦，D-Log M &amp; 10-Bit</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立体声收音，额外包含 DJI Mic 2 发射器、续航手柄、迷你三脚架和全新收纳包，备用电池1块，充电器1个.</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BCD862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0B0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C0D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68237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A40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3BC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运动相机</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B489266">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全新 1/1.3 英寸传感器，旗舰影像人物居中，锁定主角；</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大容量电池，4小时超长续航，双 OLED 高亮触摸屏；</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360°地平线增稳，硬核防抖双 DJI 麦克直连，专业收音,自带携行包，备用电池1块，充电器1个</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3916EB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F9B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8D0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0940C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1D8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E3F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数码微单相机</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5F80267">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一、影像核心：4400万像素传感器与AI芯片</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 IMX366传感器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搭载4400万像素全画幅BSI CMOS（非堆栈式），支持26.15fps高速读取，动态范围达14.7档，ISO 6400下噪点较A7M4优化1.5档。通过「智能像素聚合」技术，视频拍摄时自动四合一输出超采4K，兼顾画质与高感性能。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2. AI计算单元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第八代AI芯片运算速度提升300%，支持「轨迹预判算法」和「障碍穿透模式」，追踪脱焦率降低72%，隔玻璃追焦成功率89%。弱光对焦能力达-7EV，新增交通工具、昆虫等识别类别。</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二、视频性能：专业级创作工具</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 编码与规格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 支持8K 30p（1.3倍裁切）和4K 120p无裁切超采样，16-bit RAW内录，动态范围15+档。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 新增「电影运镜AI」，自动模拟滑轨/摇臂轨迹，单人可完成复杂运镜。</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2. 散热与稳定性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采用微型涡轮风扇散热系统，连续录制4K视频38分钟机身温度≤42℃，防抖升级至8级（军工级陀螺仪+AI姿态识别）。</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三、操控与设计：专业用户友好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 屏幕与取景器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- 3.2英寸四轴翻转触控屏（210万像素），支持全向翻转，改善竖拍体验。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- 576万点OLED电子取景器，刷新率提升至120Hz。</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2. 存储与接口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双卡槽支持CFexpress Type A/SD UHS-II，读写速度提升50%，满足8K视频高速写入需求。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四、性能参数</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项目  A7M5（预测）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像素  4400万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连拍速度  26张/秒（机械快门）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防抖等级  8级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视频分辨率  8K 30p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屏幕翻转角度  四轴全向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AI对焦功能  轨迹预判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应配，内存卡256GB;CFexpress Type A卡1张，含收纳包,备用电池2块，充电器1个。</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7E1008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169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E59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23D56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3D1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69B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标准变焦相机镜头</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140E712">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配备一个卡色UV镜 MCUV 三代 低反射防眩光单反滤镜(可适配镜头)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焦距 (mm) 24-70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镜头卡口 E卡口</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类别 可更换镜头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画幅 全画幅</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镜头类型 全画幅标准变焦G大师镜头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APS-C画幅下的35mm规格换算焦距(mm) 36-105</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镜头结构（组-片） 15-20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视角（APS-C画幅）约 *1 61°-23°</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视角（35mm等值）约 84°-34°</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最大光圈（F） 2.8</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最小光圈（F） 22</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光圈叶片（数） 11</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最近对焦距离（m）约 0.21(W)-0.3(T) 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最大放大倍率（倍）约 0.32</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滤光镜直径（mm） 82</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尺寸（最大直径x长）（mm） 约 87.8 x 119.9 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质量（g） 约 695g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附件 *2  遮光罩 (1)  镜头前盖 (1)  镜头后盖 (1)  镜头袋 (1)</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E8AFB5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14C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6A2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58155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508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040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远射变焦相机镜头</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0C1BD3F">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配备一个卡色UV镜 MCUV 三代 低反射防眩光单反滤镜(可适配镜头)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焦距 (mm) 70-200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类别 可更换镜头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镜头卡口 E卡口</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镜头类型 新一代全画幅远摄变焦G大师镜头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画幅 全画幅</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APS-C画幅下的35mm规格换算焦距(mm) 105-300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镜头结构（组-片） 14-17</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视角（APS-C画幅）约 *1 23ﾟ-8ﾟ</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视角（35mm等值）约 34°-12°30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最大光圈（F） 2.8</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最小光圈（F） 22</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光圈叶片（数） 11</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圆形光圈 是</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最近对焦距离（m）约 0.4-0.82</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最大放大倍率（倍）约 0.3</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滤光镜直径（mm） 77</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尺寸（最大直径x长）（mm） 约 88 x 200 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质量（g） 约 1045 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附件 *2  遮光罩 （1） 镜头前盖 （1）  镜头后盖 （1）  镜头袋 （1）</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E8F289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1AE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DF0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5C6F3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1DC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7E4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无线麦克风</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347064B">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两发一收，含充电盒；充电盒为金属材质打造，简约有型。新增锁扣设计牢固可靠，可防止设备意外掉落，使用更放心。</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1.发射器和接收器续航均达 6 小时，搭配充电盒使用，总续航可达 18 小时，满足各类视频创作和直播需求。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2.250 米稳定无线传输；抗干扰能力强，音频最远传输距离可达 250 米，在直播间、工作室和户外环境中均能稳定传输。</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3.一体收纳，开盖即用；充电盒自动配对接收器与发射器，即开即用。盒内配有 USB-C 以及 Lightning 手机转接头，只需取出接收器，插上拍摄设备即可使用。</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4.一机多用，声势不凡；发射器自带 8GB 内存，能存储 14 小时的 48 kHz 24-bit 无压缩音频，既可当录音笔，也可进行音频备份。还支持 32-bit 浮点内录，让后期剪辑更灵活。</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5.高效协同，兼容各设备；支持 USB-C 和 Lightning 数字信号输出以及 3.5 毫米 TRS 模拟信号输出，兼容相机、手机和电脑，iPhone 和 Android 用户均能使用立体声功能。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6.产品直连，快速高效；无需接收器，发射器支持直连 Osmo Action 5 Pro、Action 4 或 Pocket 3，DJI OsmoAudio™连接生态可带来原声级音质，听感纯净通透，也简化了创作装备与流程，高效省时。发射器也可在蓝牙直连手机后，联动第三方视频拍摄软件</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552BF2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D53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95F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401C4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ECF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D49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 xml:space="preserve"> 锂电闪光灯 </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A66B1D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轻盈便携的特质及强大的内置功能，其中包含2.4G无线电传输和TTL功能，并兼容主控和从属的无线闪光系统。在此基础上，V8601不仅增设造型灯及TTL/M快捷键，还进一步优化电池性能，升级快装热靴锁，满足高效布光需求，提高拍摄效率。</w:t>
            </w:r>
          </w:p>
          <w:p w14:paraId="4AB2785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2.实现布光可视化；V860/特别增设 LED 造型灯，亮度1-10级可调，方便用户预设和即时观察光影效果</w:t>
            </w:r>
          </w:p>
          <w:p w14:paraId="507B7B0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3.一键切换 TTL/M 增设TTL/M快捷键，用TTL自动模式快速测光，保留TTL测光记忆功能，再一键切换至手动模式进行微调令补光告别繁琐操作。</w:t>
            </w:r>
          </w:p>
          <w:p w14:paraId="61BEE5D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4.电池续航更持久；大容量锂电池可提供1.5秒极速回电，480次全功率输出，为拍摄之旅保驾护航。</w:t>
            </w:r>
          </w:p>
          <w:p w14:paraId="4178C89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5.升级快装热靴锁；V860I1系列采用快装热靴锁，迅速装卸HODE省时省力，轻松实现机顶，离机两用。</w:t>
            </w:r>
          </w:p>
          <w:p w14:paraId="7E75C07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6.创意光效随手得V860II C/N/S/F/0/P分别适用于佳能/尼康/索尼/富士/奥林巴斯&amp;松下/宾得系列相机。全面支持1/8000秒高速同步、包围曝光、后帘同步、频闪闪光等功能。</w:t>
            </w:r>
          </w:p>
          <w:p w14:paraId="7B18589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焦距可调范围广；V860I1灯头焦距范围在20~200mm，可通过自动或手动变焦方式调节。焦距越小，光线扩散越广；焦距越大，光线扩散越小，有束光效果。自动变焦时，焦距则会随着相机变焦镜头的改变而变化，以提供最佳闪光效果。</w:t>
            </w:r>
          </w:p>
          <w:p w14:paraId="225B51D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8.多角度灵活旋转；闪光灯头可旋转角度为垂直-7°~120°、水平0~330°，助你轻松完成直射、跳闪等拍摄手法。</w:t>
            </w:r>
          </w:p>
          <w:p w14:paraId="509BBEF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标配物品</w:t>
            </w:r>
          </w:p>
          <w:p w14:paraId="433F20E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闪光灯×1   USB线×1   充电器USBx1   充电座×1   锂电池×1   说明书×1   微型底座×1   保护包*1</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B30F84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BEE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57C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6F948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680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671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相机稳定器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2C2945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主要性能参数如下：</w:t>
            </w:r>
          </w:p>
          <w:p w14:paraId="431F149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 核心性能</w:t>
            </w:r>
          </w:p>
          <w:p w14:paraId="3131D81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最大负载：4.5千克（支持主流微单/电影机及镜头组合）</w:t>
            </w:r>
          </w:p>
          <w:p w14:paraId="09D7D3D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电机性能：三轴电机扭矩提升20%，支持远程控制变焦与焦点调节</w:t>
            </w:r>
          </w:p>
          <w:p w14:paraId="118EE5E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轴臂材质：碳纤维（兼顾轻量化与高承重）</w:t>
            </w:r>
          </w:p>
          <w:p w14:paraId="1897052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 智能跟焦系统</w:t>
            </w:r>
          </w:p>
          <w:p w14:paraId="27C60C2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LiDAR自动跟焦：测距点76,800个，最远对焦距离20米，支持70°广角及30Hz高刷新率</w:t>
            </w:r>
          </w:p>
          <w:p w14:paraId="241C215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双电机协同：支持跟焦与变焦双电机独立控制，搭配Focus Pro手轮实现精准操控</w:t>
            </w:r>
          </w:p>
          <w:p w14:paraId="115AFA3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 续航与供电</w:t>
            </w:r>
          </w:p>
          <w:p w14:paraId="12F5AA3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续航时间：单机版13小时，搭配BG70手柄延长至29小时</w:t>
            </w:r>
          </w:p>
          <w:p w14:paraId="4D38B06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快充支持：45W PD快充2.5小时充满，支持边充边用</w:t>
            </w:r>
          </w:p>
          <w:p w14:paraId="672A330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供电扩展：手柄底部USB-C接口可为相机配件供电（最高18W）</w:t>
            </w:r>
          </w:p>
          <w:p w14:paraId="4A890E6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 图传与控制生态</w:t>
            </w:r>
          </w:p>
          <w:p w14:paraId="3F5E15E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Ronin图传：支持20米传输距离，与LiDAR系统互联互通</w:t>
            </w:r>
          </w:p>
          <w:p w14:paraId="0E01E35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远程控制：通过Ronin 4D手柄、高亮监视器等设备实现云台/焦点/相机参数一体化控制</w:t>
            </w:r>
          </w:p>
          <w:p w14:paraId="06277EC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 设计亮点</w:t>
            </w:r>
          </w:p>
          <w:p w14:paraId="37D6F70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横竖拍切换：第二代原生设计，无需拆卸横板即可垂直切换</w:t>
            </w:r>
          </w:p>
          <w:p w14:paraId="0FB9BD6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智能轴锁：第二代自动轴锁虚位更小，提升稳定性</w:t>
            </w:r>
          </w:p>
          <w:p w14:paraId="49CBEEA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扩展接口：配备RSA、NATO及冷靴接口，兼容丰富配件生态</w:t>
            </w:r>
          </w:p>
          <w:p w14:paraId="4787076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套装包含主机、电池手柄、双层快装板、手提转接手柄等，图传、电机等强化拍摄功能。</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CD00E5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2BB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EE9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2A342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E09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EC6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执法记录仪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DA8D5E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设备应表面光洁、平整，不应有开裂、变形、划伤、毛刺、脱漆和缝隙等缺陷，颜色、质地不应有差异，不应有明显的污垢，边缘棱角不应有可能导致人体伤害的突起。外观结构设计精致合理，方便佩戴，肩夹可以360度旋转。</w:t>
            </w:r>
          </w:p>
          <w:p w14:paraId="5673CB9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2.外形尺寸应≤84mm*58mm*31mm，机器重量应≤160g，机器内存应≥32G</w:t>
            </w:r>
          </w:p>
          <w:p w14:paraId="0CF1869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3.设备应满足IP68防水要求，裸机自由跌落高度2米，水泥地面，任意6个面各跌落5次，共30次，试验期间设备处于工作状态。</w:t>
            </w:r>
          </w:p>
          <w:p w14:paraId="6D2CF64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设备在取景模式下，按下相应键，设备应自动开始记录视音频信息；按下停止键，设备应停止记录并保存记录内容。设备在取景预览模式下，按下相应键，应自动开始录音频信息：按下停止键，设备应停止记录并保存记录内容。设备在取景预览模式下，按下照相键，应能拍照。</w:t>
            </w:r>
          </w:p>
          <w:p w14:paraId="6D7DBAD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设备应对存储的数据加以保护，存储的数据不能被本机或未经授权的设备删除和覆盖。编码视频流应有防篡改、防非法复制等认证措施（如：水印叠加），以保证原始数据的完整。设备在出现异常问题时应能重启，重启后已保存的数据不应丢失或损坏。</w:t>
            </w:r>
          </w:p>
          <w:p w14:paraId="21746FB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6.设备应具备夜视功能，设备采用大功率红外灯，应在7m处，可看清人物面部特征，20米看到人体轮廓，具有红外自动切换装置，可收动或自动开启夜视功能。 </w:t>
            </w:r>
          </w:p>
          <w:p w14:paraId="379EB24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7.设备在摄录过程中应能通过一键操作的方式对重点文件进行标记，标记方式应为原文件名中包含“IMP”,标记的文件应在管理平台中进行搜索，并可与其他文件进行分区。</w:t>
            </w:r>
          </w:p>
          <w:p w14:paraId="641ECE7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8.设备可连接对讲机，为对讲机提供拾音器和扬声器。</w:t>
            </w:r>
          </w:p>
          <w:p w14:paraId="57F44BA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9.设备应具有彩色显示屏，显示屏对角线应≥2.0in。</w:t>
            </w:r>
          </w:p>
          <w:p w14:paraId="1B4B7AA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★10.设备采用高亮显示屏，显示屏亮度在全场白测试信号时最大亮度应≥930cd/㎡。</w:t>
            </w:r>
          </w:p>
          <w:p w14:paraId="7A9A918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★11.视场角度，设备在所有分辨率情况下，摄像头的水平角度应≥125°，且畸在所有分辨率下均≤6.9%。</w:t>
            </w:r>
          </w:p>
          <w:p w14:paraId="3567246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★12.视频性能，设备在视频分辨率2560X1440、2304X1296下测得视频分别力为1100线，帧率为30帧/S，在视频分辨率1920x1080,下测得视频分辨力为1000线帧率为60帧/S、30帧/S。符合1级要求。</w:t>
            </w:r>
          </w:p>
          <w:p w14:paraId="2C1608B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★13.设备拍摄的照片分辨力应有几档（11024x6201）1300线，（8000X4500）1300线，（7616X4275）1300线，（6144X3456）1300线，（5472X3648）1300线，(4608X3456) 1300线，(4000X3000)1300线，(2592X1944)1200线，(2362*1332)1100线九档可设置，</w:t>
            </w:r>
          </w:p>
          <w:p w14:paraId="2C26C19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★14.设备应采用内置不可更换电池，设备在2304X1296,30帧和1920X1080,30帧分辨率下电池应能连续摄录时间≥12小时，设备在温度（-30±3）°C，持续工作时间≥4h。</w:t>
            </w:r>
          </w:p>
          <w:p w14:paraId="41F2AA0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15.设备从按下开机键到进入取景预览模式所用时间不应大于2秒。</w:t>
            </w:r>
          </w:p>
          <w:p w14:paraId="70A2655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16.设备具有连拍功能，具有2张，3张，5张，10张，15张，20张，30张连拍。</w:t>
            </w:r>
          </w:p>
          <w:p w14:paraId="7598EC4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17.可扩展功能，设备通过4G无线网络进行视频传输时。远程接收端的视频分辨率为1920*1080P且视频分辨力为800线</w:t>
            </w:r>
          </w:p>
          <w:p w14:paraId="7294EDA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18.设备具有人脸检测功能，同时具有4张人脸检测</w:t>
            </w:r>
          </w:p>
          <w:p w14:paraId="71BD527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★19.设备支持在分辨率≥2304X1296下预录触发前60秒视音频，可延录≥600视音频，支持在分辨率≥1296X1080下预录≥60秒的视音频，，在分辨率848X480下预录≥100秒视音频。</w:t>
            </w:r>
          </w:p>
          <w:p w14:paraId="0A48915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20.执法仪可扩展WiFi功能，执法仪通过WiFi与手机APP链接，手机app可远程启动执法仪录像，录音，拍照功能。</w:t>
            </w:r>
          </w:p>
          <w:p w14:paraId="5E38800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21.设备在待机及摄录状态下，可通过一次按键实现1440P/1296P/1080P/720P/848P分辨率之间切换。</w:t>
            </w:r>
          </w:p>
          <w:p w14:paraId="324BA24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22.存储扩展，执法仪最大可支持256G存储</w:t>
            </w:r>
          </w:p>
          <w:p w14:paraId="7AD7AE7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23.执法仪支持H264和H265压缩，两种格式可以切换。</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D43FE5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0ED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0BF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20463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F95E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DBE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洗车机</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5575F42">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强悍高压，畅快清洗商用机，85-180公斤强压，全铜电机，全自动关枪停机，漏电保护和过载保护,电压220V，高压软管20米，喷头可直流或转换喷雾；机芯材质为铜，机身防水等级为IPX5</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A7C5C6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8D4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3D6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40DB7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48A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20A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单人充气床垫户外野营</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BFD1449">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单人32孔单层PVC植绒床；快速充气、立体支撑、释压减震、双重气塞；加厚床体防硌保暖舒适升级，一年四季均可使用，采用复合防侵潮湿面料技术，尺寸：≥1900mm*1000mm*200mm；颜色统一蓝色。根据甲方要求印制相应标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DE5DCF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935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11F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40D28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78D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850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折叠桌子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8202CB9">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军用版户外折叠桌子，使用轻便、耐磨、耐腐蚀、注塑工艺。尺寸：≥长120cm*宽60cm*高75cm; 折叠尺寸：≤60cm*60cm*8.5cm；附带1.5米长*1.2米宽蓝色厚桌布，重量≤9kg，颜色为火焰蓝，根据甲方要求印制相应标识.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BB0915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63C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375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6BDC7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97F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66F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折叠椅子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1CC5FC6">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军用版户外折叠椅子，使用轻便、耐磨、耐腐蚀、注塑工艺。椅子展开整体高度83cm,坐面高47cm;宽度55cm,重量≤10斤，色为火焰蓝，与折叠桌相匹配，一桌4椅，并根据甲方要求印制相应标识。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E26030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把</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276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CA7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38D86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D71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9D9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角磨机</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0CBAC0E">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电池 20V/4.0Ah 最大输出功率 630W 砂轮片最大直径 100mm， 砂轮片孔径 16mm ，额定转速 ≥8500r/min 主轴螺纹 M10 净重≤ 2.2kg，备用砂轮片1个，备用电池2块。</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359097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B65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4A9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72B32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4A8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D87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挂钩墙面架子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F1A9D9E">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孔面均匀密布，满足不同装备配件上墙需求，撑重量高，携带金属挂钩采用加厚钢板，扎实用料不易变形，规格：长2.9米*高1.75米（可拼接）；架子颜色深黑色，用山岳救援装备。</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730E75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EB3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ACE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2E088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A97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816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消防防爆手电胸灯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7244B47">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1、本产品经国家权威机构防爆认证，符合现行国家标准：GB 3836.1-2021、GB 3836.4-2021中的要求，防爆标志Ex ib II CT4。</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2、按GB/T 4208规定的试验方法进行试验：经IP6X防尘试验，试具直径:1.0mm;施加力:1.0N;试具不能通过任何开口进入防护空间;压差:2kPa;抽气速度:0.1L/h;持续时间:8h;防护空间无粉尘沉积，经IPX6防水试验,水流量:100L/min;试验持续时间:3min，防护空间未进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3、跌落试验：跌落高度1 m，跌落次数≥4次，跌落试验产生的损伤不应使电气设备防爆型式失效。</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4、火花点燃试验：爆炸性混合物气体/浓度(%):氧-氢混合物 /氢气 60%、氧气40%，试验电压(V)：4.35，极握盘转数(转): 400(每1极性200) 任一选定试验点的每一次试验均不应出现点燃。</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5、介电强度试验：施压时间(s): ≥60，施压部位:本安电路与外壳之间，不应发生介电击穿和闪络现象，试验电压510V，无闪络/击穿现象，漏电流≤0.1mA。</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6、电池和电池组电解液泄漏试验：在进行完上述试验之后，试验样品放置在吸水纸至少12h.吸水纸上或在试验样品外表面上应无电解液痕迹，电池结构未损坏。</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7、电池和电池组的火花点燃和表面温度：结果判定:任一选定试验点的每一次试验均不应出现点燃。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8、外壳应采用PC材料，手持式，配有三段式卡扣，可配置消防员胸前；特殊信号指示功能，头部增加8颗红色信号指示灯，时刻给予前方人员提供信号。</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9、可实现强光、工作光、爆闪三档调节，满足照明及信号指示的需求；配备5段式 LED指示电量，清晰可辨，摇动灯具显示电量。</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10、灯头可在90°范围内任意调节照明角度，无照明死角；具有低电压告警功能，当灯具电池电量不足时，灯具频闪报警提示充电。</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11、照度：测试距离2m、测试光束直径150mm时；强光照度≥310lx，弱光照度≥2401x；连续工作时间：强光工作时间≥8小时，正常工作时间≥16小时。</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12、额定电压3.7V，电池容量：4.4Ah，额定功率3W，防护等级：≥IP66，光源平均使用寿命≥100000h，电池平均使用寿命1000次循环，充电时间≤9h。</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6BF4AA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E04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F49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1BC61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649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2C7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头盔灯夹子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A592D02">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1、能够固定到头盔保持不晃动，支持大角度调节，灯架孔应为20-24毫米；</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46343D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160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66B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2F58A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075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EA0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汽车应急启动电源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2914BDC">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电源容量≥2000000mAh，额定功率≥500w，充电输入12V/10A；USB输出5V/1A、5V/2A；响应时间≤5ms;适用于12V-24V车辆，产品极限工作温度：-30℃~60℃，AC交流输出220V/50HZ；DC直流输出12V/4A  48W;内置电源逆变器，具有独立开关，能够实时显示电量；配备有加粗电源夹；具有便携式背包，搭线错误不供电，具有电源保护功能。</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11E0A5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A20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A5C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51923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EDF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7D3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蓄电池充电器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BD7C103">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应具有，测容量/补电/放电/循环老化，充电-放电-静置-循环电池过压/电池反接/高温/电流失控，等功能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充电范围1~30V（可调）,0.5~10A（可调)      放电范围1~30V（可调）,0.5~10A（可调)</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设备供电电压为AC200~220V 50/60HZ；</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3D7F52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E19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E9C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1553E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144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94D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水下声纳收纳箱</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EF262F7">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收纳箱适配佳明122V型号声纳，主箱体为不锈钢面板材质，能够更好保护声纳，配备有探头快挂，能够与橡皮艇进行快速连接。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2AA3E6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A11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9DC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644E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6A7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3CD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救援防水拖线盘</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58CA71D">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产品名称：户外用三防插线卷盘</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1、交流输出功率：16A250V  4000W MAX。</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2、USB输出功率：5V3.1A总功率2A。</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3、警示灯输出功率：≥5V5W。</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4、点烟器输出：≥12V12W。</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5、总开关过载保护：一体成型过载保护，在超出额定电流1.2倍时0.5秒切断电源，恢复后正常使用。</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6、防水等级：IP56。</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7、绕线盘主架采用不锈钢材质，两边护盘采用超强塑胶材质。</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8、主转动部分采用双向轴承支撑，使转动更顺畅，结构更稳固。</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9、使用时线盘固定不动，用户拿起插座即可以到达用电场所，减少用户在使用时提起线盘走动时的疲劳状态。线盘下底座设计有固定孔和防滑垫。</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10、外设回收线缆排位器，</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11、插座排后置强磁铁，平时吸在线盘的主架上，方便自由拿取收放。可以在使用时吸附在任何铁器和设备之上。</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12、插座设计AC插口3位，均具备防水防触电功能，防水等级为IP56级。</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13、每一个插口在外部取电设备的插头插入才有电，拔出即断电，其它无插入的插口是无电状态。</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14、插排设计有防突拉脱扣功能，在取电设备插入到本插座插孔内后，自动触动内部装置，自动锁扣插头插片，按压释放按钮，解锁并拔出插头。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15、插排面板设计有红蓝相互交叉闪烁功能，提醒现场作业人员的作用。可在不使用时关闭。</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16、配备USB充电和点烟器接口，均具备防尘防水功能。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17、整体外壳采用超强度防护PUT材料，具备出色的抗高温，防火烧，抗冲击，抗低温性能。</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3EC904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757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F51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52480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EAA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82A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铝合金医药箱</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A95A5F7">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产品应为铝合金结构，大K角金属包边，八个金属防撞边 角，内分为三层结构，分别为网袋、活动 插页与可调节隔层的隔断设计，箱内有EVA材质覆盖,可以缓冲减震，保护好产品。规格不小于47cm*36cm*15cm，支持图案文字定制，具备有全套医疗用品。（含血压计、听诊器、体温计、手术剪刀、镊子、护颈、旋压止血带、夹板、三角巾）等。</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87E2A8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737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FD4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741D0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2CF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A40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救援侦检四足机器人</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138FD3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一、主机参数</w:t>
            </w:r>
          </w:p>
          <w:p w14:paraId="12EFFD1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★1.重量≤ 15 kg；</w:t>
            </w:r>
          </w:p>
          <w:p w14:paraId="39A4B31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★2.速度＞ 3.7 m/s；最大 5 m/s</w:t>
            </w:r>
          </w:p>
          <w:p w14:paraId="388A76B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3.最大负载：≤15 kg；</w:t>
            </w:r>
          </w:p>
          <w:p w14:paraId="69197D1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4.持续行走负载：≥8 kg；</w:t>
            </w:r>
          </w:p>
          <w:p w14:paraId="5E468AC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★5.最大爬坡角度：≥40 °；</w:t>
            </w:r>
          </w:p>
          <w:p w14:paraId="0CF07C9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★6.最大越障高度：≥16 cm；</w:t>
            </w:r>
          </w:p>
          <w:p w14:paraId="5F2EC60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7.电源：28V ，15000mah</w:t>
            </w:r>
          </w:p>
          <w:p w14:paraId="3F6C958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8.工作时间：≥4小时</w:t>
            </w:r>
          </w:p>
          <w:p w14:paraId="7C21DD0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9.防护等级：IP65；</w:t>
            </w:r>
          </w:p>
          <w:p w14:paraId="71C898B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10.站立尺寸≤ 70×31×40cm （长*宽*高）；</w:t>
            </w:r>
          </w:p>
          <w:p w14:paraId="5C5A975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11.工作温度：-10℃ — 50℃；</w:t>
            </w:r>
          </w:p>
          <w:p w14:paraId="1AA7387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二、激光雷达系统</w:t>
            </w:r>
          </w:p>
          <w:p w14:paraId="5BD46CB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r>
              <w:rPr>
                <w:rFonts w:hint="eastAsia" w:ascii="仿宋" w:hAnsi="仿宋" w:eastAsia="仿宋" w:cs="仿宋"/>
                <w:i w:val="0"/>
                <w:iCs w:val="0"/>
                <w:color w:val="auto"/>
                <w:sz w:val="21"/>
                <w:szCs w:val="21"/>
                <w:u w:val="none"/>
              </w:rPr>
              <w:t>1.测量系统 超高速4D激光增强技术</w:t>
            </w:r>
          </w:p>
          <w:p w14:paraId="49CE43F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2.激光波长 ≥830nm</w:t>
            </w:r>
          </w:p>
          <w:p w14:paraId="2E95E1F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r>
              <w:rPr>
                <w:rFonts w:hint="eastAsia" w:ascii="仿宋" w:hAnsi="仿宋" w:eastAsia="仿宋" w:cs="仿宋"/>
                <w:i w:val="0"/>
                <w:iCs w:val="0"/>
                <w:color w:val="auto"/>
                <w:sz w:val="21"/>
                <w:szCs w:val="21"/>
                <w:u w:val="none"/>
              </w:rPr>
              <w:t>3.扫描范围 ：0.5-20米（90%的反射率）</w:t>
            </w:r>
          </w:p>
          <w:p w14:paraId="6B3E2B7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4.视场角 ：360°x90超广角扫描</w:t>
            </w:r>
          </w:p>
          <w:p w14:paraId="4E25C27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5.采样频率：≥43000点/秒</w:t>
            </w:r>
          </w:p>
          <w:p w14:paraId="7C72C56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6.最小盲区：≤0.05m</w:t>
            </w:r>
          </w:p>
          <w:p w14:paraId="18B571B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7.有效速率：≥21000点/秒</w:t>
            </w:r>
          </w:p>
          <w:p w14:paraId="3104D24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8.抗强光能力：≥100Klux</w:t>
            </w:r>
          </w:p>
          <w:p w14:paraId="362EF90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9.防护等级：IP65</w:t>
            </w:r>
          </w:p>
          <w:p w14:paraId="2208190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三、3D建模系统</w:t>
            </w:r>
          </w:p>
          <w:p w14:paraId="236C6A9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1.激光线数：40线</w:t>
            </w:r>
          </w:p>
          <w:p w14:paraId="73B2DE6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2.激光等级：Class1/905nm</w:t>
            </w:r>
          </w:p>
          <w:p w14:paraId="13EE2DF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3.相对精度：≤1.2cm</w:t>
            </w:r>
          </w:p>
          <w:p w14:paraId="611E593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4.绝对精度：≤3cm</w:t>
            </w:r>
          </w:p>
          <w:p w14:paraId="3DDFBA0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5.重复精度：≤2cm</w:t>
            </w:r>
          </w:p>
          <w:p w14:paraId="242D55E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6.水平度精度：≤0.015°</w:t>
            </w:r>
          </w:p>
          <w:p w14:paraId="0028280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7.扫描距离：0.1m~40m@10%，70m@80%</w:t>
            </w:r>
          </w:p>
          <w:p w14:paraId="77FE553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8.视角范围：360°*-7~+52°</w:t>
            </w:r>
          </w:p>
          <w:p w14:paraId="17446E2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9.扫描方式：移动式</w:t>
            </w:r>
          </w:p>
          <w:p w14:paraId="28979E0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10.点云频率：20万点/s</w:t>
            </w:r>
          </w:p>
          <w:p w14:paraId="22EB988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11.断点续扫：支持</w:t>
            </w:r>
          </w:p>
          <w:p w14:paraId="08C848D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12.相机数量：≥4个</w:t>
            </w:r>
          </w:p>
          <w:p w14:paraId="764E197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13.电源：14.4V</w:t>
            </w:r>
          </w:p>
          <w:p w14:paraId="61460D3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14.功率：≤20W</w:t>
            </w:r>
          </w:p>
          <w:p w14:paraId="177C5AE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15.电池容量：≥1900mAh</w:t>
            </w:r>
          </w:p>
          <w:p w14:paraId="46F3C36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16.工作时长：≥2小时</w:t>
            </w:r>
          </w:p>
          <w:p w14:paraId="2CCEB99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17.防护等级：IP54</w:t>
            </w:r>
          </w:p>
          <w:p w14:paraId="5149049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四：视频智能感知系统：</w:t>
            </w:r>
          </w:p>
          <w:p w14:paraId="185BCFF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r>
              <w:rPr>
                <w:rFonts w:hint="eastAsia" w:ascii="仿宋" w:hAnsi="仿宋" w:eastAsia="仿宋" w:cs="仿宋"/>
                <w:i w:val="0"/>
                <w:iCs w:val="0"/>
                <w:color w:val="auto"/>
                <w:sz w:val="21"/>
                <w:szCs w:val="21"/>
                <w:u w:val="none"/>
              </w:rPr>
              <w:t>1.摄像机：视频系统由机头摄像机和机身摄像机及红外热成像三部分组成，实现观察前视距方向观察，可实现对前方探测，</w:t>
            </w:r>
          </w:p>
          <w:p w14:paraId="3628D76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2.机头摄像机：全航视角≥120°，≥720P分辨率。</w:t>
            </w:r>
          </w:p>
          <w:p w14:paraId="70FB873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3.机身摄像机：全航视角≥190°，≥1080P分辨率。</w:t>
            </w:r>
          </w:p>
          <w:p w14:paraId="71E8EFC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★4.红外热成像：分辨率≥640x512 ，镜头焦距： 12mm </w:t>
            </w:r>
          </w:p>
          <w:p w14:paraId="12463A6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★5.测温范围：-20℃~150℃,0℃～+500℃</w:t>
            </w:r>
          </w:p>
          <w:p w14:paraId="176EFE8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6.主码流帧率分辨率 1920x1080</w:t>
            </w:r>
          </w:p>
          <w:p w14:paraId="05A015C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7.预览流帧率分辨率 1280x720</w:t>
            </w:r>
          </w:p>
          <w:p w14:paraId="3E3B473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8.支持协议 rtmp/rtsp/http IPV4/IPV6 TCP/UDP DHCP</w:t>
            </w:r>
          </w:p>
          <w:p w14:paraId="7F3CCFB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9.远程照明：采用12V LED灯，2000流明超高亮度。</w:t>
            </w:r>
          </w:p>
          <w:p w14:paraId="0FE7403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p>
          <w:p w14:paraId="6D1179E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r>
              <w:rPr>
                <w:rFonts w:hint="eastAsia" w:ascii="仿宋" w:hAnsi="仿宋" w:eastAsia="仿宋" w:cs="仿宋"/>
                <w:i w:val="0"/>
                <w:iCs w:val="0"/>
                <w:color w:val="auto"/>
                <w:sz w:val="21"/>
                <w:szCs w:val="21"/>
                <w:u w:val="none"/>
              </w:rPr>
              <w:t>五：气体监测系统：</w:t>
            </w:r>
          </w:p>
          <w:p w14:paraId="7E49DFE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1.气体与环境感知探测模块：装载无线应急救援快速部署检测系统和温湿度检测。检测数据量程如下</w:t>
            </w:r>
          </w:p>
          <w:p w14:paraId="72B4E4C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CO2:          0-5%VOL</w:t>
            </w:r>
          </w:p>
          <w:p w14:paraId="58079A7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CH4:          0-100%VOL</w:t>
            </w:r>
          </w:p>
          <w:p w14:paraId="1DFAEDE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CO:           0-1000ppm</w:t>
            </w:r>
          </w:p>
          <w:p w14:paraId="480DBAB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H2S：         0-100ppm</w:t>
            </w:r>
          </w:p>
          <w:p w14:paraId="6D0BA72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CL2：         0-1000ppm</w:t>
            </w:r>
          </w:p>
          <w:p w14:paraId="7E95B23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NH3：         0-100ppm</w:t>
            </w:r>
          </w:p>
          <w:p w14:paraId="289752E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O2：          0-30% O2</w:t>
            </w:r>
          </w:p>
          <w:p w14:paraId="122F974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H2：          0-1000ppm</w:t>
            </w:r>
          </w:p>
          <w:p w14:paraId="33F337D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温度范围：    -25°C 至 60°C</w:t>
            </w:r>
          </w:p>
          <w:p w14:paraId="4F60DAB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湿度范围：    0% RH 至 90% RH</w:t>
            </w:r>
          </w:p>
          <w:p w14:paraId="0914037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六：双向语音对讲通讯系统：</w:t>
            </w:r>
          </w:p>
          <w:p w14:paraId="2410FD0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1.供电电压：12V-24V</w:t>
            </w:r>
          </w:p>
          <w:p w14:paraId="126C42E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★2.声音采集：拾音距离1米，频率范围20Hz～20kHz，灵敏度≥40dB</w:t>
            </w:r>
          </w:p>
          <w:p w14:paraId="309B017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★3.声音输出：扬声器≥30W，最大分贝≥130dB</w:t>
            </w:r>
          </w:p>
          <w:p w14:paraId="2C33C0B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4.喊话距离：≥800m</w:t>
            </w:r>
          </w:p>
          <w:p w14:paraId="1B4E202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5.压缩标准：G.711、G.713、GSM、PCM</w:t>
            </w:r>
          </w:p>
          <w:p w14:paraId="52A606A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6.压缩码率：64KBPS/8KBPS</w:t>
            </w:r>
          </w:p>
          <w:p w14:paraId="79EAC0E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7.音质：专业回声消除和噪音抑制</w:t>
            </w:r>
          </w:p>
          <w:p w14:paraId="69E2DE7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8.通信方式：遥控器链路(网口或串口)</w:t>
            </w:r>
          </w:p>
          <w:p w14:paraId="7CC6139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9.喊话方式：APP实时喊话，音频文件播放，TTS文字转语音(支循环播放)，一键警报，男女声切换</w:t>
            </w:r>
          </w:p>
          <w:p w14:paraId="455881E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10.音频文件格式：MP3 WAVFIac AAC M4a</w:t>
            </w:r>
          </w:p>
          <w:p w14:paraId="73B4C7D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11.防护特性：户外防水IP65</w:t>
            </w:r>
          </w:p>
          <w:p w14:paraId="37E6724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七： 远程照明系统：</w:t>
            </w:r>
          </w:p>
          <w:p w14:paraId="0DCBF5B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1.供电电压：12V-24V</w:t>
            </w:r>
          </w:p>
          <w:p w14:paraId="20CA6C5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2.最大功率：≥30W</w:t>
            </w:r>
          </w:p>
          <w:p w14:paraId="4E0F391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3.探照距离：≥100m</w:t>
            </w:r>
          </w:p>
          <w:p w14:paraId="59C2FBB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4.灯出光角：≥15°</w:t>
            </w:r>
          </w:p>
          <w:p w14:paraId="134FC6D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5.照明方式：照明爆闪，照明常亮，照明亮度调节，红蓝爆闪，红蓝爆闪，</w:t>
            </w:r>
          </w:p>
          <w:p w14:paraId="486C883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6.防护特性：户外防水IP65</w:t>
            </w:r>
          </w:p>
          <w:p w14:paraId="5F5CEE1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八：互联网平台管理系统：</w:t>
            </w:r>
          </w:p>
          <w:p w14:paraId="0F2DCEF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★1.设备可连入装备云管理平台远程监测：装备云管理平台可远程监测装备信息、气体及视频信息、统计分析，自动进行装备有效期校验，自动提醒过期设备信息统计，为保障装备的时效性进行综合管理应用。</w:t>
            </w:r>
          </w:p>
          <w:p w14:paraId="48EEAB5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设备可连入装备云管理平台可视化：具备设备可视化大屏展示，及图形分析功能、数据波动图展示、数据滚动展示、综合展示区功能、设备利率统计，可实时分析数据走向趋势及辅助决策，可显示多图形展示，可完成多种产品共性展示，满足特殊需求使用。</w:t>
            </w:r>
          </w:p>
          <w:p w14:paraId="25F99A4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★3.设备可连接装备云管理平台PC端、APP端展示，实时自动同步数据。</w:t>
            </w:r>
          </w:p>
          <w:p w14:paraId="3509F2D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设备可连入装备云管理平台：通过智能手机、平板或其它终端能够查询装备的名称、日期、联系人、型号、参数、类别、单位、图片等基本信息。及使用数量、领用数量、借用数量、维修数量、报废数量等各类数据的统计，实时对装备进行在线统计与分析。</w:t>
            </w:r>
          </w:p>
          <w:p w14:paraId="4E7D71F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★5.终端通过装备云管理平台可查询不同层级的单位使用装备的情况，可进行多级跨区、跨域、跨省进行部署搭建，实时进行装备的动态调度及监测使用。</w:t>
            </w:r>
          </w:p>
          <w:p w14:paraId="04E1F2D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★6.装备云管理平台支持设备固件远程一键升级。</w:t>
            </w:r>
          </w:p>
          <w:p w14:paraId="17A3737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九： 监控终端配置参数</w:t>
            </w:r>
          </w:p>
          <w:p w14:paraId="7805A95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1.外形尺寸：≤380mm*260mm*160mm </w:t>
            </w:r>
          </w:p>
          <w:p w14:paraId="21492BF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2.整机重量：≤7kg</w:t>
            </w:r>
          </w:p>
          <w:p w14:paraId="60EE3C9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★3.显示屏：≤10英寸高亮度液晶屏，1路可见光视频信号+1热成像</w:t>
            </w:r>
          </w:p>
          <w:p w14:paraId="56578AD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4.控制系统平台：window10操作系统</w:t>
            </w:r>
          </w:p>
          <w:p w14:paraId="182FAAA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★5.工作时间：≥3h（连续工作状态）</w:t>
            </w:r>
          </w:p>
          <w:p w14:paraId="028ADF0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r>
              <w:rPr>
                <w:rFonts w:hint="eastAsia" w:ascii="仿宋" w:hAnsi="仿宋" w:eastAsia="仿宋" w:cs="仿宋"/>
                <w:i w:val="0"/>
                <w:iCs w:val="0"/>
                <w:color w:val="auto"/>
                <w:sz w:val="21"/>
                <w:szCs w:val="21"/>
                <w:u w:val="none"/>
              </w:rPr>
              <w:t>6.视频录放功能：可随时录制视频，录制视频内容自动保存，可直接在遥控终端打开视频播放，亦可将视频拷贝至其他设备</w:t>
            </w:r>
          </w:p>
          <w:p w14:paraId="02C2877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7.照明灯控制功能：有，按扭开关</w:t>
            </w:r>
          </w:p>
          <w:p w14:paraId="0631E3F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p>
          <w:p w14:paraId="76234A4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十、产品配置</w:t>
            </w:r>
          </w:p>
          <w:p w14:paraId="3C72E0B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1.四足机器人 1套</w:t>
            </w:r>
          </w:p>
          <w:p w14:paraId="5521781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2.监控终端 1个</w:t>
            </w:r>
          </w:p>
          <w:p w14:paraId="31C7A24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3.充电器1套</w:t>
            </w:r>
          </w:p>
          <w:p w14:paraId="3244C5B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4.3D建模系统1套</w:t>
            </w:r>
          </w:p>
          <w:p w14:paraId="770A0F3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5.激光雷达系统1套</w:t>
            </w:r>
          </w:p>
          <w:p w14:paraId="3512FE1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6.视频智能感知系统1套</w:t>
            </w:r>
          </w:p>
          <w:p w14:paraId="37012A1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7.气体探测系统1套</w:t>
            </w:r>
          </w:p>
          <w:p w14:paraId="4750546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8.双向语音对讲通讯系统1套</w:t>
            </w:r>
          </w:p>
          <w:p w14:paraId="6C4C7CD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9.远程照明系统1套</w:t>
            </w:r>
          </w:p>
          <w:p w14:paraId="60E3163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10.远程平台管理系统1套</w:t>
            </w:r>
          </w:p>
          <w:p w14:paraId="385E290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11.说明书1份</w:t>
            </w:r>
          </w:p>
          <w:p w14:paraId="375FB2E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12.外包箱1套</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9578D4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391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694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17DD8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B51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7FD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背负式锂电风力灭火机</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CC1B978">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风量≥730m³/h，风速≥50m/s；风力调节，随意控制风速；携带背负式电池包超大容量持久续航，内置智能保护板：过温保护、充放保护、短路保护、过压保护；全铜无刷电机，提供强劲动力长负载不烧机，电池36v12AH/48v12AH,功率3200W，使用时间≥1.5小时，可在小雨或粉尘环境下使用，具备抗摔设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0A6495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9AA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4A0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010BD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AD8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BCD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餐饮帐篷</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B5ED58B">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帐篷骨架六棱≥4.5cm，隔热≥34度，具有一键收撑按钮，可一人完成操作，帐篷篷布为牛津布，尺寸≥3米*3米，帐篷布料颜色为红色，并根据甲方要求印制标识。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6D3A91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915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E79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194DA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048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857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冬季灭火防护靴</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A949348">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一、总体要求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1、消防员在灭火救援中用来保护脚和小腿使之免受水浸、外力损伤和热辐射等因素伤害的靴子，装备应具备有国家检测报告，符合XF6-2004行业标准，具有装备编码，装备编码应能查询到厂家，性能，注意事项等。</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2、由靴帮和靴底构成，主体颜色为黑色和黄色，主要材质为耐高温阻燃耐酸碱橡胶。</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3、主体颜色为黑色和黄色，黑色潘通色号为PANTONE Black 6C，黄色潘通色号为PANTONE 7408C，靴跟银色反光标识潘通色号为PANTONE Cool Gray 8C。色差≥3级。</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4、款式标识符合消防救援局统型要求；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二、款式</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整体结构。靴帮由外到里分为帮面、防切割层和隔热舒适层三层结构。靴底由上到下分为隔热舒适层、防穿刺层和靴大底三层结构。靴头部位设有保护包头。棉靴加装阻燃性、保温性能优异的保暖棉，保暖性效果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消防胶靴从靴内跟底部至靴帮后部筒口最低处的高度为300mm(±5mm)；靴筒口采用倾斜式设计，由前往后向下倾斜，前后高差20mm(±2mm)；靴帮上设有胫骨、踝骨和跖骨保护层，靴后跟部设有反光标识，筒口和靴底各设围条。</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3、靴帮采用筒面和外头皮拼接结构，材质为耐高温阻燃耐酸碱橡胶。</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4、靴帮和靴底隔热舒适层（俗称靴内衬）采用棉布和氯丁橡胶发泡海绵复合面料。</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5、靴底防穿刺层采用非金属复合材料制成，足弓内侧设有非金属复合材料制成的防穿刺层。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6、靴大底采用耐高温、阻燃、耐酸碱、耐磨防滑橡胶，啮合止滑纹路设计，提高防滑性能。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7、鞋垫采用减震缓冲、排汗、防臭，抗菌鞋垫。</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8、保护包头采用轻质铝合金或非金属复合材料。</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9、反光标识。靴后跟设有在耐高温、阻燃、耐酸碱橡胶块上，复合的银色三角形阻燃反光标志带。</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10、每双靴子筒口采用包边工艺，以防止筒口复合层发生脱落现象。</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11、每双靴子配备不少于一双备用鞋垫。</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三</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、灭火防护靴的性能参数要求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三、性能要求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外观：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靴面无起皱、砂眼、杂质、气泡、疙瘩硬粒、粘伤痕迹、亮油擦伤等有损外观的缺陷。</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靴面与夹里布，内底布以及防砸内包头衬垫均应平整，无脱壳现象。</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无脱齿弹边、脱空、开胶、喷霜、过硫和欠硫现象。</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耐酸碱性能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：在酸碱溶液中浸泡70小时±2小时后，物理机械性能无显著变化。</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防砸性能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：靴头经10.78kN静压力试验和冲击锤质量为23kg、落下高度为300mm的冲击试验后，间隙高度均≥15mm。</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抗刺穿性能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：靴底的抗刺穿力≥1100N。</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抗切割性能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：经总质量为800g的刀头切割后不被割穿。</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隔热性能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：加热30分钟后靴底内表面的温升≤22℃。</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抗热辐射渗透性能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：经10kW/m²辐射热通量辐照1分钟，靴面内表面温升≤22℃。</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防寒性能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：在-17±2℃下，30分钟后靴内表面温度下降&lt;10℃。</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防滑性能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：通过甘油覆盖不锈钢板测试和十二烷基硫酸钠覆盖陶瓷砖测试，达到SRC等级的最高防滑标准。</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抗静电性能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：满足EN ISO20345:2011要求，在干燥和潮湿环境下，电阻应&gt;100kΩ且≤1000MΩ。</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抗辐射热渗透性能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：保持热通量为20kW/m²照射40秒，靴面内表面温升≤24℃。</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安全靴抗冲击性能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：200J能量。</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安全靴抗压性能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：15KN静压力。</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鞋底防刺穿性能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：刺穿鞋底的力&gt;1100N。</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外底撕裂强度</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：≥8.0 KN/m。</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靴面材质水蒸气渗透率</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：≥0.8 mg/cm²²h。</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靴面材质水蒸气渗透系数</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：≥15 mg/cm²。</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内层材料水蒸气渗透率</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：≥2.0mg/cm²²h。</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内层材料水蒸气渗透系数</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：≥20 mg/cm²。</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击穿电压≥5000V。</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泄露电流≤1.5mA。</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8C2731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66A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6D1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05AC4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1F9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BE2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夏季抢险救援服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528AF58">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产品符合XF633-2006《消防员抢险救援防护服装》、XF10-2014《消防员灭火防护服》、GB/T 4802.1-2008《纺织品 织物起毛起球性能的测定第1部分：圆轨迹法》及FZ/T 01034-2008《纺织品 机织物拉伸弹性试验方法》的规定。</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橘红色，潘通色号为 PANTONE 17-1456 TCX Tigerlily，深火焰蓝色，潘通色号为 PANTONE 19-3938 TCX，色差≥3 级（按 《纺织品色牢度试验 评定变色用灰色样卡》GB/T250-2008 标准评判）。20式统型款</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二、款式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夏款主体结构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1、夏季服装为衬衫式上衣配长裤设计，上衣和裤子的重叠 部分≥120mm，上衣采用收腰设计，衬衫式圆弧形下摆， 前下摆应能够束入裤腰，且弯腰时后下摆不得滑出裤腰，前后衣 长差量30-50mm。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2、衣领：立领，衣领竖起时，能够覆盖颈部，衣门襟使用 拉链闭合。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3、反光标志带：前胸设V字形50.8mm（2英寸）宽反光标志 带，后背设水平50.8mm（2英寸）宽反光标志带，袖口和脚口设 环绕50.8mm（2英寸）宽反光标志带。（二）夏款附属结构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4、肩背部拼接：上衣肩背部设计拼接，面料为深火焰蓝色。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5、口袋：上衣胸前设置贴袋，双线固定口袋布，袋盖为深 火焰蓝色:大腿两侧设置立体贴袋。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6、标识魔术贴:左上臂外侧设 90mm×110mm 盾牌型魔术 贴并配盾牌型标识。盾牌型魔术贴上方设长57mm,斜边宽33mm平行四边形魔术贴，并配平行四边形衔标识。背部根据甲方要求印制标识。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7、左胸魔术贴:胸电台立体口袋上方设长69mm、上宽52mm、下宽50mm盾牌魔术贴，并配盾牌型胸徽标识。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8、右胸魔术贴:右胸胸部反光带上方设66mm、宽18mm长方形魔术贴，并配长方形姓名牌标识；长方形魔术贴上方设长66mm、宽31mm翼型魔术贴，并配翼型胸标标识。                                                                                                                                                   9、袖口及腋下:袖口方便穿戴救援手套，腋下有透气设计。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10、裤腰及门襟:裤腰设置防滑腰衬，裤腰两侧装橡筋收紧。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11、裤脚口：裤脚口设粘扣带收紧，方便穿脱救援靴。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12、行军帽：为棒球帽款式，正前方设 19 消防软帽徽（帽徽 底色为橘红色），后部采用卡扣调节袢，头部围度 520-640 mm， 帽徽尺寸：长度×高度为 53.5mm×55mm。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13、腰带：为插扣式腰带，腰带规格：长度×宽度×厚度为 1300mm×50mm×2.8mm颜色与救援服一致，表面光滑无毛刺和锋利的边缘，五金件须经过防腐蚀处理，佩戴舒适。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14、补强处理：肩、肘、膝、臀、裆部加厚处理增加耐磨性。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15、左右肩部设有两个挂袢。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16、服装型号、印字、魔术贴形状在满足统型文件要求的基础上，按照使用单位需求加工制作（提供1:2配比的全部服饰标识）。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外层面料（含舒适层）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质量（kg）：1.114</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C52F51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056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58C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19665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CF1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01C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PBI消防阻燃头套</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2684737">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标准：通过XF 869-2010标准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结构：双层结构</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材料外层：PBI Gold，内层：50% 芳纶 / 50% 阻燃黏胶</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主要特点：</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防爆燃性，更加安全；</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立体剪裁，适合各种头型；</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舒适安全，透气性好。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2.热稳定性能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尺寸变化率 变色、熔融、滴落现象，欧标标准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外层面料=0.7%</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内层面料=1.8% 无 尺寸变化率≤10%，无熔融、熔滴、燃烧或破损现象。</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3.水洗尺寸变化率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外层面料</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直向：-4.5%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横向：-1%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标准：≤5%</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内层面料</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直向：-2%</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横向：1% </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FF2277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54E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981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46B8E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F19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CF1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水带挂钩</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2291BF3">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绳头一段为大挂钩另一端为快挂，绳长为50cm，宽2cm。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1、参照XF494-2023《消防用防坠落装备》。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2、破断强度：6958N（头部断奖）。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3、安全钩采用25KN锻造大挂钩镀铬工艺，安全带采用高强度聚 酯纤维编织工艺强度大耐腐蚀。</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1CD5EC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975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D5A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7CA4C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C71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472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车辆用灭火毯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9EAC9FC">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1，规格：6*8米；公差±0.3米 ，含有6根拉环</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2，重量：23kg±2KG；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3，克重：460±15g/m2；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4，厚度：0.4±10% ；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5，经向拉伸强度≥3500N/25MM；纬向拉伸强度≥2100N/25MM；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7，重复使用：不建议，具体视火情而定；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9，具有防水，防化学，防油，耐候等综合性能。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10，拼接处1000-1100度喷枪燃烧10分钟无断裂，无击穿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11，材料1000-1100度喷枪燃烧10分钟布料无击穿</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3C254B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BCB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FDD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600DD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834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C0A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电升·下降器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17016F1">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材质：铝合金，螺丝：不锈钢</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工作负荷：30~200kg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适用绳径：符合EN 1891或XF 494的A类夹芯绳索(严禁使用超高分子量聚乙烯和丙纶绳索)9.5~11mm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适用电钻扭矩：120~160N·m无冲击</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下降性能：0.5m/s (285 kg)~2.0m/s (30 kg)50m(285kg)~200m(30kg)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抗摔高度：1m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防水性能：IP66</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重量：≤2.5kg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执行标准：XF 494-2023</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电钻驱动的上升器，可以接驳手电钻提供提升动力，并具备手动下降器功能，用于高效提升、下降货物或人员。配备手提箱。</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E1B678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9BC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E39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1534B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6BB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985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凸轮抓绳器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A4A73F4">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可开启凸轮式抓绳器，人体工程设计，操作简单，设计用于提拉系统或防回跑系统。可开启、定向的凸轮，可以轻松地在绳索的任意位置安装或取下开关闸上有未关闭指示;大连接孔，方便锁扣旋转;</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集成凸轮弹簧，避免意外卡结，增加耐用性;重量260g，绳索兼容9-13mm;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认证1:XF 494-2023</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92FA57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16A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245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71A3D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6EC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080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65MM红色水带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F1FCB6E">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1、符合GB 6246-2011《消防水带》标准要求，产品要求为红色。</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2、水带在端部附近中心线两侧用不易脱落的油墨，编织层：织物层编制均匀，表面整洁，无跳双经、断双经、跳纬及划伤。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3、每盘20米，含内扣式接口，内扣式，口径65mm；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4、每盘长度为：≥20m。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★5、单位长度质量≤330g/m；延伸率（%）≤0.7；膨胀率（%）≤2.8；附着强度（N/25m)≥69；厚度规格≥0.3mm；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★6、工作压力（含连接设备）≥2.0MPa，爆破压力≥10.0MPa。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7、采用聚氨酯材料，接口表面无结疤、裂痕、砂眼；铝合金材质，长度结合需求更改</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8、接口要求：内扣式接口，接口表面进行阳极氧化处理，加工表面平整，光洁度高，无损伤，无结疤、裂痕，配专用护套； 将水带与接口绑扎。将水带与接口绑扎。且每个凹槽采用不少于7圈（360度）的高强度镀锌铁丝（≥16号）捆扎,(锻造铝镁合金接口);</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9、每根水带应卷紧成圆盘形，外用耐磨、防潮物封装。</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10、提供国家消防装备质量监督检验中心或其他具有相应资质的第三方检测机构出具的检验报告</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1CC128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ABB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182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每盘20米，含接口</w:t>
            </w:r>
          </w:p>
        </w:tc>
      </w:tr>
      <w:tr w14:paraId="2EBDB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0FE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22A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33274B8">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1、符合GB 6246-2011《消防水带》标准要求，产品要求为蓝色</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2、编织层：织物层编制均匀，表面整洁，无 跳双经、断双经、跳纬及划伤。</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3、内径：51.0~53.0mm。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4、每盘长度为：≥20m。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5、单位长度质量：≤220g/m。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6、工作压力（含连接设备）≥2.0MPa，爆破压力≥6.2MPa。</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★7、延伸率≤1.6%，膨胀率≤4.7%。</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8、扯断伸长率≥438%，扯断强度≥45Mpa。</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9、附着强度 ≥36N/25mm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★10、热空气老化：附着强度 ≥94%，爆破压力≥101%。</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11、接口要求：内扣式接口，接口表面进行阳极氧化处理，加工表面平整，光洁度高，无损伤，无结疤、裂痕，配专用护套； 将水带与接口绑扎。将水带与接口绑扎。且每个凹槽采用不少于7圈（360度）的高强度镀锌铁丝（≥16号）捆扎,(锻造铝镁合金接口);</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12、每根水带应卷紧成圆盘形，外用耐磨、防潮物封装。</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12、每根水带应卷紧成圆盘形，外用耐磨、防潮物封装。</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13、供应商须提供该产品的第三方检测机构出具的检验报告。</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FE1224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2B5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850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每盘20米，含接口</w:t>
            </w:r>
          </w:p>
        </w:tc>
      </w:tr>
      <w:tr w14:paraId="1007C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2642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EE6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65-50转换接口</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6884631">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1.产品符合GB12514.1-2005、GB12514.2-2006、GB12514.4-2006《中华人民共和国国家标准》；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2.本体材质：铝镁合金A6061</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3.表面防腐处理工艺：金色阳极氧化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4.制造工艺：锻造工艺</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5.公称压力2.5MPa/测试压力4.0MPa  适用介质：水以及泡沫混合液。</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98B432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9D4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87D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6D6C2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169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414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50型多功能水枪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4BFBA2E">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50型直流喷雾水枪</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执行标准:GB8181-2005《消防水枪》</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接口：采用锻造工艺，铝镁合金A6061材质，黑色阳极氧化防腐处理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枪体：精密锻造铝镁合金A6061，原装进口五轴加工中心一体成型</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手柄：PL人体工程学防滑抗阻燃尼龙握柄，内嵌高强度不锈钢片，可耐冲击</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阀球：A6061铝镁合金数控精密加工成型，表面阳极氧化防腐处理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阀芯：锻造高纯度黄铜</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密封件：高性能耐油、抗老化特氟龙垫圈</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紧固件：SUS304不锈钢材质或锻造黄铜</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保护套：高品质阻燃橡胶，耐极限高低温</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喷雾轮：精密不锈钢，镜面抛光，耐腐蚀</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性能参数：</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1、额定喷射压力:0.60MPa;最大压力1.6MPa</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2、档位:2.5/5/6.5/8/FLUSH五档</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3、射程:≥30m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4、喷雾角调节范围:0~110°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5、重量:≤1.3kg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6、枪体长度：≤150mm（不含接口）</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7、额定流量：4L/s</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8、操作力矩:7.7N.m</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60EE60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826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2EC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030BD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FE67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D72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50型直流水枪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13A1E4F">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50型直流开关水枪</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参数（A型锻造整流款）门字型把手</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内扣式直流开关水枪</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符合GB 8181-2005《消防水枪》标准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参数：</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 接口：铝镁合金锻造工艺，表面金色阳极氧化防腐处理。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阀体：铝镁合金锻造工艺，表面蓝色阳极氧化防腐处理。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球体：铝镁合金挤压工艺，表面黑色阳极氧化防腐处理。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把手：采用黄色高强尼龙，门字型省力把手。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枪管：铝镁合金挤压工艺，一体整流式稳流枪管，表面金色阳极氧化防腐处理。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喷嘴：铝镁合金锻压工艺，出水口口径≥19mm，表面金色阳极氧化防腐处理。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 配置50内扣接口，通水孔径≥50.5mm；阀门采用减压式T型通孔球阀，阀体通水孔径</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45mm；门式手柄结构；枪管壁厚≤3.5mm；总长度≤475mm；总重量≤1.35kg；耐压强度≥6.0MPa；流量7.5L/s，射程≥28.8m，喷射压力0.35MPa，操作力矩≤7.2N.m；密封元件采用耐腐蚀、耐高温特性的高密封结构，可在+250℃至-180℃的温度下保证密封性，中性盐雾试验≥300小时。</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7935D6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4F0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F1C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18C37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F9E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0DB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65型直流水枪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B9F4878">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65型直流开关水枪参数（A型锻造整流款）门字型把手</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卡式直流开关水枪</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符合GB 8181-2005《消防水枪》标准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参数：</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 接口：铝镁合金锻造工艺，表面金色阳极氧化防腐处理。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阀体：铝镁合金锻造工艺，表面蓝色阳极氧化防腐处理。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球体：铝镁合金挤压工艺，表面黑色阳极氧化防腐处理。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把手：采用黄色高强尼龙，门字型省力把手。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枪管：铝镁合金挤压工艺，一体整流式稳流枪管，表面金色阳极氧化防腐处理。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喷嘴：铝镁合金锻压工艺，出水口口径≥19mm，表面金色阳极氧化防腐处理。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 配置65内扣接口，通水孔径≥60.5mm；阀门采用减压式T型通孔球阀，阀体通水孔径≥45mm；门式手柄结构；枪管壁厚≤3.5mm；总长度≤475mm；总重量≤1.35kg；耐压强度</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≥6.0MPa；流量7.5L/s，射程≥28.8m，喷射压力0.35MPa，操作力矩≤7.2N.m；密封元件采用耐腐蚀、耐高温特性的高密封结构，可在+250℃至-180℃的温度下保证密封性，中性盐雾试验≥300小时。</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84FAE9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9C6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DA5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00CE5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884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0B1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山岳救援包</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1F17EE9">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材质：聚氯乙烯（PVC）夹网布、织物</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容量：≥50L</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重量：≤2900g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执行标准：QB/T 1333-2018</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个人装备包具有耐磨特性，大容量，可桶装和平铺展开使用，可将装备进行模块化收纳和整理。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·使用聚氯乙烯（PVC）夹网布制作，耐磨且不具吸水性，面料通过环保要求，适合野外与城市环境的作业需求。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·内置拉链分装袋，通铺隔断式网袋，主锁挂点，7×5弹力绳格，3条绳索固定扣带。</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·低吸水并带有符合人体力工学的背负系统和加厚腰带、肩带，保证舒适性，适合长距离承重背负，腰带上有2个拉链仓。</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·肩带处有1个直向提手，侧面有1个横向提手，保证携带便利性。</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·包面设有ID卡位和实用挂点。YKK 拉链</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·1个透明口袋可装入识别标签</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·舒适可调节的背部和肩带</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·两个侧把手（最少受力200公斤)·两个中心手柄（最少受力200公斤)·一个后把手（最少受力200公斤)</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·1条起重绞车带（最少受力300公斤)</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随器材配备防水罩，并根据甲方要求印制标识。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110820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FC7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9C7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6CAFD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2EF7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204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弯头多功能水枪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2CE633B">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1：多种喷射方式是通过旋转橡胶保护套来进行直流水柱，开花水流，喷雾水流及枪膛高压冲洗多种喷雾方式；</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2：直流水柱充实不发散，喷雾模式水雾细腻，呈伞装有效的吸收热量和吸附烟尘能给消防员自身进行喷雾降低热辐射量，并带来新鲜空气从而保护消防员安全；</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3：获得4个挡位流量调节功能，是用过旋转调节圈来实现，可以根据不同流量满足不同火场变化的扑救；</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4：在额定工作压力为6公斤是可获取2.5-5-6.5-8升/秒的流量变化；</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5：采用快速球阀开关，开启顺滑；</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6：360度防水带扭结，便于矫正水带姿势，防止阻断水流。</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7：额定工作压力为6公斤，最大工作压力16公斤；</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8：水枪喷雾角度大于等于120度；</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9：6公斤使用情况下，有效射程为33米；</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10：在使用弯头功能时可以实现反向放置水枪，使水枪平放在地面：</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11：在反向防止地面时可以实现10度倾斜和30度之间切换高度，在切换角度时并能提供最大8升/秒的流量变化；</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12：在弯头位置设计有360度防水带牛街装置，矫正水带姿势，同时稳定反向防止的功能得到最大发挥；</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13：其他要求：水枪带采用锻造工艺，铝镁合金A6061材质，黑色阳极氧化防腐处理的内扣式接口;</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E15FB4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39B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2C2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1B312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240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F62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空气呼吸器气瓶快速接口</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A6FFE42">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空气呼吸器快速充气装置为可旋转结构，包括快速充气装置公接头和气瓶阀母接头联接装置，高压软管通过气瓶阀联接装置与空气呼吸器本体的气瓶连通，快速充气装置公接头与气瓶阀母头联接装置连通，接触面及气瓶阀联接装置的联接部均设置有密封圈，能够用于正压式空气呼吸器与气瓶快速链接，快速拆卸，快速跟换。</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2：能够适配于依格空气呼吸器。</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3：快速接口母口上具有旋转方向等指示性提示。</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A209B3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3AD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FA6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1AFCB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D0A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6FB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水成膜泡沫灭火剂</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96200E8">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一、产品功能性描述</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AFFF泡沫灭火剂是由碳氢表面活性剂、氟碳表面活性剂、发泡剂、溶剂、稳定剂、抗冻剂等与水配制而成。它能在各种低倍数泡沫灭火系统和移动泡沫灭火设备中使用，该灭火剂能迅速扑灭一般油类火灾的性能。能够与干粉灭火剂联用；能够采用液下喷射方法扑救油罐类火灾。与水按6：94比例进行混合产生泡沫。水成膜泡沫灭火剂能够适用于淡水或海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二、执行标准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执行标准：GB15308-2006《泡沫灭火剂》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三、主要参数及指标</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1、适用水质：淡水和海水，混合比例：6%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2、凝固点：-33℃</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3、抗冻结、融化性：无可见分参和非均相。</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4、比流动性：在-29℃时泡沫液流量大于标准参比液的流量。</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5、表面张力（mN/m）： 17.2；界面张力（mN/m）：2.0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6、发泡倍数：6.0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7、25%析水时间/min：3.8min</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8、抗烧时间: 淡水11min、海水:10min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9、符合GB15308-2006；质保期8年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四、适用范围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适用于油田、油库、炼油厂等石化企业以及船舶、码头油类产品仓库等各类火灾的扑救与防范。能够能够满足城市主战消防车进口压缩空气泡沫系统对B类泡沫各项指标参数的要求。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五、储存温度</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-28℃-45℃</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六、储存条件</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应存放在阴凉、干燥的库房内，防止暴晒</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七、产品储存期</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储存期8年。储存期计算方法：自货物运送至采购人处双方验收合格之日起计算。</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八、包装与外包装标识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所供泡沫灭火剂包装为1000L/吨筐。泡沫桶采用高密度聚乙烯树脂或玻璃纤维增强聚酯树脂内衬酯涂层材料。所有包装用材料均为全新未使用过的产品，所供泡沫灭火剂标识均符合《低倍数泡沫灭火剂包装标识统型要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货物标识：所有成品泡沫液桶侧面，均粘贴有合格证，随附检验报告。</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1.标识大小：标识符合《低倍数泡沫灭火剂包装标识统型要求》，醒目易辨认。</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标识内容：可按照招标人要求的包装容器除按照国家标准要求标识相关信息外，在侧立面单独使用荧光加粗不易擦除、直观醒目的黑体字标示出泡沫灭火剂的名称、混合比例浓度、适用水质、最低使用温度、灭火对象、生产日期、保质期、生产厂家 等基本信息。</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3.标识位置：一般在包装容器侧立面中间位置。</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A612F1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E94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E4C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37EB3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9ED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450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安全员携行箱</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D519AD8">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用于安全员对灭火救援现场整体安全情况进行全方位观察、评估、预警。携行箱总重量≤32KG，材质为高强度塑料箱，耐压、耐磨、表面防水，箱体尺寸≤720*490*418mm，箱体固定部分设备：高音铝合金材质双气喇叭，音量≥120分贝。且具有远程遥控功能，遥控最大直线范围≥1000米、屏蔽距离≥300米，箱体配备紧急手动启动阀工作压力8MPa-12MPa、USB双输出进口1个、大容量锂电池1个，锂电池电量表1个、1.1升气瓶中压管（含带压力显示表瓶阀）1个、超高音气喇叭1套带警报、喊话、录音等功能。箱体底板万向轮设计便于现场各种方向的拖行。电池电压表1个：电源按钮6个，电磁阀1个；紧急气动阀1个，电子写字板≥30寸1套；多功能闪光警示棒1个、电池充电口1个；各类气管配件6套；无线遥控装置1套；箱体反光条、磁片8个；箱外爆闪警灯2个；手提喊话器1个；箱内夜间照明灯1套；激光笔（射程距离≥1000m）1个；高频口哨1个；多功能秒表1个；红蓝发令旗2个。箱体整体防水性能符合相关要求。</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F6D1D2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22D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F79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7D825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3DF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C45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挂钩梯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4D71219">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1、满足XF137-2007标准，提供国家级检测机构（第三方）的检测报告：</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2、全梯均为铝合金材质（包括梯脚）工作长度4.09m: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3、整梯质量8.5kg: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4、梯宽度252mm，梯蹬间距 340mm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5、水平弯曲残余变形比值：0.19%</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6、梯蹬弯曲残余变形比值：0.15%</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7、侧摇摆曲残余变形比值：0.15%。</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3E01CC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984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27C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17CDA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B15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018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救生衣示位灯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FB828BC">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用于：救生衣、保温救生服、消防专用救生衣、水域救援救生衣、需要检验认证。</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锂电池救生衣灯</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救生衣灯特点：</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1、外观新颖，结构简单，操作简便。</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2、触水自动点亮设计，触水铜柱镀金处理，穿着救生衣服的跳入水中后自动点亮衣灯，不需要预先打开救生衣灯。</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3、LED灯泡。产品存贮期≥5年。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4、上壳透明磨砂，可直视衣灯内部的简洁结构。</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5、外壳高频焊接，美观牢固不渗水。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二、主要参数</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1、电池型号：CR14250，开路电压：≥3V。</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2、衣灯工作电流：80mA。</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3、闪光频率：50~70次/min。</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4、发光强度：大于0.75cd，持续工作时间：大于8小时。</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5、上半球体所有方向的光强不少于0.75cd；</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6、具有能提供0.75cd光强,至少8h的能源；</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7、当系在救生衣上时,如实际可行,在上半球体的较大部分看到亮光；为白色光。</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8、以每1min不少于50闪也不多于70闪的速率闪光，其有效光强至少为0.75cd。</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9BB1F0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C7F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BE9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6D9F8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DF6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2C7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多功能挠钩</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2A6D32D">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常用的一种破拆类工具，有多种工具组合，使用方便、结构牢固、易于操作，同时针对消防车上配套配套破拆器材多而杂乱的特点，采用“挠杆通用”做到一杆多头，进而派生出多种破拆救援工具，真正实现了消防挠钩的多功能化。</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消防爪耙（160*188mm）：现场倒塌物、障碍物、有毒、有害物质的清理，以及灾后垃圾的清理。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木榔头：敲碎4米以下的着火建筑的窗户玻璃，进行排烟、透气，平头端可临时作无火花工具使用；挠钩：破拆吊顶、钩拉电线等；</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消防锯(286*62mm)：锯断、劈断一些一定高度的易坠落物、易坍塌物和构件。撑顶器：用于临时支撑易坍塌的危险场所的门框、窗户和其他构件，以确保灭火救援的消防队员安全地进出。</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消防剪：对灾害现场的电线、树枝、连接线、各类带子等进行剪切。攀高钩：攀爬、登高用。挠钩：破拆吊顶、钩拉电线等。</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消防斧（80*80mm）：可劈可撬，可以劈开门窗，以及一些木质障碍物，也可撬开地板、箱、柜、门、窗、天花板、护墙板、水泥墙板、栅栏、铁锁等。对于缝隙较小的情况，可以先劈开一条缝再撬。</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工兵铲：现场清理杂物；接杆：作为火灾、浓烟、洼池、水坑等场所灭火救援的探路工具。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配备铝合金包装箱。</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3E20F3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19D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5F0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672BD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8AF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505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高压气泵</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A6F6C6A">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电压 220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额定频率(Hz） 50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最大功率(W） 4500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空载转速（r/min） 2850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额定排气压力（Mpa） 0.7</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气罐容积(L) 90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公称容积流量（L/min） 300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净重(kg）63</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223075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4F2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7EA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36CA1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7C8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5B9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汽修维修躺板</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E985A1F">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产品长度：920mm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产品宽度：410mm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产品厚度：115mm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最大承重：2T</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重量：3.9kg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8BE8AB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FCF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C72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4F9B4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261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68B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风炮</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C44E95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风叶：95mm</w:t>
            </w:r>
          </w:p>
          <w:p w14:paraId="269F319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缸体：280mm</w:t>
            </w:r>
          </w:p>
          <w:p w14:paraId="2FCACD3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扭力：7200-16000n.m</w:t>
            </w:r>
          </w:p>
          <w:p w14:paraId="3AF97F0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螺栓：40-120mm</w:t>
            </w:r>
          </w:p>
          <w:p w14:paraId="55CFB34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调速：3档正反转</w:t>
            </w:r>
          </w:p>
          <w:p w14:paraId="4F5B90E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重量：≤17.5kg（单支)</w:t>
            </w:r>
          </w:p>
          <w:p w14:paraId="364B393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适用：大货车重卡高铁大机械等</w:t>
            </w:r>
          </w:p>
          <w:p w14:paraId="2EC91D6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转速：≥6000rpm</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1E5DC0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B02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CFD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29CB1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EF3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eastAsia="zh-CN"/>
              </w:rPr>
            </w:pPr>
            <w:r>
              <w:rPr>
                <w:rFonts w:hint="eastAsia" w:ascii="仿宋" w:hAnsi="仿宋" w:eastAsia="仿宋" w:cs="仿宋"/>
                <w:b/>
                <w:bCs/>
                <w:i w:val="0"/>
                <w:iCs w:val="0"/>
                <w:color w:val="auto"/>
                <w:sz w:val="21"/>
                <w:szCs w:val="21"/>
                <w:u w:val="none"/>
              </w:rPr>
              <w:t>应急指挥检测系统</w:t>
            </w:r>
            <w:r>
              <w:rPr>
                <w:rFonts w:hint="eastAsia" w:ascii="仿宋" w:hAnsi="仿宋" w:eastAsia="仿宋" w:cs="仿宋"/>
                <w:b/>
                <w:bCs/>
                <w:i w:val="0"/>
                <w:iCs w:val="0"/>
                <w:color w:val="auto"/>
                <w:sz w:val="21"/>
                <w:szCs w:val="21"/>
                <w:u w:val="none"/>
                <w:lang w:eastAsia="zh-CN"/>
              </w:rPr>
              <w:t>（</w:t>
            </w:r>
            <w:r>
              <w:rPr>
                <w:rFonts w:hint="eastAsia" w:ascii="仿宋" w:hAnsi="仿宋" w:eastAsia="仿宋" w:cs="仿宋"/>
                <w:b/>
                <w:bCs/>
                <w:i w:val="0"/>
                <w:iCs w:val="0"/>
                <w:color w:val="auto"/>
                <w:sz w:val="21"/>
                <w:szCs w:val="21"/>
                <w:u w:val="none"/>
                <w:lang w:val="en-US" w:eastAsia="zh-CN"/>
              </w:rPr>
              <w:t>含安装调试</w:t>
            </w:r>
            <w:r>
              <w:rPr>
                <w:rFonts w:hint="eastAsia" w:ascii="仿宋" w:hAnsi="仿宋" w:eastAsia="仿宋" w:cs="仿宋"/>
                <w:b/>
                <w:bCs/>
                <w:i w:val="0"/>
                <w:iCs w:val="0"/>
                <w:color w:val="auto"/>
                <w:sz w:val="21"/>
                <w:szCs w:val="21"/>
                <w:u w:val="none"/>
                <w:lang w:eastAsia="zh-CN"/>
              </w:rPr>
              <w:t>）</w:t>
            </w:r>
          </w:p>
        </w:tc>
      </w:tr>
      <w:tr w14:paraId="3C3B0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E8235">
            <w:pPr>
              <w:keepNext w:val="0"/>
              <w:keepLines w:val="0"/>
              <w:widowControl/>
              <w:suppressLineNumbers w:val="0"/>
              <w:jc w:val="center"/>
              <w:textAlignment w:val="center"/>
              <w:rPr>
                <w:rFonts w:hint="default"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C18E">
            <w:pPr>
              <w:keepNext w:val="0"/>
              <w:keepLines w:val="0"/>
              <w:widowControl/>
              <w:suppressLineNumbers w:val="0"/>
              <w:jc w:val="center"/>
              <w:textAlignment w:val="center"/>
              <w:rPr>
                <w:rFonts w:hint="default"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车辆道闸管理系统</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7F67F57">
            <w:pPr>
              <w:keepNext w:val="0"/>
              <w:keepLines w:val="0"/>
              <w:widowControl/>
              <w:suppressLineNumbers w:val="0"/>
              <w:jc w:val="both"/>
              <w:textAlignment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1、车辆出入营区记录：支持通过卡口摄像查看单个车辆的营区出入记录。</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2、车辆出入管理：支持通过卡口获取车辆出入营区的时间及抓拍图片，支持展示车辆的营区出入记录，包括车辆信息、出入营区时间、卡口抓拍图片。</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3、RFID识别异常记录：支持根据出入营区记录，结合卡口识别，分析RFID识别是否异常并记录。</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CB33BA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97A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D99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A0D9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D2C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83D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地磁感应终端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C46D1DE">
            <w:pPr>
              <w:keepNext w:val="0"/>
              <w:keepLines w:val="0"/>
              <w:widowControl/>
              <w:suppressLineNumbers w:val="0"/>
              <w:jc w:val="both"/>
              <w:textAlignment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1、支持接入地磁设备和RFID，对车辆出入车库和营区进行智能监测管理；</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2、支持对警情出动车辆进行监测，监测其出动用时是否违规，针对违规的车辆向支队进行告警；</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3、支持根据监测时间自动更新车辆状态及警情状态；</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4、支持进行警情车辆用时统计；</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5、支持进行车辆异常分析；</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6、支持进行消防站异常用时分析；</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7、支持进行车辆出入规则配置。</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F09846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C5B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568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30E53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B00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AC2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RFID一体机</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50E2907">
            <w:pPr>
              <w:keepNext w:val="0"/>
              <w:keepLines w:val="0"/>
              <w:widowControl/>
              <w:suppressLineNumbers w:val="0"/>
              <w:jc w:val="both"/>
              <w:textAlignment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1、支持接入第三方车辆监测平台获取车辆的行驶速度、位置、车载实时视频、指定时间的车载视频截图或指定时间的视频片段（车头和车内）；</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2、对于已接入车辆物联网的，支持根据告警规则实时生成车辆的违停告警信息；</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3、支持统计展示具体警情所对应车辆是否有违停；</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4、支持根据车辆车速、位置信息、配置的机构范围和停留时长实时判断车辆是否在所设置的区域内违规停留并进行统计，展示违规停留时车内外的视频图片信息。</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14F73F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D74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27A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38910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458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D7B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RFID发卡机</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E541617">
            <w:pPr>
              <w:keepNext w:val="0"/>
              <w:keepLines w:val="0"/>
              <w:widowControl/>
              <w:suppressLineNumbers w:val="0"/>
              <w:jc w:val="both"/>
              <w:textAlignment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1、安装位置：车库地面；</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2、设备要求：采用微波雷达和地磁双模检测技术，在消防站车库地面安装，对消防车驶入车库、驶离车库的时间进行监测记录；使用运营商网络，无需架设基站；单台设备工作≥ 5年。</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290E39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F89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06D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46BBE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C6E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515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RFID采集传输终端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50CF14F">
            <w:pPr>
              <w:keepNext w:val="0"/>
              <w:keepLines w:val="0"/>
              <w:widowControl/>
              <w:suppressLineNumbers w:val="0"/>
              <w:jc w:val="both"/>
              <w:textAlignment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1、安装位置：消防站营区门口</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2、参数要求：射频输出功率: 至30dBm 可调</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12dbi天线配置，典型读取距离5~18米（和标签性能有关）</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工作模式：自动方式、交互应答方式、触发方式等多种工作模式</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通讯接口：LAN、RS232、RS485、Wiegand26/34</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通信速率: 串口速率9600～115200bps，RJ45为10Mbps</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I/O接口：外部触发（TTL 电平）</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电源：配有220V交流输入，＋9V/3A直流输出的电源变换器</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功耗:平均功率&lt;15W</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环境标记：IEC IP54</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运行温度：-20 ºC to +60  ºC</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湿度：5% to 95%, 非凝结</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尺寸: 445*445*70mm</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重量：2KG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0480DB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3B6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F93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726C9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6D2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FDE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RFID抗金属标签</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E161B5E">
            <w:pPr>
              <w:keepNext w:val="0"/>
              <w:keepLines w:val="0"/>
              <w:widowControl/>
              <w:suppressLineNumbers w:val="0"/>
              <w:jc w:val="both"/>
              <w:textAlignment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1、安装位置：消防站值班室</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2、参数要求：工作频率：国标（920~925MHz）、美标(902~928MHz)或定制其它频段跳频或定频工作；</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读卡距离：识别距离调整范围：0~20cm*;；</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读卡灵敏度：双极化方式读卡；</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读卡时间：单标签64位ID号读取时间&lt;6mS；</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数据接口：Mini USB</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工作电压：USB接口取电</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工作温度：－20℃ ～ +60℃；</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存储温度：－40℃ ～ +85℃；</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2E86D08">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26E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342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3D01C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717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823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卡口摄像机</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A5B192B">
            <w:pPr>
              <w:keepNext w:val="0"/>
              <w:keepLines w:val="0"/>
              <w:widowControl/>
              <w:suppressLineNumbers w:val="0"/>
              <w:jc w:val="both"/>
              <w:textAlignment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默认通信参数：9600, N, 8, 1</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配置接口：RS232</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通信距离：≤15米</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默认通信参数：115200, N, 8, 1</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通信网络有线：以太网（10/100M） 支持ARP、DHCP、TCP、UDP等多种网络协议;</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10/100M通讯速率；</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 xml:space="preserve"> 无线：4G模块（全网通） 支持频段：</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天线接口：标准SMA阴头天线接口，特性阻抗50欧</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SIM卡卡座：支持1.8V/3V SIM卡</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处理器：32位高性能ARM ARM3位Cortex-M3 CPU 1.25DMips/MHz</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供电：DC9V-36V 宽电压供电，建议使用DC24V供电</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功耗：3W 不含外部对接的设备或传感器的功耗</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工作温度：-20℃～+60℃</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工作湿度：相对湿度 95% （无凝结）</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产品尺寸：105*88*28.5（mm）</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安装方式：壁挂式  安装孔距 34mm ;</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1、安装位置：消防站值班室</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2、参数要求：输入信号类型：RS485</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通信距离：≤1000米</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默认通信参数：9600, N, 8, 1</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配置接口：RS232</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通信距离：≤15米</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默认通信参数：115200, N, 8, 1</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通信网络有线：以太网（10/100M） 支持ARP、DHCP、TCP、UDP等多种网络协议;</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10/100M通讯速率；</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 xml:space="preserve"> 无线：4G模块（全网通） 支持频段：</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天线接口：标准SMA阴头天线接口，特性阻抗50欧</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SIM卡卡座：支持1.8V/3V SIM卡</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处理器：32位高性能ARM ARM3位Cortex-M3 CPU 1.25DMips/MHz</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供电：DC9V-36V 宽电压供电，建议使用DC24V供电</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功耗：3W 不含外部对接的设备或传感器的功耗</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工作温度：-20℃～+60℃</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工作湿度：相对湿度 95% （无凝结）</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产品尺寸：105*88*28.5（mm）</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安装方式：壁挂式  安装孔距 34mm ;</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931C33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028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045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2847A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855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b/>
                <w:bCs/>
                <w:i w:val="0"/>
                <w:iCs w:val="0"/>
                <w:color w:val="auto"/>
                <w:sz w:val="21"/>
                <w:szCs w:val="21"/>
                <w:u w:val="none"/>
              </w:rPr>
              <w:t>防火监督及火灾调查领域所需要的装备清单</w:t>
            </w:r>
          </w:p>
        </w:tc>
      </w:tr>
      <w:tr w14:paraId="79F4B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920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9C3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火场勘查仪器箱</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C053A9E">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1、现场微小痕迹物证记录仪1个；像素：200万 ，镜头：高清显微镜头。显示器：可支持Android、iOS，支持捕获图片，图片格式;jpg,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2、气热切割刀；切割头：250～500℃ ，可连续使用2小时以上，燃料：丁烷气</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3、绿激光笔≥1个；材质：铝合金，亮度：2Lm，最大射程：3000米</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高级工程ABS箱3个；高级工程塑料箱，坚固，防摔，防水、防尘，并容易清洗，中间配置插页，背贴高弹海绵，插页上有多个插口，可以放置一些充电器、表笔、数据线及说明书等物品，上盖上可以放置平板电脑及一些文件资料等</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A01D9A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75A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073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3F29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3FF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713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消防监督装备箱</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AA6D132">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1、数字照度计3个；一体式数字照度计，测量范围：测量档位最不小于20000 Lux，分辨率不大于0.01Lux，准确度：不大于±3% ，具备零点校准、自动手动切换量程、最大值最小值查询、数据操持、峰值/相对值测量、单位转换、电池低电提醒、自动关机功能等</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2、距离测量器3个；便携式激光测距仪，量程不小于60 m；精度：不大于±2mm，具有长度、面积、体积、等测量功能，测量基准选择；</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3、卷尺3个；抗摔ABS外壳，不锈钢皮带挂扣，弹性好，经久耐用，配有拎带携带更方便，黄色聚酯树脂涂料的烤漆喷涂，测量范围不低于5M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4、数字风速计3个；具备风速风温测量，最大、最小、平均、当前风速选择，LCD背光灯及数据保持功能，量程：不低于30m/s；精度：不大于±3%</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5、数字微压计3个；液晶显示，可对气体正负压、压差的测量，数字直读，量程：不低于3000 Pa；精度：1级；分辨率：1Pa，具有清零功能，并配有检测软管</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6、消火栓测压接头3个；压力表测量范围：0-1.0MPa，精度：不大于1.5级，配备泄压阀门及泄压软管，压力表和65式接口间用螺纹管连接</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7、红外温度测量器3个；测温仪测量范围：不低于-30℃-550℃，准确度：±2℃，温度分辨力：0.1℃，精度：不大于±3℃；0.5S可作出响应，具备背光灯、自动关机、数据保持、最大值测量等功能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8、点型感温探测器功能试验器3个；电子打火模式，操作简单，以气体为燃料，出温口温度不低于1000℃，要求配备降温导管，不见明火焰直接产生热量；与加长杆采用插拔式连接，加长杆长度不低于1.6M,加温装置可更换为气烙铁头和热切割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9、点型感烟探测器功能试验器3个；采用无污染喷气方式测试，使用专用气罐，配有气罐喷射专用引发装置，使用手柄将气罐在高位置处引发喷射，快速达到检测目的，装置拉伸高度不小于1.5m；加配便携式吹烟杆，简单操作即可完成感烟探头检测，检测长度不低于2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10、环境气体探测器3个；可检测可燃气EX，具备声、光、振动三重报警模式，彩色液晶高清数字显示；锂电池充电，待机时间长；检测方式：扩散式；量程：0-100%LEL，最大误差≤±3%FS，响应时间（T90）≤10S。</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11、强光手电3个；LED光源，最高亮度: 100-240流明，最大射程: 100-200米，电池: 18650，手电调光: 2档-4档， 续照明时间: 1-2h，灯泡寿命: 10W小时</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12、数字万用表3个；便携式掌上万用表，配有绝缘保护外套，2米跌落保证精度；可测量交直流电压、直流电流、电阻、温度测量等，交直流电压量程：不低于600V,手动切换量程,最大显示：1999</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13、便携式刀3个；具备一字改锥、主刀、剪刀、一字改锥镊子等不低于13中功能，小巧轻便，满足多功能刀具性能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14、插座测试仪3个；智能型插座测试仪，特有用电保护系统一键测试功能，测试漏电检查、开关内部老化检查，电路保护系统检查等，具备可测试不低于4种接线错误</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15、器材箱1个;手提式器材箱应具备材质轻便耐磨的特点；箱内摆放装备器材的位置和大小应科学合理，并能予以固定；箱应设置相关文件及设备附件存放位置；箱正面显要位置印有“消防监督装备箱”字样</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A341AC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554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2EC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7A9E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BBD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D00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火场勘查专业仪器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B2E61CA">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一、“火融”短路熔痕智能识别装置1个；火融短路熔痕智能识别装置，包括智能识别终端、特征采集器；整套装置有效提高现场电气线路熔痕识别工作效率。</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1.可对线径为0.8平方以上的铜导线熔痕进行智能分析，操作简便。</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 具备360°轴向旋转采集火灾现场铜导线宏观形貌特征；</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 短路熔痕识别速度≤10s;</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 体积尺寸为140mmX220mmX190mm，自重2500g，便于携带；</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 具备独立电源，续航时间持久；</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6.系统具备升级优化功能。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二、耗材工具箱2个；包含火场勘查各类耗材，物证袋、物证牌、防护手套、防护口罩、警戒带、物证痕迹指示标识本等</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三、智能办公本1个；</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1、语音转文字，转写准确率高达98%，</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2、柔性墨水瓶，真纸感手写</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3、手写专文字：专业OCR、精准转写，轻松导出Word/PDF文档</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4、屏幕尺寸10英寸以上，</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5、支持识别12中方言和英文</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6、笔记检索、语音查找</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7、存储空间：64G，可扩展128G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4A7E89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988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D1D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D2EC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8C7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B42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呼吸系统防护装备</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F918374">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配备双滤盒半面罩防毒面具（1套）、双滤盒全面罩防毒面具（1套）及防护口罩（50个）根据使用场景，选择不同滤毒盒有效防护粉尘、有机气体、有毒气体苯及同系物、汽油、内酮、二硫化碳、醚等</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CFB066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AE9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C78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6BC8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FA9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E17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相机稳定器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E6FB3DD">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1、现场微小痕迹物证记录仪1个；像素：200万 ，镜头：高清显微镜头。显示器：可支持Android、iOS，支持捕获图片，图片格式;jpg,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2、气热切割刀；切割头：250～500℃ ，可连续使用2小时以上，燃料：丁烷气</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3、绿激光笔≥1个；材质：铝合金，亮度：2Lm，最大射程：3000米</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高级工程ABS箱3个；高级工程塑料箱，坚固，防摔，防水、防尘，并容易清洗，中间配置插页，背贴高弹海绵，插页上有多个插口，可以放置一些充电器、表笔、数据线及说明书等物品，上盖上可以放置平板电脑及一些文件资料等</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15AA41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6CD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2F4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8255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817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b/>
                <w:bCs/>
                <w:i w:val="0"/>
                <w:iCs w:val="0"/>
                <w:color w:val="auto"/>
                <w:sz w:val="21"/>
                <w:szCs w:val="21"/>
                <w:u w:val="none"/>
              </w:rPr>
              <w:t>阿克陶县布伦口乡车辆装备</w:t>
            </w:r>
          </w:p>
        </w:tc>
      </w:tr>
      <w:tr w14:paraId="6BD09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AC2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5C1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水罐消防车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D3C313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整车消防性能符合GB7956-2014标准要求；底盘通过国家强制性产品认证；发动机排放符合GB17691-2018国Ⅵ第六阶段限值的规定要求；整车通过国家消防装备质量监督检验中心检测并已列入工信部汽车新产品公告.出水口为内扣式。符合国家综合性消防救援车辆外观制式涂装：涂装要素包括双色装饰带，徽标，车辆编号，中文“消防”、“救援”和英文“RESCUE”及文字和图案的组合，文字和文字的组合等。其中双色装饰带位于车身两及车身尾部；徽标位于车身两侧前部；与横线组合位于车辆顶部；“消防”汉字位于专项作业车驾驶室两侧后部；中文“消防”、“救援”和英文“RESCUE”的组合位于车头前部。</w:t>
            </w:r>
          </w:p>
          <w:p w14:paraId="09BBA5F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一、 底 盘</w:t>
            </w:r>
          </w:p>
          <w:p w14:paraId="68A40A1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发动机功率≥70kW</w:t>
            </w:r>
          </w:p>
          <w:p w14:paraId="334F76E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驱动型式：后轮驱动</w:t>
            </w:r>
          </w:p>
          <w:p w14:paraId="1128790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轴 距：3000mm</w:t>
            </w:r>
          </w:p>
          <w:p w14:paraId="69FC993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排放标准：GB3847-2005，GB17691-2018 国六</w:t>
            </w:r>
          </w:p>
          <w:p w14:paraId="682A1B0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二、 驾驶室</w:t>
            </w:r>
          </w:p>
          <w:p w14:paraId="09E1CC4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结 构：原车双排座驾驶室</w:t>
            </w:r>
          </w:p>
          <w:p w14:paraId="10679D2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座位设置：2+3 人</w:t>
            </w:r>
          </w:p>
          <w:p w14:paraId="335268E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驾驶室内</w:t>
            </w:r>
          </w:p>
          <w:p w14:paraId="0AE3FC3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设 备：除原车设备外,加装有取力器控制开关、100W 警报器、回转警灯开关。</w:t>
            </w:r>
          </w:p>
          <w:p w14:paraId="7BED0BB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 三、容 罐</w:t>
            </w:r>
          </w:p>
          <w:p w14:paraId="7A34147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容 量：水：800Kg</w:t>
            </w:r>
          </w:p>
          <w:p w14:paraId="169998D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材 质： 优质钢板，内部喷涂环氧底漆及环氧沥青漆，与底盘采用弹性连接</w:t>
            </w:r>
          </w:p>
          <w:p w14:paraId="1F31222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结 构： 框架焊接，罐体内设置纵、横防荡板，以减少车辆行驶过程</w:t>
            </w:r>
          </w:p>
          <w:p w14:paraId="69C256F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中罐内水对罐体的冲击；罐体前后壁板折有梯形折筋，使罐体具有足够的强度、刚度。</w:t>
            </w:r>
          </w:p>
          <w:p w14:paraId="3491ECF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罐顶设快速开启式人孔，方便维修人员进出。罐内设有防止水泵吸水形成旋涡从而影响流量的装置和滤网。罐内设有不锈钢浮球式液位指示器，可通过仪表板上液位表显示罐内灭火剂的容量；罐底设有带球阀的排污口。</w:t>
            </w:r>
          </w:p>
          <w:p w14:paraId="73F43E6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罐体设有 1 个65mm 溢流管，车厢两边各 1 个 65mm 注入口，便于其他车辆供水加液之用。具有1 个排污口，带不锈钢球阀。具有2 个注水口（左右各一）</w:t>
            </w:r>
          </w:p>
          <w:p w14:paraId="12F4D11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工艺：焊接牢固、可靠，去除清理夹渣、虚焊等缺陷；焊后应对罐体做 24小时静水压试验，确保不渗漏。 </w:t>
            </w:r>
          </w:p>
          <w:p w14:paraId="13E5D2B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四、消防泵及管路系统</w:t>
            </w:r>
          </w:p>
          <w:p w14:paraId="28BF973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消防泵：CB10/20 低压消防泵</w:t>
            </w:r>
          </w:p>
          <w:p w14:paraId="29C721F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流 量： 20L/s</w:t>
            </w:r>
          </w:p>
          <w:p w14:paraId="721802A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压 力： 1.0MPa</w:t>
            </w:r>
          </w:p>
          <w:p w14:paraId="0D5DD60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安装型式： 后置</w:t>
            </w:r>
          </w:p>
          <w:p w14:paraId="1F42DA9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真空泵：活塞式；</w:t>
            </w:r>
          </w:p>
          <w:p w14:paraId="36702C7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真空泵材质：耐磨、抗腐蚀达到密封要求；</w:t>
            </w:r>
          </w:p>
          <w:p w14:paraId="4EB7B64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引水时间≤35s，吸深≥7m。</w:t>
            </w:r>
          </w:p>
          <w:p w14:paraId="1CB1778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最大真空度：≥85kPa；</w:t>
            </w:r>
          </w:p>
          <w:p w14:paraId="096D1B0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消防泵自带暖风机，器材箱及泵房配防寒帘，加水出水口带防寒套以及带轮胎防滑链</w:t>
            </w:r>
          </w:p>
          <w:p w14:paraId="1480BB5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管路系统</w:t>
            </w:r>
          </w:p>
          <w:p w14:paraId="0729831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吸水管路：水泵设有Φ100mm 进水口，可从天然水源、液罐、消防蓄水池吸水，另可加转换异径接口连接消防栓吸水供水，吸水管放置于车顶。1 个带Φ100mm 蝶阀的进水口，用于与水罐相连接。</w:t>
            </w:r>
          </w:p>
          <w:p w14:paraId="4080CAF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出水管路：</w:t>
            </w:r>
          </w:p>
          <w:p w14:paraId="060D226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车顶设置 1 个Φ57mm 出水消防炮管路及控制阀，采用挠性接头；</w:t>
            </w:r>
          </w:p>
          <w:p w14:paraId="737FD27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泵房左右两侧各设置 1 个Φ65mm 手动球阀控制的出水口。</w:t>
            </w:r>
          </w:p>
          <w:p w14:paraId="2861942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注水管路：泵房内设置 1 个Φ65mm 水泵向罐内注水管路及控制阀；</w:t>
            </w:r>
          </w:p>
          <w:p w14:paraId="4706E86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车厢左右两侧各有 1 个Φ65mm 注水管，可向罐内注水，接口为内</w:t>
            </w:r>
          </w:p>
          <w:p w14:paraId="328C4F3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扣式接口，并设有闷盖。</w:t>
            </w:r>
          </w:p>
          <w:p w14:paraId="11E7AD0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放余水管路：为保护水泵及各球阀，在管路中加装了放余水管路，并分别配有球阀。</w:t>
            </w:r>
          </w:p>
          <w:p w14:paraId="06B3720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冷却水管路：为使取力器在工作中应付各种复杂情况，配有与进出水管路连通的冷却水管路及控制阀。</w:t>
            </w:r>
          </w:p>
          <w:p w14:paraId="0D3EA14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五、消防炮</w:t>
            </w:r>
          </w:p>
          <w:p w14:paraId="4639817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型 号：PS20 型消防炮</w:t>
            </w:r>
          </w:p>
          <w:p w14:paraId="21EAF28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流 量：20（L/s）</w:t>
            </w:r>
          </w:p>
          <w:p w14:paraId="6D5EEEB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射 程：水≥45m</w:t>
            </w:r>
          </w:p>
          <w:p w14:paraId="41ECDC8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压 力：1.0MPa</w:t>
            </w:r>
          </w:p>
          <w:p w14:paraId="71E8103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位 置：位于水罐顶部。</w:t>
            </w:r>
          </w:p>
          <w:p w14:paraId="58A14D6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控 制：采用手动控制，带锁止机构，方便操作。</w:t>
            </w:r>
          </w:p>
          <w:p w14:paraId="7EF5F1B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 六、取力器</w:t>
            </w:r>
          </w:p>
          <w:p w14:paraId="6F30AD5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型 式：全功率夹心取力器</w:t>
            </w:r>
          </w:p>
          <w:p w14:paraId="3F103EC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冷却方式：强制式水冷</w:t>
            </w:r>
          </w:p>
          <w:p w14:paraId="728D866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润滑方式：飞溅式油润滑</w:t>
            </w:r>
          </w:p>
          <w:p w14:paraId="6143D27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操纵方式：驾驶室内仪表盘处操作挂取力器，取力器结合方便平稳，无异响。</w:t>
            </w:r>
          </w:p>
          <w:p w14:paraId="04FEFE5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安 装：取力器与发动机匹配良好，精确安装，结合后无自行脱落现象。</w:t>
            </w:r>
          </w:p>
          <w:p w14:paraId="773292B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七、器材箱及泵房</w:t>
            </w:r>
          </w:p>
          <w:p w14:paraId="7827F9B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主要材质：</w:t>
            </w:r>
          </w:p>
          <w:p w14:paraId="71B7617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骨架、蒙皮均为优质碳钢；内部器材架采用铝合金型材，内饰板为氧化处理的铝板。</w:t>
            </w:r>
          </w:p>
          <w:p w14:paraId="23CDBA1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基本结构：</w:t>
            </w:r>
          </w:p>
          <w:p w14:paraId="2170CBE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1、为整体结构，其前部为器材箱，后部为泵房。</w:t>
            </w:r>
          </w:p>
          <w:p w14:paraId="6F618A4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2、后部为泵室,配有仪表板及操作系统，器材箱和泵室均设带锁卷帘门。框架焊接结构，并确保其强度和刚度。</w:t>
            </w:r>
          </w:p>
          <w:p w14:paraId="66FE6A9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3、空间可任意调整，器材箱设排水孔。</w:t>
            </w:r>
          </w:p>
          <w:p w14:paraId="1941D76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4、器材箱可靠、美观、可任意调节，配有大空间帘子门器材箱，确保空间充分利用。</w:t>
            </w:r>
          </w:p>
          <w:p w14:paraId="7874B1A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5、车厢及泵房设有照明灯，满足夜间灭火作战时的照明需要。</w:t>
            </w:r>
          </w:p>
          <w:p w14:paraId="536F21E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铝合金卷帘门：</w:t>
            </w:r>
          </w:p>
          <w:p w14:paraId="6CB3C8E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1、所有器材厢及泵室都采用带锁卷帘门，把手和锁销坚固耐用，不变形，密封性能经过水淋实验,确保无渗漏现象。</w:t>
            </w:r>
          </w:p>
          <w:p w14:paraId="15300BB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2、卷帘门两侧滑道内有铆钉固定，以免脱落。</w:t>
            </w:r>
          </w:p>
          <w:p w14:paraId="334A206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3、每个器材厢内有照明灯，由卷帘门开闭控制。</w:t>
            </w:r>
          </w:p>
          <w:p w14:paraId="022D34D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4、左、右各配有铝合金帘子门，后尾一扇，安全可靠，美观实用。</w:t>
            </w:r>
          </w:p>
          <w:p w14:paraId="710F02A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基本原则：</w:t>
            </w:r>
          </w:p>
          <w:p w14:paraId="643C16F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（一）按战斗编成和战斗展开设计器材集成；</w:t>
            </w:r>
          </w:p>
          <w:p w14:paraId="4854061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（二）按人体工程学原理设计各种器材托架；</w:t>
            </w:r>
          </w:p>
          <w:p w14:paraId="4610ABA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（三）无须任何攀登工具，取用箱内任何器材简明实用的原则。</w:t>
            </w:r>
          </w:p>
          <w:p w14:paraId="5AD52E9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（四）按使用逻辑关系和使用频率放置器材；</w:t>
            </w:r>
          </w:p>
          <w:p w14:paraId="17BFF02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（五）站在地面或踏板上 1-2 动作内取用任何器材。 </w:t>
            </w:r>
          </w:p>
          <w:p w14:paraId="0EB9D1F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八、电器系统</w:t>
            </w:r>
          </w:p>
          <w:p w14:paraId="52AD8B4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1、驾驶室顶部配备红色长排豪华警灯。</w:t>
            </w:r>
          </w:p>
          <w:p w14:paraId="5E480D7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2、警报器功率为 100W；</w:t>
            </w:r>
          </w:p>
          <w:p w14:paraId="3273137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3、为保证使用安全，整车线路采用整体线束制作，连接处用防水插头，保证使用过程中的线路安全。</w:t>
            </w:r>
          </w:p>
          <w:p w14:paraId="7D3EC41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4、车顶配有火场照明灯 1 只；车辆两侧下方设有安全标志灯，车身、尾部按标准粘贴反光标识。</w:t>
            </w:r>
          </w:p>
          <w:p w14:paraId="62CE347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5、所有器材箱均安装 LED 照明灯，方便夜间作战照明之用。</w:t>
            </w:r>
          </w:p>
          <w:p w14:paraId="311C06E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6、车辆两侧上方各配有两盏爆闪灯，下方安装安全标识灯和侧回复反射器（组合式），配有前、后示廓灯，两侧各一只转向灯，乘员室、器材箱、泵房内均有照明灯。</w:t>
            </w:r>
          </w:p>
          <w:p w14:paraId="0331A0A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7、警报器、警灯、频闪灯、电路为独立式附加电路，控制器件安装在驾驶室内。</w:t>
            </w:r>
          </w:p>
          <w:p w14:paraId="7F87D23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8、所有线路均采用套管进行保护，并采用不同颜色区分线路连接形式、作用。</w:t>
            </w:r>
          </w:p>
          <w:p w14:paraId="4A39BBF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9、泵房内仪表板上设备：液位表、转速表、压力表、真空表、器材箱照明开关等。 </w:t>
            </w:r>
          </w:p>
          <w:p w14:paraId="158E6C4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九、仪表板及板上设备</w:t>
            </w:r>
          </w:p>
          <w:p w14:paraId="5966E56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1、仪表板位于车尾部的泵室内，带有一个控制板并具备充足的照明；</w:t>
            </w:r>
          </w:p>
          <w:p w14:paraId="76F7958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2、所有控制手柄、开关、指示灯的近旁都有中文标识；</w:t>
            </w:r>
          </w:p>
          <w:p w14:paraId="2A0D058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3、有操作步骤说明。</w:t>
            </w:r>
          </w:p>
          <w:p w14:paraId="0E33E18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4、所有标牌都具有持久性和高附着性，能经受由于温度及气候的剧变所导致的影响。</w:t>
            </w:r>
          </w:p>
          <w:p w14:paraId="6C7C2CC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5、操作面板采用优质铝板，美观、耐用，整体重量较轻。</w:t>
            </w:r>
          </w:p>
          <w:p w14:paraId="0B9B954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6、泵房操作系统设置在车辆尾部，无压力出口，保证操作人员的安全，有面板照明灯。</w:t>
            </w:r>
          </w:p>
          <w:p w14:paraId="0E18905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 十、总体技术要求</w:t>
            </w:r>
          </w:p>
          <w:p w14:paraId="36A95BA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1、整车性能符合 GB7956《消防车性能要求及试验方法》的规定。</w:t>
            </w:r>
          </w:p>
          <w:p w14:paraId="1C8CF58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2、整车外观保持一定的平整度，且符合有关规定。</w:t>
            </w:r>
          </w:p>
          <w:p w14:paraId="1F5DA49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3、所有铆接保持一定的密度，符合企标规定。</w:t>
            </w:r>
          </w:p>
          <w:p w14:paraId="1CD582B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4、所有焊接牢固，光洁，平整，符合企标规定。</w:t>
            </w:r>
          </w:p>
          <w:p w14:paraId="7DF4137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5、所有操作开关、仪表、器材架及车辆均有符合规范的铭牌标志。</w:t>
            </w:r>
          </w:p>
          <w:p w14:paraId="2040830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 十一、随车文件</w:t>
            </w:r>
          </w:p>
          <w:p w14:paraId="5FE5E52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1）底盘使用说明书       2）底盘质量保修卡</w:t>
            </w:r>
          </w:p>
          <w:p w14:paraId="29DB430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3）底盘维修手册         4）底盘合格证</w:t>
            </w:r>
          </w:p>
          <w:p w14:paraId="4256791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5）随车工具清单         6）发动机号码拓印件</w:t>
            </w:r>
          </w:p>
          <w:p w14:paraId="68A7AA3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7）底盘号码拓印件       8）消防车使用说明书</w:t>
            </w:r>
          </w:p>
          <w:p w14:paraId="407B835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9）消防车消防器材清单   10）消防车合格证</w:t>
            </w:r>
          </w:p>
          <w:p w14:paraId="525FB35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11）消防车跟踪服务卡    12）消防交换清单</w:t>
            </w:r>
          </w:p>
          <w:p w14:paraId="065E02D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器材配备表</w:t>
            </w:r>
          </w:p>
          <w:p w14:paraId="30B9E4C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名称 单位         数量              备注</w:t>
            </w:r>
          </w:p>
          <w:p w14:paraId="73FC578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 消防水带        12盘          （13-50-20 ）</w:t>
            </w:r>
          </w:p>
          <w:p w14:paraId="4502009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2 吸水管          8 米       </w:t>
            </w:r>
          </w:p>
          <w:p w14:paraId="603F00C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3 滤水器          1 件       </w:t>
            </w:r>
          </w:p>
          <w:p w14:paraId="3C44309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4 集水器          1 件       </w:t>
            </w:r>
          </w:p>
          <w:p w14:paraId="5196991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 二分水          1 件</w:t>
            </w:r>
          </w:p>
          <w:p w14:paraId="03D38FC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6 三分水器        1 件       </w:t>
            </w:r>
          </w:p>
          <w:p w14:paraId="1B49E1B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7 吸水管扳手      2 个       </w:t>
            </w:r>
          </w:p>
          <w:p w14:paraId="3F75830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8 地上消火栓扳手  1 件       </w:t>
            </w:r>
          </w:p>
          <w:p w14:paraId="6705B64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9 地下消火栓扳手  1 件       </w:t>
            </w:r>
          </w:p>
          <w:p w14:paraId="1DA0225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10护带桥          2 个       </w:t>
            </w:r>
          </w:p>
          <w:p w14:paraId="402C606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11 水带包布       4 件       </w:t>
            </w:r>
          </w:p>
          <w:p w14:paraId="26762A8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12 水带挂钩       4 件       </w:t>
            </w:r>
          </w:p>
          <w:p w14:paraId="0483633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13 消防斧         1 件       </w:t>
            </w:r>
          </w:p>
          <w:p w14:paraId="7EFE7EB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14 铁铤           1 件       </w:t>
            </w:r>
          </w:p>
          <w:p w14:paraId="5007EE6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15 铁锹           1 件       </w:t>
            </w:r>
          </w:p>
          <w:p w14:paraId="1D58CA5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16 丁字镐         1 件       </w:t>
            </w:r>
          </w:p>
          <w:p w14:paraId="6D35F72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17 腰斧           1 件       </w:t>
            </w:r>
          </w:p>
          <w:p w14:paraId="6DB2D38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18 异径接口       4 只       （内扣Φ65 变Φ50）</w:t>
            </w:r>
          </w:p>
          <w:p w14:paraId="3497261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19 开关直流水枪   2 支       </w:t>
            </w:r>
          </w:p>
          <w:p w14:paraId="290FB4A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20 开花水枪       2 支       </w:t>
            </w:r>
          </w:p>
          <w:p w14:paraId="30F0A99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21 干粉灭火器     2 具       （3 kg，ABC干份灭火器）</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F8F6013">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1FD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570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00E1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F1E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E87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E956E06">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1、符合GB 6246-2011《消防水带》标准要求，产品要求为蓝色</w:t>
            </w:r>
          </w:p>
          <w:p w14:paraId="466FEFDB">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2、编织层：织物层编制均匀，表面整洁，无 跳双经、断双经、跳纬及划伤。</w:t>
            </w:r>
          </w:p>
          <w:p w14:paraId="3BCFBD94">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 xml:space="preserve">3、内径：51.0~53.0mm。 </w:t>
            </w:r>
          </w:p>
          <w:p w14:paraId="3F3F8420">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4、每盘长度为：≥20m。</w:t>
            </w:r>
          </w:p>
          <w:p w14:paraId="60E2CCAE">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 xml:space="preserve">5、单位长度质量：≤220g/m。 </w:t>
            </w:r>
          </w:p>
          <w:p w14:paraId="0E72F966">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6、工作压力（含连接设备）≥2.0MPa，爆破压力≥6.2MPa。</w:t>
            </w:r>
          </w:p>
          <w:p w14:paraId="4294E016">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★7、延伸率≤1.6%，膨胀率≤4.7%。</w:t>
            </w:r>
          </w:p>
          <w:p w14:paraId="6F69F769">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8、扯断伸长率≥438%，扯断强度≥45Mpa。</w:t>
            </w:r>
          </w:p>
          <w:p w14:paraId="297BC26A">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9、附着强度 ≥36N/25mm</w:t>
            </w:r>
          </w:p>
          <w:p w14:paraId="25694368">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★10、热空气老化：附着强度 ≥94%，爆破压力≥101%。</w:t>
            </w:r>
          </w:p>
          <w:p w14:paraId="40995660">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11、接口要求：内扣式接口，接口表面进行阳极氧化处理，加工表面平整，光洁度高，无损伤，无结疤、裂痕，配专用护套； 将水带与接口绑扎。将水带与接口绑扎。且每个凹槽采用不少于7圈（360度）的高强度镀锌铁丝（≥16号）捆扎,(锻造铝镁合金接口);</w:t>
            </w:r>
          </w:p>
          <w:p w14:paraId="0495C3EE">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12、每根水带应卷紧成圆盘形，外用耐磨、防潮物封装。</w:t>
            </w:r>
          </w:p>
          <w:p w14:paraId="6B6A511D">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12、每根水带应卷紧成圆盘形，外用耐磨、防潮物封装。</w:t>
            </w:r>
          </w:p>
          <w:p w14:paraId="125B4047">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13、供应商须提供该产品的第三方检测机构出具的检验报告。</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5D5149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C46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F36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4E2DD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7FE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8B8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50型多功能水枪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4B965E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50型直流喷雾水枪</w:t>
            </w:r>
          </w:p>
          <w:p w14:paraId="010F08C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执行标准:GB8181-2005《消防水枪》</w:t>
            </w:r>
          </w:p>
          <w:p w14:paraId="483537C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接口：采用锻造工艺，铝镁合金A6061材质，黑色阳极氧化防腐处理</w:t>
            </w:r>
          </w:p>
          <w:p w14:paraId="63BF2A9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枪体：精密锻造铝镁合金A6061，原装进口五轴加工中心一体成型</w:t>
            </w:r>
          </w:p>
          <w:p w14:paraId="484A224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手柄：PL人体工程学防滑抗阻燃尼龙握柄，内嵌高强度不锈钢片，可耐冲击</w:t>
            </w:r>
          </w:p>
          <w:p w14:paraId="575D2ED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阀球：A6061铝镁合金数控精密加工成型，表面阳极氧化防腐处理</w:t>
            </w:r>
          </w:p>
          <w:p w14:paraId="7AFE0B9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阀芯：锻造高纯度黄铜</w:t>
            </w:r>
          </w:p>
          <w:p w14:paraId="4F548C9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密封件：高性能耐油、抗老化特氟龙垫圈</w:t>
            </w:r>
          </w:p>
          <w:p w14:paraId="47B915C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紧固件：SUS304不锈钢材质或锻造黄铜</w:t>
            </w:r>
          </w:p>
          <w:p w14:paraId="5D50E02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保护套：高品质阻燃橡胶，耐极限高低温</w:t>
            </w:r>
          </w:p>
          <w:p w14:paraId="13E6B96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喷雾轮：精密不锈钢，镜面抛光，耐腐蚀</w:t>
            </w:r>
          </w:p>
          <w:p w14:paraId="4A95620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性能参数：</w:t>
            </w:r>
          </w:p>
          <w:p w14:paraId="58CEAD6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1、额定喷射压力:0.60MPa;最大压力1.6MPa</w:t>
            </w:r>
          </w:p>
          <w:p w14:paraId="1FC611C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2、档位:2.5/5/6.5/8/FLUSH五档</w:t>
            </w:r>
          </w:p>
          <w:p w14:paraId="706AC14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3、射程:≥30m</w:t>
            </w:r>
          </w:p>
          <w:p w14:paraId="4BEE550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4、喷雾角调节范围:0~110°</w:t>
            </w:r>
          </w:p>
          <w:p w14:paraId="61895F5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5、重量:≤1.3kg</w:t>
            </w:r>
          </w:p>
          <w:p w14:paraId="5E04E51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6、枪体长度：≤150mm（不含接口）</w:t>
            </w:r>
          </w:p>
          <w:p w14:paraId="7E63C21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7、额定流量：4L/s</w:t>
            </w:r>
          </w:p>
          <w:p w14:paraId="50A1856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8、操作力矩:7.7N.m</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CAA7CF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9FC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32E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33BA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A9A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7CA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50型直流水枪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4BF31A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50型直流开关水枪</w:t>
            </w:r>
          </w:p>
          <w:p w14:paraId="07BDD39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参数（A型锻造整流款）门字型把手</w:t>
            </w:r>
          </w:p>
          <w:p w14:paraId="671BAC8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内扣式直流开关水枪</w:t>
            </w:r>
          </w:p>
          <w:p w14:paraId="5173D94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符合GB 8181-2005《消防水枪》标准</w:t>
            </w:r>
          </w:p>
          <w:p w14:paraId="55F7363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参数：</w:t>
            </w:r>
          </w:p>
          <w:p w14:paraId="6BB556E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 接口：铝镁合金锻造工艺，表面金色阳极氧化防腐处理。</w:t>
            </w:r>
          </w:p>
          <w:p w14:paraId="6131EED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阀体：铝镁合金锻造工艺，表面蓝色阳极氧化防腐处理。</w:t>
            </w:r>
          </w:p>
          <w:p w14:paraId="08E0846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球体：铝镁合金挤压工艺，表面黑色阳极氧化防腐处理。</w:t>
            </w:r>
          </w:p>
          <w:p w14:paraId="72D6BFC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把手：采用黄色高强尼龙，门字型省力把手。 </w:t>
            </w:r>
          </w:p>
          <w:p w14:paraId="7DE2D86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枪管：铝镁合金挤压工艺，一体整流式稳流枪管，表面金色阳极氧化防腐处理。</w:t>
            </w:r>
          </w:p>
          <w:p w14:paraId="2475D45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喷嘴：铝镁合金锻压工艺，出水口口径≥19mm，表面金色阳极氧化防腐处理。</w:t>
            </w:r>
          </w:p>
          <w:p w14:paraId="7414AFA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 配置50内扣接口，通水孔径≥50.5mm；阀门采用减压式T型通孔球阀，阀体通水孔径</w:t>
            </w:r>
          </w:p>
          <w:p w14:paraId="36F73EC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45mm；门式手柄结构；枪管壁厚≤3.5mm；总长度≤475mm；总重量≤1.35kg；耐压强度≥6.0MPa；流量7.5L/s，射程≥28.8m，喷射压力0.35MPa，操作力矩≤7.2N.m；密封元件采用耐腐蚀、耐高温特性的高密封结构，可在+250℃至-180℃的温度下保证密封性，中性盐雾试验≥300小时。</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B99046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893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1A9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484B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8B2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8DC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分水器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5F593A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满足GA868-2010标准，表面无结疤、裂痕、砂眼；工作压力不低于1.6Mpa，铝合金材质；进水口径：80mm，内扣式，出水口径：3出水口×65mm，内扣式，重量不大于3.5kg。可方便手提式。</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B43074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9E6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57A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4D57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A82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6A4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50-65转换接口</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605002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满足GB6246-2011标准，表面无结疤、裂痕、砂眼；铝合金材质，工作压力不低于1.6Mpa；内扣式接口，80/65mm。80内扣-65内扣，接口耐压≥2.0Mpa</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D1D330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9DF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1CD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4E36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209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83E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消火栓扳手</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4112BA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QZT-40型适用于公共场所、商业建筑和住宅小区等地面消防栓。型号符合GB3445-2005标准，扳手长度为800mm，并具有十字形的扳手头设计。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AB6DED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88C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E9A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4DC2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56C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86E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灭火头盔</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D37718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满足XF44-2015或GA44-2015标准，提供国家级消防装备检测报告；标识符合《23式消防头盔款式标识统型要求》和《消防头盔单位标识要求》；             </w:t>
            </w:r>
          </w:p>
          <w:p w14:paraId="568183E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一、颜色</w:t>
            </w:r>
          </w:p>
          <w:p w14:paraId="3C3ADFC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1、盔壳：黄色，潘通色号为PANTONE 186C，黄色为PANTONE 012 C，色差≥3级。</w:t>
            </w:r>
          </w:p>
          <w:p w14:paraId="773EA51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2、披肩：藏蓝色，潘通色号为PANTONE 19-4013 TCX Dark Navy，色差≥3级。</w:t>
            </w:r>
          </w:p>
          <w:p w14:paraId="39B6A4A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3、反光标识条：荧光黄色潘通色号为PANTONE 809C，荧光桔红色为PANTONE 811C，色差≥2级，入射角5°观察角0.2°时初始逆反射系数≥100cd/(1x*㎡)。</w:t>
            </w:r>
          </w:p>
          <w:p w14:paraId="63F348D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4、滑块和配饰：黑色潘通色号为PANTONE 19-4007 TPX，色差≥3级。</w:t>
            </w:r>
          </w:p>
          <w:p w14:paraId="0C37C2B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二、款式</w:t>
            </w:r>
          </w:p>
          <w:p w14:paraId="3D390B8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1、由盔壳、滑轨、缓冲层、舒适衬垫、佩戴装置、面罩、披肩等组成。</w:t>
            </w:r>
          </w:p>
          <w:p w14:paraId="73DA2D0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2、盔壳：耐高温阻燃材质</w:t>
            </w:r>
          </w:p>
          <w:p w14:paraId="712E40E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3、滑轨：盔体两侧设黑色多功能模块化滑轨，耐高温阻燃材质</w:t>
            </w:r>
          </w:p>
          <w:p w14:paraId="3119077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4、缓冲层：耐高温阻燃材质，颜色为黑色</w:t>
            </w:r>
          </w:p>
          <w:p w14:paraId="0E12A7A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5、舒适衬垫：顶部为芳纶网状衬垫，四周为舒适层（与帽箍一体）可调节戴帽高度。</w:t>
            </w:r>
          </w:p>
          <w:p w14:paraId="15A662B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6、佩戴装置：包括帽箍和系带，为耐高温阻燃材质。在盔体后沿下侧设头围调节旋钮；系带可调节佩戴松紧，加装可拆洗阻燃舒适软垫：插扣为快脱插扣。</w:t>
            </w:r>
          </w:p>
          <w:p w14:paraId="6D87702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7、面罩：耐高温阻燃材质。</w:t>
            </w:r>
          </w:p>
          <w:p w14:paraId="4556DBC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8、披肩：防水处理、耐高温阻燃芳纶材料，颜色为藏蓝色，可快速拆卸、安装。</w:t>
            </w:r>
          </w:p>
          <w:p w14:paraId="48A39FF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9、反光标识：两侧粘贴弧形反光标识条，为耐高温材质，宽度为30mm±1mm，长度为226mm±2mm，弧形总高52mm±2mm；黄色头盔使用荧光桔红色反光标识条。</w:t>
            </w:r>
          </w:p>
          <w:p w14:paraId="5D8D9DE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10、所有可调节扣件全部采用黄色，为改性阻燃尼龙66材料。                    </w:t>
            </w:r>
          </w:p>
          <w:p w14:paraId="111C9B9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三、标志</w:t>
            </w:r>
          </w:p>
          <w:p w14:paraId="7FD16BA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1、帽徽：消防头盔前面居中粘贴软质立体19式消防大帽徽，距帽檐底部18±2mm，帽徽规格为高5.9厘米、宽5.7厘米。</w:t>
            </w:r>
          </w:p>
          <w:p w14:paraId="7F1C359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2、单位标识：侧面居中采用耐雨淋反光材料牢固粘贴根据甲方要求印制标识，字体为简粗平黑，字体大小为30（±1）mm×35（±1）mm，字间距10±1mm，颜色为银灰色，潘通色号为PANTONE 423C，色差≥3级。头盔两侧文字相同，均从帽徽一侧呈半弧状（与加强筋弧度相似）向盔体后部均匀排列。</w:t>
            </w:r>
          </w:p>
          <w:p w14:paraId="6B36A97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3、头盔后部内侧包含“17式消防头盔”的永久性标识。</w:t>
            </w:r>
          </w:p>
          <w:p w14:paraId="5CF7A13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四、性能</w:t>
            </w:r>
          </w:p>
          <w:p w14:paraId="5B488A2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1、冲击吸收性能：高温预处理最大冲击力（N）：≤3100，辐射热预处理最大冲击力（N）：≤3010，低温预处理最大冲击力（N）：≤3450，浸水预处理最大冲击力（N）：≤3000，</w:t>
            </w:r>
          </w:p>
          <w:p w14:paraId="50BE672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2、抗冲击加速度性能：帽顶部（gn）:≤135，帽前部（gn）:≤340.8，帽后部（gn）:≤351.6，</w:t>
            </w:r>
          </w:p>
          <w:p w14:paraId="5E8748B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3、耐穿透性能:钢锥应不能穿透头盔与头模产生接触</w:t>
            </w:r>
          </w:p>
          <w:p w14:paraId="6EA9E05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4、耐燃烧性能:火源离开帽壳后，帽壳火焰应在5s内自熄，并且无火焰烧透到帽壳内部的明显迹象</w:t>
            </w:r>
          </w:p>
          <w:p w14:paraId="3DDA1D5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5、阻燃性能：下颚带：损毁长度（mm）：≤10。续燃时间（s）：≤2。披肩：损毁长度（mm）：≤30.  续燃时间（s）：≤2。面罩：续燃时间（s）：≤5，且以上均不应有熔融、滴落现象。</w:t>
            </w:r>
          </w:p>
          <w:p w14:paraId="1779398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6、电绝缘性能:帽壳泄露电流：≤1mA</w:t>
            </w:r>
          </w:p>
          <w:p w14:paraId="770EFCF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7、侧向刚性:帽壳最大变形标准要求：≤35mm，卸载后变形标准要求：≤3.1mm</w:t>
            </w:r>
          </w:p>
          <w:p w14:paraId="251E21F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8、质量（g）：≤1100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9660DF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096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A37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50B8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42A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113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灭火手套</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9E38DF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1、满足XF7-2004标准，提供国家级消防装备检测报告；</w:t>
            </w:r>
          </w:p>
          <w:p w14:paraId="60A1C5F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2、手套外层应采用芳纶材料，并与皮革相配合，增加耐磨性。</w:t>
            </w:r>
          </w:p>
          <w:p w14:paraId="733AB99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3、应采用反光标志带，应具有耐火性。</w:t>
            </w:r>
          </w:p>
          <w:p w14:paraId="2912F3D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4、隔热层应为芳纶水刺毡。</w:t>
            </w:r>
          </w:p>
          <w:p w14:paraId="77BEED4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5、五分钟浸水测试，不渗透。</w:t>
            </w:r>
          </w:p>
          <w:p w14:paraId="5060DD0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6、手腕部位具有可调节松紧尼龙粘胶。</w:t>
            </w:r>
          </w:p>
          <w:p w14:paraId="1B042F7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7、型号分为大、中、小三个型号。</w:t>
            </w:r>
          </w:p>
          <w:p w14:paraId="27B1EB0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8、颜色为藏蓝色</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F65F584">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DFE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185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1AD7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6AE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D99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灭火防护服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0F3CB3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满足XF10-2014《消防员灭火防护服》标准要求，提供国家级消防装备检测报告；标识符合23式消防员灭火防护服（作战款）款式标识统型要求》；采用四层结构；</w:t>
            </w:r>
          </w:p>
          <w:p w14:paraId="5CC1ED8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一、颜色</w:t>
            </w:r>
          </w:p>
          <w:p w14:paraId="38E5A3A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藏蓝色，潘通色号为 PANTONE 19-4013 TCX Dark Navy，色差≥3级（按《纺细品色牢度试验评定变色用灰色样卡》GB/T250-2008 标准评判）。</w:t>
            </w:r>
          </w:p>
          <w:p w14:paraId="31253A6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二、款式</w:t>
            </w:r>
          </w:p>
          <w:p w14:paraId="74006E9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（一）主体结构：</w:t>
            </w:r>
          </w:p>
          <w:p w14:paraId="248F66A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1、上下分体式结构，上衣和裤子间重叠部分应不小于200mm。</w:t>
            </w:r>
          </w:p>
          <w:p w14:paraId="4203D96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2、衣领为立领，前部设护领，衣领内侧采用顺色贴肤舒适面料。</w:t>
            </w:r>
          </w:p>
          <w:p w14:paraId="7276FFA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3、上衣在胸部、下摆、袖口各设 1 条 360 度环形反光标识带，裤子在小腿部各设1条360度环形反光标志带，反光标志带宽度为 50.8mm（2 英寸），颜色为黄银黄。</w:t>
            </w:r>
          </w:p>
          <w:p w14:paraId="79A7FB2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4、裤子裆部采用一体式设计</w:t>
            </w:r>
          </w:p>
          <w:p w14:paraId="35E574E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5、裤子背带为 H 型背带，背带应可调节长度，可拆卸。</w:t>
            </w:r>
          </w:p>
          <w:p w14:paraId="62E2903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6、上衣前门襟拉链号型不小于 8 号。</w:t>
            </w:r>
          </w:p>
          <w:p w14:paraId="694A76B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7、背部设有风琴褶。</w:t>
            </w:r>
          </w:p>
          <w:p w14:paraId="785DABA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(二）附属结构：</w:t>
            </w:r>
          </w:p>
          <w:p w14:paraId="526EF2B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1、上衣左胸外设电台立体口袋，门襟内侧设防水插袋，下摆设置外贴袋。大腿外侧各设工具袋 1 个。所有外口袋均设置漏水孔。</w:t>
            </w:r>
          </w:p>
          <w:p w14:paraId="12A4F28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2、在左上臂外侧设 90mm×110mm 盾牌型魔术贴并配盾牌型标识；盾牌型魔术贴上方设长57mm、斜边宽33mm平行四边形魔术贴，并配平行长方形魔术贴并配消防救援衔标识。左胸魔术贴。左胸电台立体口袋上方设长69mm、上宽52mm、下宽50mm盾型魔术贴，并配盾型胸徽标识。右胸魔术贴。右胸胸部反光带上方设长66mm、宽18mm长方形魔术贴，并配长方形姓名牌标识；长方形魔术贴上方设长66mm、宽31mm翼型魔术贴，并配翼型胸标标识。</w:t>
            </w:r>
          </w:p>
          <w:p w14:paraId="70F021E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3、袖口处采用圆弧形设计，外层本色布包边，设置收紧调节袢，并配置罗纹防护护腕，罗纹防护护腕开拇指孔，内部设置止水布。</w:t>
            </w:r>
          </w:p>
          <w:p w14:paraId="71D60B6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4、上衣门襟。上衣门襟魔术贴为贯通式。</w:t>
            </w:r>
          </w:p>
          <w:p w14:paraId="3B1D6DF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5、上衣下摆。上衣舒适层下摆设置止水布。</w:t>
            </w:r>
          </w:p>
          <w:p w14:paraId="6E20CAE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6、裤脚口。裤脚口处采用圆弧形设计，内部设置止水布，内侧设置拉链，裤脚设耐磨材料包边。</w:t>
            </w:r>
          </w:p>
          <w:p w14:paraId="5DDDD29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7、在肩、肘、膝部应采用耐磨层加厚处理，耐磨层应柔软且易于清洗。</w:t>
            </w:r>
          </w:p>
          <w:p w14:paraId="680A759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8、左右肩部设有两个挂袢。</w:t>
            </w:r>
          </w:p>
          <w:p w14:paraId="5505679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9、背部设有救生拖拉带，展开时间不大于10S，可以拖动80kg假人10米以上。</w:t>
            </w:r>
          </w:p>
          <w:p w14:paraId="7BB1FFC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三、标识</w:t>
            </w:r>
          </w:p>
          <w:p w14:paraId="5A5269F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背部印字：消防救援队伍配备服装背部居中采用耐火、防水、荧光材料喷涂印制根据甲方要求印制标识，字体为简粗平黑，颜色为银色，每个字大小 70mm×85mm，字间距 20mm，位置在反光带上方 30mm 处。反光带下方 30mm 处 ，字体为简粗平黑，颜色为银色。四个字和五个字时每个字大小50mm×55mm，字间距15mm；六个字时每个字大小45mm×55mm，字间距10mm；七个字时每个字大小40mm×55mm，字间距8mm。</w:t>
            </w:r>
          </w:p>
          <w:p w14:paraId="3F12A23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四、性能</w:t>
            </w:r>
          </w:p>
          <w:p w14:paraId="7B2445C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1、整体热防护性能 TPP（cal/c㎡） ：≥32。</w:t>
            </w:r>
          </w:p>
          <w:p w14:paraId="4C8B934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2、整套衣服重量：≤2.6kg。</w:t>
            </w:r>
          </w:p>
          <w:p w14:paraId="1A34A36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3、阻燃性能：外层损毁长度（经向、纬向≤35mm）；防水透气隔热层损毁长度（经向、纬向≤40mm）；舒适层损毁长度（经向、纬向≤45mm）。</w:t>
            </w:r>
          </w:p>
          <w:p w14:paraId="640B920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4、断裂强力：外层（经向≥1000N，纬向≥900N）；舒适层（经向≥300N，纬向: ≥500N）。</w:t>
            </w:r>
          </w:p>
          <w:p w14:paraId="3DAA385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5、外层撕破强力：经向≥200N、纬向≥100N。 </w:t>
            </w:r>
          </w:p>
          <w:p w14:paraId="0B55133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6、热稳定性能：经热稳定性能试验后，外层、防水透气隔热层、外层加强材料和舒适层尺寸变化率均≤5％，且试样表面应无明显变化。</w:t>
            </w:r>
          </w:p>
          <w:p w14:paraId="5D3B01E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7、反光标志带阻燃性能：经向、纬向损毁长度≤25mm；外层加强材料阻燃性能：经向、纬向损毁长度≤30mm。 </w:t>
            </w:r>
          </w:p>
          <w:p w14:paraId="67EC2B1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8、防水透气层：耐静水压：&gt;50KPa；拒油性能≥3级；透湿率&gt;8000g/m2·24h。</w:t>
            </w:r>
          </w:p>
          <w:p w14:paraId="4A9A96D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9、缩水率：外层、防水透气隔热层、舒适层经、纬方向尺寸变化率均≤3％。</w:t>
            </w:r>
          </w:p>
          <w:p w14:paraId="0B72F0A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10、接缝断裂强力：外层经向、纬向≥800N。</w:t>
            </w:r>
          </w:p>
          <w:p w14:paraId="231DE9A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11、外层表面抗湿性能：≥3级。</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F1ADA57">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AB5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ED0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2194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594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F46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灭火靴子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8ABB20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满足XF6-2004标准，提供国家级消防装备检测报告；标识符合《23式消防员灭火防护靴（橡胶）款式标识统型要求》：</w:t>
            </w:r>
          </w:p>
          <w:p w14:paraId="7A4EE3E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一、颜色</w:t>
            </w:r>
          </w:p>
          <w:p w14:paraId="45FBF80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主体颜色为黑色和黄色，黑色潘通色号为PANTONE Black 6C，黄色潘通色号为PANTONE 7408C，靴跟银色反光标识潘通色号为PANTONE Cool Gray 8C。色差≥3级。</w:t>
            </w:r>
          </w:p>
          <w:p w14:paraId="72084F0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二、款式</w:t>
            </w:r>
          </w:p>
          <w:p w14:paraId="57829C4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1、整体结构。靴帮由外到里分为帮面、防切割层和隔热舒适层三层结构。靴底由上到下分为隔热舒适层、防穿刺层和靴大底三层结构。靴头部位设有保护包头。靴帮顶部设有便于穿戴的提手。</w:t>
            </w:r>
          </w:p>
          <w:p w14:paraId="6CAC273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17式消防胶靴从靴内跟底部至靴帮后部筒口最低处的高度为300mm(±5mm)；靴筒口采用倾斜式设计，由前往后向下倾斜，前后高差20mm(±2mm)；靴帮上设有胫骨、踝骨和跖骨保护层，靴后跟部设有反光标识，筒口和靴底各设围条。</w:t>
            </w:r>
          </w:p>
          <w:p w14:paraId="796CCA3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3、靴帮采用筒面和外头皮拼接结构，材质为耐高温阻燃耐酸碱橡胶。</w:t>
            </w:r>
          </w:p>
          <w:p w14:paraId="21132AB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4、靴帮防切割层采用经2纬3棉帆布，经2用21S双股标准全棉，纬3用7S单股标准全棉。</w:t>
            </w:r>
          </w:p>
          <w:p w14:paraId="0BA5793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5、靴帮和靴底隔热舒适层（俗称靴内衬）采用棉布和氯丁橡胶发泡海绵复合面料。</w:t>
            </w:r>
          </w:p>
          <w:p w14:paraId="2DD2392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6、靴底防穿刺层采用芳香族聚酰胺纤维复合材料。</w:t>
            </w:r>
          </w:p>
          <w:p w14:paraId="6AAD53F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7、靴大底采用耐高温、阻燃、耐酸碱、耐磨防滑橡胶，啮合止滑纹路设计，提高防滑性能。</w:t>
            </w:r>
          </w:p>
          <w:p w14:paraId="32B2B36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8、鞋垫采用减震缓冲、排汗、防臭，抗菌鞋垫。</w:t>
            </w:r>
          </w:p>
          <w:p w14:paraId="089F05E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9、保护包头采用轻质铝合金或非金属复合材料。</w:t>
            </w:r>
          </w:p>
          <w:p w14:paraId="1A7A198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10、反光标识。靴后跟设有在耐高温、阻燃、耐酸碱橡胶块上，复合的银色三角形阻燃反光标志带。</w:t>
            </w:r>
          </w:p>
          <w:p w14:paraId="38649B1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三、标志</w:t>
            </w:r>
          </w:p>
          <w:p w14:paraId="1BBBF33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1、“执行标准:XF6-2004”</w:t>
            </w:r>
          </w:p>
          <w:p w14:paraId="64B971A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2、型号、规格；</w:t>
            </w:r>
          </w:p>
          <w:p w14:paraId="1C13EB2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3、生产厂的名称或商标；</w:t>
            </w:r>
          </w:p>
          <w:p w14:paraId="3248146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4、生产厂的灭火防护靴识别编号或制造年月；</w:t>
            </w:r>
          </w:p>
          <w:p w14:paraId="2E77800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5、检验合格标记；</w:t>
            </w:r>
          </w:p>
          <w:p w14:paraId="7009C1A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四、性能</w:t>
            </w:r>
          </w:p>
          <w:p w14:paraId="6232A0C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1、外底耐油性能(%)：-2—10.</w:t>
            </w:r>
          </w:p>
          <w:p w14:paraId="61ACF7A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2、金属衬垫的耐腐蚀性能：金属衬垫经腐蚀试验后，试样应无腐蚀现象。</w:t>
            </w:r>
          </w:p>
          <w:p w14:paraId="3252321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3、防砸性能(mm)：≥15</w:t>
            </w:r>
          </w:p>
          <w:p w14:paraId="25FA486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4、抗刺穿性能(N)：≥2250，</w:t>
            </w:r>
          </w:p>
          <w:p w14:paraId="1F7C515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5、抗切割性能：靴面经抗切割试验后，不应被割穿。</w:t>
            </w:r>
          </w:p>
          <w:p w14:paraId="5473A01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6、隔热性能(°C)：≤18，</w:t>
            </w:r>
          </w:p>
          <w:p w14:paraId="7605098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7、抗辐射热渗透性能(°C)：≤16</w:t>
            </w:r>
          </w:p>
          <w:p w14:paraId="4C2888D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8、击穿电压≥5000V，且泄漏电压≥3mA.</w:t>
            </w:r>
          </w:p>
          <w:p w14:paraId="71C3414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9、总质量≤2kg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8EEA22A">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875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D8C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BE40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29E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3B6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头盔灯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623546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满足国家GB30734-2014标准，提供国家消防装备质量监督检验中心或其他具有相应资质的第三方检测机构出具的检验报告</w:t>
            </w:r>
          </w:p>
          <w:p w14:paraId="63FC4AA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标识符合《17式消防员佩戴式防爆照明灯款式标识统型要求》：</w:t>
            </w:r>
          </w:p>
          <w:p w14:paraId="1B32573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一、主体结构</w:t>
            </w:r>
          </w:p>
          <w:p w14:paraId="2F2E062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17式消防员佩戴式防爆头灯采用直筒圆柱形结构设计，具备强光、弱光、爆闪光可切换功能，爆闪光闪烁频率应为8-10HZ。整体由外壳、光学单元、充电口、电量显示单元、电池和开关等组成。灯具重量≤110g，夹具重量≤40g。</w:t>
            </w:r>
          </w:p>
          <w:p w14:paraId="63FA135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1、灯具外壳应采用AL6061-T6铝合金材质，表面采用硬质阳极氧化处理工艺，颜色为亚光黑色。</w:t>
            </w:r>
          </w:p>
          <w:p w14:paraId="7B34CB8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2、灯身筒中部采用滚纹处理工艺，滚纹部分距灯头最前端距离为24mm±1mm，距灯尾最后端距离为10mm±1mm。</w:t>
            </w:r>
          </w:p>
          <w:p w14:paraId="086E6C7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3、灯具外壳防护等级应满足GB 4208-2008规定的IP66/ IP68 的要求，同时需要标明灯具的潜水深度和持续时间，灯具从1.5高度跌落不影响使用。</w:t>
            </w:r>
          </w:p>
          <w:p w14:paraId="6CD7B45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4、灯具工作满10min时测量其2m处光斑中心照度，光斑中心强光最大照度≥1800lx，弱光最大照度≥700lx。                                                                                                 </w:t>
            </w:r>
          </w:p>
          <w:p w14:paraId="4D07D77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二、附属结构</w:t>
            </w:r>
          </w:p>
          <w:p w14:paraId="1F13FF7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充电孔：灯筒上应设计有通用Type-C充电口孔位，孔位长度为7.9±1mm，宽度为5±0.3mm，孔位最前端距灯头最前端距离为30.6±1mm。当灯具充电时电量显示器应采用跑马灯方式显示充电进行状态及当前电量情况。灯具完全放电后充满电时间≤4h。</w:t>
            </w:r>
          </w:p>
          <w:p w14:paraId="74BFC53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电量显示窗：灯筒上应设计有通用电量显示单元窗孔，采用四段式蓝色电量显示设计，每段代表25%电量，孔位长度为11±1mm，宽度为3±0.3mm，电量显示孔与充电孔平行设计，轴向与充电孔的夹角为34°，电量显示窗最前端距灯头最前端距离为 29.5±1mm。当电量剩余不足25%时，最后一段电量显示灯持续闪烁提醒电量不足。</w:t>
            </w:r>
          </w:p>
          <w:p w14:paraId="69D2922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3、安装预留台阶结构：灯筒中部两侧对称设计有安装预留台阶，台阶长度为40±1mm，宽度为7±1mm。台阶最前端距灯头最前端距离为40.5±1mm，同时台阶与电量显示孔位垂直结构。</w:t>
            </w:r>
          </w:p>
          <w:p w14:paraId="0840056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4、尾盖凹槽：为方便开关按压，灯具尾部应设计有凹槽结构，凹槽结构为双侧对称设计，弧度为Φ30±1mm，高度为2.4±0.5mm。</w:t>
            </w:r>
          </w:p>
          <w:p w14:paraId="222CC43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5、挂绳孔：灯具外盖应设计有挂绳孔位，位于尾盖非凹槽部分。挂绳孔规格为（4±0.5）mm×（1.4±0.5）mm，采用对称设计共计4个孔位。</w:t>
            </w:r>
          </w:p>
          <w:p w14:paraId="37EB4D0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6、开关孔：灯具外壳尾端中部应设计有开关孔，开关孔直径为Φ13.2±0.5mm，位于外壳尾端正中位置。</w:t>
            </w:r>
          </w:p>
          <w:p w14:paraId="432F163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7、按钮开关：灯具应具备一体式方位灯大开关设计，尾部采用白色透明按钮式大开关设计，开关直径≥12.5mm，同时开关应一体式设计有红色常亮方位灯，用于方位指示,红色方位灯在晴朗夜间的可视距离应≥100m。</w:t>
            </w:r>
          </w:p>
          <w:p w14:paraId="2DDC4EE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8、夹具：与消防头盔和抢险救援防护头盔滑轨配套的头灯夹具，上下可调节。</w:t>
            </w:r>
          </w:p>
          <w:p w14:paraId="7A26F73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三、电池</w:t>
            </w:r>
          </w:p>
          <w:p w14:paraId="3F37DEE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1、电池应采用可充电锂电池，额定电压为DC3.7V，额定容量≥1.9Ah。</w:t>
            </w:r>
          </w:p>
          <w:p w14:paraId="1BF39CE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2、灯具电池两端应同时设置正负极，且电池两端正负极性应对称设计，电池装入灯具时应不需区分方向均能使灯具正常工作。</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E93D26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C76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0B1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3C4B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89F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238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灭火腰带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9B0807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提供国家级消防装备检测报告；标识符合《17式消防安全腰带款式标识统型要求》：</w:t>
            </w:r>
          </w:p>
          <w:p w14:paraId="2AB3096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一、颜色</w:t>
            </w:r>
          </w:p>
          <w:p w14:paraId="55BD6DA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1、织带：藏蓝色，潘通色号为PANTONE 19-4013 TCX Dark Navy，色差≥3级（按《纺织品  色牢度试验 评定变色用灰色样卡》）。</w:t>
            </w:r>
          </w:p>
          <w:p w14:paraId="7F209DD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2、带扣、D型环：铝本色。</w:t>
            </w:r>
          </w:p>
          <w:p w14:paraId="29452CF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3、保护盖、移动板、收带扣：颜色为黑色。</w:t>
            </w:r>
          </w:p>
          <w:p w14:paraId="5E881CC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4、缝线：颜色为灰色。</w:t>
            </w:r>
          </w:p>
          <w:p w14:paraId="1291734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二、款式（插扦改良式）</w:t>
            </w:r>
          </w:p>
          <w:p w14:paraId="0A6077C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1、织带：尼龙66材质，织带为整根，不应有接缝，具有一定硬度，规格为宽70mm×厚2.5mm，末端收尾为整烫圆弧型。</w:t>
            </w:r>
          </w:p>
          <w:p w14:paraId="5FAE52B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2、带扣：热锻铝7075合金材质，阳极氧化处理工艺，规格为长96mm×宽90mm×厚6mm。</w:t>
            </w:r>
          </w:p>
          <w:p w14:paraId="04E7E23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3、扦针：不锈钢420材质，双扦针，扦针的长度35mm，直径应与带扣、扦针孔适配。</w:t>
            </w:r>
          </w:p>
          <w:p w14:paraId="304C801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4、D型环：热锻铝7075合金材质，阳极氧化处理工艺，配置两个D型环，其中一个采用缝合固定，距带扣100mm处；另一个采用移动板和D型环组合结构，可自由调节。</w:t>
            </w:r>
          </w:p>
          <w:p w14:paraId="5697EFA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5、扦针孔：优质不锈钢材质，直径12mm，距带尾部200mm处成双排六列型式向前等距排列。</w:t>
            </w:r>
          </w:p>
          <w:p w14:paraId="203FEE2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6、移动板：尼龙66材质，规格为65mm×95mm×3mm。</w:t>
            </w:r>
          </w:p>
          <w:p w14:paraId="5D7357A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7、收带扣：尼龙材质，松紧带缝纫，宽度规格为20mm。</w:t>
            </w:r>
          </w:p>
          <w:p w14:paraId="06C7896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8、缝线：尼龙66材质，颜色为灰色，电脑曲折缝制线迹。</w:t>
            </w:r>
          </w:p>
          <w:p w14:paraId="2751E11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9、型号：分大、中、小三个型号，成品长度分别为1400mm、1300mm、1200mm。</w:t>
            </w:r>
          </w:p>
          <w:p w14:paraId="37D2BE2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三、标志带 </w:t>
            </w:r>
          </w:p>
          <w:p w14:paraId="0D383F9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永久性标志：耐磨水洗布，长160mm×宽60mm，缝于腰内侧。</w:t>
            </w:r>
          </w:p>
          <w:p w14:paraId="62E6CCB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四、性能</w:t>
            </w:r>
          </w:p>
          <w:p w14:paraId="0AD4A32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1、腰带质量：≤0.85kg。腰带的带扣的边角半径应≥6mm。正立方向静拉力：≥13KN。</w:t>
            </w:r>
          </w:p>
          <w:p w14:paraId="5A6D4D0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2、安全腰带的拉环不允许焊接。</w:t>
            </w:r>
          </w:p>
          <w:p w14:paraId="744B9DB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3、耐高温性能：安全腰带的织带和缝线不应出现融熔，焦化现象。</w:t>
            </w:r>
          </w:p>
          <w:p w14:paraId="00EF77F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4、金属零件的耐腐蚀性能：盐雾试验后。</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AE2459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D64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28A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8F14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DF9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7F4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电绝缘剪断钳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692853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用于事故现场电线电缆或其他带电体的剪切，可剪断16mm以下电线、钢筋，安全操作电压≥1000V；</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0AE3D4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57F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7AB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DF00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EA3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10C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折叠担架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130326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1、优质高强度合金骨架，可折叠存放，便于洗消；</w:t>
            </w:r>
          </w:p>
          <w:p w14:paraId="45F9B97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2、担架主体采用耐割、防穿刺面料，在担架两侧各设置4个固定环和扣绳；</w:t>
            </w:r>
          </w:p>
          <w:p w14:paraId="26B4473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3、承重≥120kg，跌落承重≥300kg；</w:t>
            </w:r>
          </w:p>
          <w:p w14:paraId="633FAA5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4、配携带防水包；</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DD3A3A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CE0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26C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B767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DA1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686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千斤顶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E2C3B4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1、立式油压千斤顶</w:t>
            </w:r>
          </w:p>
          <w:p w14:paraId="166E3CB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2、最低高度 ：≤195mm</w:t>
            </w:r>
          </w:p>
          <w:p w14:paraId="5EDF5C1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3、调整高度 ：≥60mm</w:t>
            </w:r>
          </w:p>
          <w:p w14:paraId="10F986F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4、起重高度 ：≥115mm</w:t>
            </w:r>
          </w:p>
          <w:p w14:paraId="15D8DE0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5、起重量 ：≥10吨。</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400904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8F6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809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97C5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053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2E4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通用安全绳50米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064A41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1、满足XF494-2004标准，提供国家级检测报告；</w:t>
            </w:r>
          </w:p>
          <w:p w14:paraId="7CB2F2A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2、特殊螺旋均匀纺织工艺使外皮和内芯紧密的结合一体，外皮滑动率为零。</w:t>
            </w:r>
          </w:p>
          <w:p w14:paraId="2EA26DD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3、直径10.5mm，长度为50米，最小破裂强度≥50KN，静拉力＞4000kg。</w:t>
            </w:r>
          </w:p>
          <w:p w14:paraId="491221B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4、性能：经204℃士5℃的耐高温性能试验后，安全绳不应出现融熔、焦化现象。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A2105FC">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卷</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B47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DC3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3731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51B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3C7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无齿锯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2ED771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1、汽油机动力，功率≥3.7KW（小于4.5kw）；</w:t>
            </w:r>
          </w:p>
          <w:p w14:paraId="6E210FB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2、锯片直径≥350/400mm，最大切割深度≥125/150mm；</w:t>
            </w:r>
          </w:p>
          <w:p w14:paraId="5FA83F7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3、质量（不含锯片和燃油）≤12KG；</w:t>
            </w:r>
          </w:p>
          <w:p w14:paraId="0DF689E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4、配备维修工具1套和3片锯片（金刚石、金属磨砂和多功能，锯片直径350mm/400mm）。</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83634A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8AD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3ED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6225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3BAC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3DC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液压破拆工具组</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89EC01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满足GB/T17906标准；2、包括双输出机动泵、手动泵及剪切器、扩张器、剪扩器、撑顶器、液压软管等，额定工作压力≥70Mpa；2、双输出液压泵的功率≥2.2KW；3、扩张器的扩张力≥120KN，开口行程≥650mm；4、剪扩器的刃端最大张距≥350mm，扩长力≥80kn，剪切力≥300kn；5、剪切器的剪切力≥600kn，剪切圆钢直径≥32mm；6、撑顶器的撑顶力≥100kn，撑顶直径≥800mm；7、液压软管长度≥5m；8、整套设备配备独立的器材运输箱；9、提供国家级检测机构（第三方）的检测报告。</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13DDDB1">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9F6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6EC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F695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17A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9DF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多功能担架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691B16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1.携行包1个；</w:t>
            </w:r>
          </w:p>
          <w:p w14:paraId="636BCAF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2、采用高密度聚乙烯材料制成，尺寸（长*宽）≥2.4m*0.9m，材料厚度≥5mm，可垂直或水平吊运，水平抬运，也可在光滑地面拖拉；</w:t>
            </w:r>
          </w:p>
          <w:p w14:paraId="492DC19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3、承重≥120KG，净重≤15KG；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B09B64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F73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9BF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3AF3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AC7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B44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正压式空气呼吸器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7E0C2F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1、符合国家XF124-2013标准，提供“国家消防装备质量监督检验中心”出具的检测报告和“应急管理部消防产品合格评审定中心”出具的消防产品认证证书。</w:t>
            </w:r>
          </w:p>
          <w:p w14:paraId="2578E8B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★2、全套空气呼吸器由全面罩、抬头显示、供气阀、减压阀、救援快速插口（三通）、报警哨和压力表、背板、托垫及 6.8L碳纤维复合气瓶，佩戴质量11.4Kg，每具空气呼吸器配备1个救援小包，内含供气头罩和供气导管，每20具空气呼吸器配置1套快速充气装置，快速充气连接管配有泄压阀，可实现气瓶对空呼充气，安全、快速；</w:t>
            </w:r>
          </w:p>
          <w:p w14:paraId="77FF31D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背架总成：背板采用复合材质制作，符合人体工程学设计。背板带有腰夹，重量分布于腰间，减轻肩部受力，可以完美贴合使用者背部及腰部，背部受力均匀；背带采用高性能本质阻燃材料制作，肩带设有弹性衬垫，肩垫宽厚柔软，调节方便；腰带和肩带均为耐磨、防滑、防火、防滑材料，且肩带上具有荧光带及面罩放置挂钩等；腰垫为可拆卸式，配合不同的工作环境使用；腰带采用前拉式收紧方式，便于消防车等狭小空间内的呼吸器穿戴；</w:t>
            </w:r>
          </w:p>
          <w:p w14:paraId="1C064B8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气瓶总成：符合TSG23-2021《气瓶安全技术规程》，提供“特种设备检测研究院”出具的的检测报告：特种设备制造监督检测证书（气瓶），工作压力30MPa,水压试验压力50MPa，爆破压力≥102MPa；气瓶容积6.8L；气瓶阀配置压力表，能在任何时候显示气瓶内部压力；气瓶阀带自锁功能，避免因使用过程中不慎碰撞或误操作关闭瓶阀；采用全缠绕式碳纤维复合材料制作，瓶体内层缠绕环形标识，每只气瓶有清晰的永久性标记，标记植入树脂层内，标记项目包含：气瓶编号、气瓶公称容积（L）、气瓶公称重量（kg）、气瓶充装截止名称或代号、气瓶公称工作压力（Mpa）、气瓶水压试验压力（Mpa）、制造单位名称或代号、气瓶制造年月、气瓶设计使用寿命、监督检验标志、产品标准、水压试验极限弹性膨胀量等信息；内胆采用高强度、经防腐处理、重量轻的铝合金材料；配套具有防火性能，气瓶保护套需按甲方要求印制表示;气瓶阀安装有限流装置，避免在气瓶阀意外断裂时因大流量的高压气体不受控制的释放而产生的气瓶冲击危险。</w:t>
            </w:r>
          </w:p>
          <w:p w14:paraId="14AE02F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面罩总成：采用球形大视野面屏全面罩，面罩胶体及口鼻罩设计形状符合亚洲人脸型，贴合度及密封性良好，面罩胶体采用硅胶材质，不出现僵化、硬化现象，对皮肤不造成过敏，长久防刮擦。总视野保留率为81.2%，双目视野保留率为67.8%，下方视野&gt;35°，镜片透光率为94%，全面罩面屏纳米镀层具有本质防雾功能，保障环境温差大使用不上雾。口鼻罩采用食品级硅胶材料，头罩采用网状高性能阻燃材料制成。配备具有阻燃性能的保护套。面罩固定方式为五点固定调节式头网，完全可根据任何佩戴者头部需要自由调整，头网采用KEVLAR材质，本质阻燃耐切割，抗撕拉，配置有颈带，佩戴舒适。</w:t>
            </w:r>
          </w:p>
          <w:p w14:paraId="5393626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供气阀总成：供气阀具有紧急供气、面罩强制去雾，配备水久除雾、排放余气等功能；中压管与供气阀、供气阀与面罩为活接插方式为360°快速接插，任何角度都可以操作，支持快速插拔功能：具有自动开启装置，首次呼吸自动激活，具有自动正压机构；供气流量≥500L/min：外形为仿生学原理按照人类握拳型设计，体积小巧，使用者方便对供气阀进行抓握。供气阀接插在面罩的正下方，保证良好视野率。供气阀与中压管可以自由连接、拆卸</w:t>
            </w:r>
          </w:p>
          <w:p w14:paraId="08298C7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★7、减压阀总成：恒压式结构设计，减压器输出压力0.66-0.79Mpa；设置安全阀，当减压器输出压力超过设定安全压力时，中压安全阀会自动泄压；</w:t>
            </w:r>
          </w:p>
          <w:p w14:paraId="6B9A48D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6334746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59B2ADE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en-US" w:bidi="en-US"/>
              </w:rPr>
              <w:t>9、抬头显示HUD:压力平视显示装置（HUD）接收端安装在供气阀上，免工具拆卸，传输方式：无线。显示装置具有光感传感器，感应环境光，调节灯光亮度，保护使用者视力，也方便浓烟环境观察压力，通过压力传感器采集气瓶内的气体压力，将信号用无线发射的方式发送到安装在面罩内侧的抬头显示器上，信号具有唯一性，设计有配对按钮。压力平视显示装置采用红、黄、绿不同颜色的LED灯光分别显示压力范围方式；当气瓶压力30MPa~10 MPa时，绿灯常亮；10MPa^6 MPa时，黄灯常亮；当气瓶压力低于6MPa时，红灯闪亮；同时报警哨起鸣，安装在面罩内的接收端上的两盏伙伴灯同时红灯闪烁，同行的伙伴处于任何位置都可观察到并提示；并且接收端同时会有震动功能提示。开启气瓶自动激活，实现自动开机。关闭气瓶手动关机；无气压状态下，支持手动开机并通过对码按键进行对码连接；先进的低功耗蓝牙无线传输技术，抗干扰能力强；连续工作时间可达100小时；内嵌光感传感器，报警灯亮度根据环境亮度自动调节；低电量报警，黄灯亮起提醒及时更换电池；电源：发射端采用2节7号碱性电池。防爆等级:Exia IIC T4 Ga，防护等级： IP67；工作温度-35℃--60℃；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578CC9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C62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47C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3083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3F5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F4C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手抬机动泵</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B96831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水泵材质：超轻铝合金单级单程离心泵引水方式：碳纤维旋片真空泵</w:t>
            </w:r>
          </w:p>
          <w:p w14:paraId="252161A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额定流量（吸深3M）：≥36T/h</w:t>
            </w:r>
          </w:p>
          <w:p w14:paraId="3972D1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★扬程：≥8</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M</w:t>
            </w:r>
          </w:p>
          <w:p w14:paraId="63D520B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额定压力（吸深3M)：≥0.55MPA</w:t>
            </w:r>
          </w:p>
          <w:p w14:paraId="555E0F1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吸水口：65MM</w:t>
            </w:r>
          </w:p>
          <w:p w14:paraId="7E2B1F0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★最大流量：≥5</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T/H</w:t>
            </w:r>
          </w:p>
          <w:p w14:paraId="53437D9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出水口：65MM</w:t>
            </w:r>
          </w:p>
          <w:p w14:paraId="5EE9E08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发动机型式：立式、单杠、风冷、四冲程(188F）启动系统：手拉启动、电启动</w:t>
            </w:r>
          </w:p>
          <w:p w14:paraId="781DC2B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输出功率：≥8.2KW</w:t>
            </w:r>
          </w:p>
          <w:p w14:paraId="7D2C952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燃料材质：柴油</w:t>
            </w:r>
          </w:p>
          <w:p w14:paraId="34ECBA4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转速规格：3600RPM/MIN</w:t>
            </w:r>
          </w:p>
          <w:p w14:paraId="48A59A1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点火方式：压燃式</w:t>
            </w:r>
          </w:p>
          <w:p w14:paraId="7B29819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燃油容积：≥5L</w:t>
            </w:r>
          </w:p>
          <w:p w14:paraId="7CA23DD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体积：≤610X475X610MM</w:t>
            </w:r>
          </w:p>
          <w:p w14:paraId="7F709A0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en-US" w:bidi="en-US"/>
              </w:rPr>
              <w:t>重量：≤85KG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043F317">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1DD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1E6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ADEE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880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b/>
                <w:bCs/>
                <w:i w:val="0"/>
                <w:iCs w:val="0"/>
                <w:color w:val="auto"/>
                <w:sz w:val="21"/>
                <w:szCs w:val="21"/>
                <w:u w:val="none"/>
              </w:rPr>
              <w:t>阿克陶县加马铁热克乡车辆装备</w:t>
            </w:r>
          </w:p>
        </w:tc>
      </w:tr>
      <w:tr w14:paraId="2B928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66B7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6A8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水罐消防车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96231C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所投型号车辆，应符合《消防车第 1 部分：通用技术条件》( GB7956.1-2014)标准要求，提供所投型号消防车的工信部公告、国家消防装备质量监督检验中心或国家权威机构出具的消防车检验报告；或承诺车辆交付时提供所投型号消防车的工信部公告、国家消防装备质量监督检验中心或国家权威机构出具的消防车检验报告和整车出厂合格证，工信部公告与整车出厂合格证数据须一致，并提供整车设计效果图，包括整体结构图、三维效果图需与现行现行涂装相符合；泵出水口为内扣式，符合国家综合性消防救援车辆外观制式涂装：涂装要素包括双色装饰带，徽标，车辆编号，中文“消防”、“救援”和英文“RESCUE”及文字和图案的组合，文字和文字的组合等。其中双色装饰带位于车身两及车身尾部；徽标位于车身两侧前部；与横线组合位于车辆顶部；“消防”汉字位于专项作业车驾驶室两侧后部；中文“消防”、“救援”和英文“RESCUE”的组合位于车头前部。</w:t>
            </w:r>
          </w:p>
          <w:p w14:paraId="40F1B91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1.整车参数 </w:t>
            </w:r>
          </w:p>
          <w:p w14:paraId="6A95FD1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1.1外形尺寸≤6150mm×2100mm×3050mm</w:t>
            </w:r>
          </w:p>
          <w:p w14:paraId="17C4197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1.2满载总质量≤7200kg</w:t>
            </w:r>
          </w:p>
          <w:p w14:paraId="287B4F5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1.3乘员人数 6人</w:t>
            </w:r>
          </w:p>
          <w:p w14:paraId="275DFDB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1.4最高车速 95km/h</w:t>
            </w:r>
          </w:p>
          <w:p w14:paraId="16B0C06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1.5排放标准 国VI</w:t>
            </w:r>
          </w:p>
          <w:p w14:paraId="3237FDB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★1.6液罐容量 水≥2800L</w:t>
            </w:r>
          </w:p>
          <w:p w14:paraId="5064A6C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1.7消防泵流量 ≥30L/s</w:t>
            </w:r>
          </w:p>
          <w:p w14:paraId="544741D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1.8消防炮流量 ≥30L/s</w:t>
            </w:r>
          </w:p>
          <w:p w14:paraId="40596A4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8C9075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2.底盘参数 </w:t>
            </w:r>
          </w:p>
          <w:p w14:paraId="58625D1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2.1动形式 4×2</w:t>
            </w:r>
          </w:p>
          <w:p w14:paraId="757CE65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2.2轴距 3360mm</w:t>
            </w:r>
          </w:p>
          <w:p w14:paraId="79C1452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★2.3驾驶室 四门双排驾驶室</w:t>
            </w:r>
          </w:p>
          <w:p w14:paraId="73FCFDA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2.4发动机形式 直列4缸、压燃、水冷、四冲程、增压中冷、高压共轨发动机</w:t>
            </w:r>
          </w:p>
          <w:p w14:paraId="6568CCD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2.5额定功率 ≥96/3000（kW/rpm）</w:t>
            </w:r>
          </w:p>
          <w:p w14:paraId="3F42E42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2.6额定扭矩 ≥405/2000（Nm/rpm）</w:t>
            </w:r>
          </w:p>
          <w:p w14:paraId="49CEDD9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2.7排放标准 国VI</w:t>
            </w:r>
          </w:p>
          <w:p w14:paraId="0FB17B0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2.8变速箱形式 手动变速箱，5个前进挡+1个倒挡</w:t>
            </w:r>
          </w:p>
          <w:p w14:paraId="2EB757D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★2.9取力器 断轴取力器</w:t>
            </w:r>
          </w:p>
          <w:p w14:paraId="14D4FA7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2.10油箱容量 70L</w:t>
            </w:r>
          </w:p>
          <w:p w14:paraId="2963518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88162B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★3.副车架 </w:t>
            </w:r>
          </w:p>
          <w:p w14:paraId="5DA0A22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3.1材质 高强度钢材。</w:t>
            </w:r>
          </w:p>
          <w:p w14:paraId="1B428FA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3.2结构形式 井字形焊接式成型，焊后校形振动消除焊接应力，与底盘大梁、上装采用刚性连接方式固定。</w:t>
            </w:r>
          </w:p>
          <w:p w14:paraId="49B437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3.3防腐处理 喷砂除油锈，喷涂重型防腐漆。</w:t>
            </w:r>
          </w:p>
          <w:p w14:paraId="365A9E8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268525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4.驾乘室 </w:t>
            </w:r>
          </w:p>
          <w:p w14:paraId="173DE18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4.1布局结构 四门双排驾驶室。</w:t>
            </w:r>
          </w:p>
          <w:p w14:paraId="61B4821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★4.2座位设置 前排1+2，后排3人</w:t>
            </w:r>
          </w:p>
          <w:p w14:paraId="4D9DD30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4.3安全设置 安装有安全带。</w:t>
            </w:r>
          </w:p>
          <w:p w14:paraId="65010F7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4.4内饰 驾驶室内加装水泵的取力器开关；警报器及警灯开关等。</w:t>
            </w:r>
          </w:p>
          <w:p w14:paraId="57C17B0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4.5照明 原车照明灯。</w:t>
            </w:r>
          </w:p>
          <w:p w14:paraId="3AC3968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4.6踏梯 高强度一体式防滑踏梯。</w:t>
            </w:r>
          </w:p>
          <w:p w14:paraId="5BFEB13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4.7扶手 配备安全扶手，提高了救援人员上、下车安全及速度。</w:t>
            </w:r>
          </w:p>
          <w:p w14:paraId="310C3C5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6474B94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5.车厢 </w:t>
            </w:r>
          </w:p>
          <w:p w14:paraId="0DD8085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★5.1材质 车厢（器材箱、泵室、内骨架及内饰板）全部采用高分子复合材料PP。</w:t>
            </w:r>
          </w:p>
          <w:p w14:paraId="76FAC4D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★5.2结构 车厢整体采用高分子复合材料焊接技术；在器材箱内预留各类设备器材专用夹具，充分利用车厢内部有限空间；内饰板和底板喷涂大理石漆面。</w:t>
            </w:r>
          </w:p>
          <w:p w14:paraId="3349C07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5.3梯架 车厢顶部设置一套多功能二节拉梯架，可放置二节拉梯、单杠梯、挂钩梯</w:t>
            </w:r>
          </w:p>
          <w:p w14:paraId="5A72E3D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5.4爬梯 车厢后部设置一架通往车顶的安全爬梯</w:t>
            </w:r>
          </w:p>
          <w:p w14:paraId="3A86B46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DB570C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★6.卷帘门 </w:t>
            </w:r>
          </w:p>
          <w:p w14:paraId="3F7D898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6.1材质 采用轻型优质铝合金，大幅面卷帘门，启闭灵活、密封性好、外形美观、轻便可靠</w:t>
            </w:r>
          </w:p>
          <w:p w14:paraId="5066B62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6.2结构 顶部设有导流槽，四周装有密封条，具有良好的防雨、防尘密封性能。配备拉杆式条锁把手、一点式拉带及两点式固定座</w:t>
            </w:r>
          </w:p>
          <w:p w14:paraId="33557A3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6.3消防泵自带暖风机，器材箱及泵房配防寒帘，加水出水口带防寒套以及带轮胎防滑链。</w:t>
            </w:r>
          </w:p>
          <w:p w14:paraId="4C9A2AE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                                                                                                                                                                     </w:t>
            </w:r>
          </w:p>
          <w:p w14:paraId="1853E6E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7.电器系统 </w:t>
            </w:r>
          </w:p>
          <w:p w14:paraId="3A007D4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7.1警灯警报 车头前顶部设置长排式警灯，单音100W警报器、警灯、电路为独立式附加电路，控制器件安装在驾驶室内</w:t>
            </w:r>
          </w:p>
          <w:p w14:paraId="0344A23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7.2器材箱灯 器材箱、泵房卷帘门两侧内设有LED白光照明灯带，能够满足整个箱体的照明</w:t>
            </w:r>
          </w:p>
          <w:p w14:paraId="1DDD38B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7.3频闪灯 车厢左右两侧上部各配置两盏频闪警灯</w:t>
            </w:r>
          </w:p>
          <w:p w14:paraId="2166CC6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7.4车外照明 车厢左右两侧上部各配置两盏LED侧照明灯，车厢尾部配置一盏LED照明灯</w:t>
            </w:r>
          </w:p>
          <w:p w14:paraId="31E7F36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7.5警示灯 车厢侧面均安装有专用黄色警示灯</w:t>
            </w:r>
          </w:p>
          <w:p w14:paraId="0317569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6C311F5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8.表面处理 </w:t>
            </w:r>
          </w:p>
          <w:p w14:paraId="150F4C4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8.1漆料 车厢表面喷涂进口品牌消防红色漆，为保证夜间工作安全，车身设有符合安全标准要求的荧光反光带</w:t>
            </w:r>
          </w:p>
          <w:p w14:paraId="24E8A80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8.2颜色 消防红</w:t>
            </w:r>
          </w:p>
          <w:p w14:paraId="6D47C68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7C2DEB2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9.消防泵 </w:t>
            </w:r>
          </w:p>
          <w:p w14:paraId="689B0DE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9.1额定压力≥ 1.0MPa</w:t>
            </w:r>
          </w:p>
          <w:p w14:paraId="1C53DEE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9.2额定流量 ≥30L/s</w:t>
            </w:r>
          </w:p>
          <w:p w14:paraId="6446554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9.3真空泵 水环真空泵</w:t>
            </w:r>
          </w:p>
          <w:p w14:paraId="39C7D37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★9.4引水形式 自动引水</w:t>
            </w:r>
          </w:p>
          <w:p w14:paraId="66D06B6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9.5吸水深度 7m</w:t>
            </w:r>
          </w:p>
          <w:p w14:paraId="6C73A83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9.6引水时间 ≤35s</w:t>
            </w:r>
          </w:p>
          <w:p w14:paraId="014CA4F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9.7安装形式 后置式</w:t>
            </w:r>
          </w:p>
          <w:p w14:paraId="6770219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9.8消防泵自带暖风机消防泵自带暖风机，器材箱及泵房配防寒帘，加水出水口带防寒套以及带轮胎防滑链。                                                                                                                                                                                                                                                                                                                                      </w:t>
            </w:r>
          </w:p>
          <w:p w14:paraId="5D6FA73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4FB3729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10.消防炮 </w:t>
            </w:r>
          </w:p>
          <w:p w14:paraId="7FBA867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10.1额定流量 ≥30L/s</w:t>
            </w:r>
          </w:p>
          <w:p w14:paraId="2DDB751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10.2射程 水≥60m</w:t>
            </w:r>
          </w:p>
          <w:p w14:paraId="438D3A3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10.3安装位置 车厢顶部</w:t>
            </w:r>
          </w:p>
          <w:p w14:paraId="643EE9A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10.4控制方式 手动控制</w:t>
            </w:r>
          </w:p>
          <w:p w14:paraId="5C2D734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★10.5水平回转角度 0°~330°</w:t>
            </w:r>
          </w:p>
          <w:p w14:paraId="3CD187E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★10.6俯仰回转角度 -10°~60</w:t>
            </w:r>
          </w:p>
          <w:p w14:paraId="3889FCF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6FD3E8C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11.液罐 </w:t>
            </w:r>
          </w:p>
          <w:p w14:paraId="714975F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11.1容量 水≥2800L</w:t>
            </w:r>
          </w:p>
          <w:p w14:paraId="3E1533C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★11.2材质 高分子复合材料PP采用多项专利技术高分子复合材料制造而成的特殊板材，强度高、抗冲击性强、耐低温、抗腐蚀性、质量轻的特点</w:t>
            </w:r>
          </w:p>
          <w:p w14:paraId="392238D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11.3安装形式 一体式</w:t>
            </w:r>
          </w:p>
          <w:p w14:paraId="0ABC861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11.4结构 1个溢流/卸压装置；1个液位传感器；1个水罐放余水口。</w:t>
            </w:r>
          </w:p>
          <w:p w14:paraId="030AEC0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F8B450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12.管路系统 </w:t>
            </w:r>
          </w:p>
          <w:p w14:paraId="2E11D90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12.1进水口 泵室正后方安装DN100螺纹式吸水口1个。</w:t>
            </w:r>
          </w:p>
          <w:p w14:paraId="00DE5E9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12.2注水口 泵室右侧安装带手动控制阀的DN65卡式注水口1个。</w:t>
            </w:r>
          </w:p>
          <w:p w14:paraId="44B4325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12.3出水口 泵室左右两侧各安装带手动控制阀的DN65卡式出水口1个。</w:t>
            </w:r>
          </w:p>
          <w:p w14:paraId="029C63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12.4放余水管路 为保护水泵，在管路中加装了放余水阀。</w:t>
            </w:r>
          </w:p>
          <w:p w14:paraId="404A1AF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12.5冷却水管路 为保护取力器的正常工作，管路中设有附加冷却装置。</w:t>
            </w:r>
          </w:p>
          <w:p w14:paraId="0EE2819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CA1C5B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★13.消防控制系统 </w:t>
            </w:r>
          </w:p>
          <w:p w14:paraId="341D778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13.1结构 装有液位指示器、转速表、压力表、真空表、油门等消防控制设备；控制面板上所有按钮、开关和指示灯标注有中文标识；显著位置设有管路布置图及简要操作说明。面板采用防水防尘设计模式，防护等级可达IP56。</w:t>
            </w:r>
          </w:p>
          <w:p w14:paraId="1EF14F2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13.2安装形式 车厢后部泵房内。</w:t>
            </w:r>
          </w:p>
          <w:p w14:paraId="64DC062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B96745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14.随车资料</w:t>
            </w:r>
          </w:p>
          <w:p w14:paraId="4518968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14.1底盘使用说明书</w:t>
            </w:r>
          </w:p>
          <w:p w14:paraId="032B8F2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14.2底盘合格证</w:t>
            </w:r>
          </w:p>
          <w:p w14:paraId="7F08BFD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14.3发动机号码拓印</w:t>
            </w:r>
          </w:p>
          <w:p w14:paraId="2C8E0A6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14.4底盘号码拓印件</w:t>
            </w:r>
          </w:p>
          <w:p w14:paraId="3FE103E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14.5消防车使用说明书</w:t>
            </w:r>
          </w:p>
          <w:p w14:paraId="06BF7C7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14.6消防车消防器材清单</w:t>
            </w:r>
          </w:p>
          <w:p w14:paraId="39A2D56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14.7消防车合格证</w:t>
            </w:r>
          </w:p>
          <w:p w14:paraId="5EED6C8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14.8消防车跟踪服务卡</w:t>
            </w:r>
          </w:p>
          <w:p w14:paraId="05CB9DB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14.9消防车交接清单</w:t>
            </w:r>
          </w:p>
          <w:p w14:paraId="332BC1F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451600F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15.随车器材</w:t>
            </w:r>
          </w:p>
          <w:p w14:paraId="08B5404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序号 器材名称 规格型号 数量</w:t>
            </w:r>
          </w:p>
          <w:p w14:paraId="59FD7AC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 直流开关水枪 卡式接口 2支</w:t>
            </w:r>
          </w:p>
          <w:p w14:paraId="7686452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 直流喷雾水枪 卡式接口 2支</w:t>
            </w:r>
          </w:p>
          <w:p w14:paraId="09900C6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 吸水管扳手ABC  2把</w:t>
            </w:r>
          </w:p>
          <w:p w14:paraId="22539F9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 消防水带 16-65-20、卡式接口 10盘</w:t>
            </w:r>
          </w:p>
          <w:p w14:paraId="7B6C7EC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 吸水管  4根</w:t>
            </w:r>
          </w:p>
          <w:p w14:paraId="5D3DA4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 地上消火栓扳手 1把</w:t>
            </w:r>
          </w:p>
          <w:p w14:paraId="560BD78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 地下消火栓扳手  1把</w:t>
            </w:r>
          </w:p>
          <w:p w14:paraId="1306681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 二分水器 ，卡式接口 1个</w:t>
            </w:r>
          </w:p>
          <w:p w14:paraId="3C2555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 二集水器 1个</w:t>
            </w:r>
          </w:p>
          <w:p w14:paraId="41D9AE8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 水带挂钩 4个</w:t>
            </w:r>
          </w:p>
          <w:p w14:paraId="150C9F1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 水带护桥2件</w:t>
            </w:r>
          </w:p>
          <w:p w14:paraId="7AFCC93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 滤水器 螺纹式接口 1个</w:t>
            </w:r>
          </w:p>
          <w:p w14:paraId="3F80732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 水带包布 4个</w:t>
            </w:r>
          </w:p>
          <w:p w14:paraId="788162E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 三分水器 1个</w:t>
            </w:r>
          </w:p>
          <w:p w14:paraId="28C9724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 异型同径接口 KJ65/KJK65Z、DN65内扣转DN65雌 2个</w:t>
            </w:r>
          </w:p>
          <w:p w14:paraId="1624315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 消防铁锹 1把</w:t>
            </w:r>
          </w:p>
          <w:p w14:paraId="54BA2BE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 消防尖斧  1把</w:t>
            </w:r>
          </w:p>
          <w:p w14:paraId="5DF55DA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 消防铁铤  1把</w:t>
            </w:r>
          </w:p>
          <w:p w14:paraId="113039B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19 消防大锤  1把</w:t>
            </w:r>
          </w:p>
          <w:p w14:paraId="04E6DEF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20 消防剪断钳 1把</w:t>
            </w:r>
          </w:p>
          <w:p w14:paraId="4C5FA3B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 手提式干粉灭火器  1具</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0EC506D">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0C7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2BE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1798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819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353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65mm水带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BEDE02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1、符合GB 6246-2011《消防水带》标准要求，产品要求为白色。</w:t>
            </w:r>
          </w:p>
          <w:p w14:paraId="0AB37AD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2、水带在端部附近中心线两侧用不易脱落的油墨，编织层：织物层编制均匀，表面整洁，无跳双经、断双经、跳纬及划伤。 </w:t>
            </w:r>
          </w:p>
          <w:p w14:paraId="2F12D81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3、每盘20米，含内扣式接口，内扣式，口径65mm；</w:t>
            </w:r>
          </w:p>
          <w:p w14:paraId="151D5D8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4、每盘长度为：≥20m。</w:t>
            </w:r>
          </w:p>
          <w:p w14:paraId="4C84983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★5、单位长度质量≤330g/m；延伸率（%）≤0.7；膨胀率（%）≤2.8；附着强度（N/25m)≥69；厚度规格≥0.3mm；</w:t>
            </w:r>
          </w:p>
          <w:p w14:paraId="437A444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★6、工作压力（含连接设备）≥2.0MPa，爆破压力≥10.0MPa。 </w:t>
            </w:r>
          </w:p>
          <w:p w14:paraId="47E0AB0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7、采用聚氨酯材料，接口表面无结疤、裂痕、砂眼；铝合金材质，长度结合需求更改</w:t>
            </w:r>
          </w:p>
          <w:p w14:paraId="1BB8769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8、接口要求：内扣式接口，接口表面进行阳极氧化处理，加工表面平整，光洁度高，无损伤，无结疤、裂痕，配专用护套； 将水带与接口绑扎。将水带与接口绑扎。且每个凹槽采用不少于7圈（360度）的高强度镀锌铁丝（≥16号）捆扎,(锻造铝镁合金接口);</w:t>
            </w:r>
          </w:p>
          <w:p w14:paraId="44EC556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9、每根水带应卷紧成圆盘形，外用耐磨、防潮物封装。</w:t>
            </w:r>
          </w:p>
          <w:p w14:paraId="277993E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10、提供国家消防装备质量监督检验中心或其他具有相应资质的第三方检测机构出具的检验报告</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6C4B6A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60B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84D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432D6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735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8FB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80MM水带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F4D6BA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提供国家消防装备质量监督检验中心或其他具有相应资质的第三方检测机构出具的检验报告，含内扣式接口，口径80mm采用聚氨酯材料，接口表面无结疤、裂痕、砂眼；铝合金材质，工作压力≥2Mpa；口径：80mm，内扣式。</w:t>
            </w:r>
          </w:p>
          <w:p w14:paraId="33E1B91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1、单位长度质量≤310g/m；</w:t>
            </w:r>
          </w:p>
          <w:p w14:paraId="2CBE11E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★2、延伸率（%）≤2.5；</w:t>
            </w:r>
          </w:p>
          <w:p w14:paraId="7CF2B06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★3、膨胀率（%）≤3.5；</w:t>
            </w:r>
          </w:p>
          <w:p w14:paraId="15FD4AA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★4、附着强度（N/25m)≥80;</w:t>
            </w:r>
          </w:p>
          <w:p w14:paraId="00C658E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5、厚度规格≥0.3mm；</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62C3DE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E3F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ADB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1A9C4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F0E1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5AC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直流水枪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F75622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1、铝合金材质，配备开关；</w:t>
            </w:r>
          </w:p>
          <w:p w14:paraId="0F61645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2、内扣式接口，口径65mm；</w:t>
            </w:r>
          </w:p>
          <w:p w14:paraId="79C960B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3、流量≥7L/s，射程≥25m。    </w:t>
            </w:r>
          </w:p>
          <w:p w14:paraId="4045197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4、满足GB8181-2005标准。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C16A7E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193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BDB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C706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8E5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509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多功能水枪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006C34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8181-2005标准。内扣式接口，口径65mm；单个消防员可有效操作控制，由喷雾枪头、球阀开关、枪管组织，带有握把，马蹄式环形水流开关，枪体内设置铝合金球型阀门可启闭水流；进水口径65mm，町野式接口，配防打结接口；具有直流喷雾无级转换、流量可调等功能，可调节≥5个档位的流量变化，直流有效射程≥35米；重量≤2Kg，金属表面硬质阳极氧化处理涂层</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E01A6F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8FC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3FA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47C4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C75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186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分水器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9C94BB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满足GA868-2010标准，表面无结疤、裂痕、砂眼；工作压力不低于1.6Mpa，铝合金材质；进水口径：80mm，内扣式，出水口径：3出水口×65mm，内扣式，重量不大于3.5kg。可方便手提式。</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609AC8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E44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574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419A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C34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F65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80-65转换接口</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C3C297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满足GB6246-2011标准，表面无结疤、裂痕、砂眼；铝合金材质，工作压力≥1.6Mpa；内扣式接口，80/65mm。80内扣-65内扣，接口耐压≥2.0Mpa</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14C61E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1C4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918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39B6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6DD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7F5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消火栓扳手</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2CF3DA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QZT-40型适用于公共场所、商业建筑和住宅小区等地面消防栓。型号符合GB3445-2005标准，扳手长度为800mm，并具有十字形的扳手头设计。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E5D7D4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707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F71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E77A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76F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1E6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灭火头盔</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AB244D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 xml:space="preserve">满足XF44-2015或GA44-2015标准，提供国家级消防装备检测报告；标识符合《23式消防头盔款式标识统型要求》和《消防头盔单位标识要求》；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1、盔壳：黄色，潘通色号为PANTONE 186C，黄色为PANTONE 012 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2、披肩：藏蓝色，潘通色号为PANTONE 19-4013 TCX Dark Navy，色差≥3级。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3、反光标识条：荧光黄色潘通色号为PANTONE 809C，荧光桔红色为PANTONE 811C，色差≥2级，入射角5°观察角0.2°时初始逆反射系数≥100cd/(1x*㎡)。</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4、滑块和配饰：黑色潘通色号为PANTONE 19-4007 TPX，色差≥3级。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1、由盔壳、滑轨、缓冲层、舒适衬垫、佩戴装置、面罩、披肩等组成。</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2、盔壳：耐高温阻燃材质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3、滑轨：盔体两侧设黑色多功能模块化滑轨，耐高温阻燃材质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4、缓冲层：耐高温阻燃材质，颜色为黑色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5、舒适衬垫：顶部为芳纶网状衬垫，四周为舒适层（与帽箍一体）可调节戴帽高度。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6、佩戴装置：包括帽箍和系带，为耐高温阻燃材质。在盔体后沿下侧设头围调节旋钮；系带可调节佩戴松紧，加装可拆洗阻燃舒适软垫：插扣为快脱插扣。</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7、面罩：耐高温阻燃材质。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8、披肩：防水处理、耐高温阻燃芳纶材料，颜色为藏蓝色，可快速拆卸、安装。</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9、反光标识：两侧粘贴弧形反光标识条，为耐高温材质，宽度为30mm±1mm，长度为226mm±2mm，弧形总高52mm±2mm；黄色头盔使用荧光桔红色反光标识条。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10、所有可调节扣件全部采用黄色，为改性阻燃尼龙66材料。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1、帽徽：消防头盔前面居中粘贴软质立体19式消防大帽徽，距帽檐底部18±2mm，帽徽规格为高5.9厘米、宽5.7厘米。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2、单位标识：侧面居中采用耐雨淋反光材料牢固粘贴根据甲方要求印制标识，字体为简粗平黑，字体大小为30（±1）mm×35（±1）mm，字间距10±1mm，颜色为银灰色，潘通色号为PANTONE 423C，色差≥3级。头盔两侧文字相同，均从帽徽一侧呈半弧状（与加强筋弧度相似）向盔体后部均匀排列。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3、头盔后部内侧包含“17式消防头盔”的永久性标识。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1、冲击吸收性能：高温预处理最大冲击力（N）：≤3100，辐射热预处理最大冲击力（N）：≤3010，低温预处理最大冲击力（N）：≤3450，浸水预处理最大冲击力（N）：≤3000，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2、抗冲击加速度性能：帽顶部（gn）:≤135，帽前部（gn）:≤340.8，帽后部（gn）:≤351.6，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3、耐穿透性能:钢锥应不能穿透头盔与头模产生接触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4、耐燃烧性能:火源离开帽壳后，帽壳火焰应在5s内自熄，并且无火焰烧透到帽壳内部的明显迹象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5、阻燃性能：下颚带：损毁长度（mm）：≤10。续燃时间（s）：≤2。披肩：损毁长度（mm）：≤30.  续燃时间（s）：≤2。面罩：续燃时间（s）：≤5，且以上均不应有熔融、滴落现象。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6、电绝缘性能:帽壳泄露电流：≤1mA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7、侧向刚性:帽壳最大变形标准要求：≤35mm，卸载后变形标准要求：≤3.1mm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8、质量（g）：≤1100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063614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29D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735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997F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B0F9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ABE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灭火手套</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E26711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1、满足XF7-2004标准，提供国家级消防装备检测报告；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2、手套外层应采用芳纶材料，并与皮革相配合，增加耐磨性。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3、应采用反光标志带，应具有耐火性。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4、隔热层应为芳纶水刺毡。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5、五分钟浸水测试，不渗透。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6、手腕部位具有可调节松紧尼龙粘胶。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7、型号分为大、中、小三个型号。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8、颜色为藏蓝色</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61BFDF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81F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87B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9CC6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689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309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灭火防护服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01607E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满足XF10-2014《消防员灭火防护服》标准要求，提供国家级消防装备检测报告；标识符合23式消防员灭火防护服（作战款）款式标识统型要求》；采用四层结构；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藏蓝色，潘通色号为 PANTONE 19-4013 TCX Dark Navy，色差≥3级（按《纺细品色牢度试验评定变色用灰色样卡》GB/T250-2008 标准评判）。</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1、上下分体式结构，上衣和裤子间重叠部分应不小于200mm。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2、衣领为立领，前部设护领，衣领内侧采用顺色贴肤舒适面料。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3、上衣在胸部、下摆、袖口各设 1 条 360 度环形反光标识带，裤子在小腿部各设1条360度环形反光标志带，反光标志带宽度为 50.8mm（2 英寸），颜色为黄银黄。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4、裤子裆部采用一体式设计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5、裤子背带为 H 型背带，背带应可调节长度，可拆卸。</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6、上衣前门襟拉链号型不小于 8 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7、背部设有风琴褶。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1、上衣左胸外设电台立体口袋，门襟内侧设防水插袋，下摆设置外贴袋。大腿外侧各设工具袋 1 个。所有外口袋均设置漏水孔。</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2、在左上臂外侧设 90mm×110mm 盾牌型魔术贴并配盾牌型标识；盾牌型魔术贴上方设长57mm、斜边宽33mm平行四边形魔术贴，并配平行长方形魔术贴并配消防救援衔标识。左胸魔术贴。左胸电台立体口袋上方设长69mm、上宽52mm、下宽50mm盾型魔术贴，并配盾型胸徽标识。右胸魔术贴。右胸胸部反光带上方设长66mm、宽18mm长方形魔术贴，并配长方形姓名牌标识；长方形魔术贴上方设长66mm、宽31mm翼型魔术贴，并配翼型胸标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3、袖口处采用圆弧形设计，外层本色布包边，设置收紧调节袢，并配置罗纹防护护腕，罗纹防护护腕开拇指孔，内部设置止水布。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4、上衣门襟。上衣门襟魔术贴为贯通式。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5、上衣下摆。上衣舒适层下摆设置止水布。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6、裤脚口。裤脚口处采用圆弧形设计，内部设置止水布，内侧设置拉链，裤脚设耐磨材料包边。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7、在肩、肘、膝部应采用耐磨层加厚处理，耐磨层应柔软且易于清洗。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8、左右肩部设有两个挂袢。</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9、背部设有救生拖拉带，展开时间不大于10S，可以拖动80kg假人10米以上。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背部印字：消防救援队伍配备服装背部居中采用耐火、防水、荧光材料喷涂印制根据甲方要求印制标识，字体为简粗平黑，颜色为银色，每个字大小 70mm×85mm，字间距 20mm，位置在反光带上方 30mm 处。反光带下方 30mm 处 ，字体为简粗平黑，颜色为银色。四个字和五个字时每个字大小50mm×55mm，字间距15mm；六个字时每个字大小45mm×55mm，字间距10mm；七个字时每个字大小40mm×55mm，字间距8mm。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1、整体热防护性能 TPP（cal/c㎡） ：≥32。</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2、整套衣服重量：≤2.6kg。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3、阻燃性能：外层损毁长度（经向、纬向≤35mm）；防水透气隔热层损毁长度（经向、纬向≤40mm）；舒适层损毁长度（经向、纬向≤45mm）。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4、断裂强力：外层（经向≥1000N，纬向≥900N）；舒适层（经向≥300N，纬向: ≥500N）。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5、外层撕破强力：经向≥200N、纬向≥100N。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6、热稳定性能：经热稳定性能试验后，外层、防水透气隔热层、外层加强材料和舒适层尺寸变化率均≤5％，且试样表面应无明显变化。</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7、反光标志带阻燃性能：经向、纬向损毁长度≤25mm；外层加强材料阻燃性能：经向、纬向损毁长度≤30mm。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8、防水透气层：耐静水压：&gt;50KPa；拒油性能≥3级；透湿率&gt;8000g/m2·24h。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9、缩水率：外层、防水透气隔热层、舒适层经、纬方向尺寸变化率均≤3％。</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10、接缝断裂强力：外层经向、纬向≥800N。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11、外层表面抗湿性能：≥3级。</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DCC03E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A0C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7F8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6D83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F3F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556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灭火靴子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B59D4E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满足XF6-2004标准，提供国家级消防装备检测报告；标识符合《23式消防员灭火防护靴（橡胶）款式标识统型要求》：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主体颜色为黑色和黄色，黑色潘通色号为PANTONE Black 6C，黄色潘通色号为PANTONE 7408C，靴跟银色反光标识潘通色号为PANTONE Cool Gray 8C。色差≥3级。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1、整体结构。靴帮由外到里分为帮面、防切割层和隔热舒适层三层结构。靴底由上到下分为隔热舒适层、防穿刺层和靴大底三层结构。靴头部位设有保护包头。靴帮顶部设有便于穿戴的提手。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17式消防胶靴从靴内跟底部至靴帮后部筒口最低处的高度为300mm(±5mm)；靴筒口采用倾斜式设计，由前往后向下倾斜，前后高差20mm(±2mm)；靴帮上设有胫骨、踝骨和跖骨保护层，靴后跟部设有反光标识，筒口和靴底各设围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3、靴帮采用筒面和外头皮拼接结构，材质为耐高温阻燃耐酸碱橡胶。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4、靴帮防切割层采用经2纬3棉帆布，经2用21S双股标准全棉，纬3用7S单股标准全棉。</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5、靴帮和靴底隔热舒适层（俗称靴内衬）采用棉布和氯丁橡胶发泡海绵复合面料。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6、靴底防穿刺层采用芳香族聚酰胺纤维复合材料。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7、靴大底采用耐高温、阻燃、耐酸碱、耐磨防滑橡胶，啮合止滑纹路设计，提高防滑性能。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8、鞋垫采用减震缓冲、排汗、防臭，抗菌鞋垫。</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9、保护包头采用轻质铝合金或非金属复合材料。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10、反光标识。靴后跟设有在耐高温、阻燃、耐酸碱橡胶块上，复合的银色三角形阻燃反光标志带。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1、“执行标准:XF6-2004”</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2、型号、规格；</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3、生产厂的名称或商标；</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4、生产厂的灭火防护靴识别编号或制造年月；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5、检验合格标记；</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1、外底耐油性能(%)：-2—10.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2、金属衬垫的耐腐蚀性能：金属衬垫经腐蚀试验后，试样应无腐蚀现象。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3、防砸性能(mm)：≥15</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4、抗刺穿性能(N)：≥2250，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5、抗切割性能：靴面经抗切割试验后，不应被割穿。</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6、隔热性能(°C)：≤18，</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7、抗辐射热渗透性能(°C)：≤16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8、击穿电压≥5000V，且泄漏电压≥3mA.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9、总质量≤2kg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72BCC7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B45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05C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026C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66B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B37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头盔灯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EAE84F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满足国家GB30734-2014标准，提供国家消防装备质量监督检验中心或其他具有相应资质的第三方检测机构出具的检验报告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标识符合《17式消防员佩戴式防爆照明灯款式标识统型要求》：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17式消防员佩戴式防爆头灯采用直筒圆柱形结构设计，具备强光、弱光、爆闪光可切换功能，爆闪光闪烁频率应为8-10HZ。整体由外壳、光学单元、充电口、电量显示单元、电池和开关等组成。灯具重量≤110g，夹具重量≤40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1、灯具外壳应采用AL6061-T6铝合金材质，表面采用硬质阳极氧化处理工艺，颜色为亚光黑色。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2、灯身筒中部采用滚纹处理工艺，滚纹部分距灯头最前端距离为24mm±1mm，距灯尾最后端距离为10mm±1mm。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3、灯具外壳防护等级应满足GB 4208-2008规定的IP66/ IP68 的要求，同时需要标明灯具的潜水深度和持续时间，灯具从1.5高度跌落不影响使用。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4、灯具工作满10min时测量其2m处光斑中心照度，光斑中心强光最大照度≥1800lx，弱光最大照度≥700lx。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充电孔：灯筒上应设计有通用Type-C充电口孔位，孔位长度为7.9±1mm，宽度为5±0.3mm，孔位最前端距灯头最前端距离为30.6±1mm。当灯具充电时电量显示器应采用跑马灯方式显示充电进行状态及当前电量情况。灯具完全放电后充满电时间≤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电量显示窗：灯筒上应设计有通用电量显示单元窗孔，采用四段式蓝色电量显示设计，每段代表25%电量，孔位长度为11±1mm，宽度为3±0.3mm，电量显示孔与充电孔平行设计，轴向与充电孔的夹角为34°，电量显示窗最前端距灯头最前端距离为 29.5±1mm。当电量剩余不足25%时，最后一段电量显示灯持续闪烁提醒电量不足。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3、安装预留台阶结构：灯筒中部两侧对称设计有安装预留台阶，台阶长度为40±1mm，宽度为7±1mm。台阶最前端距灯头最前端距离为40.5±1mm，同时台阶与电量显示孔位垂直结构。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4、尾盖凹槽：为方便开关按压，灯具尾部应设计有凹槽结构，凹槽结构为双侧对称设计，弧度为Φ30±1mm，高度为2.4±0.5mm。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5、挂绳孔：灯具外盖应设计有挂绳孔位，位于尾盖非凹槽部分。挂绳孔规格为（4±0.5）mm×（1.4±0.5）mm，采用对称设计共计4个孔位。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6、开关孔：灯具外壳尾端中部应设计有开关孔，开关孔直径为Φ13.2±0.5mm，位于外壳尾端正中位置。</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7、按钮开关：灯具应具备一体式方位灯大开关设计，尾部采用白色透明按钮式大开关设计，开关直径≥12.5mm，同时开关应一体式设计有红色常亮方位灯，用于方位指示,红色方位灯在晴朗夜间的可视距离应≥100m。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8、夹具：与消防头盔和抢险救援防护头盔滑轨配套的头灯夹具，上下可调节。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三、电池</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1、电池应采用可充电锂电池，额定电压为DC3.7V，额定容量≥1.9Ah。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2、灯具电池两端应同时设置正负极，且电池两端正负极性应对称设计，电池装入灯具时应不需区分方向均能使灯具正常工作。</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B015AC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E40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1EE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97B8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8F0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063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灭火腰带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97548C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提供国家级消防装备检测报告；标识符合《17式消防安全腰带款式标识统型要求》：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1、织带：藏蓝色，潘通色号为PANTONE 19-4013 TCX Dark Navy，色差≥3级（按《纺织品  色牢度试验 评定变色用灰色样卡》）。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2、带扣、D型环：铝本色。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3、保护盖、移动板、收带扣：颜色为黑色。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4、缝线：颜色为灰色。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二、款式（插扦改良式）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1、织带：尼龙66材质，织带为整根，不应有接缝，具有一定硬度，规格为宽70mm×厚2.5mm，末端收尾为整烫圆弧型。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2、带扣：热锻铝7075合金材质，阳极氧化处理工艺，规格为长96mm×宽90mm×厚6mm。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3、扦针：不锈钢420材质，双扦针，扦针的长度35mm，直径应与带扣、扦针孔适配。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4、D型环：热锻铝7075合金材质，阳极氧化处理工艺，配置两个D型环，其中一个采用缝合固定，距带扣100mm处；另一个采用移动板和D型环组合结构，可自由调节。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5、扦针孔：优质不锈钢材质，直径12mm，距带尾部200mm处成双排六列型式向前等距排列。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6、移动板：尼龙66材质，规格为65mm×95mm×3mm。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7、收带扣：尼龙材质，松紧带缝纫，宽度规格为20mm。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8、缝线：尼龙66材质，颜色为灰色，电脑曲折缝制线迹。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9、型号：分大、中、小三个型号，成品长度分别为1400mm、1300mm、1200mm。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三、标志带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永久性标志：耐磨水洗布，长160mm×宽60mm，缝于腰内侧。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1、腰带质量：≤0.85kg。腰带的带扣的边角半径应≥6mm。正立方向静拉力：≥13KN。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2、安全腰带的拉环不允许焊接。</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3、耐高温性能：安全腰带的织带和缝线不应出现融熔，焦化现象。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4、金属零件的耐腐蚀性能：盐雾试验后。</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7D5327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B46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EA6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DAAB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DF3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381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六米拉梯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240608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1、满足XF137-2007标准；2、竹质材质，工作长度≥6米；3、整梯重量≤30KG；4、提供国家级检测机构（第三方）的检测报告。带滑轮、绳子，可伸缩的。</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0335BA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E6F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576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27A7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9FF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3DD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电绝缘剪断钳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39CBB2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用于事故现场电线电缆或其他带电体的剪切，可剪断16mm以下电线、钢筋，安全操作电压≥1000V；</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55E758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795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B88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E5FD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721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C0E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折叠担架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C2525A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1、优质高强度合金骨架，可折叠存放，便于洗消；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2、担架主体采用耐割、防穿刺面料，在担架两侧各设置4个固定环和扣绳；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3、承重≥120kg，跌落承重≥300kg；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4、配携带防水包；</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542278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E4A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059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4B7F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945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1A7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千斤顶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E13B0E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1、立式油压千斤顶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2、最低高度 ：≤195mm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3、调整高度 ：≥60mm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4、起重高度 ：≥115mm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5、起重量 ：≥10吨。</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B551A6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AA6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925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89F6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188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5DD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正压式空气呼吸器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5A0AEE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1、符合国家XF124-2013标准，提供“国家消防装备质量监督检验中心”出具的检测报告和“应急管理部消防产品合格评审定中心”出具的消防产品认证证书。</w:t>
            </w:r>
          </w:p>
          <w:p w14:paraId="032B7FB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★2、全套空气呼吸器由全面罩、抬头显示、供气阀、减压阀、救援快速插口（三通）、报警哨和压力表、背板、托垫及 6.8L碳纤维复合气瓶，佩戴质量11.4Kg，每具空气呼吸器配备1个救援小包，内含供气头罩和供气导管，每20具空气呼吸器配置1套快速充气装置，快速充气连接管配有泄压阀，可实现气瓶对空呼充气，安全、快速；</w:t>
            </w:r>
          </w:p>
          <w:p w14:paraId="41AD4B0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背架总成：背板采用复合材质制作，符合人体工程学设计。背板带有腰夹，重量分布于腰间，减轻肩部受力，可以完美贴合使用者背部及腰部，背部受力均匀；背带采用高性能本质阻燃材料制作，肩带设有弹性衬垫，肩垫宽厚柔软，调节方便；腰带和肩带均为耐磨、防滑、防火、防滑材料，且肩带上具有荧光带及面罩放置挂钩等；腰垫为可拆卸式，配合不同的工作环境使用；腰带采用前拉式收紧方式，便于消防车等狭小空间内的呼吸器穿戴；</w:t>
            </w:r>
          </w:p>
          <w:p w14:paraId="3F3C368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气瓶总成：符合TSG23-2021《气瓶安全技术规程》，提供“特种设备检测研究院”出具的的检测报告：特种设备制造监督检测证书（气瓶），工作压力30MPa,水压试验压力50MPa，爆破压力≥102MPa；气瓶容积6.8L；气瓶阀配置压力表，能在任何时候显示气瓶内部压力；气瓶阀带自锁功能，避免因使用过程中不慎碰撞或误操作关闭瓶阀；采用全缠绕式碳纤维复合材料制作，瓶体内层缠绕环形标识，每只气瓶有清晰的永久性标记，标记植入树脂层内，标记项目包含：气瓶编号、气瓶公称容积（L）、气瓶公称重量（kg）、气瓶充装截止名称或代号、气瓶公称工作压力（Mpa）、气瓶水压试验压力（Mpa）、制造单位名称或代号、气瓶制造年月、气瓶设计使用寿命、监督检验标志、产品标准、水压试验极限弹性膨胀量等信息；内胆采用高强度、经防腐处理、重量轻的铝合金材料；配套具有防火性能，气瓶保护套需按甲方要求印制表示;气瓶阀安装有限流装置，避免在气瓶阀意外断裂时因大流量的高压气体不受控制的释放而产生的气瓶冲击危险。</w:t>
            </w:r>
          </w:p>
          <w:p w14:paraId="669E3BE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面罩总成：采用球形大视野面屏全面罩，面罩胶体及口鼻罩设计形状符合亚洲人脸型，贴合度及密封性良好，面罩胶体采用硅胶材质，不出现僵化、硬化现象，对皮肤不造成过敏，长久防刮擦。总视野保留率为81.2%，双目视野保留率为67.8%，下方视野&gt;35°，镜片透光率为94%，全面罩面屏纳米镀层具有本质防雾功能，保障环境温差大使用不上雾。口鼻罩采用食品级硅胶材料，头罩采用网状高性能阻燃材料制成。配备具有阻燃性能的保护套。面罩固定方式为五点固定调节式头网，完全可根据任何佩戴者头部需要自由调整，头网采用KEVLAR材质，本质阻燃耐切割，抗撕拉，配置有颈带，佩戴舒适。</w:t>
            </w:r>
          </w:p>
          <w:p w14:paraId="6E79952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供气阀总成：供气阀具有紧急供气、面罩强制去雾，配备水久除雾、排放余气等功能；中压管与供气阀、供气阀与面罩为活接插方式为360°快速接插，任何角度都可以操作，支持快速插拔功能：具有自动开启装置，首次呼吸自动激活，具有自动正压机构；供气流量≥500L/min：外形为仿生学原理按照人类握拳型设计，体积小巧，使用者方便对供气阀进行抓握。供气阀接插在面罩的正下方，保证良好视野率。供气阀与中压管可以自由连接、拆卸</w:t>
            </w:r>
          </w:p>
          <w:p w14:paraId="4B5DD0A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★7、减压阀总成：恒压式结构设计，减压器输出压力0.66-0.79Mpa；设置安全阀，当减压器输出压力超过设定安全压力时，中压安全阀会自动泄压；</w:t>
            </w:r>
          </w:p>
          <w:p w14:paraId="69B3912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59271AF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2B3F925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抬头显示HUD:压力平视显示装置（HUD）接收端安装在供气阀上，免工具拆卸，传输方式：无线。显示装置具有光感传感器，感应环境光，调节灯光亮度，保护使用者视力，也方便浓烟环境观察压力，通过压力传感器采集气瓶内的气体压力，将信号用无线发射的方式发送到安装在面罩内侧的抬头显示器上，信号具有唯一性，设计有配对按钮。压力平视显示装置采用红、黄、绿不同颜色的LED灯光分别显示压力范围方式；当气瓶压力30MPa~10 MPa时，绿灯常亮；10MPa^6 MPa时，黄灯常亮；当气瓶压力低于6MPa时，红灯闪亮；同时报警哨起鸣，安装在面罩内的接收端上的两盏伙伴灯同时红灯闪烁，同行的伙伴处于任何位置都可观察到并提示；并且接收端同时会有震动功能提示。开启气瓶自动激活，实现自动开机。关闭气瓶手动关机；无气压状态下，支持手动开机并通过对码按键进行对码连接；先进的低功耗蓝牙无线传输技术，抗干扰能力强；连续工作时间可达100小时；内嵌光感传感器，报警灯亮度根据环境亮度自动调节；低电量报警，黄灯亮起提醒及时更换电池；电源：发射端采用2节7号碱性电池。防爆等级:Exia IIC T4 Ga，防护等级： IP67；工作温度-35℃--60℃；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3D9DB0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84B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E21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B12C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B1BA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3D3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手抬机动泵</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707311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水泵材质：超轻铝合金单级单程离心泵引水方式：碳纤维旋片真空泵</w:t>
            </w:r>
          </w:p>
          <w:p w14:paraId="0FA55EF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额定流量（吸深3M）：≥36T/h</w:t>
            </w:r>
          </w:p>
          <w:p w14:paraId="3E95EC8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★扬程：≥8</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M</w:t>
            </w:r>
          </w:p>
          <w:p w14:paraId="6B16F17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额定压力（吸深3M)：≥0.55MPA</w:t>
            </w:r>
          </w:p>
          <w:p w14:paraId="2F2C389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吸水口：65MM</w:t>
            </w:r>
          </w:p>
          <w:p w14:paraId="62D93A1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★最大流量：≥5</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T/H</w:t>
            </w:r>
          </w:p>
          <w:p w14:paraId="17281FA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出水口：65MM</w:t>
            </w:r>
          </w:p>
          <w:p w14:paraId="26E5FF6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发动机型式：立式、单杠、风冷、四冲程(188F）启动系统：手拉启动、电启动</w:t>
            </w:r>
          </w:p>
          <w:p w14:paraId="24714FE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输出功率：≥8.2KW</w:t>
            </w:r>
          </w:p>
          <w:p w14:paraId="74BED98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燃料材质：柴油</w:t>
            </w:r>
          </w:p>
          <w:p w14:paraId="1633405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转速规格：3600RPM/MIN</w:t>
            </w:r>
          </w:p>
          <w:p w14:paraId="093211C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点火方式：压燃式</w:t>
            </w:r>
          </w:p>
          <w:p w14:paraId="2AC8D56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燃油容积：≥5L</w:t>
            </w:r>
          </w:p>
          <w:p w14:paraId="3067B51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体积：≤610X475X610MM</w:t>
            </w:r>
          </w:p>
          <w:p w14:paraId="1B04D42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重量：≤85KG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C908B7B">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1A7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13A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8AF9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0E7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D5F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通用安全绳50米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782F2E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1、满足XF494-2004标准，提供国家级检测报告；</w:t>
            </w:r>
          </w:p>
          <w:p w14:paraId="44434C7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2、特殊螺旋均匀纺织工艺使外皮和内芯紧密的结合一体，外皮滑动率为零。</w:t>
            </w:r>
          </w:p>
          <w:p w14:paraId="1D22DB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3、直径10.5mm，长度为50米，最小破裂强度≥50KN，静拉力＞4000kg。</w:t>
            </w:r>
          </w:p>
          <w:p w14:paraId="3921D73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4、性能：经204℃士5℃的耐高温性能试验后，安全绳不应出现融熔、焦化现象。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9A008C8">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卷</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F69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911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F627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4B6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b/>
                <w:bCs/>
                <w:i w:val="0"/>
                <w:iCs w:val="0"/>
                <w:color w:val="auto"/>
                <w:sz w:val="21"/>
                <w:szCs w:val="21"/>
                <w:u w:val="none"/>
              </w:rPr>
              <w:t>阿克陶县奥依塔克镇采购车辆装备</w:t>
            </w:r>
          </w:p>
        </w:tc>
      </w:tr>
      <w:tr w14:paraId="35CE7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360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82D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水罐消防车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A39A7C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所投型号车辆，应符合《消防车第 1 部分：通用技术条件》( GB7956.1-2014)标准要求，提供所投型号消防车的工信部公告、国家消防装备质量监督检验中心或国家权威机构出具的消防车检验报告；或承诺车辆交付时提供所投型号消防车的工信部公告、国家消防装备质量监督检验中心或国家权威机构出具的消防车检验报告和整车出厂合格证，工信部公告与整车出厂合格证数据须一致，并提供整车设计效果图，包括整体结构图、三维效果图需与现行现行涂装相符合；泵出水口为内扣式，符合国家综合性消防救援车辆外观制式涂装：涂装要素包括双色装饰带，徽标，车辆编号，中文“消防”、“救援”和英文“RESCUE”及文字和图案的组合，文字和文字的组合等。其中双色装饰带位于车身两及车身尾部；徽标位于车身两侧前部；与横线组合位于车辆顶部；“消防”汉字位于专项作业车驾驶室两侧后部；中文“消防”、“救援”和英文“RESCUE”的组合位于车头前部。</w:t>
            </w:r>
          </w:p>
          <w:p w14:paraId="49DADCC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1.整车参数 </w:t>
            </w:r>
          </w:p>
          <w:p w14:paraId="2C6BCA4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1.1外形尺寸≤6150mm×2100mm×3050mm</w:t>
            </w:r>
          </w:p>
          <w:p w14:paraId="66F385C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1.2满载总质量≤7200kg</w:t>
            </w:r>
          </w:p>
          <w:p w14:paraId="1D8A188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1.3乘员人数 6人</w:t>
            </w:r>
          </w:p>
          <w:p w14:paraId="669FEA2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1.4最高车速 95km/h</w:t>
            </w:r>
          </w:p>
          <w:p w14:paraId="62C14DF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1.5排放标准 国VI</w:t>
            </w:r>
          </w:p>
          <w:p w14:paraId="7DB21E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★1.6液罐容量 水≥2800L</w:t>
            </w:r>
          </w:p>
          <w:p w14:paraId="640AFC0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1.7消防泵流量 ≥30L/s</w:t>
            </w:r>
          </w:p>
          <w:p w14:paraId="150C76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1.8消防炮流量 ≥30L/s</w:t>
            </w:r>
          </w:p>
          <w:p w14:paraId="08E99CE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C29073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2.底盘参数 </w:t>
            </w:r>
          </w:p>
          <w:p w14:paraId="0A6CD66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2.1动形式 4×2</w:t>
            </w:r>
          </w:p>
          <w:p w14:paraId="4E65F8E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2.2轴距 3360mm</w:t>
            </w:r>
          </w:p>
          <w:p w14:paraId="4D16234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★2.3驾驶室 四门双排驾驶室</w:t>
            </w:r>
          </w:p>
          <w:p w14:paraId="4465D4E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2.4发动机形式 直列4缸、压燃、水冷、四冲程、增压中冷、高压共轨发动机</w:t>
            </w:r>
          </w:p>
          <w:p w14:paraId="39E7EFB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2.5额定功率 ≥96/3000（kW/rpm）</w:t>
            </w:r>
          </w:p>
          <w:p w14:paraId="36E9C0F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2.6额定扭矩 ≥405/2000（Nm/rpm）</w:t>
            </w:r>
          </w:p>
          <w:p w14:paraId="30F71A5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2.7排放标准 国VI</w:t>
            </w:r>
          </w:p>
          <w:p w14:paraId="0AB77D7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2.8变速箱形式 手动变速箱，5个前进挡+1个倒挡</w:t>
            </w:r>
          </w:p>
          <w:p w14:paraId="0498FDA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★2.9取力器 断轴取力器</w:t>
            </w:r>
          </w:p>
          <w:p w14:paraId="2E22CF4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2.10油箱容量 70L</w:t>
            </w:r>
          </w:p>
          <w:p w14:paraId="0CF4CAB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436F5A2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★3.副车架 </w:t>
            </w:r>
          </w:p>
          <w:p w14:paraId="7195A95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3.1材质 高强度钢材。</w:t>
            </w:r>
          </w:p>
          <w:p w14:paraId="115A7D9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3.2结构形式 井字形焊接式成型，焊后校形振动消除焊接应力，与底盘大梁、上装采用刚性连接方式固定。</w:t>
            </w:r>
          </w:p>
          <w:p w14:paraId="103A019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3.3防腐处理 喷砂除油锈，喷涂重型防腐漆。</w:t>
            </w:r>
          </w:p>
          <w:p w14:paraId="5AE36D3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32900F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4.驾乘室 </w:t>
            </w:r>
          </w:p>
          <w:p w14:paraId="226F0E9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4.1布局结构 四门双排驾驶室。</w:t>
            </w:r>
          </w:p>
          <w:p w14:paraId="2C7977D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★4.2座位设置 前排1+2，后排3人</w:t>
            </w:r>
          </w:p>
          <w:p w14:paraId="139947F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4.3安全设置 安装有安全带。</w:t>
            </w:r>
          </w:p>
          <w:p w14:paraId="5E47910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4.4内饰 驾驶室内加装水泵的取力器开关；警报器及警灯开关等。</w:t>
            </w:r>
          </w:p>
          <w:p w14:paraId="2FEBE55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4.5照明 原车照明灯。</w:t>
            </w:r>
          </w:p>
          <w:p w14:paraId="715F0A0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4.6踏梯 高强度一体式防滑踏梯。</w:t>
            </w:r>
          </w:p>
          <w:p w14:paraId="610F099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4.7扶手 配备安全扶手，提高了救援人员上、下车安全及速度。</w:t>
            </w:r>
          </w:p>
          <w:p w14:paraId="0E24D41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461F48A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5.车厢 </w:t>
            </w:r>
          </w:p>
          <w:p w14:paraId="6EDBDB7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★5.1材质 车厢（器材箱、泵室、内骨架及内饰板）全部采用高分子复合材料PP。</w:t>
            </w:r>
          </w:p>
          <w:p w14:paraId="4D71EE1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★5.2结构 车厢整体采用高分子复合材料焊接技术；在器材箱内预留各类设备器材专用夹具，充分利用车厢内部有限空间；内饰板和底板喷涂大理石漆面。</w:t>
            </w:r>
          </w:p>
          <w:p w14:paraId="127BEBF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5.3梯架 车厢顶部设置一套多功能二节拉梯架，可放置二节拉梯、单杠梯、挂钩梯</w:t>
            </w:r>
          </w:p>
          <w:p w14:paraId="196514A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5.4爬梯 车厢后部设置一架通往车顶的安全爬梯</w:t>
            </w:r>
          </w:p>
          <w:p w14:paraId="7E7C320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EB8EF8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★6.卷帘门 </w:t>
            </w:r>
          </w:p>
          <w:p w14:paraId="3CBD6DB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6.1材质 采用轻型优质铝合金，大幅面卷帘门，启闭灵活、密封性好、外形美观、轻便可靠</w:t>
            </w:r>
          </w:p>
          <w:p w14:paraId="29DE6EC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6.2结构 顶部设有导流槽，四周装有密封条，具有良好的防雨、防尘密封性能。配备拉杆式条锁把手、一点式拉带及两点式固定座</w:t>
            </w:r>
          </w:p>
          <w:p w14:paraId="3F27021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6.3消防泵自带暖风机，器材箱及泵房配防寒帘，加水出水口带防寒套以及带轮胎防滑链。</w:t>
            </w:r>
          </w:p>
          <w:p w14:paraId="50876E0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                                                                                                                                                                     </w:t>
            </w:r>
          </w:p>
          <w:p w14:paraId="5B5832C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7.电器系统 </w:t>
            </w:r>
          </w:p>
          <w:p w14:paraId="56C19F6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7.1警灯警报 车头前顶部设置长排式警灯，单音100W警报器、警灯、电路为独立式附加电路，控制器件安装在驾驶室内</w:t>
            </w:r>
          </w:p>
          <w:p w14:paraId="023224A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7.2器材箱灯 器材箱、泵房卷帘门两侧内设有LED白光照明灯带，能够满足整个箱体的照明</w:t>
            </w:r>
          </w:p>
          <w:p w14:paraId="58B7472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7.3频闪灯 车厢左右两侧上部各配置两盏频闪警灯</w:t>
            </w:r>
          </w:p>
          <w:p w14:paraId="77EB4B6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7.4车外照明 车厢左右两侧上部各配置两盏LED侧照明灯，车厢尾部配置一盏LED照明灯</w:t>
            </w:r>
          </w:p>
          <w:p w14:paraId="452B799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7.5警示灯 车厢侧面均安装有专用黄色警示灯</w:t>
            </w:r>
          </w:p>
          <w:p w14:paraId="20B3041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388A913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8.表面处理 </w:t>
            </w:r>
          </w:p>
          <w:p w14:paraId="6B53995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8.1漆料 车厢表面喷涂进口品牌消防红色漆，为保证夜间工作安全，车身设有符合安全标准要求的荧光反光带</w:t>
            </w:r>
          </w:p>
          <w:p w14:paraId="4B8088F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8.2颜色 消防红</w:t>
            </w:r>
          </w:p>
          <w:p w14:paraId="01867EE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3613683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9.消防泵 </w:t>
            </w:r>
          </w:p>
          <w:p w14:paraId="469566F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9.1额定压力≥ 1.0MPa</w:t>
            </w:r>
          </w:p>
          <w:p w14:paraId="1DEC0A4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9.2额定流量 ≥30L/s</w:t>
            </w:r>
          </w:p>
          <w:p w14:paraId="559088D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9.3真空泵 水环真空泵</w:t>
            </w:r>
          </w:p>
          <w:p w14:paraId="3A347F0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★9.4引水形式 自动引水</w:t>
            </w:r>
          </w:p>
          <w:p w14:paraId="1ED953B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9.5吸水深度 7m</w:t>
            </w:r>
          </w:p>
          <w:p w14:paraId="75BF619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9.6引水时间 ≤35s</w:t>
            </w:r>
          </w:p>
          <w:p w14:paraId="02946EA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9.7安装形式 后置式</w:t>
            </w:r>
          </w:p>
          <w:p w14:paraId="3E015D6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9.8消防泵自带暖风机消防泵自带暖风机，器材箱及泵房配防寒帘，加水出水口带防寒套以及带轮胎防滑链。                                                                                                                                                                                                                                                                                                                                      </w:t>
            </w:r>
          </w:p>
          <w:p w14:paraId="2D8999A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4B1AF6F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10.消防炮 </w:t>
            </w:r>
          </w:p>
          <w:p w14:paraId="37338AF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10.1额定流量 ≥30L/s</w:t>
            </w:r>
          </w:p>
          <w:p w14:paraId="10DC87C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10.2射程 水≥60m</w:t>
            </w:r>
          </w:p>
          <w:p w14:paraId="096D8CD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10.3安装位置 车厢顶部</w:t>
            </w:r>
          </w:p>
          <w:p w14:paraId="6E496BD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10.4控制方式 手动控制</w:t>
            </w:r>
          </w:p>
          <w:p w14:paraId="012CEAC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★10.5水平回转角度 0°~330°</w:t>
            </w:r>
          </w:p>
          <w:p w14:paraId="5F76616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★10.6俯仰回转角度 -10°~60</w:t>
            </w:r>
          </w:p>
          <w:p w14:paraId="661AF3E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1883125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11.液罐 </w:t>
            </w:r>
          </w:p>
          <w:p w14:paraId="38E5514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11.1容量 水≥2800L</w:t>
            </w:r>
          </w:p>
          <w:p w14:paraId="4ABC4DE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★11.2材质 高分子复合材料PP采用多项专利技术高分子复合材料制造而成的特殊板材，强度高、抗冲击性强、耐低温、抗腐蚀性、质量轻的特点</w:t>
            </w:r>
          </w:p>
          <w:p w14:paraId="1CF422A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11.3安装形式 一体式</w:t>
            </w:r>
          </w:p>
          <w:p w14:paraId="2CFB5EE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11.4结构 1个溢流/卸压装置；1个液位传感器；1个水罐放余水口。</w:t>
            </w:r>
          </w:p>
          <w:p w14:paraId="3AE4F41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1951BD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12.管路系统 </w:t>
            </w:r>
          </w:p>
          <w:p w14:paraId="7E69660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12.1进水口 泵室正后方安装DN100螺纹式吸水口1个。</w:t>
            </w:r>
          </w:p>
          <w:p w14:paraId="7EEF11E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12.2注水口 泵室右侧安装带手动控制阀的DN65卡式注水口1个。</w:t>
            </w:r>
          </w:p>
          <w:p w14:paraId="3FF1AB6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12.3出水口 泵室左右两侧各安装带手动控制阀的DN65卡式出水口1个。</w:t>
            </w:r>
          </w:p>
          <w:p w14:paraId="52115B3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12.4放余水管路 为保护水泵，在管路中加装了放余水阀。</w:t>
            </w:r>
          </w:p>
          <w:p w14:paraId="20B92CE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12.5冷却水管路 为保护取力器的正常工作，管路中设有附加冷却装置。</w:t>
            </w:r>
          </w:p>
          <w:p w14:paraId="2461A16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770EEDA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★13.消防控制系统 </w:t>
            </w:r>
          </w:p>
          <w:p w14:paraId="4A0FFD3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13.1结构 装有液位指示器、转速表、压力表、真空表、油门等消防控制设备；控制面板上所有按钮、开关和指示灯标注有中文标识；显著位置设有管路布置图及简要操作说明。面板采用防水防尘设计模式，防护等级可达IP56。</w:t>
            </w:r>
          </w:p>
          <w:p w14:paraId="122D55F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13.2安装形式 车厢后部泵房内。</w:t>
            </w:r>
          </w:p>
          <w:p w14:paraId="5F39A33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79DF697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14.随车资料</w:t>
            </w:r>
          </w:p>
          <w:p w14:paraId="557EC39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14.1底盘使用说明书</w:t>
            </w:r>
          </w:p>
          <w:p w14:paraId="6DFFEC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14.2底盘合格证</w:t>
            </w:r>
          </w:p>
          <w:p w14:paraId="1737038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14.3发动机号码拓印</w:t>
            </w:r>
          </w:p>
          <w:p w14:paraId="2BD1382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14.4底盘号码拓印件</w:t>
            </w:r>
          </w:p>
          <w:p w14:paraId="652A8D7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14.5消防车使用说明书</w:t>
            </w:r>
          </w:p>
          <w:p w14:paraId="7EDADA6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14.6消防车消防器材清单</w:t>
            </w:r>
          </w:p>
          <w:p w14:paraId="3EB5A9E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14.7消防车合格证</w:t>
            </w:r>
          </w:p>
          <w:p w14:paraId="3F1797E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14.8消防车跟踪服务卡</w:t>
            </w:r>
          </w:p>
          <w:p w14:paraId="73CDAAE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14.9消防车交接清单</w:t>
            </w:r>
          </w:p>
          <w:p w14:paraId="14A7FC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E9A092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15.随车器材</w:t>
            </w:r>
          </w:p>
          <w:p w14:paraId="412D636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序号 器材名称 规格型号 数量</w:t>
            </w:r>
          </w:p>
          <w:p w14:paraId="32AA229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 直流开关水枪 卡式接口 2支</w:t>
            </w:r>
          </w:p>
          <w:p w14:paraId="5892424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 直流喷雾水枪 卡式接口 2支</w:t>
            </w:r>
          </w:p>
          <w:p w14:paraId="3FC8C1C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 吸水管扳手ABC  2把</w:t>
            </w:r>
          </w:p>
          <w:p w14:paraId="226EE23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 消防水带 16-65-20、卡式接口 10盘</w:t>
            </w:r>
          </w:p>
          <w:p w14:paraId="7AF5A17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 吸水管  4根</w:t>
            </w:r>
          </w:p>
          <w:p w14:paraId="4CB098F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 地上消火栓扳手 1把</w:t>
            </w:r>
          </w:p>
          <w:p w14:paraId="3908CCA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 地下消火栓扳手  1把</w:t>
            </w:r>
          </w:p>
          <w:p w14:paraId="3411DF1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 二分水器 ，卡式接口 1个</w:t>
            </w:r>
          </w:p>
          <w:p w14:paraId="0CD4AD1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 二集水器 1个</w:t>
            </w:r>
          </w:p>
          <w:p w14:paraId="2204186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 水带挂钩 4个</w:t>
            </w:r>
          </w:p>
          <w:p w14:paraId="4C44FF4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 水带护桥2件</w:t>
            </w:r>
          </w:p>
          <w:p w14:paraId="3280D3C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 滤水器 螺纹式接口 1个</w:t>
            </w:r>
          </w:p>
          <w:p w14:paraId="4D5333B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 水带包布 4个</w:t>
            </w:r>
          </w:p>
          <w:p w14:paraId="30690F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 三分水器 1个</w:t>
            </w:r>
          </w:p>
          <w:p w14:paraId="431806D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 异型同径接口 KJ65/KJK65Z、DN65内扣转DN65雌 2个</w:t>
            </w:r>
          </w:p>
          <w:p w14:paraId="6B81216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 消防铁锹 1把</w:t>
            </w:r>
          </w:p>
          <w:p w14:paraId="6DC7A40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 消防尖斧  1把</w:t>
            </w:r>
          </w:p>
          <w:p w14:paraId="7C0C2A0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 消防铁铤  1把</w:t>
            </w:r>
          </w:p>
          <w:p w14:paraId="6AFF705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19 消防大锤  1把</w:t>
            </w:r>
          </w:p>
          <w:p w14:paraId="1A9CB00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20 消防剪断钳 1把</w:t>
            </w:r>
          </w:p>
          <w:p w14:paraId="708BBC8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 手提式干粉灭火器  1具</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F57DD5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F92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FAC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FBFC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E3A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09A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65mm水带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70EC05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1、符合GB 6246-2011《消防水带》标准要求，产品要求为白色。</w:t>
            </w:r>
          </w:p>
          <w:p w14:paraId="77BA920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2、水带在端部附近中心线两侧用不易脱落的油墨，编织层：织物层编制均匀，表面整洁，无跳双经、断双经、跳纬及划伤。 </w:t>
            </w:r>
          </w:p>
          <w:p w14:paraId="097F580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3、每盘20米，含内扣式接口，内扣式，口径65mm；</w:t>
            </w:r>
          </w:p>
          <w:p w14:paraId="0D5FF9C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4、每盘长度为：≥20m。</w:t>
            </w:r>
          </w:p>
          <w:p w14:paraId="52FBD4A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★5、单位长度质量≤330g/m；延伸率（%）≤0.7；膨胀率（%）≤2.8；附着强度（N/25m)≥69；厚度规格≥0.3mm；</w:t>
            </w:r>
          </w:p>
          <w:p w14:paraId="535BEDE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★6、工作压力（含连接设备）≥2.0MPa，爆破压力≥10.0MPa。 </w:t>
            </w:r>
          </w:p>
          <w:p w14:paraId="0A10DE0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7、采用聚氨酯材料，接口表面无结疤、裂痕、砂眼；铝合金材质，长度结合需求更改</w:t>
            </w:r>
          </w:p>
          <w:p w14:paraId="5B39F04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8、接口要求：内扣式接口，接口表面进行阳极氧化处理，加工表面平整，光洁度高，无损伤，无结疤、裂痕，配专用护套； 将水带与接口绑扎。将水带与接口绑扎。且每个凹槽采用不少于7圈（360度）的高强度镀锌铁丝（≥16号）捆扎,(锻造铝镁合金接口);</w:t>
            </w:r>
          </w:p>
          <w:p w14:paraId="2AE4962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9、每根水带应卷紧成圆盘形，外用耐磨、防潮物封装。</w:t>
            </w:r>
          </w:p>
          <w:p w14:paraId="09164F0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10、提供国家消防装备质量监督检验中心或其他具有相应资质的第三方检测机构出具的检验报告</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17AC29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490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3CF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71831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830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9F8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80MM水带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EBFD2E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提供国家消防装备质量监督检验中心或其他具有相应资质的第三方检测机构出具的检验报告，含内扣式接口，口径80mm采用聚氨酯材料，接口表面无结疤、裂痕、砂眼；铝合金材质，工作压力≥2Mpa；口径：80mm，内扣式。</w:t>
            </w:r>
          </w:p>
          <w:p w14:paraId="1445B96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1、单位长度质量≤310g/m；</w:t>
            </w:r>
          </w:p>
          <w:p w14:paraId="1335CC6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2、延伸率（%）≤2.5；</w:t>
            </w:r>
          </w:p>
          <w:p w14:paraId="5B646AF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3、膨胀率（%）≤3.5；</w:t>
            </w:r>
          </w:p>
          <w:p w14:paraId="7A0EF5D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4、附着强度（N/25m)≥80;</w:t>
            </w:r>
          </w:p>
          <w:p w14:paraId="71930EB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5、厚度规格≥0.3mm；</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70062A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F16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C1F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48D16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C1E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73E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直流水枪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5F75E5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1、铝合金材质，配备开关；</w:t>
            </w:r>
          </w:p>
          <w:p w14:paraId="7CFE41E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2、内扣式接口，口径65mm；</w:t>
            </w:r>
          </w:p>
          <w:p w14:paraId="5BC2A62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3、流量≥7L/s，射程≥25m。    </w:t>
            </w:r>
          </w:p>
          <w:p w14:paraId="2B0B4EF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4、满足GB8181-2005标准。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B45F38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444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C9E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57B4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5D1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F93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多功能水枪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77359B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8181-2005标准。内扣式接口，口径65mm；单个消防员可有效操作控制，由喷雾枪头、球阀开关、枪管组织，带有握把，马蹄式环形水流开关，枪体内设置铝合金球型阀门可启闭水流；进水口径65mm，町野式接口，配防打结接口；具有直流喷雾无级转换、流量可调等功能，可调节≥5个档位的流量变化，直流有效射程≥35米；重量≤2Kg，金属表面硬质阳极氧化处理涂层</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AA6E1B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E85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E8A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C5D0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C3E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48A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分水器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6829E0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满足GA868-2010标准，表面无结疤、裂痕、砂眼；工作压力不低于1.6Mpa，铝合金材质；进水口径：80mm，内扣式，出水口径：3出水口×65mm，内扣式，重量不大于3.5kg。可方便手提式。</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014657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0C7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481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2CFD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8C5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981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80-65转换接口</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65F905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满足GB6246-2011标准，表面无结疤、裂痕、砂眼；铝合金材质，工作压力≥1.6Mpa；内扣式接口，80/65mm。80内扣-65内扣，接口耐压≥2.0Mpa</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F20052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311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CAE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AC9C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FDF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E76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消火栓扳手</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6C0769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QZT-40型适用于公共场所、商业建筑和住宅小区等地面消防栓。型号符合GB3445-2005标准，扳手长度为800mm，并具有十字形的扳手头设计。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2058D4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D36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47B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5BBF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876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667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灭火头盔</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F7C8DF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 xml:space="preserve">满足XF44-2015或GA44-2015标准，提供国家级消防装备检测报告；标识符合《23式消防头盔款式标识统型要求》和《消防头盔单位标识要求》；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1、盔壳：黄色，潘通色号为PANTONE 186C，黄色为PANTONE 012 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2、披肩：藏蓝色，潘通色号为PANTONE 19-4013 TCX Dark Navy，色差≥3级。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3、反光标识条：荧光黄色潘通色号为PANTONE 809C，荧光桔红色为PANTONE 811C，色差≥2级，入射角5°观察角0.2°时初始逆反射系数≥100cd/(1x*㎡)。</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4、滑块和配饰：黑色潘通色号为PANTONE 19-4007 TPX，色差≥3级。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1、由盔壳、滑轨、缓冲层、舒适衬垫、佩戴装置、面罩、披肩等组成。</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2、盔壳：耐高温阻燃材质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3、滑轨：盔体两侧设黑色多功能模块化滑轨，耐高温阻燃材质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4、缓冲层：耐高温阻燃材质，颜色为黑色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5、舒适衬垫：顶部为芳纶网状衬垫，四周为舒适层（与帽箍一体）可调节戴帽高度。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6、佩戴装置：包括帽箍和系带，为耐高温阻燃材质。在盔体后沿下侧设头围调节旋钮；系带可调节佩戴松紧，加装可拆洗阻燃舒适软垫：插扣为快脱插扣。</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7、面罩：耐高温阻燃材质。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8、披肩：防水处理、耐高温阻燃芳纶材料，颜色为藏蓝色，可快速拆卸、安装。</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9、反光标识：两侧粘贴弧形反光标识条，为耐高温材质，宽度为30mm±1mm，长度为226mm±2mm，弧形总高52mm±2mm；黄色头盔使用荧光桔红色反光标识条。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10、所有可调节扣件全部采用黄色，为改性阻燃尼龙66材料。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1、帽徽：消防头盔前面居中粘贴软质立体19式消防大帽徽，距帽檐底部18±2mm，帽徽规格为高5.9厘米、宽5.7厘米。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2、单位标识：侧面居中采用耐雨淋反光材料牢固粘贴根据甲方要求印制标识，字体为简粗平黑，字体大小为30（±1）mm×35（±1）mm，字间距10±1mm，颜色为银灰色，潘通色号为PANTONE 423C，色差≥3级。头盔两侧文字相同，均从帽徽一侧呈半弧状（与加强筋弧度相似）向盔体后部均匀排列。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3、头盔后部内侧包含“17式消防头盔”的永久性标识。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1、冲击吸收性能：高温预处理最大冲击力（N）：≤3100，辐射热预处理最大冲击力（N）：≤3010，低温预处理最大冲击力（N）：≤3450，浸水预处理最大冲击力（N）：≤3000，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2、抗冲击加速度性能：帽顶部（gn）:≤135，帽前部（gn）:≤340.8，帽后部（gn）:≤351.6，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3、耐穿透性能:钢锥应不能穿透头盔与头模产生接触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4、耐燃烧性能:火源离开帽壳后，帽壳火焰应在5s内自熄，并且无火焰烧透到帽壳内部的明显迹象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5、阻燃性能：下颚带：损毁长度（mm）：≤10。续燃时间（s）：≤2。披肩：损毁长度（mm）：≤30.  续燃时间（s）：≤2。面罩：续燃时间（s）：≤5，且以上均不应有熔融、滴落现象。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6、电绝缘性能:帽壳泄露电流：≤1mA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7、侧向刚性:帽壳最大变形标准要求：≤35mm，卸载后变形标准要求：≤3.1mm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8、质量（g）：≤1100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7D2059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28F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C44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1477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395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B01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灭火手套</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AAC177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1、满足XF7-2004标准，提供国家级消防装备检测报告；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2、手套外层应采用芳纶材料，并与皮革相配合，增加耐磨性。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3、应采用反光标志带，应具有耐火性。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4、隔热层应为芳纶水刺毡。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5、五分钟浸水测试，不渗透。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6、手腕部位具有可调节松紧尼龙粘胶。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7、型号分为大、中、小三个型号。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8、颜色为藏蓝色</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11D57A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C65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CC8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F701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4BD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63F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灭火防护服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82A503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满足XF10-2014《消防员灭火防护服》标准要求，提供国家级消防装备检测报告；标识符合23式消防员灭火防护服（作战款）款式标识统型要求》；采用四层结构；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藏蓝色，潘通色号为 PANTONE 19-4013 TCX Dark Navy，色差≥3级（按《纺细品色牢度试验评定变色用灰色样卡》GB/T250-2008 标准评判）。</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1、上下分体式结构，上衣和裤子间重叠部分应不小于200mm。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2、衣领为立领，前部设护领，衣领内侧采用顺色贴肤舒适面料。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3、上衣在胸部、下摆、袖口各设 1 条 360 度环形反光标识带，裤子在小腿部各设1条360度环形反光标志带，反光标志带宽度为 50.8mm（2 英寸），颜色为黄银黄。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4、裤子裆部采用一体式设计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5、裤子背带为 H 型背带，背带应可调节长度，可拆卸。</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6、上衣前门襟拉链号型不小于 8 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7、背部设有风琴褶。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1、上衣左胸外设电台立体口袋，门襟内侧设防水插袋，下摆设置外贴袋。大腿外侧各设工具袋 1 个。所有外口袋均设置漏水孔。</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2、在左上臂外侧设 90mm×110mm 盾牌型魔术贴并配盾牌型标识；盾牌型魔术贴上方设长57mm、斜边宽33mm平行四边形魔术贴，并配平行长方形魔术贴并配消防救援衔标识。左胸魔术贴。左胸电台立体口袋上方设长69mm、上宽52mm、下宽50mm盾型魔术贴，并配盾型胸徽标识。右胸魔术贴。右胸胸部反光带上方设长66mm、宽18mm长方形魔术贴，并配长方形姓名牌标识；长方形魔术贴上方设长66mm、宽31mm翼型魔术贴，并配翼型胸标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3、袖口处采用圆弧形设计，外层本色布包边，设置收紧调节袢，并配置罗纹防护护腕，罗纹防护护腕开拇指孔，内部设置止水布。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4、上衣门襟。上衣门襟魔术贴为贯通式。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5、上衣下摆。上衣舒适层下摆设置止水布。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6、裤脚口。裤脚口处采用圆弧形设计，内部设置止水布，内侧设置拉链，裤脚设耐磨材料包边。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7、在肩、肘、膝部应采用耐磨层加厚处理，耐磨层应柔软且易于清洗。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8、左右肩部设有两个挂袢。</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9、背部设有救生拖拉带，展开时间不大于10S，可以拖动80kg假人10米以上。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背部印字：消防救援队伍配备服装背部居中采用耐火、防水、荧光材料喷涂印制根据甲方要求印制标识，字体为简粗平黑，颜色为银色，每个字大小 70mm×85mm，字间距 20mm，位置在反光带上方 30mm 处。反光带下方 30mm 处 ，字体为简粗平黑，颜色为银色。四个字和五个字时每个字大小50mm×55mm，字间距15mm；六个字时每个字大小45mm×55mm，字间距10mm；七个字时每个字大小40mm×55mm，字间距8mm。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1、整体热防护性能 TPP（cal/c㎡） ：≥32。</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2、整套衣服重量：≤2.6kg。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3、阻燃性能：外层损毁长度（经向、纬向≤35mm）；防水透气隔热层损毁长度（经向、纬向≤40mm）；舒适层损毁长度（经向、纬向≤45mm）。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4、断裂强力：外层（经向≥1000N，纬向≥900N）；舒适层（经向≥300N，纬向: ≥500N）。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5、外层撕破强力：经向≥200N、纬向≥100N。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6、热稳定性能：经热稳定性能试验后，外层、防水透气隔热层、外层加强材料和舒适层尺寸变化率均≤5％，且试样表面应无明显变化。</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7、反光标志带阻燃性能：经向、纬向损毁长度≤25mm；外层加强材料阻燃性能：经向、纬向损毁长度≤30mm。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8、防水透气层：耐静水压：&gt;50KPa；拒油性能≥3级；透湿率&gt;8000g/m2·24h。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9、缩水率：外层、防水透气隔热层、舒适层经、纬方向尺寸变化率均≤3％。</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10、接缝断裂强力：外层经向、纬向≥800N。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11、外层表面抗湿性能：≥3级。</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5CD48A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F4A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454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655C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BD9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726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灭火靴子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414D48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满足XF6-2004标准，提供国家级消防装备检测报告；标识符合《23式消防员灭火防护靴（橡胶）款式标识统型要求》：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主体颜色为黑色和黄色，黑色潘通色号为PANTONE Black 6C，黄色潘通色号为PANTONE 7408C，靴跟银色反光标识潘通色号为PANTONE Cool Gray 8C。色差≥3级。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1、整体结构。靴帮由外到里分为帮面、防切割层和隔热舒适层三层结构。靴底由上到下分为隔热舒适层、防穿刺层和靴大底三层结构。靴头部位设有保护包头。靴帮顶部设有便于穿戴的提手。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17式消防胶靴从靴内跟底部至靴帮后部筒口最低处的高度为300mm(±5mm)；靴筒口采用倾斜式设计，由前往后向下倾斜，前后高差20mm(±2mm)；靴帮上设有胫骨、踝骨和跖骨保护层，靴后跟部设有反光标识，筒口和靴底各设围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3、靴帮采用筒面和外头皮拼接结构，材质为耐高温阻燃耐酸碱橡胶。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4、靴帮防切割层采用经2纬3棉帆布，经2用21S双股标准全棉，纬3用7S单股标准全棉。</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5、靴帮和靴底隔热舒适层（俗称靴内衬）采用棉布和氯丁橡胶发泡海绵复合面料。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6、靴底防穿刺层采用芳香族聚酰胺纤维复合材料。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7、靴大底采用耐高温、阻燃、耐酸碱、耐磨防滑橡胶，啮合止滑纹路设计，提高防滑性能。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8、鞋垫采用减震缓冲、排汗、防臭，抗菌鞋垫。</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9、保护包头采用轻质铝合金或非金属复合材料。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10、反光标识。靴后跟设有在耐高温、阻燃、耐酸碱橡胶块上，复合的银色三角形阻燃反光标志带。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1、“执行标准:XF6-2004”</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2、型号、规格；</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3、生产厂的名称或商标；</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4、生产厂的灭火防护靴识别编号或制造年月；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5、检验合格标记；</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1、外底耐油性能(%)：-2—10.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2、金属衬垫的耐腐蚀性能：金属衬垫经腐蚀试验后，试样应无腐蚀现象。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3、防砸性能(mm)：≥15</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4、抗刺穿性能(N)：≥2250，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5、抗切割性能：靴面经抗切割试验后，不应被割穿。</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6、隔热性能(°C)：≤18，</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7、抗辐射热渗透性能(°C)：≤16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8、击穿电压≥5000V，且泄漏电压≥3mA.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9、总质量≤2kg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A4667C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C39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946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DE68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202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809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头盔灯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2A17E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满足国家GB30734-2014标准，提供国家消防装备质量监督检验中心或其他具有相应资质的第三方检测机构出具的检验报告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标识符合《17式消防员佩戴式防爆照明灯款式标识统型要求》：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17式消防员佩戴式防爆头灯采用直筒圆柱形结构设计，具备强光、弱光、爆闪光可切换功能，爆闪光闪烁频率应为8-10HZ。整体由外壳、光学单元、充电口、电量显示单元、电池和开关等组成。灯具重量≤110g，夹具重量≤40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1、灯具外壳应采用AL6061-T6铝合金材质，表面采用硬质阳极氧化处理工艺，颜色为亚光黑色。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2、灯身筒中部采用滚纹处理工艺，滚纹部分距灯头最前端距离为24mm±1mm，距灯尾最后端距离为10mm±1mm。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3、灯具外壳防护等级应满足GB 4208-2008规定的IP66/ IP68 的要求，同时需要标明灯具的潜水深度和持续时间，灯具从1.5高度跌落不影响使用。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4、灯具工作满10min时测量其2m处光斑中心照度，光斑中心强光最大照度≥1800lx，弱光最大照度≥700lx。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充电孔：灯筒上应设计有通用Type-C充电口孔位，孔位长度为7.9±1mm，宽度为5±0.3mm，孔位最前端距灯头最前端距离为30.6±1mm。当灯具充电时电量显示器应采用跑马灯方式显示充电进行状态及当前电量情况。灯具完全放电后充满电时间≤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电量显示窗：灯筒上应设计有通用电量显示单元窗孔，采用四段式蓝色电量显示设计，每段代表25%电量，孔位长度为11±1mm，宽度为3±0.3mm，电量显示孔与充电孔平行设计，轴向与充电孔的夹角为34°，电量显示窗最前端距灯头最前端距离为 29.5±1mm。当电量剩余不足25%时，最后一段电量显示灯持续闪烁提醒电量不足。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3、安装预留台阶结构：灯筒中部两侧对称设计有安装预留台阶，台阶长度为40±1mm，宽度为7±1mm。台阶最前端距灯头最前端距离为40.5±1mm，同时台阶与电量显示孔位垂直结构。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4、尾盖凹槽：为方便开关按压，灯具尾部应设计有凹槽结构，凹槽结构为双侧对称设计，弧度为Φ30±1mm，高度为2.4±0.5mm。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5、挂绳孔：灯具外盖应设计有挂绳孔位，位于尾盖非凹槽部分。挂绳孔规格为（4±0.5）mm×（1.4±0.5）mm，采用对称设计共计4个孔位。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6、开关孔：灯具外壳尾端中部应设计有开关孔，开关孔直径为Φ13.2±0.5mm，位于外壳尾端正中位置。</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7、按钮开关：灯具应具备一体式方位灯大开关设计，尾部采用白色透明按钮式大开关设计，开关直径≥12.5mm，同时开关应一体式设计有红色常亮方位灯，用于方位指示,红色方位灯在晴朗夜间的可视距离应≥100m。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8、夹具：与消防头盔和抢险救援防护头盔滑轨配套的头灯夹具，上下可调节。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三、电池</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1、电池应采用可充电锂电池，额定电压为DC3.7V，额定容量≥1.9Ah。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2、灯具电池两端应同时设置正负极，且电池两端正负极性应对称设计，电池装入灯具时应不需区分方向均能使灯具正常工作。</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4EDE90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BAD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1BE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789B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544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CB1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灭火腰带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F5D636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提供国家级消防装备检测报告；标识符合《17式消防安全腰带款式标识统型要求》：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1、织带：藏蓝色，潘通色号为PANTONE 19-4013 TCX Dark Navy，色差≥3级（按《纺织品  色牢度试验 评定变色用灰色样卡》）。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2、带扣、D型环：铝本色。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3、保护盖、移动板、收带扣：颜色为黑色。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4、缝线：颜色为灰色。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二、款式（插扦改良式）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1、织带：尼龙66材质，织带为整根，不应有接缝，具有一定硬度，规格为宽70mm×厚2.5mm，末端收尾为整烫圆弧型。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2、带扣：热锻铝7075合金材质，阳极氧化处理工艺，规格为长96mm×宽90mm×厚6mm。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3、扦针：不锈钢420材质，双扦针，扦针的长度35mm，直径应与带扣、扦针孔适配。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4、D型环：热锻铝7075合金材质，阳极氧化处理工艺，配置两个D型环，其中一个采用缝合固定，距带扣100mm处；另一个采用移动板和D型环组合结构，可自由调节。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5、扦针孔：优质不锈钢材质，直径12mm，距带尾部200mm处成双排六列型式向前等距排列。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6、移动板：尼龙66材质，规格为65mm×95mm×3mm。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7、收带扣：尼龙材质，松紧带缝纫，宽度规格为20mm。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8、缝线：尼龙66材质，颜色为灰色，电脑曲折缝制线迹。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9、型号：分大、中、小三个型号，成品长度分别为1400mm、1300mm、1200mm。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三、标志带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永久性标志：耐磨水洗布，长160mm×宽60mm，缝于腰内侧。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1、腰带质量：≤0.85kg。腰带的带扣的边角半径应≥6mm。正立方向静拉力：≥13KN。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2、安全腰带的拉环不允许焊接。</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3、耐高温性能：安全腰带的织带和缝线不应出现融熔，焦化现象。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4、金属零件的耐腐蚀性能：盐雾试验后。</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97BC1E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941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167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CC11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756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A9E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六米拉梯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F7F8DC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1、满足XF137-2007标准；2、竹质材质，工作长度≥6米；3、整梯重量≤30KG；4、提供国家级检测机构（第三方）的检测报告。带滑轮、绳子，可伸缩的。</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81CE89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BBF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BF3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75EF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8BF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36F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电绝缘剪断钳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F18722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用于事故现场电线电缆或其他带电体的剪切，可剪断16mm以下电线、钢筋，安全操作电压≥1000V；</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83E24D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A58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783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630D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280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D93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折叠担架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3E1797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1、优质高强度合金骨架，可折叠存放，便于洗消；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2、担架主体采用耐割、防穿刺面料，在担架两侧各设置4个固定环和扣绳；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3、承重≥120kg，跌落承重≥300kg；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4、配携带防水包；</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0DF7A1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6E4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1D4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94E0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37A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CA3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千斤顶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537FF7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1、立式油压千斤顶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2、最低高度 ：≤195mm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3、调整高度 ：≥60mm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4、起重高度 ：≥115mm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5、起重量 ：≥10吨。</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0F333D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B91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9F6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EE7B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282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CFC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正压式空气呼吸器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969EA5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1、符合国家XF124-2013标准，提供“国家消防装备质量监督检验中心”出具的检测报告和“应急管理部消防产品合格评审定中心”出具的消防产品认证证书。</w:t>
            </w:r>
          </w:p>
          <w:p w14:paraId="10CB05A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★2、全套空气呼吸器由全面罩、抬头显示、供气阀、减压阀、救援快速插口（三通）、报警哨和压力表、背板、托垫及 6.8L碳纤维复合气瓶，佩戴质量11.4Kg，每具空气呼吸器配备1个救援小包，内含供气头罩和供气导管，每20具空气呼吸器配置1套快速充气装置，快速充气连接管配有泄压阀，可实现气瓶对空呼充气，安全、快速；</w:t>
            </w:r>
          </w:p>
          <w:p w14:paraId="2293D53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背架总成：背板采用复合材质制作，符合人体工程学设计。背板带有腰夹，重量分布于腰间，减轻肩部受力，可以完美贴合使用者背部及腰部，背部受力均匀；背带采用高性能本质阻燃材料制作，肩带设有弹性衬垫，肩垫宽厚柔软，调节方便；腰带和肩带均为耐磨、防滑、防火、防滑材料，且肩带上具有荧光带及面罩放置挂钩等；腰垫为可拆卸式，配合不同的工作环境使用；腰带采用前拉式收紧方式，便于消防车等狭小空间内的呼吸器穿戴；</w:t>
            </w:r>
          </w:p>
          <w:p w14:paraId="47B6AB6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气瓶总成：符合TSG23-2021《气瓶安全技术规程》，提供“特种设备检测研究院”出具的的检测报告：特种设备制造监督检测证书（气瓶），工作压力30MPa,水压试验压力50MPa，爆破压力≥102MPa；气瓶容积6.8L；气瓶阀配置压力表，能在任何时候显示气瓶内部压力；气瓶阀带自锁功能，避免因使用过程中不慎碰撞或误操作关闭瓶阀；采用全缠绕式碳纤维复合材料制作，瓶体内层缠绕环形标识，每只气瓶有清晰的永久性标记，标记植入树脂层内，标记项目包含：气瓶编号、气瓶公称容积（L）、气瓶公称重量（kg）、气瓶充装截止名称或代号、气瓶公称工作压力（Mpa）、气瓶水压试验压力（Mpa）、制造单位名称或代号、气瓶制造年月、气瓶设计使用寿命、监督检验标志、产品标准、水压试验极限弹性膨胀量等信息；内胆采用高强度、经防腐处理、重量轻的铝合金材料；配套具有防火性能，气瓶保护套需按甲方要求印制表示;气瓶阀安装有限流装置，避免在气瓶阀意外断裂时因大流量的高压气体不受控制的释放而产生的气瓶冲击危险。</w:t>
            </w:r>
          </w:p>
          <w:p w14:paraId="5E7621E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面罩总成：采用球形大视野面屏全面罩，面罩胶体及口鼻罩设计形状符合亚洲人脸型，贴合度及密封性良好，面罩胶体采用硅胶材质，不出现僵化、硬化现象，对皮肤不造成过敏，长久防刮擦。总视野保留率为81.2%，双目视野保留率为67.8%，下方视野&gt;35°，镜片透光率为94%，全面罩面屏纳米镀层具有本质防雾功能，保障环境温差大使用不上雾。口鼻罩采用食品级硅胶材料，头罩采用网状高性能阻燃材料制成。配备具有阻燃性能的保护套。面罩固定方式为五点固定调节式头网，完全可根据任何佩戴者头部需要自由调整，头网采用KEVLAR材质，本质阻燃耐切割，抗撕拉，配置有颈带，佩戴舒适。</w:t>
            </w:r>
          </w:p>
          <w:p w14:paraId="787F21D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供气阀总成：供气阀具有紧急供气、面罩强制去雾，配备水久除雾、排放余气等功能；中压管与供气阀、供气阀与面罩为活接插方式为360°快速接插，任何角度都可以操作，支持快速插拔功能：具有自动开启装置，首次呼吸自动激活，具有自动正压机构；供气流量≥500L/min：外形为仿生学原理按照人类握拳型设计，体积小巧，使用者方便对供气阀进行抓握。供气阀接插在面罩的正下方，保证良好视野率。供气阀与中压管可以自由连接、拆卸</w:t>
            </w:r>
          </w:p>
          <w:p w14:paraId="2DD673D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★7、减压阀总成：恒压式结构设计，减压器输出压力0.66-0.79Mpa；设置安全阀，当减压器输出压力超过设定安全压力时，中压安全阀会自动泄压；</w:t>
            </w:r>
          </w:p>
          <w:p w14:paraId="6E87B4D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4AF1921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10E78D6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抬头显示HUD:压力平视显示装置（HUD）接收端安装在供气阀上，免工具拆卸，传输方式：无线。显示装置具有光感传感器，感应环境光，调节灯光亮度，保护使用者视力，也方便浓烟环境观察压力，通过压力传感器采集气瓶内的气体压力，将信号用无线发射的方式发送到安装在面罩内侧的抬头显示器上，信号具有唯一性，设计有配对按钮。压力平视显示装置采用红、黄、绿不同颜色的LED灯光分别显示压力范围方式；当气瓶压力30MPa~10 MPa时，绿灯常亮；10MPa^6 MPa时，黄灯常亮；当气瓶压力低于6MPa时，红灯闪亮；同时报警哨起鸣，安装在面罩内的接收端上的两盏伙伴灯同时红灯闪烁，同行的伙伴处于任何位置都可观察到并提示；并且接收端同时会有震动功能提示。开启气瓶自动激活，实现自动开机。关闭气瓶手动关机；无气压状态下，支持手动开机并通过对码按键进行对码连接；先进的低功耗蓝牙无线传输技术，抗干扰能力强；连续工作时间可达100小时；内嵌光感传感器，报警灯亮度根据环境亮度自动调节；低电量报警，黄灯亮起提醒及时更换电池；电源：发射端采用2节7号碱性电池。防爆等级:Exia IIC T4 Ga，防护等级： IP67；工作温度-35℃--60℃；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7DCAC5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5C2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889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C259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624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790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手抬机动泵</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6A28ED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水泵材质：超轻铝合金单级单程离心泵引水方式：碳纤维旋片真空泵</w:t>
            </w:r>
          </w:p>
          <w:p w14:paraId="7633970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额定流量（吸深3M）：≥36T/h</w:t>
            </w:r>
          </w:p>
          <w:p w14:paraId="5908606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★扬程：≥8</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M</w:t>
            </w:r>
          </w:p>
          <w:p w14:paraId="4DFB505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额定压力（吸深3M)：≥0.55MPA</w:t>
            </w:r>
          </w:p>
          <w:p w14:paraId="5D28171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吸水口：65MM</w:t>
            </w:r>
          </w:p>
          <w:p w14:paraId="088E529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★最大流量：≥5</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T/H</w:t>
            </w:r>
          </w:p>
          <w:p w14:paraId="77840DA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出水口：65MM</w:t>
            </w:r>
          </w:p>
          <w:p w14:paraId="5DA7379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发动机型式：立式、单杠、风冷、四冲程(188F）启动系统：手拉启动、电启动</w:t>
            </w:r>
          </w:p>
          <w:p w14:paraId="72264D2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输出功率：≥8.2KW</w:t>
            </w:r>
          </w:p>
          <w:p w14:paraId="2D25CBA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燃料材质：柴油</w:t>
            </w:r>
          </w:p>
          <w:p w14:paraId="5667A9D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转速规格：3600RPM/MIN</w:t>
            </w:r>
          </w:p>
          <w:p w14:paraId="0348339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点火方式：压燃式</w:t>
            </w:r>
          </w:p>
          <w:p w14:paraId="408C47C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燃油容积：≥5L</w:t>
            </w:r>
          </w:p>
          <w:p w14:paraId="3C2DDC2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体积：≤610X475X610MM</w:t>
            </w:r>
          </w:p>
          <w:p w14:paraId="1177AE2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重量：≤85KG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CAAEAE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B50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ADF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BED4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AE0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2E3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通用安全绳50米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11AF0D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1、满足XF494-2004标准，提供国家级检测报告；</w:t>
            </w:r>
          </w:p>
          <w:p w14:paraId="647CAED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2、特殊螺旋均匀纺织工艺使外皮和内芯紧密的结合一体，外皮滑动率为零。</w:t>
            </w:r>
          </w:p>
          <w:p w14:paraId="0D75EF5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3、直径10.5mm，长度为50米，最小破裂强度≥50KN，静拉力＞4000kg。</w:t>
            </w:r>
          </w:p>
          <w:p w14:paraId="648AE8D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4、性能：经204℃士5℃的耐高温性能试验后，安全绳不应出现融熔、焦化现象。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6D5508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卷</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035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05C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FEEB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27E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b/>
                <w:bCs/>
                <w:i w:val="0"/>
                <w:iCs w:val="0"/>
                <w:color w:val="auto"/>
                <w:sz w:val="21"/>
                <w:szCs w:val="21"/>
                <w:u w:val="none"/>
              </w:rPr>
              <w:t>阿克陶县巴仁乡车辆装备采购及改造</w:t>
            </w:r>
          </w:p>
        </w:tc>
      </w:tr>
      <w:tr w14:paraId="12041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230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B6B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水罐消防车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636FFD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所投型号车辆，应符合《消防车第 1 部分：通用技术条件》( GB7956.1-2014)标准要求，提供所投型号消防车的工信部公告、国家消防装备质量监督检验中心或国家权威机构出具的消防车检验报告；或承诺车辆交付时提供所投型号消防车的工信部公告、国家消防装备质量监督检验中心或国家权威机构出具的消防车检验报告和整车出厂合格证，工信部公告与整车出厂合格证数据须一致，并提供整车设计效果图，包括整体结构图、三维效果图需与现行现行涂装相符合；泵出水口为内扣式，符合国家综合性消防救援车辆外观制式涂装：涂装要素包括双色装饰带，徽标，车辆编号，中文“消防”、“救援”和英文“RESCUE”及文字和图案的组合，文字和文字的组合等。其中双色装饰带位于车身两及车身尾部；徽标位于车身两侧前部；与横线组合位于车辆顶部；“消防”汉字位于专项作业车驾驶室两侧后部；中文“消防”、“救援”和英文“RESCUE”的组合位于车头前部。</w:t>
            </w:r>
          </w:p>
          <w:p w14:paraId="1C1769E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1.整车参数 </w:t>
            </w:r>
          </w:p>
          <w:p w14:paraId="1B8CA75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1.1外形尺寸≤6150mm×2100mm×3050mm</w:t>
            </w:r>
          </w:p>
          <w:p w14:paraId="342EC69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1.2满载总质量≤7200kg</w:t>
            </w:r>
          </w:p>
          <w:p w14:paraId="2AEE663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1.3乘员人数 6人</w:t>
            </w:r>
          </w:p>
          <w:p w14:paraId="37646B9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1.4最高车速 95km/h</w:t>
            </w:r>
          </w:p>
          <w:p w14:paraId="2C65123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1.5排放标准 国VI</w:t>
            </w:r>
          </w:p>
          <w:p w14:paraId="6462FBA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★1.6液罐容量 水≥2800L</w:t>
            </w:r>
          </w:p>
          <w:p w14:paraId="68CBC49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1.7消防泵流量 ≥30L/s</w:t>
            </w:r>
          </w:p>
          <w:p w14:paraId="47B4D01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1.8消防炮流量 ≥30L/s</w:t>
            </w:r>
          </w:p>
          <w:p w14:paraId="77D7C8C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1E9890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2.底盘参数 </w:t>
            </w:r>
          </w:p>
          <w:p w14:paraId="4ACA43B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2.1动形式 4×2</w:t>
            </w:r>
          </w:p>
          <w:p w14:paraId="758684D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2.2轴距 3360mm</w:t>
            </w:r>
          </w:p>
          <w:p w14:paraId="1F90D8F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★2.3驾驶室 四门双排驾驶室</w:t>
            </w:r>
          </w:p>
          <w:p w14:paraId="1BA1FE0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2.4发动机形式 直列4缸、压燃、水冷、四冲程、增压中冷、高压共轨发动机</w:t>
            </w:r>
          </w:p>
          <w:p w14:paraId="7B46A12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2.5额定功率 ≥96/3000（kW/rpm）</w:t>
            </w:r>
          </w:p>
          <w:p w14:paraId="3F35E82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2.6额定扭矩 ≥405/2000（Nm/rpm）</w:t>
            </w:r>
          </w:p>
          <w:p w14:paraId="2BAE43B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2.7排放标准 国VI</w:t>
            </w:r>
          </w:p>
          <w:p w14:paraId="02584FA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2.8变速箱形式 手动变速箱，5个前进挡+1个倒挡</w:t>
            </w:r>
          </w:p>
          <w:p w14:paraId="7C0E060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★2.9取力器 断轴取力器</w:t>
            </w:r>
          </w:p>
          <w:p w14:paraId="2EF0F78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2.10油箱容量 70L</w:t>
            </w:r>
          </w:p>
          <w:p w14:paraId="066E962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32D17C6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★3.副车架 </w:t>
            </w:r>
          </w:p>
          <w:p w14:paraId="6BEA2E6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3.1材质 高强度钢材。</w:t>
            </w:r>
          </w:p>
          <w:p w14:paraId="16B07E9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3.2结构形式 井字形焊接式成型，焊后校形振动消除焊接应力，与底盘大梁、上装采用刚性连接方式固定。</w:t>
            </w:r>
          </w:p>
          <w:p w14:paraId="2754862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3.3防腐处理 喷砂除油锈，喷涂重型防腐漆。</w:t>
            </w:r>
          </w:p>
          <w:p w14:paraId="78088E8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4384B00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4.驾乘室 </w:t>
            </w:r>
          </w:p>
          <w:p w14:paraId="356B8BE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4.1布局结构 四门双排驾驶室。</w:t>
            </w:r>
          </w:p>
          <w:p w14:paraId="1B9A8CA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★4.2座位设置 前排1+2，后排3人</w:t>
            </w:r>
          </w:p>
          <w:p w14:paraId="5C0A239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4.3安全设置 安装有安全带。</w:t>
            </w:r>
          </w:p>
          <w:p w14:paraId="2B7A677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4.4内饰 驾驶室内加装水泵的取力器开关；警报器及警灯开关等。</w:t>
            </w:r>
          </w:p>
          <w:p w14:paraId="41BB43B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4.5照明 原车照明灯。</w:t>
            </w:r>
          </w:p>
          <w:p w14:paraId="72DD793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4.6踏梯 高强度一体式防滑踏梯。</w:t>
            </w:r>
          </w:p>
          <w:p w14:paraId="0117171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4.7扶手 配备安全扶手，提高了救援人员上、下车安全及速度。</w:t>
            </w:r>
          </w:p>
          <w:p w14:paraId="1955A71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10183F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5.车厢 </w:t>
            </w:r>
          </w:p>
          <w:p w14:paraId="78B2EA4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★5.1材质 车厢（器材箱、泵室、内骨架及内饰板）全部采用高分子复合材料PP。</w:t>
            </w:r>
          </w:p>
          <w:p w14:paraId="12D8A46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★5.2结构 车厢整体采用高分子复合材料焊接技术；在器材箱内预留各类设备器材专用夹具，充分利用车厢内部有限空间；内饰板和底板喷涂大理石漆面。</w:t>
            </w:r>
          </w:p>
          <w:p w14:paraId="4EB8A8E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5.3梯架 车厢顶部设置一套多功能二节拉梯架，可放置二节拉梯、单杠梯、挂钩梯</w:t>
            </w:r>
          </w:p>
          <w:p w14:paraId="48A5599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5.4爬梯 车厢后部设置一架通往车顶的安全爬梯</w:t>
            </w:r>
          </w:p>
          <w:p w14:paraId="1362833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428337A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★6.卷帘门 </w:t>
            </w:r>
          </w:p>
          <w:p w14:paraId="740FFA3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6.1材质 采用轻型优质铝合金，大幅面卷帘门，启闭灵活、密封性好、外形美观、轻便可靠</w:t>
            </w:r>
          </w:p>
          <w:p w14:paraId="76473EF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6.2结构 顶部设有导流槽，四周装有密封条，具有良好的防雨、防尘密封性能。配备拉杆式条锁把手、一点式拉带及两点式固定座</w:t>
            </w:r>
          </w:p>
          <w:p w14:paraId="0FB5A1E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6.3消防泵自带暖风机，器材箱及泵房配防寒帘，加水出水口带防寒套以及带轮胎防滑链。</w:t>
            </w:r>
          </w:p>
          <w:p w14:paraId="789EAD3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                                                                                                                                                                     </w:t>
            </w:r>
          </w:p>
          <w:p w14:paraId="1B2F8D3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7.电器系统 </w:t>
            </w:r>
          </w:p>
          <w:p w14:paraId="45ABD39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7.1警灯警报 车头前顶部设置长排式警灯，单音100W警报器、警灯、电路为独立式附加电路，控制器件安装在驾驶室内</w:t>
            </w:r>
          </w:p>
          <w:p w14:paraId="6F90648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7.2器材箱灯 器材箱、泵房卷帘门两侧内设有LED白光照明灯带，能够满足整个箱体的照明</w:t>
            </w:r>
          </w:p>
          <w:p w14:paraId="2CC0391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7.3频闪灯 车厢左右两侧上部各配置两盏频闪警灯</w:t>
            </w:r>
          </w:p>
          <w:p w14:paraId="7AC44EC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7.4车外照明 车厢左右两侧上部各配置两盏LED侧照明灯，车厢尾部配置一盏LED照明灯</w:t>
            </w:r>
          </w:p>
          <w:p w14:paraId="025EDC6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7.5警示灯 车厢侧面均安装有专用黄色警示灯</w:t>
            </w:r>
          </w:p>
          <w:p w14:paraId="40EF73C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73C207E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8.表面处理 </w:t>
            </w:r>
          </w:p>
          <w:p w14:paraId="0784AFE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8.1漆料 车厢表面喷涂进口品牌消防红色漆，为保证夜间工作安全，车身设有符合安全标准要求的荧光反光带</w:t>
            </w:r>
          </w:p>
          <w:p w14:paraId="13EDD25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8.2颜色 消防红</w:t>
            </w:r>
          </w:p>
          <w:p w14:paraId="06D160E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7189EFA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9.消防泵 </w:t>
            </w:r>
          </w:p>
          <w:p w14:paraId="0B20487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9.1额定压力≥ 1.0MPa</w:t>
            </w:r>
          </w:p>
          <w:p w14:paraId="7D816DE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9.2额定流量 ≥30L/s</w:t>
            </w:r>
          </w:p>
          <w:p w14:paraId="2A8DC77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9.3真空泵 水环真空泵</w:t>
            </w:r>
          </w:p>
          <w:p w14:paraId="0078F7B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★9.4引水形式 自动引水</w:t>
            </w:r>
          </w:p>
          <w:p w14:paraId="4D66685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9.5吸水深度 7m</w:t>
            </w:r>
          </w:p>
          <w:p w14:paraId="1AF7E3F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9.6引水时间 ≤35s</w:t>
            </w:r>
          </w:p>
          <w:p w14:paraId="39EA0E8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9.7安装形式 后置式</w:t>
            </w:r>
          </w:p>
          <w:p w14:paraId="4A0049A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9.8消防泵自带暖风机消防泵自带暖风机，器材箱及泵房配防寒帘，加水出水口带防寒套以及带轮胎防滑链。                                                                                                                                                                                                                                                                                                                                      </w:t>
            </w:r>
          </w:p>
          <w:p w14:paraId="57E1FC8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8B08DE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10.消防炮 </w:t>
            </w:r>
          </w:p>
          <w:p w14:paraId="31C9DD9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10.1额定流量 ≥30L/s</w:t>
            </w:r>
          </w:p>
          <w:p w14:paraId="0619E9D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10.2射程 水≥60m</w:t>
            </w:r>
          </w:p>
          <w:p w14:paraId="1AC38C0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10.3安装位置 车厢顶部</w:t>
            </w:r>
          </w:p>
          <w:p w14:paraId="60A93D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10.4控制方式 手动控制</w:t>
            </w:r>
          </w:p>
          <w:p w14:paraId="413651F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★10.5水平回转角度 0°~330°</w:t>
            </w:r>
          </w:p>
          <w:p w14:paraId="1F59CB4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★10.6俯仰回转角度 -10°~60</w:t>
            </w:r>
          </w:p>
          <w:p w14:paraId="5A851EC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1262913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11.液罐 </w:t>
            </w:r>
          </w:p>
          <w:p w14:paraId="5BF4992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11.1容量 水≥2800L</w:t>
            </w:r>
          </w:p>
          <w:p w14:paraId="1071B2B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★11.2材质 高分子复合材料PP采用多项专利技术高分子复合材料制造而成的特殊板材，强度高、抗冲击性强、耐低温、抗腐蚀性、质量轻的特点</w:t>
            </w:r>
          </w:p>
          <w:p w14:paraId="6A90667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11.3安装形式 一体式</w:t>
            </w:r>
          </w:p>
          <w:p w14:paraId="485C1CE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11.4结构 1个溢流/卸压装置；1个液位传感器；1个水罐放余水口。</w:t>
            </w:r>
          </w:p>
          <w:p w14:paraId="4584463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7B32F0D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12.管路系统 </w:t>
            </w:r>
          </w:p>
          <w:p w14:paraId="358D7DB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12.1进水口 泵室正后方安装DN100螺纹式吸水口1个。</w:t>
            </w:r>
          </w:p>
          <w:p w14:paraId="6395B30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12.2注水口 泵室右侧安装带手动控制阀的DN65卡式注水口1个。</w:t>
            </w:r>
          </w:p>
          <w:p w14:paraId="07FF763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12.3出水口 泵室左右两侧各安装带手动控制阀的DN65卡式出水口1个。</w:t>
            </w:r>
          </w:p>
          <w:p w14:paraId="258C4F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12.4放余水管路 为保护水泵，在管路中加装了放余水阀。</w:t>
            </w:r>
          </w:p>
          <w:p w14:paraId="058B657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12.5冷却水管路 为保护取力器的正常工作，管路中设有附加冷却装置。</w:t>
            </w:r>
          </w:p>
          <w:p w14:paraId="1C51AA0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131C6F0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★13.消防控制系统 </w:t>
            </w:r>
          </w:p>
          <w:p w14:paraId="5C3041D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13.1结构 装有液位指示器、转速表、压力表、真空表、油门等消防控制设备；控制面板上所有按钮、开关和指示灯标注有中文标识；显著位置设有管路布置图及简要操作说明。面板采用防水防尘设计模式，防护等级可达IP56。</w:t>
            </w:r>
          </w:p>
          <w:p w14:paraId="72CF2B5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13.2安装形式 车厢后部泵房内。</w:t>
            </w:r>
          </w:p>
          <w:p w14:paraId="7DB75CD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6065C2A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14.随车资料</w:t>
            </w:r>
          </w:p>
          <w:p w14:paraId="553F86C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14.1底盘使用说明书</w:t>
            </w:r>
          </w:p>
          <w:p w14:paraId="037BB79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14.2底盘合格证</w:t>
            </w:r>
          </w:p>
          <w:p w14:paraId="7855EEC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14.3发动机号码拓印</w:t>
            </w:r>
          </w:p>
          <w:p w14:paraId="2FA7550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14.4底盘号码拓印件</w:t>
            </w:r>
          </w:p>
          <w:p w14:paraId="79CD410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14.5消防车使用说明书</w:t>
            </w:r>
          </w:p>
          <w:p w14:paraId="42459DE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14.6消防车消防器材清单</w:t>
            </w:r>
          </w:p>
          <w:p w14:paraId="13A7F47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14.7消防车合格证</w:t>
            </w:r>
          </w:p>
          <w:p w14:paraId="7D064BF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14.8消防车跟踪服务卡</w:t>
            </w:r>
          </w:p>
          <w:p w14:paraId="700D835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14.9消防车交接清单</w:t>
            </w:r>
          </w:p>
          <w:p w14:paraId="0F6FDD3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7CFD89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15.随车器材</w:t>
            </w:r>
          </w:p>
          <w:p w14:paraId="52C63B9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序号 器材名称 规格型号 数量</w:t>
            </w:r>
          </w:p>
          <w:p w14:paraId="5675D7B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 直流开关水枪 卡式接口 2支</w:t>
            </w:r>
          </w:p>
          <w:p w14:paraId="2537DE2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 直流喷雾水枪 卡式接口 2支</w:t>
            </w:r>
          </w:p>
          <w:p w14:paraId="718E9F6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 吸水管扳手ABC  2把</w:t>
            </w:r>
          </w:p>
          <w:p w14:paraId="04874DB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 消防水带 16-65-20、卡式接口 10盘</w:t>
            </w:r>
          </w:p>
          <w:p w14:paraId="7ADDDEE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 吸水管  4根</w:t>
            </w:r>
          </w:p>
          <w:p w14:paraId="260913C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 地上消火栓扳手 1把</w:t>
            </w:r>
          </w:p>
          <w:p w14:paraId="6BCA72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 地下消火栓扳手  1把</w:t>
            </w:r>
          </w:p>
          <w:p w14:paraId="2412061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 二分水器 ，卡式接口 1个</w:t>
            </w:r>
          </w:p>
          <w:p w14:paraId="5DDFC6B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 二集水器 1个</w:t>
            </w:r>
          </w:p>
          <w:p w14:paraId="66825D4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 水带挂钩 4个</w:t>
            </w:r>
          </w:p>
          <w:p w14:paraId="2129DC3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 水带护桥2件</w:t>
            </w:r>
          </w:p>
          <w:p w14:paraId="7A98B60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 滤水器 螺纹式接口 1个</w:t>
            </w:r>
          </w:p>
          <w:p w14:paraId="463AC6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 水带包布 4个</w:t>
            </w:r>
          </w:p>
          <w:p w14:paraId="134CC36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 三分水器 1个</w:t>
            </w:r>
          </w:p>
          <w:p w14:paraId="6B23885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 异型同径接口 KJ65/KJK65Z、DN65内扣转DN65雌 2个</w:t>
            </w:r>
          </w:p>
          <w:p w14:paraId="143497B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 消防铁锹 1把</w:t>
            </w:r>
          </w:p>
          <w:p w14:paraId="399DCC3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 消防尖斧  1把</w:t>
            </w:r>
          </w:p>
          <w:p w14:paraId="6ABE623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 消防铁铤  1把</w:t>
            </w:r>
          </w:p>
          <w:p w14:paraId="0B94629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19 消防大锤  1把</w:t>
            </w:r>
          </w:p>
          <w:p w14:paraId="367A8DD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20 消防剪断钳 1把</w:t>
            </w:r>
          </w:p>
          <w:p w14:paraId="06D37D6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 手提式干粉灭火器  1具</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3C9DBA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3E5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A7D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D54C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4A3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E9B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65mm水带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BDEA35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1、符合GB 6246-2011《消防水带》标准要求，产品要求为白色。</w:t>
            </w:r>
          </w:p>
          <w:p w14:paraId="0F1DCF8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2、水带在端部附近中心线两侧用不易脱落的油墨，编织层：织物层编制均匀，表面整洁，无跳双经、断双经、跳纬及划伤。 </w:t>
            </w:r>
          </w:p>
          <w:p w14:paraId="122D376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3、每盘20米，含内扣式接口，内扣式，口径65mm；</w:t>
            </w:r>
          </w:p>
          <w:p w14:paraId="53D9068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4、每盘长度为：≥20m。</w:t>
            </w:r>
          </w:p>
          <w:p w14:paraId="6D6FDEE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★5、单位长度质量≤330g/m；延伸率（%）≤0.7；膨胀率（%）≤2.8；附着强度（N/25m)≥69；厚度规格≥0.3mm；</w:t>
            </w:r>
          </w:p>
          <w:p w14:paraId="5625C35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★6、工作压力（含连接设备）≥2.0MPa，爆破压力≥10.0MPa。 </w:t>
            </w:r>
          </w:p>
          <w:p w14:paraId="2978B84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7、采用聚氨酯材料，接口表面无结疤、裂痕、砂眼；铝合金材质，长度结合需求更改</w:t>
            </w:r>
          </w:p>
          <w:p w14:paraId="7C9CA60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8、接口要求：内扣式接口，接口表面进行阳极氧化处理，加工表面平整，光洁度高，无损伤，无结疤、裂痕，配专用护套； 将水带与接口绑扎。将水带与接口绑扎。且每个凹槽采用不少于7圈（360度）的高强度镀锌铁丝（≥16号）捆扎,(锻造铝镁合金接口);</w:t>
            </w:r>
          </w:p>
          <w:p w14:paraId="0B2BB01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9、每根水带应卷紧成圆盘形，外用耐磨、防潮物封装。</w:t>
            </w:r>
          </w:p>
          <w:p w14:paraId="73B4DA4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10、提供国家消防装备质量监督检验中心或其他具有相应资质的第三方检测机构出具的检验报告</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A79E5A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048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A24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29159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39F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8AA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80MM水带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10EE52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提供国家消防装备质量监督检验中心或其他具有相应资质的第三方检测机构出具的检验报告，含内扣式接口，口径80mm采用聚氨酯材料，接口表面无结疤、裂痕、砂眼；铝合金材质，工作压力≥2Mpa；口径：80mm，内扣式。</w:t>
            </w:r>
          </w:p>
          <w:p w14:paraId="1D8CC13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1、单位长度质量≤310g/m；</w:t>
            </w:r>
          </w:p>
          <w:p w14:paraId="0630C10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2、延伸率（%）≤2.5；</w:t>
            </w:r>
          </w:p>
          <w:p w14:paraId="2017BA0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3、膨胀率（%）≤3.5；</w:t>
            </w:r>
          </w:p>
          <w:p w14:paraId="2B6621E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4、附着强度（N/25m)≥80;</w:t>
            </w:r>
          </w:p>
          <w:p w14:paraId="0A3AC64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5、厚度规格≥0.3mm；</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A91E93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1C8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921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4C52B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B26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A08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直流水枪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B1C30A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1、铝合金材质，配备开关；</w:t>
            </w:r>
          </w:p>
          <w:p w14:paraId="3AD4277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2、内扣式接口，口径65mm；</w:t>
            </w:r>
          </w:p>
          <w:p w14:paraId="46D6DBA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3、流量≥7L/s，射程≥25m。    </w:t>
            </w:r>
          </w:p>
          <w:p w14:paraId="21C7466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4、满足GB8181-2005标准。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FE92DF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956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CBC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A5F1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CE6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9EF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多功能水枪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D6C873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8181-2005标准。内扣式接口，口径65mm；单个消防员可有效操作控制，由喷雾枪头、球阀开关、枪管组织，带有握把，马蹄式环形水流开关，枪体内设置铝合金球型阀门可启闭水流；进水口径65mm，町野式接口，配防打结接口；具有直流喷雾无级转换、流量可调等功能，可调节≥5个档位的流量变化，直流有效射程≥35米；重量≤2Kg，金属表面硬质阳极氧化处理涂层</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58A27E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109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8BD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C93B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C6E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719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分水器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654667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满足GA868-2010标准，表面无结疤、裂痕、砂眼；工作压力不低于1.6Mpa，铝合金材质；进水口径：80mm，内扣式，出水口径：3出水口×65mm，内扣式，重量不大于3.5kg。可方便手提式。</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711C58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EEA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3B8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7B60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75D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137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80-65转换接口</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FB525E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满足GB6246-2011标准，表面无结疤、裂痕、砂眼；铝合金材质，工作压力≥1.6Mpa；内扣式接口，80/65mm。80内扣-65内扣，接口耐压≥2.0Mpa</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DD7B62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1B7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475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DABD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78E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F07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消火栓扳手</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19B8F1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QZT-40型适用于公共场所、商业建筑和住宅小区等地面消防栓。型号符合GB3445-2005标准，扳手长度为800mm，并具有十字形的扳手头设计。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56CC78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38D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359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6AC6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8F9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91E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灭火头盔</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02933F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 xml:space="preserve">满足XF44-2015或GA44-2015标准，提供国家级消防装备检测报告；标识符合《23式消防头盔款式标识统型要求》和《消防头盔单位标识要求》；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1、盔壳：黄色，潘通色号为PANTONE 186C，黄色为PANTONE 012 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2、披肩：藏蓝色，潘通色号为PANTONE 19-4013 TCX Dark Navy，色差≥3级。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3、反光标识条：荧光黄色潘通色号为PANTONE 809C，荧光桔红色为PANTONE 811C，色差≥2级，入射角5°观察角0.2°时初始逆反射系数≥100cd/(1x*㎡)。</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4、滑块和配饰：黑色潘通色号为PANTONE 19-4007 TPX，色差≥3级。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1、由盔壳、滑轨、缓冲层、舒适衬垫、佩戴装置、面罩、披肩等组成。</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2、盔壳：耐高温阻燃材质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3、滑轨：盔体两侧设黑色多功能模块化滑轨，耐高温阻燃材质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4、缓冲层：耐高温阻燃材质，颜色为黑色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5、舒适衬垫：顶部为芳纶网状衬垫，四周为舒适层（与帽箍一体）可调节戴帽高度。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6、佩戴装置：包括帽箍和系带，为耐高温阻燃材质。在盔体后沿下侧设头围调节旋钮；系带可调节佩戴松紧，加装可拆洗阻燃舒适软垫：插扣为快脱插扣。</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7、面罩：耐高温阻燃材质。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8、披肩：防水处理、耐高温阻燃芳纶材料，颜色为藏蓝色，可快速拆卸、安装。</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9、反光标识：两侧粘贴弧形反光标识条，为耐高温材质，宽度为30mm±1mm，长度为226mm±2mm，弧形总高52mm±2mm；黄色头盔使用荧光桔红色反光标识条。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10、所有可调节扣件全部采用黄色，为改性阻燃尼龙66材料。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1、帽徽：消防头盔前面居中粘贴软质立体19式消防大帽徽，距帽檐底部18±2mm，帽徽规格为高5.9厘米、宽5.7厘米。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2、单位标识：侧面居中采用耐雨淋反光材料牢固粘贴根据甲方要求印制标识，字体为简粗平黑，字体大小为30（±1）mm×35（±1）mm，字间距10±1mm，颜色为银灰色，潘通色号为PANTONE 423C，色差≥3级。头盔两侧文字相同，均从帽徽一侧呈半弧状（与加强筋弧度相似）向盔体后部均匀排列。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3、头盔后部内侧包含“17式消防头盔”的永久性标识。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1、冲击吸收性能：高温预处理最大冲击力（N）：≤3100，辐射热预处理最大冲击力（N）：≤3010，低温预处理最大冲击力（N）：≤3450，浸水预处理最大冲击力（N）：≤3000，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2、抗冲击加速度性能：帽顶部（gn）:≤135，帽前部（gn）:≤340.8，帽后部（gn）:≤351.6，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3、耐穿透性能:钢锥应不能穿透头盔与头模产生接触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4、耐燃烧性能:火源离开帽壳后，帽壳火焰应在5s内自熄，并且无火焰烧透到帽壳内部的明显迹象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5、阻燃性能：下颚带：损毁长度（mm）：≤10。续燃时间（s）：≤2。披肩：损毁长度（mm）：≤30.  续燃时间（s）：≤2。面罩：续燃时间（s）：≤5，且以上均不应有熔融、滴落现象。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6、电绝缘性能:帽壳泄露电流：≤1mA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7、侧向刚性:帽壳最大变形标准要求：≤35mm，卸载后变形标准要求：≤3.1mm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8、质量（g）：≤1100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6B62E9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B2A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816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13EC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05F4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CCF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灭火手套</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E2C29B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1、满足XF7-2004标准，提供国家级消防装备检测报告；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2、手套外层应采用芳纶材料，并与皮革相配合，增加耐磨性。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3、应采用反光标志带，应具有耐火性。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4、隔热层应为芳纶水刺毡。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5、五分钟浸水测试，不渗透。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6、手腕部位具有可调节松紧尼龙粘胶。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7、型号分为大、中、小三个型号。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8、颜色为藏蓝色</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4039E4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789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8E6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A845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1CA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4B5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灭火防护服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7F2E32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满足XF10-2014《消防员灭火防护服》标准要求，提供国家级消防装备检测报告；标识符合23式消防员灭火防护服（作战款）款式标识统型要求》；采用四层结构；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藏蓝色，潘通色号为 PANTONE 19-4013 TCX Dark Navy，色差≥3级（按《纺细品色牢度试验评定变色用灰色样卡》GB/T250-2008 标准评判）。</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1、上下分体式结构，上衣和裤子间重叠部分应不小于200mm。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2、衣领为立领，前部设护领，衣领内侧采用顺色贴肤舒适面料。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3、上衣在胸部、下摆、袖口各设 1 条 360 度环形反光标识带，裤子在小腿部各设1条360度环形反光标志带，反光标志带宽度为 50.8mm（2 英寸），颜色为黄银黄。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4、裤子裆部采用一体式设计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5、裤子背带为 H 型背带，背带应可调节长度，可拆卸。</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6、上衣前门襟拉链号型不小于 8 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7、背部设有风琴褶。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1、上衣左胸外设电台立体口袋，门襟内侧设防水插袋，下摆设置外贴袋。大腿外侧各设工具袋 1 个。所有外口袋均设置漏水孔。</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2、在左上臂外侧设 90mm×110mm 盾牌型魔术贴并配盾牌型标识；盾牌型魔术贴上方设长57mm、斜边宽33mm平行四边形魔术贴，并配平行长方形魔术贴并配消防救援衔标识。左胸魔术贴。左胸电台立体口袋上方设长69mm、上宽52mm、下宽50mm盾型魔术贴，并配盾型胸徽标识。右胸魔术贴。右胸胸部反光带上方设长66mm、宽18mm长方形魔术贴，并配长方形姓名牌标识；长方形魔术贴上方设长66mm、宽31mm翼型魔术贴，并配翼型胸标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3、袖口处采用圆弧形设计，外层本色布包边，设置收紧调节袢，并配置罗纹防护护腕，罗纹防护护腕开拇指孔，内部设置止水布。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4、上衣门襟。上衣门襟魔术贴为贯通式。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5、上衣下摆。上衣舒适层下摆设置止水布。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6、裤脚口。裤脚口处采用圆弧形设计，内部设置止水布，内侧设置拉链，裤脚设耐磨材料包边。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7、在肩、肘、膝部应采用耐磨层加厚处理，耐磨层应柔软且易于清洗。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8、左右肩部设有两个挂袢。</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9、背部设有救生拖拉带，展开时间不大于10S，可以拖动80kg假人10米以上。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背部印字：消防救援队伍配备服装背部居中采用耐火、防水、荧光材料喷涂印制根据甲方要求印制标识，字体为简粗平黑，颜色为银色，每个字大小 70mm×85mm，字间距 20mm，位置在反光带上方 30mm 处。反光带下方 30mm 处 ，字体为简粗平黑，颜色为银色。四个字和五个字时每个字大小50mm×55mm，字间距15mm；六个字时每个字大小45mm×55mm，字间距10mm；七个字时每个字大小40mm×55mm，字间距8mm。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1、整体热防护性能 TPP（cal/c㎡） ：≥32。</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2、整套衣服重量：≤2.6kg。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3、阻燃性能：外层损毁长度（经向、纬向≤35mm）；防水透气隔热层损毁长度（经向、纬向≤40mm）；舒适层损毁长度（经向、纬向≤45mm）。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4、断裂强力：外层（经向≥1000N，纬向≥900N）；舒适层（经向≥300N，纬向: ≥500N）。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5、外层撕破强力：经向≥200N、纬向≥100N。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6、热稳定性能：经热稳定性能试验后，外层、防水透气隔热层、外层加强材料和舒适层尺寸变化率均≤5％，且试样表面应无明显变化。</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7、反光标志带阻燃性能：经向、纬向损毁长度≤25mm；外层加强材料阻燃性能：经向、纬向损毁长度≤30mm。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8、防水透气层：耐静水压：&gt;50KPa；拒油性能≥3级；透湿率&gt;8000g/m2·24h。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9、缩水率：外层、防水透气隔热层、舒适层经、纬方向尺寸变化率均≤3％。</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10、接缝断裂强力：外层经向、纬向≥800N。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11、外层表面抗湿性能：≥3级。</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2CEB27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8B5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F20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9DBA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70E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54F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灭火靴子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E2A09A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满足XF6-2004标准，提供国家级消防装备检测报告；标识符合《23式消防员灭火防护靴（橡胶）款式标识统型要求》：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主体颜色为黑色和黄色，黑色潘通色号为PANTONE Black 6C，黄色潘通色号为PANTONE 7408C，靴跟银色反光标识潘通色号为PANTONE Cool Gray 8C。色差≥3级。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1、整体结构。靴帮由外到里分为帮面、防切割层和隔热舒适层三层结构。靴底由上到下分为隔热舒适层、防穿刺层和靴大底三层结构。靴头部位设有保护包头。靴帮顶部设有便于穿戴的提手。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17式消防胶靴从靴内跟底部至靴帮后部筒口最低处的高度为300mm(±5mm)；靴筒口采用倾斜式设计，由前往后向下倾斜，前后高差20mm(±2mm)；靴帮上设有胫骨、踝骨和跖骨保护层，靴后跟部设有反光标识，筒口和靴底各设围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3、靴帮采用筒面和外头皮拼接结构，材质为耐高温阻燃耐酸碱橡胶。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4、靴帮防切割层采用经2纬3棉帆布，经2用21S双股标准全棉，纬3用7S单股标准全棉。</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5、靴帮和靴底隔热舒适层（俗称靴内衬）采用棉布和氯丁橡胶发泡海绵复合面料。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6、靴底防穿刺层采用芳香族聚酰胺纤维复合材料。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7、靴大底采用耐高温、阻燃、耐酸碱、耐磨防滑橡胶，啮合止滑纹路设计，提高防滑性能。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8、鞋垫采用减震缓冲、排汗、防臭，抗菌鞋垫。</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9、保护包头采用轻质铝合金或非金属复合材料。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10、反光标识。靴后跟设有在耐高温、阻燃、耐酸碱橡胶块上，复合的银色三角形阻燃反光标志带。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1、“执行标准:XF6-2004”</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2、型号、规格；</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3、生产厂的名称或商标；</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4、生产厂的灭火防护靴识别编号或制造年月；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5、检验合格标记；</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1、外底耐油性能(%)：-2—10.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2、金属衬垫的耐腐蚀性能：金属衬垫经腐蚀试验后，试样应无腐蚀现象。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3、防砸性能(mm)：≥15</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4、抗刺穿性能(N)：≥2250，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5、抗切割性能：靴面经抗切割试验后，不应被割穿。</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6、隔热性能(°C)：≤18，</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7、抗辐射热渗透性能(°C)：≤16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8、击穿电压≥5000V，且泄漏电压≥3mA.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9、总质量≤2kg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1B7292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CE5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F9B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B395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5DC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6A9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头盔灯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FB6B38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满足国家GB30734-2014标准，提供国家消防装备质量监督检验中心或其他具有相应资质的第三方检测机构出具的检验报告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标识符合《17式消防员佩戴式防爆照明灯款式标识统型要求》：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17式消防员佩戴式防爆头灯采用直筒圆柱形结构设计，具备强光、弱光、爆闪光可切换功能，爆闪光闪烁频率应为8-10HZ。整体由外壳、光学单元、充电口、电量显示单元、电池和开关等组成。灯具重量≤110g，夹具重量≤40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1、灯具外壳应采用AL6061-T6铝合金材质，表面采用硬质阳极氧化处理工艺，颜色为亚光黑色。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2、灯身筒中部采用滚纹处理工艺，滚纹部分距灯头最前端距离为24mm±1mm，距灯尾最后端距离为10mm±1mm。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3、灯具外壳防护等级应满足GB 4208-2008规定的IP66/ IP68 的要求，同时需要标明灯具的潜水深度和持续时间，灯具从1.5高度跌落不影响使用。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4、灯具工作满10min时测量其2m处光斑中心照度，光斑中心强光最大照度≥1800lx，弱光最大照度≥700lx。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充电孔：灯筒上应设计有通用Type-C充电口孔位，孔位长度为7.9±1mm，宽度为5±0.3mm，孔位最前端距灯头最前端距离为30.6±1mm。当灯具充电时电量显示器应采用跑马灯方式显示充电进行状态及当前电量情况。灯具完全放电后充满电时间≤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电量显示窗：灯筒上应设计有通用电量显示单元窗孔，采用四段式蓝色电量显示设计，每段代表25%电量，孔位长度为11±1mm，宽度为3±0.3mm，电量显示孔与充电孔平行设计，轴向与充电孔的夹角为34°，电量显示窗最前端距灯头最前端距离为 29.5±1mm。当电量剩余不足25%时，最后一段电量显示灯持续闪烁提醒电量不足。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3、安装预留台阶结构：灯筒中部两侧对称设计有安装预留台阶，台阶长度为40±1mm，宽度为7±1mm。台阶最前端距灯头最前端距离为40.5±1mm，同时台阶与电量显示孔位垂直结构。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4、尾盖凹槽：为方便开关按压，灯具尾部应设计有凹槽结构，凹槽结构为双侧对称设计，弧度为Φ30±1mm，高度为2.4±0.5mm。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5、挂绳孔：灯具外盖应设计有挂绳孔位，位于尾盖非凹槽部分。挂绳孔规格为（4±0.5）mm×（1.4±0.5）mm，采用对称设计共计4个孔位。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6、开关孔：灯具外壳尾端中部应设计有开关孔，开关孔直径为Φ13.2±0.5mm，位于外壳尾端正中位置。</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7、按钮开关：灯具应具备一体式方位灯大开关设计，尾部采用白色透明按钮式大开关设计，开关直径≥12.5mm，同时开关应一体式设计有红色常亮方位灯，用于方位指示,红色方位灯在晴朗夜间的可视距离应≥100m。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8、夹具：与消防头盔和抢险救援防护头盔滑轨配套的头灯夹具，上下可调节。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三、电池</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1、电池应采用可充电锂电池，额定电压为DC3.7V，额定容量≥1.9Ah。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2、灯具电池两端应同时设置正负极，且电池两端正负极性应对称设计，电池装入灯具时应不需区分方向均能使灯具正常工作。</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38CE17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756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151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931B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31B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402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灭火腰带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4E5D17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提供国家级消防装备检测报告；标识符合《17式消防安全腰带款式标识统型要求》：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1、织带：藏蓝色，潘通色号为PANTONE 19-4013 TCX Dark Navy，色差≥3级（按《纺织品  色牢度试验 评定变色用灰色样卡》）。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2、带扣、D型环：铝本色。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3、保护盖、移动板、收带扣：颜色为黑色。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4、缝线：颜色为灰色。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二、款式（插扦改良式）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1、织带：尼龙66材质，织带为整根，不应有接缝，具有一定硬度，规格为宽70mm×厚2.5mm，末端收尾为整烫圆弧型。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2、带扣：热锻铝7075合金材质，阳极氧化处理工艺，规格为长96mm×宽90mm×厚6mm。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3、扦针：不锈钢420材质，双扦针，扦针的长度35mm，直径应与带扣、扦针孔适配。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4、D型环：热锻铝7075合金材质，阳极氧化处理工艺，配置两个D型环，其中一个采用缝合固定，距带扣100mm处；另一个采用移动板和D型环组合结构，可自由调节。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5、扦针孔：优质不锈钢材质，直径12mm，距带尾部200mm处成双排六列型式向前等距排列。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6、移动板：尼龙66材质，规格为65mm×95mm×3mm。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7、收带扣：尼龙材质，松紧带缝纫，宽度规格为20mm。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8、缝线：尼龙66材质，颜色为灰色，电脑曲折缝制线迹。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9、型号：分大、中、小三个型号，成品长度分别为1400mm、1300mm、1200mm。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三、标志带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永久性标志：耐磨水洗布，长160mm×宽60mm，缝于腰内侧。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1、腰带质量：≤0.85kg。腰带的带扣的边角半径应≥6mm。正立方向静拉力：≥13KN。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2、安全腰带的拉环不允许焊接。</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3、耐高温性能：安全腰带的织带和缝线不应出现融熔，焦化现象。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4、金属零件的耐腐蚀性能：盐雾试验后。</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692F2D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28F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9C3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4611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B77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9D7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六米拉梯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FBC9F4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1、满足XF137-2007标准；2、竹质材质，工作长度≥6米；3、整梯重量≤30KG；4、提供国家级检测机构（第三方）的检测报告。带滑轮、绳子，可伸缩的。</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562E3F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481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998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365C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E3F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AB4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电绝缘剪断钳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52E8F0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用于事故现场电线电缆或其他带电体的剪切，可剪断16mm以下电线、钢筋，安全操作电压≥1000V；</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637F77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F8A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2B1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FF8B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36A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D2E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折叠担架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487F9A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1、优质高强度合金骨架，可折叠存放，便于洗消；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2、担架主体采用耐割、防穿刺面料，在担架两侧各设置4个固定环和扣绳；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3、承重≥120kg，跌落承重≥300kg；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4、配携带防水包；</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D04544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532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169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B8FB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7F7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567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千斤顶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30CB3C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1、立式油压千斤顶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2、最低高度 ：≤195mm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3、调整高度 ：≥60mm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4、起重高度 ：≥115mm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5、起重量 ：≥10吨。</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FB0DE5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49B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471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5C3C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9B4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083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正压式空气呼吸器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8582B9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1、符合国家XF124-2013标准，提供“国家消防装备质量监督检验中心”出具的检测报告和“应急管理部消防产品合格评审定中心”出具的消防产品认证证书。</w:t>
            </w:r>
          </w:p>
          <w:p w14:paraId="1B443C7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★2、全套空气呼吸器由全面罩、抬头显示、供气阀、减压阀、救援快速插口（三通）、报警哨和压力表、背板、托垫及 6.8L碳纤维复合气瓶，佩戴质量11.4Kg，每具空气呼吸器配备1个救援小包，内含供气头罩和供气导管，每20具空气呼吸器配置1套快速充气装置，快速充气连接管配有泄压阀，可实现气瓶对空呼充气，安全、快速；</w:t>
            </w:r>
          </w:p>
          <w:p w14:paraId="6FF5D86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背架总成：背板采用复合材质制作，符合人体工程学设计。背板带有腰夹，重量分布于腰间，减轻肩部受力，可以完美贴合使用者背部及腰部，背部受力均匀；背带采用高性能本质阻燃材料制作，肩带设有弹性衬垫，肩垫宽厚柔软，调节方便；腰带和肩带均为耐磨、防滑、防火、防滑材料，且肩带上具有荧光带及面罩放置挂钩等；腰垫为可拆卸式，配合不同的工作环境使用；腰带采用前拉式收紧方式，便于消防车等狭小空间内的呼吸器穿戴；</w:t>
            </w:r>
          </w:p>
          <w:p w14:paraId="51667B4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气瓶总成：符合TSG23-2021《气瓶安全技术规程》，提供“特种设备检测研究院”出具的的检测报告：特种设备制造监督检测证书（气瓶），工作压力30MPa,水压试验压力50MPa，爆破压力≥102MPa；气瓶容积6.8L；气瓶阀配置压力表，能在任何时候显示气瓶内部压力；气瓶阀带自锁功能，避免因使用过程中不慎碰撞或误操作关闭瓶阀；采用全缠绕式碳纤维复合材料制作，瓶体内层缠绕环形标识，每只气瓶有清晰的永久性标记，标记植入树脂层内，标记项目包含：气瓶编号、气瓶公称容积（L）、气瓶公称重量（kg）、气瓶充装截止名称或代号、气瓶公称工作压力（Mpa）、气瓶水压试验压力（Mpa）、制造单位名称或代号、气瓶制造年月、气瓶设计使用寿命、监督检验标志、产品标准、水压试验极限弹性膨胀量等信息；内胆采用高强度、经防腐处理、重量轻的铝合金材料；配套具有防火性能，气瓶保护套需按甲方要求印制表示;气瓶阀安装有限流装置，避免在气瓶阀意外断裂时因大流量的高压气体不受控制的释放而产生的气瓶冲击危险。</w:t>
            </w:r>
          </w:p>
          <w:p w14:paraId="35DA8AB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面罩总成：采用球形大视野面屏全面罩，面罩胶体及口鼻罩设计形状符合亚洲人脸型，贴合度及密封性良好，面罩胶体采用硅胶材质，不出现僵化、硬化现象，对皮肤不造成过敏，长久防刮擦。总视野保留率为81.2%，双目视野保留率为67.8%，下方视野&gt;35°，镜片透光率为94%，全面罩面屏纳米镀层具有本质防雾功能，保障环境温差大使用不上雾。口鼻罩采用食品级硅胶材料，头罩采用网状高性能阻燃材料制成。配备具有阻燃性能的保护套。面罩固定方式为五点固定调节式头网，完全可根据任何佩戴者头部需要自由调整，头网采用KEVLAR材质，本质阻燃耐切割，抗撕拉，配置有颈带，佩戴舒适。</w:t>
            </w:r>
          </w:p>
          <w:p w14:paraId="1560194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供气阀总成：供气阀具有紧急供气、面罩强制去雾，配备水久除雾、排放余气等功能；中压管与供气阀、供气阀与面罩为活接插方式为360°快速接插，任何角度都可以操作，支持快速插拔功能：具有自动开启装置，首次呼吸自动激活，具有自动正压机构；供气流量≥500L/min：外形为仿生学原理按照人类握拳型设计，体积小巧，使用者方便对供气阀进行抓握。供气阀接插在面罩的正下方，保证良好视野率。供气阀与中压管可以自由连接、拆卸</w:t>
            </w:r>
          </w:p>
          <w:p w14:paraId="7B02ABD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★7、减压阀总成：恒压式结构设计，减压器输出压力0.66-0.79Mpa；设置安全阀，当减压器输出压力超过设定安全压力时，中压安全阀会自动泄压；</w:t>
            </w:r>
          </w:p>
          <w:p w14:paraId="54CAC66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0217354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3D319B5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抬头显示HUD:压力平视显示装置（HUD）接收端安装在供气阀上，免工具拆卸，传输方式：无线。显示装置具有光感传感器，感应环境光，调节灯光亮度，保护使用者视力，也方便浓烟环境观察压力，通过压力传感器采集气瓶内的气体压力，将信号用无线发射的方式发送到安装在面罩内侧的抬头显示器上，信号具有唯一性，设计有配对按钮。压力平视显示装置采用红、黄、绿不同颜色的LED灯光分别显示压力范围方式；当气瓶压力30MPa~10 MPa时，绿灯常亮；10MPa^6 MPa时，黄灯常亮；当气瓶压力低于6MPa时，红灯闪亮；同时报警哨起鸣，安装在面罩内的接收端上的两盏伙伴灯同时红灯闪烁，同行的伙伴处于任何位置都可观察到并提示；并且接收端同时会有震动功能提示。开启气瓶自动激活，实现自动开机。关闭气瓶手动关机；无气压状态下，支持手动开机并通过对码按键进行对码连接；先进的低功耗蓝牙无线传输技术，抗干扰能力强；连续工作时间可达100小时；内嵌光感传感器，报警灯亮度根据环境亮度自动调节；低电量报警，黄灯亮起提醒及时更换电池；电源：发射端采用2节7号碱性电池。防爆等级:Exia IIC T4 Ga，防护等级： IP67；工作温度-35℃--60℃；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808748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88B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BE6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EA02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DDE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D28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手抬机动泵</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11A1CE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水泵材质：超轻铝合金单级单程离心泵引水方式：碳纤维旋片真空泵</w:t>
            </w:r>
          </w:p>
          <w:p w14:paraId="4B4569E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额定流量（吸深3M）：≥36T/h</w:t>
            </w:r>
          </w:p>
          <w:p w14:paraId="493215B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★扬程：≥8</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M</w:t>
            </w:r>
          </w:p>
          <w:p w14:paraId="4CA6FF0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额定压力（吸深3M)：≥0.55MPA</w:t>
            </w:r>
          </w:p>
          <w:p w14:paraId="3C3653C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吸水口：65MM</w:t>
            </w:r>
          </w:p>
          <w:p w14:paraId="4C4AF3F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★最大流量：≥5</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T/H</w:t>
            </w:r>
          </w:p>
          <w:p w14:paraId="1DBE2B3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出水口：65MM</w:t>
            </w:r>
          </w:p>
          <w:p w14:paraId="7CDC7D0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发动机型式：立式、单杠、风冷、四冲程(188F）启动系统：手拉启动、电启动</w:t>
            </w:r>
          </w:p>
          <w:p w14:paraId="2611F67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输出功率：≥8.2KW</w:t>
            </w:r>
          </w:p>
          <w:p w14:paraId="1255624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燃料材质：柴油</w:t>
            </w:r>
          </w:p>
          <w:p w14:paraId="16A03D1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转速规格：3600RPM/MIN</w:t>
            </w:r>
          </w:p>
          <w:p w14:paraId="50ADA17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点火方式：压燃式</w:t>
            </w:r>
          </w:p>
          <w:p w14:paraId="3A66651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燃油容积：≥5L</w:t>
            </w:r>
          </w:p>
          <w:p w14:paraId="721765E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体积：≤610X475X610MM</w:t>
            </w:r>
          </w:p>
          <w:p w14:paraId="4CCDE9C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重量：≤85KG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85FA4D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88B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5CA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DA68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0A9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EAE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通用安全绳50米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FC3F00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1、满足XF494-2004标准，提供国家级检测报告；</w:t>
            </w:r>
          </w:p>
          <w:p w14:paraId="70D5A82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2、特殊螺旋均匀纺织工艺使外皮和内芯紧密的结合一体，外皮滑动率为零。</w:t>
            </w:r>
          </w:p>
          <w:p w14:paraId="5615135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3、直径10.5mm，长度为50米，最小破裂强度≥50KN，静拉力＞4000kg。</w:t>
            </w:r>
          </w:p>
          <w:p w14:paraId="56277F2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4、性能：经204℃士5℃的耐高温性能试验后，安全绳不应出现融熔、焦化现象。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9E7AEC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卷</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C26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988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A593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EF56">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b/>
                <w:bCs/>
                <w:i w:val="0"/>
                <w:iCs w:val="0"/>
                <w:color w:val="auto"/>
                <w:sz w:val="21"/>
                <w:szCs w:val="21"/>
                <w:u w:val="none"/>
                <w:shd w:val="clear"/>
                <w:lang w:val="en-US" w:eastAsia="zh-CN"/>
              </w:rPr>
              <w:t>钢结构施工及装修改造部分</w:t>
            </w:r>
          </w:p>
        </w:tc>
      </w:tr>
      <w:tr w14:paraId="250D5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D9EF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4DE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内墙粉刷</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5F9A8E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A51EF9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280D">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0D7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C7AD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371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46F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外墙粉刷</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44CCC2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DDD8FB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BE4E">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748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40B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4526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A55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03F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室外给排水</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E3D3FE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FC118D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项</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E21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8BB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E01A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BEE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50F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卫生间附属改造</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4D234B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E5957A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项</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631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1C7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363B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206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27F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地暖及附属</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1E1C17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5DF568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CB78">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eastAsia="zh-CN"/>
              </w:rPr>
              <w:t>35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068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858E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FFE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42C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壁挂炉</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B46CD76">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rPr>
            </w:pPr>
            <w:r>
              <w:rPr>
                <w:rFonts w:hint="default" w:ascii="仿宋" w:hAnsi="仿宋" w:eastAsia="仿宋" w:cs="仿宋"/>
                <w:i w:val="0"/>
                <w:iCs w:val="0"/>
                <w:color w:val="auto"/>
                <w:sz w:val="21"/>
                <w:szCs w:val="21"/>
                <w:u w:val="none"/>
                <w:lang w:val="en-US"/>
              </w:rPr>
              <w:t>智能燃气壁挂炉</w:t>
            </w:r>
          </w:p>
          <w:p w14:paraId="4ECB74BF">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rPr>
            </w:pPr>
            <w:r>
              <w:rPr>
                <w:rFonts w:hint="default" w:ascii="仿宋" w:hAnsi="仿宋" w:eastAsia="仿宋" w:cs="仿宋"/>
                <w:i w:val="0"/>
                <w:iCs w:val="0"/>
                <w:color w:val="auto"/>
                <w:sz w:val="21"/>
                <w:szCs w:val="21"/>
                <w:u w:val="none"/>
                <w:lang w:val="en-US"/>
              </w:rPr>
              <w:t>额定功率：65KW，适用于≥400㎡空间</w:t>
            </w:r>
          </w:p>
          <w:p w14:paraId="7C2A0820">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rPr>
            </w:pPr>
            <w:r>
              <w:rPr>
                <w:rFonts w:hint="default" w:ascii="仿宋" w:hAnsi="仿宋" w:eastAsia="仿宋" w:cs="仿宋"/>
                <w:i w:val="0"/>
                <w:iCs w:val="0"/>
                <w:color w:val="auto"/>
                <w:sz w:val="21"/>
                <w:szCs w:val="21"/>
                <w:u w:val="none"/>
                <w:lang w:val="en-US"/>
              </w:rPr>
              <w:t>额定工作压力MPa：小于0.1MPa</w:t>
            </w:r>
          </w:p>
          <w:p w14:paraId="7E672932">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rPr>
            </w:pPr>
            <w:r>
              <w:rPr>
                <w:rFonts w:hint="default" w:ascii="仿宋" w:hAnsi="仿宋" w:eastAsia="仿宋" w:cs="仿宋"/>
                <w:i w:val="0"/>
                <w:iCs w:val="0"/>
                <w:color w:val="auto"/>
                <w:sz w:val="21"/>
                <w:szCs w:val="21"/>
                <w:u w:val="none"/>
                <w:lang w:val="en-US"/>
              </w:rPr>
              <w:t>循环方式：自然循环</w:t>
            </w:r>
          </w:p>
          <w:p w14:paraId="1D5B0610">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rPr>
            </w:pPr>
            <w:r>
              <w:rPr>
                <w:rFonts w:hint="default" w:ascii="仿宋" w:hAnsi="仿宋" w:eastAsia="仿宋" w:cs="仿宋"/>
                <w:i w:val="0"/>
                <w:iCs w:val="0"/>
                <w:color w:val="auto"/>
                <w:sz w:val="21"/>
                <w:szCs w:val="21"/>
                <w:u w:val="none"/>
                <w:lang w:val="en-US"/>
              </w:rPr>
              <w:t>水位容积L：≥30L</w:t>
            </w:r>
          </w:p>
          <w:p w14:paraId="2C692F2B">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rPr>
            </w:pPr>
            <w:r>
              <w:rPr>
                <w:rFonts w:hint="default" w:ascii="仿宋" w:hAnsi="仿宋" w:eastAsia="仿宋" w:cs="仿宋"/>
                <w:i w:val="0"/>
                <w:iCs w:val="0"/>
                <w:color w:val="auto"/>
                <w:sz w:val="21"/>
                <w:szCs w:val="21"/>
                <w:u w:val="none"/>
                <w:lang w:val="en-US"/>
              </w:rPr>
              <w:t>结构形式：立式</w:t>
            </w:r>
          </w:p>
          <w:p w14:paraId="7EBDA8F8">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rPr>
            </w:pPr>
            <w:r>
              <w:rPr>
                <w:rFonts w:hint="default" w:ascii="仿宋" w:hAnsi="仿宋" w:eastAsia="仿宋" w:cs="仿宋"/>
                <w:i w:val="0"/>
                <w:iCs w:val="0"/>
                <w:color w:val="auto"/>
                <w:sz w:val="21"/>
                <w:szCs w:val="21"/>
                <w:u w:val="none"/>
                <w:lang w:val="en-US"/>
              </w:rPr>
              <w:t>适用燃料：天然气</w:t>
            </w:r>
          </w:p>
          <w:p w14:paraId="3E44F46A">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rPr>
            </w:pPr>
            <w:r>
              <w:rPr>
                <w:rFonts w:hint="default" w:ascii="仿宋" w:hAnsi="仿宋" w:eastAsia="仿宋" w:cs="仿宋"/>
                <w:i w:val="0"/>
                <w:iCs w:val="0"/>
                <w:color w:val="auto"/>
                <w:sz w:val="21"/>
                <w:szCs w:val="21"/>
                <w:u w:val="none"/>
                <w:lang w:val="en-US"/>
              </w:rPr>
              <w:t>热效率：95%</w:t>
            </w:r>
          </w:p>
          <w:p w14:paraId="4B92105D">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rPr>
            </w:pPr>
            <w:r>
              <w:rPr>
                <w:rFonts w:hint="default" w:ascii="仿宋" w:hAnsi="仿宋" w:eastAsia="仿宋" w:cs="仿宋"/>
                <w:i w:val="0"/>
                <w:iCs w:val="0"/>
                <w:color w:val="auto"/>
                <w:sz w:val="21"/>
                <w:szCs w:val="21"/>
                <w:u w:val="none"/>
                <w:lang w:val="en-US"/>
              </w:rPr>
              <w:t>超低音、软点火、环保节能、外卡式温度探头传感器，安全有保障，60℃限温保护，智能切换生活用水和室内供暖模式</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A15B47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7F7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CF3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6481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3B1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0DA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水电改造</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A39A63D">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0E528A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5FA0">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eastAsia="zh-CN"/>
              </w:rPr>
              <w:t>385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066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4076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5E8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D65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监控设备</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D95ACA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800万POE高清双光枪机</w:t>
            </w:r>
          </w:p>
          <w:p w14:paraId="12591CC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像素：800万</w:t>
            </w:r>
          </w:p>
          <w:p w14:paraId="58790F4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监控有效距离：500米</w:t>
            </w:r>
          </w:p>
          <w:p w14:paraId="2BDD6FA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供网方式：网络连接</w:t>
            </w:r>
          </w:p>
          <w:p w14:paraId="3E70E94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焦距：6mm</w:t>
            </w:r>
          </w:p>
          <w:p w14:paraId="659A53F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存储方式：NVR硬盘存储</w:t>
            </w:r>
          </w:p>
          <w:p w14:paraId="6F6F63F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夜视类型：星光夜视</w:t>
            </w:r>
          </w:p>
          <w:p w14:paraId="0044E8D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使用环境：室内外通用</w:t>
            </w:r>
          </w:p>
          <w:p w14:paraId="4BB718C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电压：支持POE+12V供电</w:t>
            </w:r>
          </w:p>
          <w:p w14:paraId="359E124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工作温度：-30℃～80℃</w:t>
            </w:r>
          </w:p>
          <w:p w14:paraId="1FC6F88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防水等级：IP66</w:t>
            </w:r>
          </w:p>
          <w:p w14:paraId="144E3B1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红外夜视距离：30</w:t>
            </w:r>
          </w:p>
          <w:p w14:paraId="501B6F5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数量：10个，含硬盘录像机、监视大屏、安装辅材等，确保安装调试到位</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F4D843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项</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156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56D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7FBB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5B5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C01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车库及附属</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729C7B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A041C1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0896">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eastAsia="zh-CN"/>
              </w:rPr>
              <w:t>200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A3F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A1DD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788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4A7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高低床</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B37CA6A">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eastAsia="zh-CN"/>
              </w:rPr>
            </w:pPr>
            <w:r>
              <w:rPr>
                <w:rFonts w:hint="default" w:ascii="仿宋" w:hAnsi="仿宋" w:eastAsia="仿宋" w:cs="仿宋"/>
                <w:i w:val="0"/>
                <w:iCs w:val="0"/>
                <w:color w:val="auto"/>
                <w:sz w:val="21"/>
                <w:szCs w:val="21"/>
                <w:u w:val="none"/>
                <w:lang w:val="en-US" w:eastAsia="zh-CN"/>
              </w:rPr>
              <w:t>产品尺寸：1800mm*2000mm*900mm，营区专用款，配套床下柜</w:t>
            </w:r>
          </w:p>
          <w:p w14:paraId="5CAA00F2">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eastAsia="zh-CN"/>
              </w:rPr>
            </w:pPr>
            <w:r>
              <w:rPr>
                <w:rFonts w:hint="default" w:ascii="仿宋" w:hAnsi="仿宋" w:eastAsia="仿宋" w:cs="仿宋"/>
                <w:i w:val="0"/>
                <w:iCs w:val="0"/>
                <w:color w:val="auto"/>
                <w:sz w:val="21"/>
                <w:szCs w:val="21"/>
                <w:u w:val="none"/>
                <w:lang w:val="en-US" w:eastAsia="zh-CN"/>
              </w:rPr>
              <w:t>加厚冷轧钢板，进行耐腐蚀、除磷、除杂处理，静电喷塑</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DD5C25A">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张</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E987">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5FB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09CF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1BD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4CB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广告及门头</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58AA9D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A18DC1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项</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1E5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827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C2E1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6FD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90C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办公家具</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FC7934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高档办公桌椅，一桌一椅</w:t>
            </w:r>
          </w:p>
          <w:p w14:paraId="103D0E6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1.8米高档办公桌，宽度80cm</w:t>
            </w:r>
          </w:p>
          <w:p w14:paraId="54E1CEA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环保加厚面板</w:t>
            </w:r>
          </w:p>
          <w:p w14:paraId="735AB12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机械密码锁，宽大长侧柜，短副柜带密码锁，隐藏式走线，加大主机箱，隐藏式桌面多功能线盒、铝合金镶嵌弧形设计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83D6EC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BDA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736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FED9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B7C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0DF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衣柜</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005189D">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eastAsia="zh-CN"/>
              </w:rPr>
            </w:pPr>
            <w:r>
              <w:rPr>
                <w:rFonts w:hint="default" w:ascii="仿宋" w:hAnsi="仿宋" w:eastAsia="仿宋" w:cs="仿宋"/>
                <w:i w:val="0"/>
                <w:iCs w:val="0"/>
                <w:color w:val="auto"/>
                <w:sz w:val="21"/>
                <w:szCs w:val="21"/>
                <w:u w:val="none"/>
                <w:lang w:val="en-US" w:eastAsia="zh-CN"/>
              </w:rPr>
              <w:t>钢制双门更衣柜，材质为加厚spcc冷轧钢板，进行耐腐蚀、除磷、除杂处理。25KG承重晾衣杆，连杆锁具、便签卡槽、静电喷塑，钢板厚度1.2mm</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BFC1AE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8F9C">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1B1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398E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81F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790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室外地坪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1272A8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4E002F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1C8B">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1100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8CE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E093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114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DF0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围墙抹灰</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57B9BE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3920B7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CFEF">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1053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7CD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C340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908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B53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树池修复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F0C92D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5A2FCF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项</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170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FF9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B858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BA0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59B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破损地砖修复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E11E1E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217111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项</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66C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4A6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1694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727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542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吊顶修复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4676EB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C51E0E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项</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5D9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08B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4DC2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636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2AB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门窗配件修复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609594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C5377A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项</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37C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8D0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8B5F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056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b/>
                <w:bCs/>
                <w:i w:val="0"/>
                <w:iCs w:val="0"/>
                <w:color w:val="auto"/>
                <w:sz w:val="21"/>
                <w:szCs w:val="21"/>
                <w:u w:val="none"/>
              </w:rPr>
              <w:t>阿克陶县玉麦镇车辆装备采购</w:t>
            </w:r>
          </w:p>
        </w:tc>
      </w:tr>
      <w:tr w14:paraId="082AF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3CF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857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水罐消防车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060BD3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所投型号车辆，应符合《消防车第 1 部分：通用技术条件》( GB7956.1-2014)标准要求，提供所投型号消防车的工信部公告、国家消防装备质量监督检验中心或国家权威机构出具的消防车检验报告；或承诺车辆交付时提供所投型号消防车的工信部公告、国家消防装备质量监督检验中心或国家权威机构出具的消防车检验报告和整车出厂合格证，工信部公告与整车出厂合格证数据须一致，并提供整车设计效果图，包括整体结构图、三维效果图需与现行现行涂装相符合；泵出水口为内扣式，符合国家综合性消防救援车辆外观制式涂装：涂装要素包括双色装饰带，徽标，车辆编号，中文“消防”、“救援”和英文“RESCUE”及文字和图案的组合，文字和文字的组合等。其中双色装饰带位于车身两及车身尾部；徽标位于车身两侧前部；与横线组合位于车辆顶部；“消防”汉字位于专项作业车驾驶室两侧后部；中文“消防”、“救援”和英文“RESCUE”的组合位于车头前部。</w:t>
            </w:r>
          </w:p>
          <w:p w14:paraId="0528ABA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1.整车参数 </w:t>
            </w:r>
          </w:p>
          <w:p w14:paraId="2243E35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1.1外形尺寸≤6150mm×2100mm×3050mm</w:t>
            </w:r>
          </w:p>
          <w:p w14:paraId="3CA0F63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1.2满载总质量≤7200kg</w:t>
            </w:r>
          </w:p>
          <w:p w14:paraId="36FAF66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1.3乘员人数 6人</w:t>
            </w:r>
          </w:p>
          <w:p w14:paraId="0584BDC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1.4最高车速 95km/h</w:t>
            </w:r>
          </w:p>
          <w:p w14:paraId="29679BE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1.5排放标准 国VI</w:t>
            </w:r>
          </w:p>
          <w:p w14:paraId="5E86B4F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★1.6液罐容量 水≥2800L</w:t>
            </w:r>
          </w:p>
          <w:p w14:paraId="603BDBA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1.7消防泵流量 ≥30L/s</w:t>
            </w:r>
          </w:p>
          <w:p w14:paraId="518EFD7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1.8消防炮流量 ≥30L/s</w:t>
            </w:r>
          </w:p>
          <w:p w14:paraId="6ACD1BE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9C7EF4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2.底盘参数 </w:t>
            </w:r>
          </w:p>
          <w:p w14:paraId="6BD6734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2.1动形式 4×2</w:t>
            </w:r>
          </w:p>
          <w:p w14:paraId="63AC902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2.2轴距 3360mm</w:t>
            </w:r>
          </w:p>
          <w:p w14:paraId="6928A31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★2.3驾驶室 四门双排驾驶室</w:t>
            </w:r>
          </w:p>
          <w:p w14:paraId="577D293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2.4发动机形式 直列4缸、压燃、水冷、四冲程、增压中冷、高压共轨发动机</w:t>
            </w:r>
          </w:p>
          <w:p w14:paraId="5793BD3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2.5额定功率 ≥96/3000（kW/rpm）</w:t>
            </w:r>
          </w:p>
          <w:p w14:paraId="179CF89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2.6额定扭矩 ≥405/2000（Nm/rpm）</w:t>
            </w:r>
          </w:p>
          <w:p w14:paraId="13218EC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2.7排放标准 国VI</w:t>
            </w:r>
          </w:p>
          <w:p w14:paraId="1D251A2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2.8变速箱形式 手动变速箱，5个前进挡+1个倒挡</w:t>
            </w:r>
          </w:p>
          <w:p w14:paraId="5B4263D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★2.9取力器 断轴取力器</w:t>
            </w:r>
          </w:p>
          <w:p w14:paraId="6EDF681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2.10油箱容量 70L</w:t>
            </w:r>
          </w:p>
          <w:p w14:paraId="3B454C5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BEFE15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★3.副车架 </w:t>
            </w:r>
          </w:p>
          <w:p w14:paraId="3C5AD25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3.1材质 高强度钢材。</w:t>
            </w:r>
          </w:p>
          <w:p w14:paraId="27E9A55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3.2结构形式 井字形焊接式成型，焊后校形振动消除焊接应力，与底盘大梁、上装采用刚性连接方式固定。</w:t>
            </w:r>
          </w:p>
          <w:p w14:paraId="3BA2BBA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3.3防腐处理 喷砂除油锈，喷涂重型防腐漆。</w:t>
            </w:r>
          </w:p>
          <w:p w14:paraId="463C2E1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D35D15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4.驾乘室 </w:t>
            </w:r>
          </w:p>
          <w:p w14:paraId="4088735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4.1布局结构 四门双排驾驶室。</w:t>
            </w:r>
          </w:p>
          <w:p w14:paraId="6EA1F7F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★4.2座位设置 前排1+2，后排3人</w:t>
            </w:r>
          </w:p>
          <w:p w14:paraId="254C72C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4.3安全设置 安装有安全带。</w:t>
            </w:r>
          </w:p>
          <w:p w14:paraId="448802F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4.4内饰 驾驶室内加装水泵的取力器开关；警报器及警灯开关等。</w:t>
            </w:r>
          </w:p>
          <w:p w14:paraId="09A25C4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4.5照明 原车照明灯。</w:t>
            </w:r>
          </w:p>
          <w:p w14:paraId="1C6907E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4.6踏梯 高强度一体式防滑踏梯。</w:t>
            </w:r>
          </w:p>
          <w:p w14:paraId="3F963A1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4.7扶手 配备安全扶手，提高了救援人员上、下车安全及速度。</w:t>
            </w:r>
          </w:p>
          <w:p w14:paraId="4C9D5BB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9077A2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5.车厢 </w:t>
            </w:r>
          </w:p>
          <w:p w14:paraId="1F26FF0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★5.1材质 车厢（器材箱、泵室、内骨架及内饰板）全部采用高分子复合材料PP。</w:t>
            </w:r>
          </w:p>
          <w:p w14:paraId="02C5AD4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★5.2结构 车厢整体采用高分子复合材料焊接技术；在器材箱内预留各类设备器材专用夹具，充分利用车厢内部有限空间；内饰板和底板喷涂大理石漆面。</w:t>
            </w:r>
          </w:p>
          <w:p w14:paraId="079914E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5.3梯架 车厢顶部设置一套多功能二节拉梯架，可放置二节拉梯、单杠梯、挂钩梯</w:t>
            </w:r>
          </w:p>
          <w:p w14:paraId="36A84B5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5.4爬梯 车厢后部设置一架通往车顶的安全爬梯</w:t>
            </w:r>
          </w:p>
          <w:p w14:paraId="2E291BE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878B23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★6.卷帘门 </w:t>
            </w:r>
          </w:p>
          <w:p w14:paraId="3F34F3B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6.1材质 采用轻型优质铝合金，大幅面卷帘门，启闭灵活、密封性好、外形美观、轻便可靠</w:t>
            </w:r>
          </w:p>
          <w:p w14:paraId="168A5A8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6.2结构 顶部设有导流槽，四周装有密封条，具有良好的防雨、防尘密封性能。配备拉杆式条锁把手、一点式拉带及两点式固定座</w:t>
            </w:r>
          </w:p>
          <w:p w14:paraId="35B8DDC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6.3消防泵自带暖风机，器材箱及泵房配防寒帘，加水出水口带防寒套以及带轮胎防滑链。</w:t>
            </w:r>
          </w:p>
          <w:p w14:paraId="2F069B6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                                                                                                                                                                     </w:t>
            </w:r>
          </w:p>
          <w:p w14:paraId="21DDF90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7.电器系统 </w:t>
            </w:r>
          </w:p>
          <w:p w14:paraId="21DE0B3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7.1警灯警报 车头前顶部设置长排式警灯，单音100W警报器、警灯、电路为独立式附加电路，控制器件安装在驾驶室内</w:t>
            </w:r>
          </w:p>
          <w:p w14:paraId="688755E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7.2器材箱灯 器材箱、泵房卷帘门两侧内设有LED白光照明灯带，能够满足整个箱体的照明</w:t>
            </w:r>
          </w:p>
          <w:p w14:paraId="25E159A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7.3频闪灯 车厢左右两侧上部各配置两盏频闪警灯</w:t>
            </w:r>
          </w:p>
          <w:p w14:paraId="4D381EF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7.4车外照明 车厢左右两侧上部各配置两盏LED侧照明灯，车厢尾部配置一盏LED照明灯</w:t>
            </w:r>
          </w:p>
          <w:p w14:paraId="0F96E3E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7.5警示灯 车厢侧面均安装有专用黄色警示灯</w:t>
            </w:r>
          </w:p>
          <w:p w14:paraId="2AF22B6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682E5E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8.表面处理 </w:t>
            </w:r>
          </w:p>
          <w:p w14:paraId="01FF3CF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8.1漆料 车厢表面喷涂进口品牌消防红色漆，为保证夜间工作安全，车身设有符合安全标准要求的荧光反光带</w:t>
            </w:r>
          </w:p>
          <w:p w14:paraId="115B648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8.2颜色 消防红</w:t>
            </w:r>
          </w:p>
          <w:p w14:paraId="1C2096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E21BAC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9.消防泵 </w:t>
            </w:r>
          </w:p>
          <w:p w14:paraId="024346F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9.1额定压力≥ 1.0MPa</w:t>
            </w:r>
          </w:p>
          <w:p w14:paraId="1D91091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9.2额定流量 ≥30L/s</w:t>
            </w:r>
          </w:p>
          <w:p w14:paraId="48ED2A0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9.3真空泵 水环真空泵</w:t>
            </w:r>
          </w:p>
          <w:p w14:paraId="5994337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★9.4引水形式 自动引水</w:t>
            </w:r>
          </w:p>
          <w:p w14:paraId="6D2D4E4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9.5吸水深度 7m</w:t>
            </w:r>
          </w:p>
          <w:p w14:paraId="653709B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9.6引水时间 ≤35s</w:t>
            </w:r>
          </w:p>
          <w:p w14:paraId="684042A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9.7安装形式 后置式</w:t>
            </w:r>
          </w:p>
          <w:p w14:paraId="43EF4F4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9.8消防泵自带暖风机消防泵自带暖风机，器材箱及泵房配防寒帘，加水出水口带防寒套以及带轮胎防滑链。                                                                                                                                                                                                                                                                                                                                      </w:t>
            </w:r>
          </w:p>
          <w:p w14:paraId="59EC714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CA4658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10.消防炮 </w:t>
            </w:r>
          </w:p>
          <w:p w14:paraId="1F36031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10.1额定流量 ≥30L/s</w:t>
            </w:r>
          </w:p>
          <w:p w14:paraId="63F7F91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10.2射程 水≥60m</w:t>
            </w:r>
          </w:p>
          <w:p w14:paraId="0304123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10.3安装位置 车厢顶部</w:t>
            </w:r>
          </w:p>
          <w:p w14:paraId="4836452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10.4控制方式 手动控制</w:t>
            </w:r>
          </w:p>
          <w:p w14:paraId="46BC704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★10.5水平回转角度 0°~330°</w:t>
            </w:r>
          </w:p>
          <w:p w14:paraId="55913E3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★10.6俯仰回转角度 -10°~60</w:t>
            </w:r>
          </w:p>
          <w:p w14:paraId="41777E4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4A4C188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11.液罐 </w:t>
            </w:r>
          </w:p>
          <w:p w14:paraId="4163F4D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11.1容量 水≥2800L</w:t>
            </w:r>
          </w:p>
          <w:p w14:paraId="6756E4E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★11.2材质 高分子复合材料PP采用多项专利技术高分子复合材料制造而成的特殊板材，强度高、抗冲击性强、耐低温、抗腐蚀性、质量轻的特点</w:t>
            </w:r>
          </w:p>
          <w:p w14:paraId="2DDBC68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11.3安装形式 一体式</w:t>
            </w:r>
          </w:p>
          <w:p w14:paraId="7D35F67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11.4结构 1个溢流/卸压装置；1个液位传感器；1个水罐放余水口。</w:t>
            </w:r>
          </w:p>
          <w:p w14:paraId="3B36063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3C36597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12.管路系统 </w:t>
            </w:r>
          </w:p>
          <w:p w14:paraId="269F5D3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12.1进水口 泵室正后方安装DN100螺纹式吸水口1个。</w:t>
            </w:r>
          </w:p>
          <w:p w14:paraId="6ECF898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12.2注水口 泵室右侧安装带手动控制阀的DN65卡式注水口1个。</w:t>
            </w:r>
          </w:p>
          <w:p w14:paraId="0C56349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12.3出水口 泵室左右两侧各安装带手动控制阀的DN65卡式出水口1个。</w:t>
            </w:r>
          </w:p>
          <w:p w14:paraId="3BE9BCC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12.4放余水管路 为保护水泵，在管路中加装了放余水阀。</w:t>
            </w:r>
          </w:p>
          <w:p w14:paraId="3E2C122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12.5冷却水管路 为保护取力器的正常工作，管路中设有附加冷却装置。</w:t>
            </w:r>
          </w:p>
          <w:p w14:paraId="22F6C95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1CA55A7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★13.消防控制系统 </w:t>
            </w:r>
          </w:p>
          <w:p w14:paraId="6941207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13.1结构 装有液位指示器、转速表、压力表、真空表、油门等消防控制设备；控制面板上所有按钮、开关和指示灯标注有中文标识；显著位置设有管路布置图及简要操作说明。面板采用防水防尘设计模式，防护等级可达IP56。</w:t>
            </w:r>
          </w:p>
          <w:p w14:paraId="5DF6A43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13.2安装形式 车厢后部泵房内。</w:t>
            </w:r>
          </w:p>
          <w:p w14:paraId="36C2FAA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14B723C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14.随车资料</w:t>
            </w:r>
          </w:p>
          <w:p w14:paraId="7DF1E31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14.1底盘使用说明书</w:t>
            </w:r>
          </w:p>
          <w:p w14:paraId="1BAF388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14.2底盘合格证</w:t>
            </w:r>
          </w:p>
          <w:p w14:paraId="20676A7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14.3发动机号码拓印</w:t>
            </w:r>
          </w:p>
          <w:p w14:paraId="3D69216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14.4底盘号码拓印件</w:t>
            </w:r>
          </w:p>
          <w:p w14:paraId="2E49F26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14.5消防车使用说明书</w:t>
            </w:r>
          </w:p>
          <w:p w14:paraId="3CF6924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14.6消防车消防器材清单</w:t>
            </w:r>
          </w:p>
          <w:p w14:paraId="6E6A285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14.7消防车合格证</w:t>
            </w:r>
          </w:p>
          <w:p w14:paraId="78E2072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14.8消防车跟踪服务卡</w:t>
            </w:r>
          </w:p>
          <w:p w14:paraId="229D68E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14.9消防车交接清单</w:t>
            </w:r>
          </w:p>
          <w:p w14:paraId="0967172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C589DA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15.随车器材</w:t>
            </w:r>
          </w:p>
          <w:p w14:paraId="537B62C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序号 器材名称 规格型号 数量</w:t>
            </w:r>
          </w:p>
          <w:p w14:paraId="565C79D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 直流开关水枪 卡式接口 2支</w:t>
            </w:r>
          </w:p>
          <w:p w14:paraId="17A10C8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 直流喷雾水枪 卡式接口 2支</w:t>
            </w:r>
          </w:p>
          <w:p w14:paraId="45E6CE1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 吸水管扳手ABC  2把</w:t>
            </w:r>
          </w:p>
          <w:p w14:paraId="0FE6275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 消防水带 16-65-20、卡式接口 10盘</w:t>
            </w:r>
          </w:p>
          <w:p w14:paraId="0B880CC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 吸水管  4根</w:t>
            </w:r>
          </w:p>
          <w:p w14:paraId="4795F52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 地上消火栓扳手 1把</w:t>
            </w:r>
          </w:p>
          <w:p w14:paraId="3AE4E84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 地下消火栓扳手  1把</w:t>
            </w:r>
          </w:p>
          <w:p w14:paraId="159F845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 二分水器 ，卡式接口 1个</w:t>
            </w:r>
          </w:p>
          <w:p w14:paraId="1E68F12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 二集水器 1个</w:t>
            </w:r>
          </w:p>
          <w:p w14:paraId="5BA430E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 水带挂钩 4个</w:t>
            </w:r>
          </w:p>
          <w:p w14:paraId="080C735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 水带护桥2件</w:t>
            </w:r>
          </w:p>
          <w:p w14:paraId="643E3E3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 滤水器 螺纹式接口 1个</w:t>
            </w:r>
          </w:p>
          <w:p w14:paraId="7943344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 水带包布 4个</w:t>
            </w:r>
          </w:p>
          <w:p w14:paraId="560C9FA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 三分水器 1个</w:t>
            </w:r>
          </w:p>
          <w:p w14:paraId="0579814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 异型同径接口 KJ65/KJK65Z、DN65内扣转DN65雌 2个</w:t>
            </w:r>
          </w:p>
          <w:p w14:paraId="5CEDBC2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 消防铁锹 1把</w:t>
            </w:r>
          </w:p>
          <w:p w14:paraId="2886568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 消防尖斧  1把</w:t>
            </w:r>
          </w:p>
          <w:p w14:paraId="42DC87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 消防铁铤  1把</w:t>
            </w:r>
          </w:p>
          <w:p w14:paraId="0ABCE15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19 消防大锤  1把</w:t>
            </w:r>
          </w:p>
          <w:p w14:paraId="40469AC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20 消防剪断钳 1把</w:t>
            </w:r>
          </w:p>
          <w:p w14:paraId="438BDCC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 手提式干粉灭火器  1具</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6D4291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6B1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61D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1D52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E7E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1C8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65mm水带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7894ED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1、符合GB 6246-2011《消防水带》标准要求，产品要求为白色。</w:t>
            </w:r>
          </w:p>
          <w:p w14:paraId="73B2B41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2、水带在端部附近中心线两侧用不易脱落的油墨，编织层：织物层编制均匀，表面整洁，无跳双经、断双经、跳纬及划伤。 </w:t>
            </w:r>
          </w:p>
          <w:p w14:paraId="268C2FA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3、每盘20米，含内扣式接口，内扣式，口径65mm；</w:t>
            </w:r>
          </w:p>
          <w:p w14:paraId="0AF9EC8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4、每盘长度为：≥20m。</w:t>
            </w:r>
          </w:p>
          <w:p w14:paraId="5D37293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★5、单位长度质量≤330g/m；延伸率（%）≤0.7；膨胀率（%）≤2.8；附着强度（N/25m)≥69；厚度规格≥0.3mm；</w:t>
            </w:r>
          </w:p>
          <w:p w14:paraId="40EAF9C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★6、工作压力（含连接设备）≥2.0MPa，爆破压力≥10.0MPa。 </w:t>
            </w:r>
          </w:p>
          <w:p w14:paraId="6E33857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7、采用聚氨酯材料，接口表面无结疤、裂痕、砂眼；铝合金材质，长度结合需求更改</w:t>
            </w:r>
          </w:p>
          <w:p w14:paraId="06ABA8D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8、接口要求：内扣式接口，接口表面进行阳极氧化处理，加工表面平整，光洁度高，无损伤，无结疤、裂痕，配专用护套； 将水带与接口绑扎。将水带与接口绑扎。且每个凹槽采用不少于7圈（360度）的高强度镀锌铁丝（≥16号）捆扎,(锻造铝镁合金接口);</w:t>
            </w:r>
          </w:p>
          <w:p w14:paraId="27545CA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9、每根水带应卷紧成圆盘形，外用耐磨、防潮物封装。</w:t>
            </w:r>
          </w:p>
          <w:p w14:paraId="115D218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10、提供国家消防装备质量监督检验中心或其他具有相应资质的第三方检测机构出具的检验报告</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1DF8D9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CF0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A2D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14240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D8E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E9E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80MM水带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654B59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提供国家消防装备质量监督检验中心或其他具有相应资质的第三方检测机构出具的检验报告，含内扣式接口，口径80mm采用聚氨酯材料，接口表面无结疤、裂痕、砂眼；铝合金材质，工作压力≥2Mpa；口径：80mm，内扣式。</w:t>
            </w:r>
          </w:p>
          <w:p w14:paraId="38F8E85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1、单位长度质量≤310g/m；</w:t>
            </w:r>
          </w:p>
          <w:p w14:paraId="6C68B7A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2、延伸率（%）≤2.5；</w:t>
            </w:r>
          </w:p>
          <w:p w14:paraId="6CD3C31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3、膨胀率（%）≤3.5；</w:t>
            </w:r>
          </w:p>
          <w:p w14:paraId="194645F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4、附着强度（N/25m)≥80;</w:t>
            </w:r>
          </w:p>
          <w:p w14:paraId="31AAF6F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5、厚度规格≥0.3mm；</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94FA6B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A6F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280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1FD30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B6D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E2C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直流水枪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01B72F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1、铝合金材质，配备开关；</w:t>
            </w:r>
          </w:p>
          <w:p w14:paraId="3959E96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2、内扣式接口，口径65mm；</w:t>
            </w:r>
          </w:p>
          <w:p w14:paraId="7FA2CBA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3、流量≥7L/s，射程≥25m。    </w:t>
            </w:r>
          </w:p>
          <w:p w14:paraId="7C9E266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4、满足GB8181-2005标准。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C4D8BC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0E8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A3A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1857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EE8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0B4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多功能水枪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716299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8181-2005标准。内扣式接口，口径65mm；单个消防员可有效操作控制，由喷雾枪头、球阀开关、枪管组织，带有握把，马蹄式环形水流开关，枪体内设置铝合金球型阀门可启闭水流；进水口径65mm，町野式接口，配防打结接口；具有直流喷雾无级转换、流量可调等功能，可调节≥5个档位的流量变化，直流有效射程≥35米；重量≤2Kg，金属表面硬质阳极氧化处理涂层</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818078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CCE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4A0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165A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78D9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6E0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分水器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D7A6B3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满足GA868-2010标准，表面无结疤、裂痕、砂眼；工作压力不低于1.6Mpa，铝合金材质；进水口径：80mm，内扣式，出水口径：3出水口×65mm，内扣式，重量不大于3.5kg。可方便手提式。</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1C1B6A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C49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F3D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AE30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A4D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3B8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80-65转换接口</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CA98C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满足GB6246-2011标准，表面无结疤、裂痕、砂眼；铝合金材质，工作压力≥1.6Mpa；内扣式接口，80/65mm。80内扣-65内扣，接口耐压≥2.0Mpa</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434CCA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5C1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286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93A6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749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279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消火栓扳手</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E1759B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QZT-40型适用于公共场所、商业建筑和住宅小区等地面消防栓。型号符合GB3445-2005标准，扳手长度为800mm，并具有十字形的扳手头设计。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326801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0CD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86D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B915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EF9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384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灭火头盔</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07A896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 xml:space="preserve">满足XF44-2015或GA44-2015标准，提供国家级消防装备检测报告；标识符合《23式消防头盔款式标识统型要求》和《消防头盔单位标识要求》；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1、盔壳：黄色，潘通色号为PANTONE 186C，黄色为PANTONE 012 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2、披肩：藏蓝色，潘通色号为PANTONE 19-4013 TCX Dark Navy，色差≥3级。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3、反光标识条：荧光黄色潘通色号为PANTONE 809C，荧光桔红色为PANTONE 811C，色差≥2级，入射角5°观察角0.2°时初始逆反射系数≥100cd/(1x*㎡)。</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4、滑块和配饰：黑色潘通色号为PANTONE 19-4007 TPX，色差≥3级。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1、由盔壳、滑轨、缓冲层、舒适衬垫、佩戴装置、面罩、披肩等组成。</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2、盔壳：耐高温阻燃材质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3、滑轨：盔体两侧设黑色多功能模块化滑轨，耐高温阻燃材质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4、缓冲层：耐高温阻燃材质，颜色为黑色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5、舒适衬垫：顶部为芳纶网状衬垫，四周为舒适层（与帽箍一体）可调节戴帽高度。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6、佩戴装置：包括帽箍和系带，为耐高温阻燃材质。在盔体后沿下侧设头围调节旋钮；系带可调节佩戴松紧，加装可拆洗阻燃舒适软垫：插扣为快脱插扣。</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7、面罩：耐高温阻燃材质。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8、披肩：防水处理、耐高温阻燃芳纶材料，颜色为藏蓝色，可快速拆卸、安装。</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9、反光标识：两侧粘贴弧形反光标识条，为耐高温材质，宽度为30mm±1mm，长度为226mm±2mm，弧形总高52mm±2mm；黄色头盔使用荧光桔红色反光标识条。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10、所有可调节扣件全部采用黄色，为改性阻燃尼龙66材料。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1、帽徽：消防头盔前面居中粘贴软质立体19式消防大帽徽，距帽檐底部18±2mm，帽徽规格为高5.9厘米、宽5.7厘米。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2、单位标识：侧面居中采用耐雨淋反光材料牢固粘贴根据甲方要求印制标识，字体为简粗平黑，字体大小为30（±1）mm×35（±1）mm，字间距10±1mm，颜色为银灰色，潘通色号为PANTONE 423C，色差≥3级。头盔两侧文字相同，均从帽徽一侧呈半弧状（与加强筋弧度相似）向盔体后部均匀排列。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3、头盔后部内侧包含“17式消防头盔”的永久性标识。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1、冲击吸收性能：高温预处理最大冲击力（N）：≤3100，辐射热预处理最大冲击力（N）：≤3010，低温预处理最大冲击力（N）：≤3450，浸水预处理最大冲击力（N）：≤3000，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2、抗冲击加速度性能：帽顶部（gn）:≤135，帽前部（gn）:≤340.8，帽后部（gn）:≤351.6，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3、耐穿透性能:钢锥应不能穿透头盔与头模产生接触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4、耐燃烧性能:火源离开帽壳后，帽壳火焰应在5s内自熄，并且无火焰烧透到帽壳内部的明显迹象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5、阻燃性能：下颚带：损毁长度（mm）：≤10。续燃时间（s）：≤2。披肩：损毁长度（mm）：≤30.  续燃时间（s）：≤2。面罩：续燃时间（s）：≤5，且以上均不应有熔融、滴落现象。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6、电绝缘性能:帽壳泄露电流：≤1mA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7、侧向刚性:帽壳最大变形标准要求：≤35mm，卸载后变形标准要求：≤3.1mm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8、质量（g）：≤1100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A41C98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BB7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C33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1C2F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516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6E1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灭火手套</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F1899D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1、满足XF7-2004标准，提供国家级消防装备检测报告；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2、手套外层应采用芳纶材料，并与皮革相配合，增加耐磨性。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3、应采用反光标志带，应具有耐火性。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4、隔热层应为芳纶水刺毡。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5、五分钟浸水测试，不渗透。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6、手腕部位具有可调节松紧尼龙粘胶。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7、型号分为大、中、小三个型号。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8、颜色为藏蓝色</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25710E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3BC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EE0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6048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B18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2D1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灭火防护服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92C196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满足XF10-2014《消防员灭火防护服》标准要求，提供国家级消防装备检测报告；标识符合23式消防员灭火防护服（作战款）款式标识统型要求》；采用四层结构；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藏蓝色，潘通色号为 PANTONE 19-4013 TCX Dark Navy，色差≥3级（按《纺细品色牢度试验评定变色用灰色样卡》GB/T250-2008 标准评判）。</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1、上下分体式结构，上衣和裤子间重叠部分应不小于200mm。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2、衣领为立领，前部设护领，衣领内侧采用顺色贴肤舒适面料。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3、上衣在胸部、下摆、袖口各设 1 条 360 度环形反光标识带，裤子在小腿部各设1条360度环形反光标志带，反光标志带宽度为 50.8mm（2 英寸），颜色为黄银黄。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4、裤子裆部采用一体式设计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5、裤子背带为 H 型背带，背带应可调节长度，可拆卸。</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6、上衣前门襟拉链号型不小于 8 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7、背部设有风琴褶。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1、上衣左胸外设电台立体口袋，门襟内侧设防水插袋，下摆设置外贴袋。大腿外侧各设工具袋 1 个。所有外口袋均设置漏水孔。</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2、在左上臂外侧设 90mm×110mm 盾牌型魔术贴并配盾牌型标识；盾牌型魔术贴上方设长57mm、斜边宽33mm平行四边形魔术贴，并配平行长方形魔术贴并配消防救援衔标识。左胸魔术贴。左胸电台立体口袋上方设长69mm、上宽52mm、下宽50mm盾型魔术贴，并配盾型胸徽标识。右胸魔术贴。右胸胸部反光带上方设长66mm、宽18mm长方形魔术贴，并配长方形姓名牌标识；长方形魔术贴上方设长66mm、宽31mm翼型魔术贴，并配翼型胸标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3、袖口处采用圆弧形设计，外层本色布包边，设置收紧调节袢，并配置罗纹防护护腕，罗纹防护护腕开拇指孔，内部设置止水布。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4、上衣门襟。上衣门襟魔术贴为贯通式。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5、上衣下摆。上衣舒适层下摆设置止水布。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6、裤脚口。裤脚口处采用圆弧形设计，内部设置止水布，内侧设置拉链，裤脚设耐磨材料包边。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7、在肩、肘、膝部应采用耐磨层加厚处理，耐磨层应柔软且易于清洗。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8、左右肩部设有两个挂袢。</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9、背部设有救生拖拉带，展开时间不大于10S，可以拖动80kg假人10米以上。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背部印字：消防救援队伍配备服装背部居中采用耐火、防水、荧光材料喷涂印制根据甲方要求印制标识，字体为简粗平黑，颜色为银色，每个字大小 70mm×85mm，字间距 20mm，位置在反光带上方 30mm 处。反光带下方 30mm 处 ，字体为简粗平黑，颜色为银色。四个字和五个字时每个字大小50mm×55mm，字间距15mm；六个字时每个字大小45mm×55mm，字间距10mm；七个字时每个字大小40mm×55mm，字间距8mm。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1、整体热防护性能 TPP（cal/c㎡） ：≥32。</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2、整套衣服重量：≤2.6kg。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3、阻燃性能：外层损毁长度（经向、纬向≤35mm）；防水透气隔热层损毁长度（经向、纬向≤40mm）；舒适层损毁长度（经向、纬向≤45mm）。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4、断裂强力：外层（经向≥1000N，纬向≥900N）；舒适层（经向≥300N，纬向: ≥500N）。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5、外层撕破强力：经向≥200N、纬向≥100N。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6、热稳定性能：经热稳定性能试验后，外层、防水透气隔热层、外层加强材料和舒适层尺寸变化率均≤5％，且试样表面应无明显变化。</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7、反光标志带阻燃性能：经向、纬向损毁长度≤25mm；外层加强材料阻燃性能：经向、纬向损毁长度≤30mm。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8、防水透气层：耐静水压：&gt;50KPa；拒油性能≥3级；透湿率&gt;8000g/m2·24h。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9、缩水率：外层、防水透气隔热层、舒适层经、纬方向尺寸变化率均≤3％。</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10、接缝断裂强力：外层经向、纬向≥800N。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11、外层表面抗湿性能：≥3级。</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9ED1FB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77F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C60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BCE6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D54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D3D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灭火靴子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F37769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满足XF6-2004标准，提供国家级消防装备检测报告；标识符合《23式消防员灭火防护靴（橡胶）款式标识统型要求》：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主体颜色为黑色和黄色，黑色潘通色号为PANTONE Black 6C，黄色潘通色号为PANTONE 7408C，靴跟银色反光标识潘通色号为PANTONE Cool Gray 8C。色差≥3级。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1、整体结构。靴帮由外到里分为帮面、防切割层和隔热舒适层三层结构。靴底由上到下分为隔热舒适层、防穿刺层和靴大底三层结构。靴头部位设有保护包头。靴帮顶部设有便于穿戴的提手。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17式消防胶靴从靴内跟底部至靴帮后部筒口最低处的高度为300mm(±5mm)；靴筒口采用倾斜式设计，由前往后向下倾斜，前后高差20mm(±2mm)；靴帮上设有胫骨、踝骨和跖骨保护层，靴后跟部设有反光标识，筒口和靴底各设围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3、靴帮采用筒面和外头皮拼接结构，材质为耐高温阻燃耐酸碱橡胶。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4、靴帮防切割层采用经2纬3棉帆布，经2用21S双股标准全棉，纬3用7S单股标准全棉。</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5、靴帮和靴底隔热舒适层（俗称靴内衬）采用棉布和氯丁橡胶发泡海绵复合面料。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6、靴底防穿刺层采用芳香族聚酰胺纤维复合材料。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7、靴大底采用耐高温、阻燃、耐酸碱、耐磨防滑橡胶，啮合止滑纹路设计，提高防滑性能。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8、鞋垫采用减震缓冲、排汗、防臭，抗菌鞋垫。</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9、保护包头采用轻质铝合金或非金属复合材料。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10、反光标识。靴后跟设有在耐高温、阻燃、耐酸碱橡胶块上，复合的银色三角形阻燃反光标志带。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1、“执行标准:XF6-2004”</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2、型号、规格；</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3、生产厂的名称或商标；</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4、生产厂的灭火防护靴识别编号或制造年月；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5、检验合格标记；</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1、外底耐油性能(%)：-2—10.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2、金属衬垫的耐腐蚀性能：金属衬垫经腐蚀试验后，试样应无腐蚀现象。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3、防砸性能(mm)：≥15</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4、抗刺穿性能(N)：≥2250，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5、抗切割性能：靴面经抗切割试验后，不应被割穿。</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6、隔热性能(°C)：≤18，</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7、抗辐射热渗透性能(°C)：≤16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8、击穿电压≥5000V，且泄漏电压≥3mA.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9、总质量≤2kg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062CD5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C53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203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085E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8B7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7E4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头盔灯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8866E8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满足国家GB30734-2014标准，提供国家消防装备质量监督检验中心或其他具有相应资质的第三方检测机构出具的检验报告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标识符合《17式消防员佩戴式防爆照明灯款式标识统型要求》：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17式消防员佩戴式防爆头灯采用直筒圆柱形结构设计，具备强光、弱光、爆闪光可切换功能，爆闪光闪烁频率应为8-10HZ。整体由外壳、光学单元、充电口、电量显示单元、电池和开关等组成。灯具重量≤110g，夹具重量≤40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1、灯具外壳应采用AL6061-T6铝合金材质，表面采用硬质阳极氧化处理工艺，颜色为亚光黑色。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2、灯身筒中部采用滚纹处理工艺，滚纹部分距灯头最前端距离为24mm±1mm，距灯尾最后端距离为10mm±1mm。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3、灯具外壳防护等级应满足GB 4208-2008规定的IP66/ IP68 的要求，同时需要标明灯具的潜水深度和持续时间，灯具从1.5高度跌落不影响使用。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4、灯具工作满10min时测量其2m处光斑中心照度，光斑中心强光最大照度≥1800lx，弱光最大照度≥700lx。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充电孔：灯筒上应设计有通用Type-C充电口孔位，孔位长度为7.9±1mm，宽度为5±0.3mm，孔位最前端距灯头最前端距离为30.6±1mm。当灯具充电时电量显示器应采用跑马灯方式显示充电进行状态及当前电量情况。灯具完全放电后充满电时间≤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电量显示窗：灯筒上应设计有通用电量显示单元窗孔，采用四段式蓝色电量显示设计，每段代表25%电量，孔位长度为11±1mm，宽度为3±0.3mm，电量显示孔与充电孔平行设计，轴向与充电孔的夹角为34°，电量显示窗最前端距灯头最前端距离为 29.5±1mm。当电量剩余不足25%时，最后一段电量显示灯持续闪烁提醒电量不足。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3、安装预留台阶结构：灯筒中部两侧对称设计有安装预留台阶，台阶长度为40±1mm，宽度为7±1mm。台阶最前端距灯头最前端距离为40.5±1mm，同时台阶与电量显示孔位垂直结构。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4、尾盖凹槽：为方便开关按压，灯具尾部应设计有凹槽结构，凹槽结构为双侧对称设计，弧度为Φ30±1mm，高度为2.4±0.5mm。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5、挂绳孔：灯具外盖应设计有挂绳孔位，位于尾盖非凹槽部分。挂绳孔规格为（4±0.5）mm×（1.4±0.5）mm，采用对称设计共计4个孔位。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6、开关孔：灯具外壳尾端中部应设计有开关孔，开关孔直径为Φ13.2±0.5mm，位于外壳尾端正中位置。</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7、按钮开关：灯具应具备一体式方位灯大开关设计，尾部采用白色透明按钮式大开关设计，开关直径≥12.5mm，同时开关应一体式设计有红色常亮方位灯，用于方位指示,红色方位灯在晴朗夜间的可视距离应≥100m。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8、夹具：与消防头盔和抢险救援防护头盔滑轨配套的头灯夹具，上下可调节。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三、电池</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1、电池应采用可充电锂电池，额定电压为DC3.7V，额定容量≥1.9Ah。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2、灯具电池两端应同时设置正负极，且电池两端正负极性应对称设计，电池装入灯具时应不需区分方向均能使灯具正常工作。</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755E3F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E42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573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3461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C33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CFA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灭火腰带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0C6BE3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提供国家级消防装备检测报告；标识符合《17式消防安全腰带款式标识统型要求》：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1、织带：藏蓝色，潘通色号为PANTONE 19-4013 TCX Dark Navy，色差≥3级（按《纺织品  色牢度试验 评定变色用灰色样卡》）。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2、带扣、D型环：铝本色。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3、保护盖、移动板、收带扣：颜色为黑色。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4、缝线：颜色为灰色。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二、款式（插扦改良式）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1、织带：尼龙66材质，织带为整根，不应有接缝，具有一定硬度，规格为宽70mm×厚2.5mm，末端收尾为整烫圆弧型。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2、带扣：热锻铝7075合金材质，阳极氧化处理工艺，规格为长96mm×宽90mm×厚6mm。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3、扦针：不锈钢420材质，双扦针，扦针的长度35mm，直径应与带扣、扦针孔适配。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4、D型环：热锻铝7075合金材质，阳极氧化处理工艺，配置两个D型环，其中一个采用缝合固定，距带扣100mm处；另一个采用移动板和D型环组合结构，可自由调节。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5、扦针孔：优质不锈钢材质，直径12mm，距带尾部200mm处成双排六列型式向前等距排列。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6、移动板：尼龙66材质，规格为65mm×95mm×3mm。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7、收带扣：尼龙材质，松紧带缝纫，宽度规格为20mm。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8、缝线：尼龙66材质，颜色为灰色，电脑曲折缝制线迹。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9、型号：分大、中、小三个型号，成品长度分别为1400mm、1300mm、1200mm。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三、标志带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永久性标志：耐磨水洗布，长160mm×宽60mm，缝于腰内侧。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1、腰带质量：≤0.85kg。腰带的带扣的边角半径应≥6mm。正立方向静拉力：≥13KN。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2、安全腰带的拉环不允许焊接。</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3、耐高温性能：安全腰带的织带和缝线不应出现融熔，焦化现象。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4、金属零件的耐腐蚀性能：盐雾试验后。</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D707A1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937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D43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98B6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B53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1D5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六米拉梯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7BBDCA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1、满足XF137-2007标准；2、竹质材质，工作长度≥6米；3、整梯重量≤30KG；4、提供国家级检测机构（第三方）的检测报告。带滑轮、绳子，可伸缩的。</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509C36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F83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325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47A2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BE4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586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电绝缘剪断钳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40F5E2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用于事故现场电线电缆或其他带电体的剪切，可剪断16mm以下电线、钢筋，安全操作电压≥1000V；</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F2DDCA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39F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A36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1AAF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FC1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1ED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折叠担架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8013C2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1、优质高强度合金骨架，可折叠存放，便于洗消；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2、担架主体采用耐割、防穿刺面料，在担架两侧各设置4个固定环和扣绳；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3、承重≥120kg，跌落承重≥300kg；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4、配携带防水包；</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BAF2F5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44A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489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4491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9F7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A12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千斤顶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3E2CA1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1、立式油压千斤顶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2、最低高度 ：≤195mm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3、调整高度 ：≥60mm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4、起重高度 ：≥115mm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5、起重量 ：≥10吨。</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CDE28C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219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032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3CB0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746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DB1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正压式空气呼吸器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7B9375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1、符合国家XF124-2013标准，提供“国家消防装备质量监督检验中心”出具的检测报告和“应急管理部消防产品合格评审定中心”出具的消防产品认证证书。</w:t>
            </w:r>
          </w:p>
          <w:p w14:paraId="042C356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★2、全套空气呼吸器由全面罩、抬头显示、供气阀、减压阀、救援快速插口（三通）、报警哨和压力表、背板、托垫及 6.8L碳纤维复合气瓶，佩戴质量11.4Kg，每具空气呼吸器配备1个救援小包，内含供气头罩和供气导管，每20具空气呼吸器配置1套快速充气装置，快速充气连接管配有泄压阀，可实现气瓶对空呼充气，安全、快速；</w:t>
            </w:r>
          </w:p>
          <w:p w14:paraId="507C988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背架总成：背板采用复合材质制作，符合人体工程学设计。背板带有腰夹，重量分布于腰间，减轻肩部受力，可以完美贴合使用者背部及腰部，背部受力均匀；背带采用高性能本质阻燃材料制作，肩带设有弹性衬垫，肩垫宽厚柔软，调节方便；腰带和肩带均为耐磨、防滑、防火、防滑材料，且肩带上具有荧光带及面罩放置挂钩等；腰垫为可拆卸式，配合不同的工作环境使用；腰带采用前拉式收紧方式，便于消防车等狭小空间内的呼吸器穿戴；</w:t>
            </w:r>
          </w:p>
          <w:p w14:paraId="0244955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气瓶总成：符合TSG23-2021《气瓶安全技术规程》，提供“特种设备检测研究院”出具的的检测报告：特种设备制造监督检测证书（气瓶），工作压力30MPa,水压试验压力50MPa，爆破压力≥102MPa；气瓶容积6.8L；气瓶阀配置压力表，能在任何时候显示气瓶内部压力；气瓶阀带自锁功能，避免因使用过程中不慎碰撞或误操作关闭瓶阀；采用全缠绕式碳纤维复合材料制作，瓶体内层缠绕环形标识，每只气瓶有清晰的永久性标记，标记植入树脂层内，标记项目包含：气瓶编号、气瓶公称容积（L）、气瓶公称重量（kg）、气瓶充装截止名称或代号、气瓶公称工作压力（Mpa）、气瓶水压试验压力（Mpa）、制造单位名称或代号、气瓶制造年月、气瓶设计使用寿命、监督检验标志、产品标准、水压试验极限弹性膨胀量等信息；内胆采用高强度、经防腐处理、重量轻的铝合金材料；配套具有防火性能，气瓶保护套需按甲方要求印制表示;气瓶阀安装有限流装置，避免在气瓶阀意外断裂时因大流量的高压气体不受控制的释放而产生的气瓶冲击危险。</w:t>
            </w:r>
          </w:p>
          <w:p w14:paraId="6A6140B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面罩总成：采用球形大视野面屏全面罩，面罩胶体及口鼻罩设计形状符合亚洲人脸型，贴合度及密封性良好，面罩胶体采用硅胶材质，不出现僵化、硬化现象，对皮肤不造成过敏，长久防刮擦。总视野保留率为81.2%，双目视野保留率为67.8%，下方视野&gt;35°，镜片透光率为94%，全面罩面屏纳米镀层具有本质防雾功能，保障环境温差大使用不上雾。口鼻罩采用食品级硅胶材料，头罩采用网状高性能阻燃材料制成。配备具有阻燃性能的保护套。面罩固定方式为五点固定调节式头网，完全可根据任何佩戴者头部需要自由调整，头网采用KEVLAR材质，本质阻燃耐切割，抗撕拉，配置有颈带，佩戴舒适。</w:t>
            </w:r>
          </w:p>
          <w:p w14:paraId="15F7CCE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供气阀总成：供气阀具有紧急供气、面罩强制去雾，配备水久除雾、排放余气等功能；中压管与供气阀、供气阀与面罩为活接插方式为360°快速接插，任何角度都可以操作，支持快速插拔功能：具有自动开启装置，首次呼吸自动激活，具有自动正压机构；供气流量≥500L/min：外形为仿生学原理按照人类握拳型设计，体积小巧，使用者方便对供气阀进行抓握。供气阀接插在面罩的正下方，保证良好视野率。供气阀与中压管可以自由连接、拆卸</w:t>
            </w:r>
          </w:p>
          <w:p w14:paraId="324A6E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★7、减压阀总成：恒压式结构设计，减压器输出压力0.66-0.79Mpa；设置安全阀，当减压器输出压力超过设定安全压力时，中压安全阀会自动泄压；</w:t>
            </w:r>
          </w:p>
          <w:p w14:paraId="0907778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313E0B0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55BB78A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抬头显示HUD:压力平视显示装置（HUD）接收端安装在供气阀上，免工具拆卸，传输方式：无线。显示装置具有光感传感器，感应环境光，调节灯光亮度，保护使用者视力，也方便浓烟环境观察压力，通过压力传感器采集气瓶内的气体压力，将信号用无线发射的方式发送到安装在面罩内侧的抬头显示器上，信号具有唯一性，设计有配对按钮。压力平视显示装置采用红、黄、绿不同颜色的LED灯光分别显示压力范围方式；当气瓶压力30MPa~10 MPa时，绿灯常亮；10MPa^6 MPa时，黄灯常亮；当气瓶压力低于6MPa时，红灯闪亮；同时报警哨起鸣，安装在面罩内的接收端上的两盏伙伴灯同时红灯闪烁，同行的伙伴处于任何位置都可观察到并提示；并且接收端同时会有震动功能提示。开启气瓶自动激活，实现自动开机。关闭气瓶手动关机；无气压状态下，支持手动开机并通过对码按键进行对码连接；先进的低功耗蓝牙无线传输技术，抗干扰能力强；连续工作时间可达100小时；内嵌光感传感器，报警灯亮度根据环境亮度自动调节；低电量报警，黄灯亮起提醒及时更换电池；电源：发射端采用2节7号碱性电池。防爆等级:Exia IIC T4 Ga，防护等级： IP67；工作温度-35℃--60℃；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6284E8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864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A3E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AA1C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AC76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213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手抬机动泵</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EEA4CC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水泵材质：超轻铝合金单级单程离心泵引水方式：碳纤维旋片真空泵</w:t>
            </w:r>
          </w:p>
          <w:p w14:paraId="4E7CBC3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额定流量（吸深3M）：≥36T/h</w:t>
            </w:r>
          </w:p>
          <w:p w14:paraId="1F07BCC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★扬程：≥8</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M</w:t>
            </w:r>
          </w:p>
          <w:p w14:paraId="7DCD92B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额定压力（吸深3M)：≥0.55MPA</w:t>
            </w:r>
          </w:p>
          <w:p w14:paraId="6AE3B00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吸水口：65MM</w:t>
            </w:r>
          </w:p>
          <w:p w14:paraId="3779964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★最大流量：≥5</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T/H</w:t>
            </w:r>
          </w:p>
          <w:p w14:paraId="245BADC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出水口：65MM</w:t>
            </w:r>
          </w:p>
          <w:p w14:paraId="0662BC4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发动机型式：立式、单杠、风冷、四冲程(188F）启动系统：手拉启动、电启动</w:t>
            </w:r>
          </w:p>
          <w:p w14:paraId="439A15A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输出功率：≥8.2KW</w:t>
            </w:r>
          </w:p>
          <w:p w14:paraId="3E23B6B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燃料材质：柴油</w:t>
            </w:r>
          </w:p>
          <w:p w14:paraId="67FDA20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转速规格：3600RPM/MIN</w:t>
            </w:r>
          </w:p>
          <w:p w14:paraId="7618B98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点火方式：压燃式</w:t>
            </w:r>
          </w:p>
          <w:p w14:paraId="3F7573A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燃油容积：≥5L</w:t>
            </w:r>
          </w:p>
          <w:p w14:paraId="2AE4C77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体积：≤610X475X610MM</w:t>
            </w:r>
          </w:p>
          <w:p w14:paraId="74C20C3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重量：≤85KG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791EDB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0CC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402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DFBF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1DFF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B3B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通用安全绳50米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83EB60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1、满足XF494-2004标准，提供国家级检测报告；</w:t>
            </w:r>
          </w:p>
          <w:p w14:paraId="17D2EAF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2、特殊螺旋均匀纺织工艺使外皮和内芯紧密的结合一体，外皮滑动率为零。</w:t>
            </w:r>
          </w:p>
          <w:p w14:paraId="573EC8B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3、直径10.5mm，长度为50米，最小破裂强度≥50KN，静拉力＞4000kg。</w:t>
            </w:r>
          </w:p>
          <w:p w14:paraId="66D3B33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4、性能：经204℃士5℃的耐高温性能试验后，安全绳不应出现融熔、焦化现象。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9407D4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卷</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D1F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F11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9373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5BD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b/>
                <w:bCs/>
                <w:i w:val="0"/>
                <w:iCs w:val="0"/>
                <w:color w:val="auto"/>
                <w:sz w:val="21"/>
                <w:szCs w:val="21"/>
                <w:u w:val="none"/>
              </w:rPr>
              <w:t>阿克陶县克孜勒陶镇车辆装备采购</w:t>
            </w:r>
          </w:p>
        </w:tc>
      </w:tr>
      <w:tr w14:paraId="05E0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72A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AD9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水罐消防车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D1CBDC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所投型号车辆，应符合《消防车第 1 部分：通用技术条件》( GB7956.1-2014)标准要求，提供所投型号消防车的工信部公告、国家消防装备质量监督检验中心或国家权威机构出具的消防车检验报告；或承诺车辆交付时提供所投型号消防车的工信部公告、国家消防装备质量监督检验中心或国家权威机构出具的消防车检验报告和整车出厂合格证，工信部公告与整车出厂合格证数据须一致，并提供整车设计效果图，包括整体结构图、三维效果图需与现行现行涂装相符合；泵出水口为内扣式，符合国家综合性消防救援车辆外观制式涂装：涂装要素包括双色装饰带，徽标，车辆编号，中文“消防”、“救援”和英文“RESCUE”及文字和图案的组合，文字和文字的组合等。其中双色装饰带位于车身两及车身尾部；徽标位于车身两侧前部；与横线组合位于车辆顶部；“消防”汉字位于专项作业车驾驶室两侧后部；中文“消防”、“救援”和英文“RESCUE”的组合位于车头前部。</w:t>
            </w:r>
          </w:p>
          <w:p w14:paraId="7E8EF21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1.整车参数 </w:t>
            </w:r>
          </w:p>
          <w:p w14:paraId="0C61214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1.1外形尺寸≤6150mm×2100mm×3050mm</w:t>
            </w:r>
          </w:p>
          <w:p w14:paraId="5F467D0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1.2满载总质量≤7200kg</w:t>
            </w:r>
          </w:p>
          <w:p w14:paraId="497C4D5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1.3乘员人数 6人</w:t>
            </w:r>
          </w:p>
          <w:p w14:paraId="6CDDCD0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1.4最高车速 95km/h</w:t>
            </w:r>
          </w:p>
          <w:p w14:paraId="1E81C8B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1.5排放标准 国VI</w:t>
            </w:r>
          </w:p>
          <w:p w14:paraId="05B5B3A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★1.6液罐容量 水≥2800L</w:t>
            </w:r>
          </w:p>
          <w:p w14:paraId="61CDC07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1.7消防泵流量 ≥30L/s</w:t>
            </w:r>
          </w:p>
          <w:p w14:paraId="67098F0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1.8消防炮流量 ≥30L/s</w:t>
            </w:r>
          </w:p>
          <w:p w14:paraId="547199A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C2EC88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2.底盘参数 </w:t>
            </w:r>
          </w:p>
          <w:p w14:paraId="3F65C78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2.1动形式 4×2</w:t>
            </w:r>
          </w:p>
          <w:p w14:paraId="7FB7CB7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2.2轴距 3360mm</w:t>
            </w:r>
          </w:p>
          <w:p w14:paraId="192C38C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★2.3驾驶室 四门双排驾驶室</w:t>
            </w:r>
          </w:p>
          <w:p w14:paraId="40CEE5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2.4发动机形式 直列4缸、压燃、水冷、四冲程、增压中冷、高压共轨发动机</w:t>
            </w:r>
          </w:p>
          <w:p w14:paraId="686DC46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2.5额定功率 ≥96/3000（kW/rpm）</w:t>
            </w:r>
          </w:p>
          <w:p w14:paraId="27787C6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2.6额定扭矩 ≥405/2000（Nm/rpm）</w:t>
            </w:r>
          </w:p>
          <w:p w14:paraId="2F661FE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2.7排放标准 国VI</w:t>
            </w:r>
          </w:p>
          <w:p w14:paraId="5361CCB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2.8变速箱形式 手动变速箱，5个前进挡+1个倒挡</w:t>
            </w:r>
          </w:p>
          <w:p w14:paraId="6A6E387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★2.9取力器 断轴取力器</w:t>
            </w:r>
          </w:p>
          <w:p w14:paraId="7817A8B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2.10油箱容量 70L</w:t>
            </w:r>
          </w:p>
          <w:p w14:paraId="7E29AA5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B2B36C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★3.副车架 </w:t>
            </w:r>
          </w:p>
          <w:p w14:paraId="3E15B18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3.1材质 高强度钢材。</w:t>
            </w:r>
          </w:p>
          <w:p w14:paraId="05C7E25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3.2结构形式 井字形焊接式成型，焊后校形振动消除焊接应力，与底盘大梁、上装采用刚性连接方式固定。</w:t>
            </w:r>
          </w:p>
          <w:p w14:paraId="28DFD6A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3.3防腐处理 喷砂除油锈，喷涂重型防腐漆。</w:t>
            </w:r>
          </w:p>
          <w:p w14:paraId="7B47B0B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1F25018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4.驾乘室 </w:t>
            </w:r>
          </w:p>
          <w:p w14:paraId="58BBDF9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4.1布局结构 四门双排驾驶室。</w:t>
            </w:r>
          </w:p>
          <w:p w14:paraId="3EA720C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★4.2座位设置 前排1+2，后排3人</w:t>
            </w:r>
          </w:p>
          <w:p w14:paraId="3AF4BA1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4.3安全设置 安装有安全带。</w:t>
            </w:r>
          </w:p>
          <w:p w14:paraId="7F45CC0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4.4内饰 驾驶室内加装水泵的取力器开关；警报器及警灯开关等。</w:t>
            </w:r>
          </w:p>
          <w:p w14:paraId="373D418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4.5照明 原车照明灯。</w:t>
            </w:r>
          </w:p>
          <w:p w14:paraId="214B6A6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4.6踏梯 高强度一体式防滑踏梯。</w:t>
            </w:r>
          </w:p>
          <w:p w14:paraId="1E76402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4.7扶手 配备安全扶手，提高了救援人员上、下车安全及速度。</w:t>
            </w:r>
          </w:p>
          <w:p w14:paraId="364FE11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1D63FF7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5.车厢 </w:t>
            </w:r>
          </w:p>
          <w:p w14:paraId="01B8F0F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★5.1材质 车厢（器材箱、泵室、内骨架及内饰板）全部采用高分子复合材料PP。</w:t>
            </w:r>
          </w:p>
          <w:p w14:paraId="58AA139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★5.2结构 车厢整体采用高分子复合材料焊接技术；在器材箱内预留各类设备器材专用夹具，充分利用车厢内部有限空间；内饰板和底板喷涂大理石漆面。</w:t>
            </w:r>
          </w:p>
          <w:p w14:paraId="7671947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5.3梯架 车厢顶部设置一套多功能二节拉梯架，可放置二节拉梯、单杠梯、挂钩梯</w:t>
            </w:r>
          </w:p>
          <w:p w14:paraId="51822C1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5.4爬梯 车厢后部设置一架通往车顶的安全爬梯</w:t>
            </w:r>
          </w:p>
          <w:p w14:paraId="24EF86E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4E63FB7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★6.卷帘门 </w:t>
            </w:r>
          </w:p>
          <w:p w14:paraId="61271E9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6.1材质 采用轻型优质铝合金，大幅面卷帘门，启闭灵活、密封性好、外形美观、轻便可靠</w:t>
            </w:r>
          </w:p>
          <w:p w14:paraId="127503E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6.2结构 顶部设有导流槽，四周装有密封条，具有良好的防雨、防尘密封性能。配备拉杆式条锁把手、一点式拉带及两点式固定座</w:t>
            </w:r>
          </w:p>
          <w:p w14:paraId="6F117B5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6.3消防泵自带暖风机，器材箱及泵房配防寒帘，加水出水口带防寒套以及带轮胎防滑链。</w:t>
            </w:r>
          </w:p>
          <w:p w14:paraId="5BB6DEE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                                                                                                                                                                     </w:t>
            </w:r>
          </w:p>
          <w:p w14:paraId="6F6D4D4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7.电器系统 </w:t>
            </w:r>
          </w:p>
          <w:p w14:paraId="3373AEA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7.1警灯警报 车头前顶部设置长排式警灯，单音100W警报器、警灯、电路为独立式附加电路，控制器件安装在驾驶室内</w:t>
            </w:r>
          </w:p>
          <w:p w14:paraId="121FD2A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7.2器材箱灯 器材箱、泵房卷帘门两侧内设有LED白光照明灯带，能够满足整个箱体的照明</w:t>
            </w:r>
          </w:p>
          <w:p w14:paraId="6832957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7.3频闪灯 车厢左右两侧上部各配置两盏频闪警灯</w:t>
            </w:r>
          </w:p>
          <w:p w14:paraId="794D668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7.4车外照明 车厢左右两侧上部各配置两盏LED侧照明灯，车厢尾部配置一盏LED照明灯</w:t>
            </w:r>
          </w:p>
          <w:p w14:paraId="4663926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7.5警示灯 车厢侧面均安装有专用黄色警示灯</w:t>
            </w:r>
          </w:p>
          <w:p w14:paraId="23E613D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6F96896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8.表面处理 </w:t>
            </w:r>
          </w:p>
          <w:p w14:paraId="456899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8.1漆料 车厢表面喷涂进口品牌消防红色漆，为保证夜间工作安全，车身设有符合安全标准要求的荧光反光带</w:t>
            </w:r>
          </w:p>
          <w:p w14:paraId="6635A92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8.2颜色 消防红</w:t>
            </w:r>
          </w:p>
          <w:p w14:paraId="5CDE5A6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E54156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9.消防泵 </w:t>
            </w:r>
          </w:p>
          <w:p w14:paraId="369E8D7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9.1额定压力≥ 1.0MPa</w:t>
            </w:r>
          </w:p>
          <w:p w14:paraId="0ED926B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9.2额定流量 ≥30L/s</w:t>
            </w:r>
          </w:p>
          <w:p w14:paraId="3FC1AAE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9.3真空泵 水环真空泵</w:t>
            </w:r>
          </w:p>
          <w:p w14:paraId="29854A4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★9.4引水形式 自动引水</w:t>
            </w:r>
          </w:p>
          <w:p w14:paraId="74653E6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9.5吸水深度 7m</w:t>
            </w:r>
          </w:p>
          <w:p w14:paraId="6D96595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9.6引水时间 ≤35s</w:t>
            </w:r>
          </w:p>
          <w:p w14:paraId="30E67B6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9.7安装形式 后置式</w:t>
            </w:r>
          </w:p>
          <w:p w14:paraId="285019F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9.8消防泵自带暖风机消防泵自带暖风机，器材箱及泵房配防寒帘，加水出水口带防寒套以及带轮胎防滑链。                                                                                                                                                                                                                                                                                                                                      </w:t>
            </w:r>
          </w:p>
          <w:p w14:paraId="7827FB8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1AE27FA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10.消防炮 </w:t>
            </w:r>
          </w:p>
          <w:p w14:paraId="315C176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10.1额定流量 ≥30L/s</w:t>
            </w:r>
          </w:p>
          <w:p w14:paraId="27E0110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10.2射程 水≥60m</w:t>
            </w:r>
          </w:p>
          <w:p w14:paraId="5BF3907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10.3安装位置 车厢顶部</w:t>
            </w:r>
          </w:p>
          <w:p w14:paraId="51A3D22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10.4控制方式 手动控制</w:t>
            </w:r>
          </w:p>
          <w:p w14:paraId="7618DB5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★10.5水平回转角度 0°~330°</w:t>
            </w:r>
          </w:p>
          <w:p w14:paraId="53DEF64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★10.6俯仰回转角度 -10°~60</w:t>
            </w:r>
          </w:p>
          <w:p w14:paraId="176FB6F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9F20FE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11.液罐 </w:t>
            </w:r>
          </w:p>
          <w:p w14:paraId="528B3AF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11.1容量 水≥2800L</w:t>
            </w:r>
          </w:p>
          <w:p w14:paraId="3B7BBC0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★11.2材质 高分子复合材料PP采用多项专利技术高分子复合材料制造而成的特殊板材，强度高、抗冲击性强、耐低温、抗腐蚀性、质量轻的特点</w:t>
            </w:r>
          </w:p>
          <w:p w14:paraId="32C7A57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11.3安装形式 一体式</w:t>
            </w:r>
          </w:p>
          <w:p w14:paraId="771AEEE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11.4结构 1个溢流/卸压装置；1个液位传感器；1个水罐放余水口。</w:t>
            </w:r>
          </w:p>
          <w:p w14:paraId="7308005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1FCC69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12.管路系统 </w:t>
            </w:r>
          </w:p>
          <w:p w14:paraId="3A4A7BC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12.1进水口 泵室正后方安装DN100螺纹式吸水口1个。</w:t>
            </w:r>
          </w:p>
          <w:p w14:paraId="6EF99A3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12.2注水口 泵室右侧安装带手动控制阀的DN65卡式注水口1个。</w:t>
            </w:r>
          </w:p>
          <w:p w14:paraId="48F4747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12.3出水口 泵室左右两侧各安装带手动控制阀的DN65卡式出水口1个。</w:t>
            </w:r>
          </w:p>
          <w:p w14:paraId="16EDA6E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12.4放余水管路 为保护水泵，在管路中加装了放余水阀。</w:t>
            </w:r>
          </w:p>
          <w:p w14:paraId="65CAE15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12.5冷却水管路 为保护取力器的正常工作，管路中设有附加冷却装置。</w:t>
            </w:r>
          </w:p>
          <w:p w14:paraId="62F557B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71A489C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★13.消防控制系统 </w:t>
            </w:r>
          </w:p>
          <w:p w14:paraId="480B216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13.1结构 装有液位指示器、转速表、压力表、真空表、油门等消防控制设备；控制面板上所有按钮、开关和指示灯标注有中文标识；显著位置设有管路布置图及简要操作说明。面板采用防水防尘设计模式，防护等级可达IP56。</w:t>
            </w:r>
          </w:p>
          <w:p w14:paraId="7A3C4E6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13.2安装形式 车厢后部泵房内。</w:t>
            </w:r>
          </w:p>
          <w:p w14:paraId="5AF0D13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136835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14.随车资料</w:t>
            </w:r>
          </w:p>
          <w:p w14:paraId="1AF6D18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14.1底盘使用说明书</w:t>
            </w:r>
          </w:p>
          <w:p w14:paraId="0C1D165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14.2底盘合格证</w:t>
            </w:r>
          </w:p>
          <w:p w14:paraId="511FDEF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14.3发动机号码拓印</w:t>
            </w:r>
          </w:p>
          <w:p w14:paraId="74BEAE4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14.4底盘号码拓印件</w:t>
            </w:r>
          </w:p>
          <w:p w14:paraId="6FB72F0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14.5消防车使用说明书</w:t>
            </w:r>
          </w:p>
          <w:p w14:paraId="4DDCEB8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14.6消防车消防器材清单</w:t>
            </w:r>
          </w:p>
          <w:p w14:paraId="4C37F1E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14.7消防车合格证</w:t>
            </w:r>
          </w:p>
          <w:p w14:paraId="4F111C8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14.8消防车跟踪服务卡</w:t>
            </w:r>
          </w:p>
          <w:p w14:paraId="20CCCC5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14.9消防车交接清单</w:t>
            </w:r>
          </w:p>
          <w:p w14:paraId="4DBB7CA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212986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15.随车器材</w:t>
            </w:r>
          </w:p>
          <w:p w14:paraId="03E3E35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序号 器材名称 规格型号 数量</w:t>
            </w:r>
          </w:p>
          <w:p w14:paraId="17423F9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 直流开关水枪 卡式接口 2支</w:t>
            </w:r>
          </w:p>
          <w:p w14:paraId="6672BAF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 直流喷雾水枪 卡式接口 2支</w:t>
            </w:r>
          </w:p>
          <w:p w14:paraId="0CADE09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 吸水管扳手ABC  2把</w:t>
            </w:r>
          </w:p>
          <w:p w14:paraId="38E8868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 消防水带 16-65-20、卡式接口 10盘</w:t>
            </w:r>
          </w:p>
          <w:p w14:paraId="6F07180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 吸水管  4根</w:t>
            </w:r>
          </w:p>
          <w:p w14:paraId="1B59070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 地上消火栓扳手 1把</w:t>
            </w:r>
          </w:p>
          <w:p w14:paraId="5F6C949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 地下消火栓扳手  1把</w:t>
            </w:r>
          </w:p>
          <w:p w14:paraId="35AB691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 二分水器 ，卡式接口 1个</w:t>
            </w:r>
          </w:p>
          <w:p w14:paraId="4B169D5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 二集水器 1个</w:t>
            </w:r>
          </w:p>
          <w:p w14:paraId="151F2C5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 水带挂钩 4个</w:t>
            </w:r>
          </w:p>
          <w:p w14:paraId="640B71D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 水带护桥2件</w:t>
            </w:r>
          </w:p>
          <w:p w14:paraId="6EABFC0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 滤水器 螺纹式接口 1个</w:t>
            </w:r>
          </w:p>
          <w:p w14:paraId="67F5461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 水带包布 4个</w:t>
            </w:r>
          </w:p>
          <w:p w14:paraId="70C3A39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 三分水器 1个</w:t>
            </w:r>
          </w:p>
          <w:p w14:paraId="642945E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 异型同径接口 KJ65/KJK65Z、DN65内扣转DN65雌 2个</w:t>
            </w:r>
          </w:p>
          <w:p w14:paraId="1DCE1B9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 消防铁锹 1把</w:t>
            </w:r>
          </w:p>
          <w:p w14:paraId="1DB1055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 消防尖斧  1把</w:t>
            </w:r>
          </w:p>
          <w:p w14:paraId="3E18F3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 消防铁铤  1把</w:t>
            </w:r>
          </w:p>
          <w:p w14:paraId="3355717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19 消防大锤  1把</w:t>
            </w:r>
          </w:p>
          <w:p w14:paraId="3F87E70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20 消防剪断钳 1把</w:t>
            </w:r>
          </w:p>
          <w:p w14:paraId="1B36478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 手提式干粉灭火器  1具</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F047EF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4EC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FF9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A2E3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1F6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C7D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65mm水带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79E108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1、符合GB 6246-2011《消防水带》标准要求，产品要求为白色。</w:t>
            </w:r>
          </w:p>
          <w:p w14:paraId="25FE5FC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2、水带在端部附近中心线两侧用不易脱落的油墨，编织层：织物层编制均匀，表面整洁，无跳双经、断双经、跳纬及划伤。 </w:t>
            </w:r>
          </w:p>
          <w:p w14:paraId="4FA2892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3、每盘20米，含内扣式接口，内扣式，口径65mm；</w:t>
            </w:r>
          </w:p>
          <w:p w14:paraId="753441D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4、每盘长度为：≥20m。</w:t>
            </w:r>
          </w:p>
          <w:p w14:paraId="2C68475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★5、单位长度质量≤330g/m；延伸率（%）≤0.7；膨胀率（%）≤2.8；附着强度（N/25m)≥69；厚度规格≥0.3mm；</w:t>
            </w:r>
          </w:p>
          <w:p w14:paraId="0C72A87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★6、工作压力（含连接设备）≥2.0MPa，爆破压力≥10.0MPa。 </w:t>
            </w:r>
          </w:p>
          <w:p w14:paraId="0FE1981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7、采用聚氨酯材料，接口表面无结疤、裂痕、砂眼；铝合金材质，长度结合需求更改</w:t>
            </w:r>
          </w:p>
          <w:p w14:paraId="7C2AE99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8、接口要求：内扣式接口，接口表面进行阳极氧化处理，加工表面平整，光洁度高，无损伤，无结疤、裂痕，配专用护套； 将水带与接口绑扎。将水带与接口绑扎。且每个凹槽采用不少于7圈（360度）的高强度镀锌铁丝（≥16号）捆扎,(锻造铝镁合金接口);</w:t>
            </w:r>
          </w:p>
          <w:p w14:paraId="0EB6B6C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9、每根水带应卷紧成圆盘形，外用耐磨、防潮物封装。</w:t>
            </w:r>
          </w:p>
          <w:p w14:paraId="497FE07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10、提供国家消防装备质量监督检验中心或其他具有相应资质的第三方检测机构出具的检验报告</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610885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344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CC4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54AA4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B55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47D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80MM水带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1557F7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提供国家消防装备质量监督检验中心或其他具有相应资质的第三方检测机构出具的检验报告，含内扣式接口，口径80mm采用聚氨酯材料，接口表面无结疤、裂痕、砂眼；铝合金材质，工作压力≥2Mpa；口径：80mm，内扣式。</w:t>
            </w:r>
          </w:p>
          <w:p w14:paraId="470A61F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1、单位长度质量≤310g/m；</w:t>
            </w:r>
          </w:p>
          <w:p w14:paraId="5E0D4C4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2、延伸率（%）≤2.5；</w:t>
            </w:r>
          </w:p>
          <w:p w14:paraId="5698472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3、膨胀率（%）≤3.5；</w:t>
            </w:r>
          </w:p>
          <w:p w14:paraId="1394B4F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4、附着强度（N/25m)≥80;</w:t>
            </w:r>
          </w:p>
          <w:p w14:paraId="2CC5A35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5、厚度规格≥0.3mm；</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19D948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75C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D5D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1D997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F0C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D27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直流水枪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5E360C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1、铝合金材质，配备开关；</w:t>
            </w:r>
          </w:p>
          <w:p w14:paraId="3C4A66B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2、内扣式接口，口径65mm；</w:t>
            </w:r>
          </w:p>
          <w:p w14:paraId="70E578C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3、流量≥7L/s，射程≥25m。    </w:t>
            </w:r>
          </w:p>
          <w:p w14:paraId="57A8593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4、满足GB8181-2005标准。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80C578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DAE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DFC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0A77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32F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A33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多功能水枪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C6E220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8181-2005标准。内扣式接口，口径65mm；单个消防员可有效操作控制，由喷雾枪头、球阀开关、枪管组织，带有握把，马蹄式环形水流开关，枪体内设置铝合金球型阀门可启闭水流；进水口径65mm，町野式接口，配防打结接口；具有直流喷雾无级转换、流量可调等功能，可调节≥5个档位的流量变化，直流有效射程≥35米；重量≤2Kg，金属表面硬质阳极氧化处理涂层</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2C4831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681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03C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7359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CCB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1B5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分水器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BAE913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满足GA868-2010标准，表面无结疤、裂痕、砂眼；工作压力不低于1.6Mpa，铝合金材质；进水口径：80mm，内扣式，出水口径：3出水口×65mm，内扣式，重量不大于3.5kg。可方便手提式。</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64CA04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4E2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58C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983D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F8A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180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80-65转换接口</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243DEB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满足GB6246-2011标准，表面无结疤、裂痕、砂眼；铝合金材质，工作压力≥1.6Mpa；内扣式接口，80/65mm。80内扣-65内扣，接口耐压≥2.0Mpa</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A8A3C2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F0F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6B1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41F4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A6B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BAF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消火栓扳手</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1C388D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QZT-40型适用于公共场所、商业建筑和住宅小区等地面消防栓。型号符合GB3445-2005标准，扳手长度为800mm，并具有十字形的扳手头设计。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3DE007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A68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BE2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5AF3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6EA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C9D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灭火头盔</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1ADD91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 xml:space="preserve">满足XF44-2015或GA44-2015标准，提供国家级消防装备检测报告；标识符合《23式消防头盔款式标识统型要求》和《消防头盔单位标识要求》；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1、盔壳：黄色，潘通色号为PANTONE 186C，黄色为PANTONE 012 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2、披肩：藏蓝色，潘通色号为PANTONE 19-4013 TCX Dark Navy，色差≥3级。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3、反光标识条：荧光黄色潘通色号为PANTONE 809C，荧光桔红色为PANTONE 811C，色差≥2级，入射角5°观察角0.2°时初始逆反射系数≥100cd/(1x*㎡)。</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4、滑块和配饰：黑色潘通色号为PANTONE 19-4007 TPX，色差≥3级。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1、由盔壳、滑轨、缓冲层、舒适衬垫、佩戴装置、面罩、披肩等组成。</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2、盔壳：耐高温阻燃材质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3、滑轨：盔体两侧设黑色多功能模块化滑轨，耐高温阻燃材质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4、缓冲层：耐高温阻燃材质，颜色为黑色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5、舒适衬垫：顶部为芳纶网状衬垫，四周为舒适层（与帽箍一体）可调节戴帽高度。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6、佩戴装置：包括帽箍和系带，为耐高温阻燃材质。在盔体后沿下侧设头围调节旋钮；系带可调节佩戴松紧，加装可拆洗阻燃舒适软垫：插扣为快脱插扣。</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7、面罩：耐高温阻燃材质。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8、披肩：防水处理、耐高温阻燃芳纶材料，颜色为藏蓝色，可快速拆卸、安装。</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9、反光标识：两侧粘贴弧形反光标识条，为耐高温材质，宽度为30mm±1mm，长度为226mm±2mm，弧形总高52mm±2mm；黄色头盔使用荧光桔红色反光标识条。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10、所有可调节扣件全部采用黄色，为改性阻燃尼龙66材料。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1、帽徽：消防头盔前面居中粘贴软质立体19式消防大帽徽，距帽檐底部18±2mm，帽徽规格为高5.9厘米、宽5.7厘米。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2、单位标识：侧面居中采用耐雨淋反光材料牢固粘贴根据甲方要求印制标识，字体为简粗平黑，字体大小为30（±1）mm×35（±1）mm，字间距10±1mm，颜色为银灰色，潘通色号为PANTONE 423C，色差≥3级。头盔两侧文字相同，均从帽徽一侧呈半弧状（与加强筋弧度相似）向盔体后部均匀排列。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3、头盔后部内侧包含“17式消防头盔”的永久性标识。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1、冲击吸收性能：高温预处理最大冲击力（N）：≤3100，辐射热预处理最大冲击力（N）：≤3010，低温预处理最大冲击力（N）：≤3450，浸水预处理最大冲击力（N）：≤3000，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2、抗冲击加速度性能：帽顶部（gn）:≤135，帽前部（gn）:≤340.8，帽后部（gn）:≤351.6，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3、耐穿透性能:钢锥应不能穿透头盔与头模产生接触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4、耐燃烧性能:火源离开帽壳后，帽壳火焰应在5s内自熄，并且无火焰烧透到帽壳内部的明显迹象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5、阻燃性能：下颚带：损毁长度（mm）：≤10。续燃时间（s）：≤2。披肩：损毁长度（mm）：≤30.  续燃时间（s）：≤2。面罩：续燃时间（s）：≤5，且以上均不应有熔融、滴落现象。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6、电绝缘性能:帽壳泄露电流：≤1mA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7、侧向刚性:帽壳最大变形标准要求：≤35mm，卸载后变形标准要求：≤3.1mm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8、质量（g）：≤1100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4FF4AA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B91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0E4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4D58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249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829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灭火手套</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B240A9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1、满足XF7-2004标准，提供国家级消防装备检测报告；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2、手套外层应采用芳纶材料，并与皮革相配合，增加耐磨性。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3、应采用反光标志带，应具有耐火性。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4、隔热层应为芳纶水刺毡。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5、五分钟浸水测试，不渗透。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6、手腕部位具有可调节松紧尼龙粘胶。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7、型号分为大、中、小三个型号。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8、颜色为藏蓝色</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6644EF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7CE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EDB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11E7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837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B58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灭火防护服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030FC8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满足XF10-2014《消防员灭火防护服》标准要求，提供国家级消防装备检测报告；标识符合23式消防员灭火防护服（作战款）款式标识统型要求》；采用四层结构；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藏蓝色，潘通色号为 PANTONE 19-4013 TCX Dark Navy，色差≥3级（按《纺细品色牢度试验评定变色用灰色样卡》GB/T250-2008 标准评判）。</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1、上下分体式结构，上衣和裤子间重叠部分应不小于200mm。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2、衣领为立领，前部设护领，衣领内侧采用顺色贴肤舒适面料。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3、上衣在胸部、下摆、袖口各设 1 条 360 度环形反光标识带，裤子在小腿部各设1条360度环形反光标志带，反光标志带宽度为 50.8mm（2 英寸），颜色为黄银黄。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4、裤子裆部采用一体式设计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5、裤子背带为 H 型背带，背带应可调节长度，可拆卸。</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6、上衣前门襟拉链号型不小于 8 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7、背部设有风琴褶。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1、上衣左胸外设电台立体口袋，门襟内侧设防水插袋，下摆设置外贴袋。大腿外侧各设工具袋 1 个。所有外口袋均设置漏水孔。</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2、在左上臂外侧设 90mm×110mm 盾牌型魔术贴并配盾牌型标识；盾牌型魔术贴上方设长57mm、斜边宽33mm平行四边形魔术贴，并配平行长方形魔术贴并配消防救援衔标识。左胸魔术贴。左胸电台立体口袋上方设长69mm、上宽52mm、下宽50mm盾型魔术贴，并配盾型胸徽标识。右胸魔术贴。右胸胸部反光带上方设长66mm、宽18mm长方形魔术贴，并配长方形姓名牌标识；长方形魔术贴上方设长66mm、宽31mm翼型魔术贴，并配翼型胸标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3、袖口处采用圆弧形设计，外层本色布包边，设置收紧调节袢，并配置罗纹防护护腕，罗纹防护护腕开拇指孔，内部设置止水布。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4、上衣门襟。上衣门襟魔术贴为贯通式。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5、上衣下摆。上衣舒适层下摆设置止水布。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6、裤脚口。裤脚口处采用圆弧形设计，内部设置止水布，内侧设置拉链，裤脚设耐磨材料包边。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7、在肩、肘、膝部应采用耐磨层加厚处理，耐磨层应柔软且易于清洗。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8、左右肩部设有两个挂袢。</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9、背部设有救生拖拉带，展开时间不大于10S，可以拖动80kg假人10米以上。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背部印字：消防救援队伍配备服装背部居中采用耐火、防水、荧光材料喷涂印制根据甲方要求印制标识，字体为简粗平黑，颜色为银色，每个字大小 70mm×85mm，字间距 20mm，位置在反光带上方 30mm 处。反光带下方 30mm 处 ，字体为简粗平黑，颜色为银色。四个字和五个字时每个字大小50mm×55mm，字间距15mm；六个字时每个字大小45mm×55mm，字间距10mm；七个字时每个字大小40mm×55mm，字间距8mm。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1、整体热防护性能 TPP（cal/c㎡） ：≥32。</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2、整套衣服重量：≤2.6kg。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3、阻燃性能：外层损毁长度（经向、纬向≤35mm）；防水透气隔热层损毁长度（经向、纬向≤40mm）；舒适层损毁长度（经向、纬向≤45mm）。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4、断裂强力：外层（经向≥1000N，纬向≥900N）；舒适层（经向≥300N，纬向: ≥500N）。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5、外层撕破强力：经向≥200N、纬向≥100N。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6、热稳定性能：经热稳定性能试验后，外层、防水透气隔热层、外层加强材料和舒适层尺寸变化率均≤5％，且试样表面应无明显变化。</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7、反光标志带阻燃性能：经向、纬向损毁长度≤25mm；外层加强材料阻燃性能：经向、纬向损毁长度≤30mm。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8、防水透气层：耐静水压：&gt;50KPa；拒油性能≥3级；透湿率&gt;8000g/m2·24h。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9、缩水率：外层、防水透气隔热层、舒适层经、纬方向尺寸变化率均≤3％。</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10、接缝断裂强力：外层经向、纬向≥800N。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11、外层表面抗湿性能：≥3级。</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635857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B14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FCA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89E7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FB1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513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灭火靴子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82644E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满足XF6-2004标准，提供国家级消防装备检测报告；标识符合《23式消防员灭火防护靴（橡胶）款式标识统型要求》：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主体颜色为黑色和黄色，黑色潘通色号为PANTONE Black 6C，黄色潘通色号为PANTONE 7408C，靴跟银色反光标识潘通色号为PANTONE Cool Gray 8C。色差≥3级。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1、整体结构。靴帮由外到里分为帮面、防切割层和隔热舒适层三层结构。靴底由上到下分为隔热舒适层、防穿刺层和靴大底三层结构。靴头部位设有保护包头。靴帮顶部设有便于穿戴的提手。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17式消防胶靴从靴内跟底部至靴帮后部筒口最低处的高度为300mm(±5mm)；靴筒口采用倾斜式设计，由前往后向下倾斜，前后高差20mm(±2mm)；靴帮上设有胫骨、踝骨和跖骨保护层，靴后跟部设有反光标识，筒口和靴底各设围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3、靴帮采用筒面和外头皮拼接结构，材质为耐高温阻燃耐酸碱橡胶。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4、靴帮防切割层采用经2纬3棉帆布，经2用21S双股标准全棉，纬3用7S单股标准全棉。</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5、靴帮和靴底隔热舒适层（俗称靴内衬）采用棉布和氯丁橡胶发泡海绵复合面料。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6、靴底防穿刺层采用芳香族聚酰胺纤维复合材料。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7、靴大底采用耐高温、阻燃、耐酸碱、耐磨防滑橡胶，啮合止滑纹路设计，提高防滑性能。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8、鞋垫采用减震缓冲、排汗、防臭，抗菌鞋垫。</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9、保护包头采用轻质铝合金或非金属复合材料。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10、反光标识。靴后跟设有在耐高温、阻燃、耐酸碱橡胶块上，复合的银色三角形阻燃反光标志带。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1、“执行标准:XF6-2004”</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2、型号、规格；</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3、生产厂的名称或商标；</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4、生产厂的灭火防护靴识别编号或制造年月；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5、检验合格标记；</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1、外底耐油性能(%)：-2—10.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2、金属衬垫的耐腐蚀性能：金属衬垫经腐蚀试验后，试样应无腐蚀现象。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3、防砸性能(mm)：≥15</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4、抗刺穿性能(N)：≥2250，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5、抗切割性能：靴面经抗切割试验后，不应被割穿。</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6、隔热性能(°C)：≤18，</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7、抗辐射热渗透性能(°C)：≤16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8、击穿电压≥5000V，且泄漏电压≥3mA.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9、总质量≤2kg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63116B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DDF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3A6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836D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500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88F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头盔灯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5FEE38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满足国家GB30734-2014标准，提供国家消防装备质量监督检验中心或其他具有相应资质的第三方检测机构出具的检验报告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标识符合《17式消防员佩戴式防爆照明灯款式标识统型要求》：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17式消防员佩戴式防爆头灯采用直筒圆柱形结构设计，具备强光、弱光、爆闪光可切换功能，爆闪光闪烁频率应为8-10HZ。整体由外壳、光学单元、充电口、电量显示单元、电池和开关等组成。灯具重量≤110g，夹具重量≤40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1、灯具外壳应采用AL6061-T6铝合金材质，表面采用硬质阳极氧化处理工艺，颜色为亚光黑色。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2、灯身筒中部采用滚纹处理工艺，滚纹部分距灯头最前端距离为24mm±1mm，距灯尾最后端距离为10mm±1mm。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3、灯具外壳防护等级应满足GB 4208-2008规定的IP66/ IP68 的要求，同时需要标明灯具的潜水深度和持续时间，灯具从1.5高度跌落不影响使用。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4、灯具工作满10min时测量其2m处光斑中心照度，光斑中心强光最大照度≥1800lx，弱光最大照度≥700lx。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充电孔：灯筒上应设计有通用Type-C充电口孔位，孔位长度为7.9±1mm，宽度为5±0.3mm，孔位最前端距灯头最前端距离为30.6±1mm。当灯具充电时电量显示器应采用跑马灯方式显示充电进行状态及当前电量情况。灯具完全放电后充满电时间≤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电量显示窗：灯筒上应设计有通用电量显示单元窗孔，采用四段式蓝色电量显示设计，每段代表25%电量，孔位长度为11±1mm，宽度为3±0.3mm，电量显示孔与充电孔平行设计，轴向与充电孔的夹角为34°，电量显示窗最前端距灯头最前端距离为 29.5±1mm。当电量剩余不足25%时，最后一段电量显示灯持续闪烁提醒电量不足。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3、安装预留台阶结构：灯筒中部两侧对称设计有安装预留台阶，台阶长度为40±1mm，宽度为7±1mm。台阶最前端距灯头最前端距离为40.5±1mm，同时台阶与电量显示孔位垂直结构。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4、尾盖凹槽：为方便开关按压，灯具尾部应设计有凹槽结构，凹槽结构为双侧对称设计，弧度为Φ30±1mm，高度为2.4±0.5mm。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5、挂绳孔：灯具外盖应设计有挂绳孔位，位于尾盖非凹槽部分。挂绳孔规格为（4±0.5）mm×（1.4±0.5）mm，采用对称设计共计4个孔位。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6、开关孔：灯具外壳尾端中部应设计有开关孔，开关孔直径为Φ13.2±0.5mm，位于外壳尾端正中位置。</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7、按钮开关：灯具应具备一体式方位灯大开关设计，尾部采用白色透明按钮式大开关设计，开关直径≥12.5mm，同时开关应一体式设计有红色常亮方位灯，用于方位指示,红色方位灯在晴朗夜间的可视距离应≥100m。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8、夹具：与消防头盔和抢险救援防护头盔滑轨配套的头灯夹具，上下可调节。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三、电池</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1、电池应采用可充电锂电池，额定电压为DC3.7V，额定容量≥1.9Ah。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2、灯具电池两端应同时设置正负极，且电池两端正负极性应对称设计，电池装入灯具时应不需区分方向均能使灯具正常工作。</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CC038B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6EC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431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0FC3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1A6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D9E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灭火腰带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614CEA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提供国家级消防装备检测报告；标识符合《17式消防安全腰带款式标识统型要求》：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1、织带：藏蓝色，潘通色号为PANTONE 19-4013 TCX Dark Navy，色差≥3级（按《纺织品  色牢度试验 评定变色用灰色样卡》）。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2、带扣、D型环：铝本色。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3、保护盖、移动板、收带扣：颜色为黑色。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4、缝线：颜色为灰色。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二、款式（插扦改良式）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1、织带：尼龙66材质，织带为整根，不应有接缝，具有一定硬度，规格为宽70mm×厚2.5mm，末端收尾为整烫圆弧型。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2、带扣：热锻铝7075合金材质，阳极氧化处理工艺，规格为长96mm×宽90mm×厚6mm。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3、扦针：不锈钢420材质，双扦针，扦针的长度35mm，直径应与带扣、扦针孔适配。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4、D型环：热锻铝7075合金材质，阳极氧化处理工艺，配置两个D型环，其中一个采用缝合固定，距带扣100mm处；另一个采用移动板和D型环组合结构，可自由调节。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5、扦针孔：优质不锈钢材质，直径12mm，距带尾部200mm处成双排六列型式向前等距排列。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6、移动板：尼龙66材质，规格为65mm×95mm×3mm。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7、收带扣：尼龙材质，松紧带缝纫，宽度规格为20mm。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8、缝线：尼龙66材质，颜色为灰色，电脑曲折缝制线迹。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9、型号：分大、中、小三个型号，成品长度分别为1400mm、1300mm、1200mm。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三、标志带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永久性标志：耐磨水洗布，长160mm×宽60mm，缝于腰内侧。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1、腰带质量：≤0.85kg。腰带的带扣的边角半径应≥6mm。正立方向静拉力：≥13KN。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2、安全腰带的拉环不允许焊接。</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3、耐高温性能：安全腰带的织带和缝线不应出现融熔，焦化现象。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4、金属零件的耐腐蚀性能：盐雾试验后。</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3C70A9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387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F54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1DC7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759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AA3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六米拉梯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E13BF3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1、满足XF137-2007标准；2、竹质材质，工作长度≥6米；3、整梯重量≤30KG；4、提供国家级检测机构（第三方）的检测报告。带滑轮、绳子，可伸缩的。</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0C078A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477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59E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A700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22E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A9D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电绝缘剪断钳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E15E95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用于事故现场电线电缆或其他带电体的剪切，可剪断16mm以下电线、钢筋，安全操作电压≥1000V；</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4E8DD7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6F1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D3E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5A7C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CDC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F17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折叠担架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45EF99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1、优质高强度合金骨架，可折叠存放，便于洗消；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2、担架主体采用耐割、防穿刺面料，在担架两侧各设置4个固定环和扣绳；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3、承重≥120kg，跌落承重≥300kg；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4、配携带防水包；</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98EDA0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212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A06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6979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961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941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千斤顶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BCDC28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1、立式油压千斤顶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2、最低高度 ：≤195mm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3、调整高度 ：≥60mm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4、起重高度 ：≥115mm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5、起重量 ：≥10吨。</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1DFB33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E9A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B2A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A43E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580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C2E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正压式空气呼吸器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083454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1、符合国家XF124-2013标准，提供“国家消防装备质量监督检验中心”出具的检测报告和“应急管理部消防产品合格评审定中心”出具的消防产品认证证书。</w:t>
            </w:r>
          </w:p>
          <w:p w14:paraId="0C4339A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★2、全套空气呼吸器由全面罩、抬头显示、供气阀、减压阀、救援快速插口（三通）、报警哨和压力表、背板、托垫及 6.8L碳纤维复合气瓶，佩戴质量11.4Kg，每具空气呼吸器配备1个救援小包，内含供气头罩和供气导管，每20具空气呼吸器配置1套快速充气装置，快速充气连接管配有泄压阀，可实现气瓶对空呼充气，安全、快速；</w:t>
            </w:r>
          </w:p>
          <w:p w14:paraId="40D8691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背架总成：背板采用复合材质制作，符合人体工程学设计。背板带有腰夹，重量分布于腰间，减轻肩部受力，可以完美贴合使用者背部及腰部，背部受力均匀；背带采用高性能本质阻燃材料制作，肩带设有弹性衬垫，肩垫宽厚柔软，调节方便；腰带和肩带均为耐磨、防滑、防火、防滑材料，且肩带上具有荧光带及面罩放置挂钩等；腰垫为可拆卸式，配合不同的工作环境使用；腰带采用前拉式收紧方式，便于消防车等狭小空间内的呼吸器穿戴；</w:t>
            </w:r>
          </w:p>
          <w:p w14:paraId="4BF30FE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气瓶总成：符合TSG23-2021《气瓶安全技术规程》，提供“特种设备检测研究院”出具的的检测报告：特种设备制造监督检测证书（气瓶），工作压力30MPa,水压试验压力50MPa，爆破压力≥102MPa；气瓶容积6.8L；气瓶阀配置压力表，能在任何时候显示气瓶内部压力；气瓶阀带自锁功能，避免因使用过程中不慎碰撞或误操作关闭瓶阀；采用全缠绕式碳纤维复合材料制作，瓶体内层缠绕环形标识，每只气瓶有清晰的永久性标记，标记植入树脂层内，标记项目包含：气瓶编号、气瓶公称容积（L）、气瓶公称重量（kg）、气瓶充装截止名称或代号、气瓶公称工作压力（Mpa）、气瓶水压试验压力（Mpa）、制造单位名称或代号、气瓶制造年月、气瓶设计使用寿命、监督检验标志、产品标准、水压试验极限弹性膨胀量等信息；内胆采用高强度、经防腐处理、重量轻的铝合金材料；配套具有防火性能，气瓶保护套需按甲方要求印制表示;气瓶阀安装有限流装置，避免在气瓶阀意外断裂时因大流量的高压气体不受控制的释放而产生的气瓶冲击危险。</w:t>
            </w:r>
          </w:p>
          <w:p w14:paraId="7A7770A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面罩总成：采用球形大视野面屏全面罩，面罩胶体及口鼻罩设计形状符合亚洲人脸型，贴合度及密封性良好，面罩胶体采用硅胶材质，不出现僵化、硬化现象，对皮肤不造成过敏，长久防刮擦。总视野保留率为81.2%，双目视野保留率为67.8%，下方视野&gt;35°，镜片透光率为94%，全面罩面屏纳米镀层具有本质防雾功能，保障环境温差大使用不上雾。口鼻罩采用食品级硅胶材料，头罩采用网状高性能阻燃材料制成。配备具有阻燃性能的保护套。面罩固定方式为五点固定调节式头网，完全可根据任何佩戴者头部需要自由调整，头网采用KEVLAR材质，本质阻燃耐切割，抗撕拉，配置有颈带，佩戴舒适。</w:t>
            </w:r>
          </w:p>
          <w:p w14:paraId="02C1B4F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供气阀总成：供气阀具有紧急供气、面罩强制去雾，配备水久除雾、排放余气等功能；中压管与供气阀、供气阀与面罩为活接插方式为360°快速接插，任何角度都可以操作，支持快速插拔功能：具有自动开启装置，首次呼吸自动激活，具有自动正压机构；供气流量≥500L/min：外形为仿生学原理按照人类握拳型设计，体积小巧，使用者方便对供气阀进行抓握。供气阀接插在面罩的正下方，保证良好视野率。供气阀与中压管可以自由连接、拆卸</w:t>
            </w:r>
          </w:p>
          <w:p w14:paraId="58BE0A8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★7、减压阀总成：恒压式结构设计，减压器输出压力0.66-0.79Mpa；设置安全阀，当减压器输出压力超过设定安全压力时，中压安全阀会自动泄压；</w:t>
            </w:r>
          </w:p>
          <w:p w14:paraId="20BCBA8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50CCC47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17FE8E5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抬头显示HUD:压力平视显示装置（HUD）接收端安装在供气阀上，免工具拆卸，传输方式：无线。显示装置具有光感传感器，感应环境光，调节灯光亮度，保护使用者视力，也方便浓烟环境观察压力，通过压力传感器采集气瓶内的气体压力，将信号用无线发射的方式发送到安装在面罩内侧的抬头显示器上，信号具有唯一性，设计有配对按钮。压力平视显示装置采用红、黄、绿不同颜色的LED灯光分别显示压力范围方式；当气瓶压力30MPa~10 MPa时，绿灯常亮；10MPa^6 MPa时，黄灯常亮；当气瓶压力低于6MPa时，红灯闪亮；同时报警哨起鸣，安装在面罩内的接收端上的两盏伙伴灯同时红灯闪烁，同行的伙伴处于任何位置都可观察到并提示；并且接收端同时会有震动功能提示。开启气瓶自动激活，实现自动开机。关闭气瓶手动关机；无气压状态下，支持手动开机并通过对码按键进行对码连接；先进的低功耗蓝牙无线传输技术，抗干扰能力强；连续工作时间可达100小时；内嵌光感传感器，报警灯亮度根据环境亮度自动调节；低电量报警，黄灯亮起提醒及时更换电池；电源：发射端采用2节7号碱性电池。防爆等级:Exia IIC T4 Ga，防护等级： IP67；工作温度-35℃--60℃；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78BDA2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4DC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C90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8124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0D2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F5B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手抬机动泵</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40153A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水泵材质：超轻铝合金单级单程离心泵引水方式：碳纤维旋片真空泵</w:t>
            </w:r>
          </w:p>
          <w:p w14:paraId="73F51CF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额定流量（吸深3M）：≥36T/h</w:t>
            </w:r>
          </w:p>
          <w:p w14:paraId="008DFDB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★扬程：≥8</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M</w:t>
            </w:r>
          </w:p>
          <w:p w14:paraId="1ADA293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额定压力（吸深3M)：≥0.55MPA</w:t>
            </w:r>
          </w:p>
          <w:p w14:paraId="027D17E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吸水口：65MM</w:t>
            </w:r>
          </w:p>
          <w:p w14:paraId="04AD277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★最大流量：≥5</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T/H</w:t>
            </w:r>
          </w:p>
          <w:p w14:paraId="11CEFF6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出水口：65MM</w:t>
            </w:r>
          </w:p>
          <w:p w14:paraId="3036E04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发动机型式：立式、单杠、风冷、四冲程(188F）启动系统：手拉启动、电启动</w:t>
            </w:r>
          </w:p>
          <w:p w14:paraId="10288FB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输出功率：≥8.2KW</w:t>
            </w:r>
          </w:p>
          <w:p w14:paraId="75D137B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燃料材质：柴油</w:t>
            </w:r>
          </w:p>
          <w:p w14:paraId="0D7FFAA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转速规格：3600RPM/MIN</w:t>
            </w:r>
          </w:p>
          <w:p w14:paraId="132C0CD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点火方式：压燃式</w:t>
            </w:r>
          </w:p>
          <w:p w14:paraId="6ED8D59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燃油容积：≥5L</w:t>
            </w:r>
          </w:p>
          <w:p w14:paraId="4319C57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体积：≤610X475X610MM</w:t>
            </w:r>
          </w:p>
          <w:p w14:paraId="781F449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重量：≤85KG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38683F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13F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F2B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EB0C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9B28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7CF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通用安全绳50米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EC8CCD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1、满足XF494-2004标准，提供国家级检测报告；</w:t>
            </w:r>
          </w:p>
          <w:p w14:paraId="7DE309C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2、特殊螺旋均匀纺织工艺使外皮和内芯紧密的结合一体，外皮滑动率为零。</w:t>
            </w:r>
          </w:p>
          <w:p w14:paraId="06CB516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3、直径10.5mm，长度为50米，最小破裂强度≥50KN，静拉力＞4000kg。</w:t>
            </w:r>
          </w:p>
          <w:p w14:paraId="379D350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4、性能：经204℃士5℃的耐高温性能试验后，安全绳不应出现融熔、焦化现象。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91701D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卷</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E9A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B71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000E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E9E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b/>
                <w:bCs/>
                <w:i w:val="0"/>
                <w:iCs w:val="0"/>
                <w:color w:val="auto"/>
                <w:sz w:val="21"/>
                <w:szCs w:val="21"/>
                <w:u w:val="none"/>
              </w:rPr>
              <w:t>阿克陶县恰尔隆镇车辆装备采购</w:t>
            </w:r>
          </w:p>
        </w:tc>
      </w:tr>
      <w:tr w14:paraId="00654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75F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734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水罐消防车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F97672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所投型号车辆，应符合《消防车第 1 部分：通用技术条件》( GB7956.1-2014)标准要求，提供所投型号消防车的工信部公告、国家消防装备质量监督检验中心或国家权威机构出具的消防车检验报告；或承诺车辆交付时提供所投型号消防车的工信部公告、国家消防装备质量监督检验中心或国家权威机构出具的消防车检验报告和整车出厂合格证，工信部公告与整车出厂合格证数据须一致，并提供整车设计效果图，包括整体结构图、三维效果图需与现行现行涂装相符合；泵出水口为内扣式，符合国家综合性消防救援车辆外观制式涂装：涂装要素包括双色装饰带，徽标，车辆编号，中文“消防”、“救援”和英文“RESCUE”及文字和图案的组合，文字和文字的组合等。其中双色装饰带位于车身两及车身尾部；徽标位于车身两侧前部；与横线组合位于车辆顶部；“消防”汉字位于专项作业车驾驶室两侧后部；中文“消防”、“救援”和英文“RESCUE”的组合位于车头前部。</w:t>
            </w:r>
          </w:p>
          <w:p w14:paraId="4684F97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1.整车参数 </w:t>
            </w:r>
          </w:p>
          <w:p w14:paraId="64DF3C5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1.1外形尺寸≤6150mm×2100mm×3050mm</w:t>
            </w:r>
          </w:p>
          <w:p w14:paraId="28F9ADF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1.2满载总质量≤7200kg</w:t>
            </w:r>
          </w:p>
          <w:p w14:paraId="2BC7284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1.3乘员人数 6人</w:t>
            </w:r>
          </w:p>
          <w:p w14:paraId="4B0E914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1.4最高车速 95km/h</w:t>
            </w:r>
          </w:p>
          <w:p w14:paraId="3EA6180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1.5排放标准 国VI</w:t>
            </w:r>
          </w:p>
          <w:p w14:paraId="75DD863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★1.6液罐容量 水≥2800L</w:t>
            </w:r>
          </w:p>
          <w:p w14:paraId="1883722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1.7消防泵流量 ≥30L/s</w:t>
            </w:r>
          </w:p>
          <w:p w14:paraId="11A29CE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1.8消防炮流量 ≥30L/s</w:t>
            </w:r>
          </w:p>
          <w:p w14:paraId="60653BF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59BA60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2.底盘参数 </w:t>
            </w:r>
          </w:p>
          <w:p w14:paraId="0B16805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2.1动形式 4×2</w:t>
            </w:r>
          </w:p>
          <w:p w14:paraId="3129273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2.2轴距 3360mm</w:t>
            </w:r>
          </w:p>
          <w:p w14:paraId="6736E1F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★2.3驾驶室 四门双排驾驶室</w:t>
            </w:r>
          </w:p>
          <w:p w14:paraId="372ACD6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2.4发动机形式 直列4缸、压燃、水冷、四冲程、增压中冷、高压共轨发动机</w:t>
            </w:r>
          </w:p>
          <w:p w14:paraId="6914408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2.5额定功率 ≥96/3000（kW/rpm）</w:t>
            </w:r>
          </w:p>
          <w:p w14:paraId="3DC14EC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2.6额定扭矩 ≥405/2000（Nm/rpm）</w:t>
            </w:r>
          </w:p>
          <w:p w14:paraId="03A5D1F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2.7排放标准 国VI</w:t>
            </w:r>
          </w:p>
          <w:p w14:paraId="57B890E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2.8变速箱形式 手动变速箱，5个前进挡+1个倒挡</w:t>
            </w:r>
          </w:p>
          <w:p w14:paraId="3D3573F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★2.9取力器 断轴取力器</w:t>
            </w:r>
          </w:p>
          <w:p w14:paraId="0E4BFF7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2.10油箱容量 70L</w:t>
            </w:r>
          </w:p>
          <w:p w14:paraId="70E4096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4CDC0C9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★3.副车架 </w:t>
            </w:r>
          </w:p>
          <w:p w14:paraId="0FC6BAC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3.1材质 高强度钢材。</w:t>
            </w:r>
          </w:p>
          <w:p w14:paraId="6E70FCB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3.2结构形式 井字形焊接式成型，焊后校形振动消除焊接应力，与底盘大梁、上装采用刚性连接方式固定。</w:t>
            </w:r>
          </w:p>
          <w:p w14:paraId="72F839E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3.3防腐处理 喷砂除油锈，喷涂重型防腐漆。</w:t>
            </w:r>
          </w:p>
          <w:p w14:paraId="4A15546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63EFD9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4.驾乘室 </w:t>
            </w:r>
          </w:p>
          <w:p w14:paraId="2FB72BD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4.1布局结构 四门双排驾驶室。</w:t>
            </w:r>
          </w:p>
          <w:p w14:paraId="3A04365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★4.2座位设置 前排1+2，后排3人</w:t>
            </w:r>
          </w:p>
          <w:p w14:paraId="76B70CF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4.3安全设置 安装有安全带。</w:t>
            </w:r>
          </w:p>
          <w:p w14:paraId="08ED046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4.4内饰 驾驶室内加装水泵的取力器开关；警报器及警灯开关等。</w:t>
            </w:r>
          </w:p>
          <w:p w14:paraId="761A807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4.5照明 原车照明灯。</w:t>
            </w:r>
          </w:p>
          <w:p w14:paraId="5E76C63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4.6踏梯 高强度一体式防滑踏梯。</w:t>
            </w:r>
          </w:p>
          <w:p w14:paraId="5D40EF7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4.7扶手 配备安全扶手，提高了救援人员上、下车安全及速度。</w:t>
            </w:r>
          </w:p>
          <w:p w14:paraId="20CD34C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42421B6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5.车厢 </w:t>
            </w:r>
          </w:p>
          <w:p w14:paraId="6C42DFF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★5.1材质 车厢（器材箱、泵室、内骨架及内饰板）全部采用高分子复合材料PP。</w:t>
            </w:r>
          </w:p>
          <w:p w14:paraId="3C5C356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★5.2结构 车厢整体采用高分子复合材料焊接技术；在器材箱内预留各类设备器材专用夹具，充分利用车厢内部有限空间；内饰板和底板喷涂大理石漆面。</w:t>
            </w:r>
          </w:p>
          <w:p w14:paraId="7BB645F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5.3梯架 车厢顶部设置一套多功能二节拉梯架，可放置二节拉梯、单杠梯、挂钩梯</w:t>
            </w:r>
          </w:p>
          <w:p w14:paraId="78610BF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5.4爬梯 车厢后部设置一架通往车顶的安全爬梯</w:t>
            </w:r>
          </w:p>
          <w:p w14:paraId="5189C49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3215CD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★6.卷帘门 </w:t>
            </w:r>
          </w:p>
          <w:p w14:paraId="5788020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6.1材质 采用轻型优质铝合金，大幅面卷帘门，启闭灵活、密封性好、外形美观、轻便可靠</w:t>
            </w:r>
          </w:p>
          <w:p w14:paraId="24D69B8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6.2结构 顶部设有导流槽，四周装有密封条，具有良好的防雨、防尘密封性能。配备拉杆式条锁把手、一点式拉带及两点式固定座</w:t>
            </w:r>
          </w:p>
          <w:p w14:paraId="5470600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6.3消防泵自带暖风机，器材箱及泵房配防寒帘，加水出水口带防寒套以及带轮胎防滑链。</w:t>
            </w:r>
          </w:p>
          <w:p w14:paraId="5908CB0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                                                                                                                                                                     </w:t>
            </w:r>
          </w:p>
          <w:p w14:paraId="70F6F2C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7.电器系统 </w:t>
            </w:r>
          </w:p>
          <w:p w14:paraId="32B9DEA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7.1警灯警报 车头前顶部设置长排式警灯，单音100W警报器、警灯、电路为独立式附加电路，控制器件安装在驾驶室内</w:t>
            </w:r>
          </w:p>
          <w:p w14:paraId="44562D3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7.2器材箱灯 器材箱、泵房卷帘门两侧内设有LED白光照明灯带，能够满足整个箱体的照明</w:t>
            </w:r>
          </w:p>
          <w:p w14:paraId="170B137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7.3频闪灯 车厢左右两侧上部各配置两盏频闪警灯</w:t>
            </w:r>
          </w:p>
          <w:p w14:paraId="6D8BC9A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7.4车外照明 车厢左右两侧上部各配置两盏LED侧照明灯，车厢尾部配置一盏LED照明灯</w:t>
            </w:r>
          </w:p>
          <w:p w14:paraId="67D3E2E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7.5警示灯 车厢侧面均安装有专用黄色警示灯</w:t>
            </w:r>
          </w:p>
          <w:p w14:paraId="240EE5B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1347519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8.表面处理 </w:t>
            </w:r>
          </w:p>
          <w:p w14:paraId="5B7E77B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8.1漆料 车厢表面喷涂进口品牌消防红色漆，为保证夜间工作安全，车身设有符合安全标准要求的荧光反光带</w:t>
            </w:r>
          </w:p>
          <w:p w14:paraId="0871EF1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8.2颜色 消防红</w:t>
            </w:r>
          </w:p>
          <w:p w14:paraId="168D139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016CF3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9.消防泵 </w:t>
            </w:r>
          </w:p>
          <w:p w14:paraId="048552D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9.1额定压力≥ 1.0MPa</w:t>
            </w:r>
          </w:p>
          <w:p w14:paraId="7AD6D94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9.2额定流量 ≥30L/s</w:t>
            </w:r>
          </w:p>
          <w:p w14:paraId="438BB42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9.3真空泵 水环真空泵</w:t>
            </w:r>
          </w:p>
          <w:p w14:paraId="69116A7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★9.4引水形式 自动引水</w:t>
            </w:r>
          </w:p>
          <w:p w14:paraId="0DB8500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9.5吸水深度 7m</w:t>
            </w:r>
          </w:p>
          <w:p w14:paraId="59651A5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9.6引水时间 ≤35s</w:t>
            </w:r>
          </w:p>
          <w:p w14:paraId="3A97B83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9.7安装形式 后置式</w:t>
            </w:r>
          </w:p>
          <w:p w14:paraId="6B01CEB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9.8消防泵自带暖风机消防泵自带暖风机，器材箱及泵房配防寒帘，加水出水口带防寒套以及带轮胎防滑链。                                                                                                                                                                                                                                                                                                                                      </w:t>
            </w:r>
          </w:p>
          <w:p w14:paraId="67A73D9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3E70EE3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10.消防炮 </w:t>
            </w:r>
          </w:p>
          <w:p w14:paraId="732C067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10.1额定流量 ≥30L/s</w:t>
            </w:r>
          </w:p>
          <w:p w14:paraId="17A9C13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10.2射程 水≥60m</w:t>
            </w:r>
          </w:p>
          <w:p w14:paraId="7463796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10.3安装位置 车厢顶部</w:t>
            </w:r>
          </w:p>
          <w:p w14:paraId="57E016E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10.4控制方式 手动控制</w:t>
            </w:r>
          </w:p>
          <w:p w14:paraId="0456F29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★10.5水平回转角度 0°~330°</w:t>
            </w:r>
          </w:p>
          <w:p w14:paraId="1734B33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★10.6俯仰回转角度 -10°~60</w:t>
            </w:r>
          </w:p>
          <w:p w14:paraId="1769591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70F0E8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11.液罐 </w:t>
            </w:r>
          </w:p>
          <w:p w14:paraId="7673C60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11.1容量 水≥2800L</w:t>
            </w:r>
          </w:p>
          <w:p w14:paraId="39839A0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★11.2材质 高分子复合材料PP采用多项专利技术高分子复合材料制造而成的特殊板材，强度高、抗冲击性强、耐低温、抗腐蚀性、质量轻的特点</w:t>
            </w:r>
          </w:p>
          <w:p w14:paraId="79D0EFC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11.3安装形式 一体式</w:t>
            </w:r>
          </w:p>
          <w:p w14:paraId="214FB9C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11.4结构 1个溢流/卸压装置；1个液位传感器；1个水罐放余水口。</w:t>
            </w:r>
          </w:p>
          <w:p w14:paraId="54B03E8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7BF4FD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12.管路系统 </w:t>
            </w:r>
          </w:p>
          <w:p w14:paraId="2E1B34C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12.1进水口 泵室正后方安装DN100螺纹式吸水口1个。</w:t>
            </w:r>
          </w:p>
          <w:p w14:paraId="28A0AF9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12.2注水口 泵室右侧安装带手动控制阀的DN65卡式注水口1个。</w:t>
            </w:r>
          </w:p>
          <w:p w14:paraId="05B10B9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12.3出水口 泵室左右两侧各安装带手动控制阀的DN65卡式出水口1个。</w:t>
            </w:r>
          </w:p>
          <w:p w14:paraId="36DF61C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12.4放余水管路 为保护水泵，在管路中加装了放余水阀。</w:t>
            </w:r>
          </w:p>
          <w:p w14:paraId="6193491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12.5冷却水管路 为保护取力器的正常工作，管路中设有附加冷却装置。</w:t>
            </w:r>
          </w:p>
          <w:p w14:paraId="379DC33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7FE574F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★13.消防控制系统 </w:t>
            </w:r>
          </w:p>
          <w:p w14:paraId="4452BDD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13.1结构 装有液位指示器、转速表、压力表、真空表、油门等消防控制设备；控制面板上所有按钮、开关和指示灯标注有中文标识；显著位置设有管路布置图及简要操作说明。面板采用防水防尘设计模式，防护等级可达IP56。</w:t>
            </w:r>
          </w:p>
          <w:p w14:paraId="3633749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13.2安装形式 车厢后部泵房内。</w:t>
            </w:r>
          </w:p>
          <w:p w14:paraId="4A17AB4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AACADF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14.随车资料</w:t>
            </w:r>
          </w:p>
          <w:p w14:paraId="1AB137B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14.1底盘使用说明书</w:t>
            </w:r>
          </w:p>
          <w:p w14:paraId="6E3D714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14.2底盘合格证</w:t>
            </w:r>
          </w:p>
          <w:p w14:paraId="79AA3A7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14.3发动机号码拓印</w:t>
            </w:r>
          </w:p>
          <w:p w14:paraId="1BB1B95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14.4底盘号码拓印件</w:t>
            </w:r>
          </w:p>
          <w:p w14:paraId="63400A6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14.5消防车使用说明书</w:t>
            </w:r>
          </w:p>
          <w:p w14:paraId="3C2D32D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14.6消防车消防器材清单</w:t>
            </w:r>
          </w:p>
          <w:p w14:paraId="2B841D2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14.7消防车合格证</w:t>
            </w:r>
          </w:p>
          <w:p w14:paraId="455030A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14.8消防车跟踪服务卡</w:t>
            </w:r>
          </w:p>
          <w:p w14:paraId="21864A1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14.9消防车交接清单</w:t>
            </w:r>
          </w:p>
          <w:p w14:paraId="23EBE62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76EF2F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15.随车器材</w:t>
            </w:r>
          </w:p>
          <w:p w14:paraId="0E2B091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序号 器材名称 规格型号 数量</w:t>
            </w:r>
          </w:p>
          <w:p w14:paraId="7F17F91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 直流开关水枪 卡式接口 2支</w:t>
            </w:r>
          </w:p>
          <w:p w14:paraId="0BE9DB1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 直流喷雾水枪 卡式接口 2支</w:t>
            </w:r>
          </w:p>
          <w:p w14:paraId="265DE78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 吸水管扳手ABC  2把</w:t>
            </w:r>
          </w:p>
          <w:p w14:paraId="67CE62C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 消防水带 16-65-20、卡式接口 10盘</w:t>
            </w:r>
          </w:p>
          <w:p w14:paraId="3BE19BD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 吸水管  4根</w:t>
            </w:r>
          </w:p>
          <w:p w14:paraId="779ADEE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 地上消火栓扳手 1把</w:t>
            </w:r>
          </w:p>
          <w:p w14:paraId="4C975E5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 地下消火栓扳手  1把</w:t>
            </w:r>
          </w:p>
          <w:p w14:paraId="032578B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 二分水器 ，卡式接口 1个</w:t>
            </w:r>
          </w:p>
          <w:p w14:paraId="2EDB166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 二集水器 1个</w:t>
            </w:r>
          </w:p>
          <w:p w14:paraId="6376D8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 水带挂钩 4个</w:t>
            </w:r>
          </w:p>
          <w:p w14:paraId="5FCB09E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 水带护桥2件</w:t>
            </w:r>
          </w:p>
          <w:p w14:paraId="3BA361D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 滤水器 螺纹式接口 1个</w:t>
            </w:r>
          </w:p>
          <w:p w14:paraId="3B34F64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 水带包布 4个</w:t>
            </w:r>
          </w:p>
          <w:p w14:paraId="51E1FF3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 三分水器 1个</w:t>
            </w:r>
          </w:p>
          <w:p w14:paraId="3263316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 异型同径接口 KJ65/KJK65Z、DN65内扣转DN65雌 2个</w:t>
            </w:r>
          </w:p>
          <w:p w14:paraId="1DFBE87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 消防铁锹 1把</w:t>
            </w:r>
          </w:p>
          <w:p w14:paraId="777C195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 消防尖斧  1把</w:t>
            </w:r>
          </w:p>
          <w:p w14:paraId="7A843D8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 消防铁铤  1把</w:t>
            </w:r>
          </w:p>
          <w:p w14:paraId="33691A9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19 消防大锤  1把</w:t>
            </w:r>
          </w:p>
          <w:p w14:paraId="2C5868A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20 消防剪断钳 1把</w:t>
            </w:r>
          </w:p>
          <w:p w14:paraId="46A21F9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 手提式干粉灭火器  1具</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DC6BC8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CC1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04D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08AD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343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E25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65mm水带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7D2840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1、符合GB 6246-2011《消防水带》标准要求，产品要求为白色。</w:t>
            </w:r>
          </w:p>
          <w:p w14:paraId="710FFF8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2、水带在端部附近中心线两侧用不易脱落的油墨，编织层：织物层编制均匀，表面整洁，无跳双经、断双经、跳纬及划伤。 </w:t>
            </w:r>
          </w:p>
          <w:p w14:paraId="07C964B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3、每盘20米，含内扣式接口，内扣式，口径65mm；</w:t>
            </w:r>
          </w:p>
          <w:p w14:paraId="35B33BD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4、每盘长度为：≥20m。</w:t>
            </w:r>
          </w:p>
          <w:p w14:paraId="04D5B41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★5、单位长度质量≤330g/m；延伸率（%）≤0.7；膨胀率（%）≤2.8；附着强度（N/25m)≥69；厚度规格≥0.3mm；</w:t>
            </w:r>
          </w:p>
          <w:p w14:paraId="5D762FA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★6、工作压力（含连接设备）≥2.0MPa，爆破压力≥10.0MPa。 </w:t>
            </w:r>
          </w:p>
          <w:p w14:paraId="0F6DAD4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7、采用聚氨酯材料，接口表面无结疤、裂痕、砂眼；铝合金材质，长度结合需求更改</w:t>
            </w:r>
          </w:p>
          <w:p w14:paraId="02F720C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8、接口要求：内扣式接口，接口表面进行阳极氧化处理，加工表面平整，光洁度高，无损伤，无结疤、裂痕，配专用护套； 将水带与接口绑扎。将水带与接口绑扎。且每个凹槽采用不少于7圈（360度）的高强度镀锌铁丝（≥16号）捆扎,(锻造铝镁合金接口);</w:t>
            </w:r>
          </w:p>
          <w:p w14:paraId="2610170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9、每根水带应卷紧成圆盘形，外用耐磨、防潮物封装。</w:t>
            </w:r>
          </w:p>
          <w:p w14:paraId="4B00F3C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10、提供国家消防装备质量监督检验中心或其他具有相应资质的第三方检测机构出具的检验报告</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8EC03C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9B2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D56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09A06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70D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2AC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80MM水带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77FF61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提供国家消防装备质量监督检验中心或其他具有相应资质的第三方检测机构出具的检验报告，含内扣式接口，口径80mm采用聚氨酯材料，接口表面无结疤、裂痕、砂眼；铝合金材质，工作压力≥2Mpa；口径：80mm，内扣式。</w:t>
            </w:r>
          </w:p>
          <w:p w14:paraId="1732497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1、单位长度质量≤310g/m；</w:t>
            </w:r>
          </w:p>
          <w:p w14:paraId="176CDFE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2、延伸率（%）≤2.5；</w:t>
            </w:r>
          </w:p>
          <w:p w14:paraId="69B5615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3、膨胀率（%）≤3.5；</w:t>
            </w:r>
          </w:p>
          <w:p w14:paraId="14CB899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4、附着强度（N/25m)≥80;</w:t>
            </w:r>
          </w:p>
          <w:p w14:paraId="531CC1D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5、厚度规格≥0.3mm；</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629CB7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F16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2F5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711B0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F66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36A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直流水枪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FB0E4C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1、铝合金材质，配备开关；</w:t>
            </w:r>
          </w:p>
          <w:p w14:paraId="2B0B583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2、内扣式接口，口径65mm；</w:t>
            </w:r>
          </w:p>
          <w:p w14:paraId="38D4C42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3、流量≥7L/s，射程≥25m。    </w:t>
            </w:r>
          </w:p>
          <w:p w14:paraId="76DC184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4、满足GB8181-2005标准。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3A69AB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DCD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B1F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BEFB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454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E30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多功能水枪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12D380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8181-2005标准。内扣式接口，口径65mm；单个消防员可有效操作控制，由喷雾枪头、球阀开关、枪管组织，带有握把，马蹄式环形水流开关，枪体内设置铝合金球型阀门可启闭水流；进水口径65mm，町野式接口，配防打结接口；具有直流喷雾无级转换、流量可调等功能，可调节≥5个档位的流量变化，直流有效射程≥35米；重量≤2Kg，金属表面硬质阳极氧化处理涂层</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660230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FCC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6E3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8029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FE1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084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分水器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94064B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满足GA868-2010标准，表面无结疤、裂痕、砂眼；工作压力不低于1.6Mpa，铝合金材质；进水口径：80mm，内扣式，出水口径：3出水口×65mm，内扣式，重量不大于3.5kg。可方便手提式。</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2377B6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DF6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3C4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7BBD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451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BD3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80-65转换接口</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96D8AA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满足GB6246-2011标准，表面无结疤、裂痕、砂眼；铝合金材质，工作压力≥1.6Mpa；内扣式接口，80/65mm。80内扣-65内扣，接口耐压≥2.0Mpa</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697C2A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668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5C8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2A26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2E4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0E3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消火栓扳手</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5AAEC9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QZT-40型适用于公共场所、商业建筑和住宅小区等地面消防栓。型号符合GB3445-2005标准，扳手长度为800mm，并具有十字形的扳手头设计。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11FCC4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508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44A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04E6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AC4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826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灭火头盔</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5B4F79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 xml:space="preserve">满足XF44-2015或GA44-2015标准，提供国家级消防装备检测报告；标识符合《23式消防头盔款式标识统型要求》和《消防头盔单位标识要求》；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1、盔壳：黄色，潘通色号为PANTONE 186C，黄色为PANTONE 012 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2、披肩：藏蓝色，潘通色号为PANTONE 19-4013 TCX Dark Navy，色差≥3级。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3、反光标识条：荧光黄色潘通色号为PANTONE 809C，荧光桔红色为PANTONE 811C，色差≥2级，入射角5°观察角0.2°时初始逆反射系数≥100cd/(1x*㎡)。</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4、滑块和配饰：黑色潘通色号为PANTONE 19-4007 TPX，色差≥3级。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1、由盔壳、滑轨、缓冲层、舒适衬垫、佩戴装置、面罩、披肩等组成。</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2、盔壳：耐高温阻燃材质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3、滑轨：盔体两侧设黑色多功能模块化滑轨，耐高温阻燃材质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4、缓冲层：耐高温阻燃材质，颜色为黑色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5、舒适衬垫：顶部为芳纶网状衬垫，四周为舒适层（与帽箍一体）可调节戴帽高度。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6、佩戴装置：包括帽箍和系带，为耐高温阻燃材质。在盔体后沿下侧设头围调节旋钮；系带可调节佩戴松紧，加装可拆洗阻燃舒适软垫：插扣为快脱插扣。</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7、面罩：耐高温阻燃材质。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8、披肩：防水处理、耐高温阻燃芳纶材料，颜色为藏蓝色，可快速拆卸、安装。</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9、反光标识：两侧粘贴弧形反光标识条，为耐高温材质，宽度为30mm±1mm，长度为226mm±2mm，弧形总高52mm±2mm；黄色头盔使用荧光桔红色反光标识条。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10、所有可调节扣件全部采用黄色，为改性阻燃尼龙66材料。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1、帽徽：消防头盔前面居中粘贴软质立体19式消防大帽徽，距帽檐底部18±2mm，帽徽规格为高5.9厘米、宽5.7厘米。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2、单位标识：侧面居中采用耐雨淋反光材料牢固粘贴根据甲方要求印制标识，字体为简粗平黑，字体大小为30（±1）mm×35（±1）mm，字间距10±1mm，颜色为银灰色，潘通色号为PANTONE 423C，色差≥3级。头盔两侧文字相同，均从帽徽一侧呈半弧状（与加强筋弧度相似）向盔体后部均匀排列。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3、头盔后部内侧包含“17式消防头盔”的永久性标识。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1、冲击吸收性能：高温预处理最大冲击力（N）：≤3100，辐射热预处理最大冲击力（N）：≤3010，低温预处理最大冲击力（N）：≤3450，浸水预处理最大冲击力（N）：≤3000，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2、抗冲击加速度性能：帽顶部（gn）:≤135，帽前部（gn）:≤340.8，帽后部（gn）:≤351.6，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3、耐穿透性能:钢锥应不能穿透头盔与头模产生接触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4、耐燃烧性能:火源离开帽壳后，帽壳火焰应在5s内自熄，并且无火焰烧透到帽壳内部的明显迹象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5、阻燃性能：下颚带：损毁长度（mm）：≤10。续燃时间（s）：≤2。披肩：损毁长度（mm）：≤30.  续燃时间（s）：≤2。面罩：续燃时间（s）：≤5，且以上均不应有熔融、滴落现象。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6、电绝缘性能:帽壳泄露电流：≤1mA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7、侧向刚性:帽壳最大变形标准要求：≤35mm，卸载后变形标准要求：≤3.1mm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8、质量（g）：≤1100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D942D3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455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592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1C80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4159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75D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灭火手套</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47E90C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1、满足XF7-2004标准，提供国家级消防装备检测报告；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2、手套外层应采用芳纶材料，并与皮革相配合，增加耐磨性。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3、应采用反光标志带，应具有耐火性。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4、隔热层应为芳纶水刺毡。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5、五分钟浸水测试，不渗透。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6、手腕部位具有可调节松紧尼龙粘胶。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7、型号分为大、中、小三个型号。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8、颜色为藏蓝色</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A4084C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77A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8FC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9866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538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EDC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灭火防护服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78607C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满足XF10-2014《消防员灭火防护服》标准要求，提供国家级消防装备检测报告；标识符合23式消防员灭火防护服（作战款）款式标识统型要求》；采用四层结构；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藏蓝色，潘通色号为 PANTONE 19-4013 TCX Dark Navy，色差≥3级（按《纺细品色牢度试验评定变色用灰色样卡》GB/T250-2008 标准评判）。</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1、上下分体式结构，上衣和裤子间重叠部分应不小于200mm。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2、衣领为立领，前部设护领，衣领内侧采用顺色贴肤舒适面料。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3、上衣在胸部、下摆、袖口各设 1 条 360 度环形反光标识带，裤子在小腿部各设1条360度环形反光标志带，反光标志带宽度为 50.8mm（2 英寸），颜色为黄银黄。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4、裤子裆部采用一体式设计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5、裤子背带为 H 型背带，背带应可调节长度，可拆卸。</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6、上衣前门襟拉链号型不小于 8 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7、背部设有风琴褶。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1、上衣左胸外设电台立体口袋，门襟内侧设防水插袋，下摆设置外贴袋。大腿外侧各设工具袋 1 个。所有外口袋均设置漏水孔。</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2、在左上臂外侧设 90mm×110mm 盾牌型魔术贴并配盾牌型标识；盾牌型魔术贴上方设长57mm、斜边宽33mm平行四边形魔术贴，并配平行长方形魔术贴并配消防救援衔标识。左胸魔术贴。左胸电台立体口袋上方设长69mm、上宽52mm、下宽50mm盾型魔术贴，并配盾型胸徽标识。右胸魔术贴。右胸胸部反光带上方设长66mm、宽18mm长方形魔术贴，并配长方形姓名牌标识；长方形魔术贴上方设长66mm、宽31mm翼型魔术贴，并配翼型胸标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3、袖口处采用圆弧形设计，外层本色布包边，设置收紧调节袢，并配置罗纹防护护腕，罗纹防护护腕开拇指孔，内部设置止水布。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4、上衣门襟。上衣门襟魔术贴为贯通式。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5、上衣下摆。上衣舒适层下摆设置止水布。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6、裤脚口。裤脚口处采用圆弧形设计，内部设置止水布，内侧设置拉链，裤脚设耐磨材料包边。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7、在肩、肘、膝部应采用耐磨层加厚处理，耐磨层应柔软且易于清洗。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8、左右肩部设有两个挂袢。</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9、背部设有救生拖拉带，展开时间不大于10S，可以拖动80kg假人10米以上。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背部印字：消防救援队伍配备服装背部居中采用耐火、防水、荧光材料喷涂印制根据甲方要求印制标识，字体为简粗平黑，颜色为银色，每个字大小 70mm×85mm，字间距 20mm，位置在反光带上方 30mm 处。反光带下方 30mm 处 ，字体为简粗平黑，颜色为银色。四个字和五个字时每个字大小50mm×55mm，字间距15mm；六个字时每个字大小45mm×55mm，字间距10mm；七个字时每个字大小40mm×55mm，字间距8mm。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1、整体热防护性能 TPP（cal/c㎡） ：≥32。</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2、整套衣服重量：≤2.6kg。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3、阻燃性能：外层损毁长度（经向、纬向≤35mm）；防水透气隔热层损毁长度（经向、纬向≤40mm）；舒适层损毁长度（经向、纬向≤45mm）。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4、断裂强力：外层（经向≥1000N，纬向≥900N）；舒适层（经向≥300N，纬向: ≥500N）。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5、外层撕破强力：经向≥200N、纬向≥100N。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6、热稳定性能：经热稳定性能试验后，外层、防水透气隔热层、外层加强材料和舒适层尺寸变化率均≤5％，且试样表面应无明显变化。</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7、反光标志带阻燃性能：经向、纬向损毁长度≤25mm；外层加强材料阻燃性能：经向、纬向损毁长度≤30mm。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8、防水透气层：耐静水压：&gt;50KPa；拒油性能≥3级；透湿率&gt;8000g/m2·24h。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9、缩水率：外层、防水透气隔热层、舒适层经、纬方向尺寸变化率均≤3％。</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10、接缝断裂强力：外层经向、纬向≥800N。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11、外层表面抗湿性能：≥3级。</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22EEF9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0D2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223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89E1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EA4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98C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灭火靴子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7AE9C5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满足XF6-2004标准，提供国家级消防装备检测报告；标识符合《23式消防员灭火防护靴（橡胶）款式标识统型要求》：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主体颜色为黑色和黄色，黑色潘通色号为PANTONE Black 6C，黄色潘通色号为PANTONE 7408C，靴跟银色反光标识潘通色号为PANTONE Cool Gray 8C。色差≥3级。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1、整体结构。靴帮由外到里分为帮面、防切割层和隔热舒适层三层结构。靴底由上到下分为隔热舒适层、防穿刺层和靴大底三层结构。靴头部位设有保护包头。靴帮顶部设有便于穿戴的提手。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17式消防胶靴从靴内跟底部至靴帮后部筒口最低处的高度为300mm(±5mm)；靴筒口采用倾斜式设计，由前往后向下倾斜，前后高差20mm(±2mm)；靴帮上设有胫骨、踝骨和跖骨保护层，靴后跟部设有反光标识，筒口和靴底各设围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3、靴帮采用筒面和外头皮拼接结构，材质为耐高温阻燃耐酸碱橡胶。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4、靴帮防切割层采用经2纬3棉帆布，经2用21S双股标准全棉，纬3用7S单股标准全棉。</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5、靴帮和靴底隔热舒适层（俗称靴内衬）采用棉布和氯丁橡胶发泡海绵复合面料。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6、靴底防穿刺层采用芳香族聚酰胺纤维复合材料。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7、靴大底采用耐高温、阻燃、耐酸碱、耐磨防滑橡胶，啮合止滑纹路设计，提高防滑性能。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8、鞋垫采用减震缓冲、排汗、防臭，抗菌鞋垫。</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9、保护包头采用轻质铝合金或非金属复合材料。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10、反光标识。靴后跟设有在耐高温、阻燃、耐酸碱橡胶块上，复合的银色三角形阻燃反光标志带。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1、“执行标准:XF6-2004”</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2、型号、规格；</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3、生产厂的名称或商标；</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4、生产厂的灭火防护靴识别编号或制造年月；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5、检验合格标记；</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1、外底耐油性能(%)：-2—10.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2、金属衬垫的耐腐蚀性能：金属衬垫经腐蚀试验后，试样应无腐蚀现象。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3、防砸性能(mm)：≥15</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4、抗刺穿性能(N)：≥2250，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5、抗切割性能：靴面经抗切割试验后，不应被割穿。</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6、隔热性能(°C)：≤18，</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7、抗辐射热渗透性能(°C)：≤16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8、击穿电压≥5000V，且泄漏电压≥3mA.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9、总质量≤2kg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E8C686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16D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BAB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5A89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89F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EBC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头盔灯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921CDA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满足国家GB30734-2014标准，提供国家消防装备质量监督检验中心或其他具有相应资质的第三方检测机构出具的检验报告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标识符合《17式消防员佩戴式防爆照明灯款式标识统型要求》：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17式消防员佩戴式防爆头灯采用直筒圆柱形结构设计，具备强光、弱光、爆闪光可切换功能，爆闪光闪烁频率应为8-10HZ。整体由外壳、光学单元、充电口、电量显示单元、电池和开关等组成。灯具重量≤110g，夹具重量≤40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1、灯具外壳应采用AL6061-T6铝合金材质，表面采用硬质阳极氧化处理工艺，颜色为亚光黑色。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2、灯身筒中部采用滚纹处理工艺，滚纹部分距灯头最前端距离为24mm±1mm，距灯尾最后端距离为10mm±1mm。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3、灯具外壳防护等级应满足GB 4208-2008规定的IP66/ IP68 的要求，同时需要标明灯具的潜水深度和持续时间，灯具从1.5高度跌落不影响使用。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4、灯具工作满10min时测量其2m处光斑中心照度，光斑中心强光最大照度≥1800lx，弱光最大照度≥700lx。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充电孔：灯筒上应设计有通用Type-C充电口孔位，孔位长度为7.9±1mm，宽度为5±0.3mm，孔位最前端距灯头最前端距离为30.6±1mm。当灯具充电时电量显示器应采用跑马灯方式显示充电进行状态及当前电量情况。灯具完全放电后充满电时间≤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电量显示窗：灯筒上应设计有通用电量显示单元窗孔，采用四段式蓝色电量显示设计，每段代表25%电量，孔位长度为11±1mm，宽度为3±0.3mm，电量显示孔与充电孔平行设计，轴向与充电孔的夹角为34°，电量显示窗最前端距灯头最前端距离为 29.5±1mm。当电量剩余不足25%时，最后一段电量显示灯持续闪烁提醒电量不足。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3、安装预留台阶结构：灯筒中部两侧对称设计有安装预留台阶，台阶长度为40±1mm，宽度为7±1mm。台阶最前端距灯头最前端距离为40.5±1mm，同时台阶与电量显示孔位垂直结构。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4、尾盖凹槽：为方便开关按压，灯具尾部应设计有凹槽结构，凹槽结构为双侧对称设计，弧度为Φ30±1mm，高度为2.4±0.5mm。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5、挂绳孔：灯具外盖应设计有挂绳孔位，位于尾盖非凹槽部分。挂绳孔规格为（4±0.5）mm×（1.4±0.5）mm，采用对称设计共计4个孔位。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6、开关孔：灯具外壳尾端中部应设计有开关孔，开关孔直径为Φ13.2±0.5mm，位于外壳尾端正中位置。</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7、按钮开关：灯具应具备一体式方位灯大开关设计，尾部采用白色透明按钮式大开关设计，开关直径≥12.5mm，同时开关应一体式设计有红色常亮方位灯，用于方位指示,红色方位灯在晴朗夜间的可视距离应≥100m。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8、夹具：与消防头盔和抢险救援防护头盔滑轨配套的头灯夹具，上下可调节。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三、电池</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1、电池应采用可充电锂电池，额定电压为DC3.7V，额定容量≥1.9Ah。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2、灯具电池两端应同时设置正负极，且电池两端正负极性应对称设计，电池装入灯具时应不需区分方向均能使灯具正常工作。</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8F89F7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BD5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573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608B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3B6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871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灭火腰带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821655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提供国家级消防装备检测报告；标识符合《17式消防安全腰带款式标识统型要求》：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1、织带：藏蓝色，潘通色号为PANTONE 19-4013 TCX Dark Navy，色差≥3级（按《纺织品  色牢度试验 评定变色用灰色样卡》）。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2、带扣、D型环：铝本色。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3、保护盖、移动板、收带扣：颜色为黑色。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4、缝线：颜色为灰色。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二、款式（插扦改良式）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1、织带：尼龙66材质，织带为整根，不应有接缝，具有一定硬度，规格为宽70mm×厚2.5mm，末端收尾为整烫圆弧型。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2、带扣：热锻铝7075合金材质，阳极氧化处理工艺，规格为长96mm×宽90mm×厚6mm。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3、扦针：不锈钢420材质，双扦针，扦针的长度35mm，直径应与带扣、扦针孔适配。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4、D型环：热锻铝7075合金材质，阳极氧化处理工艺，配置两个D型环，其中一个采用缝合固定，距带扣100mm处；另一个采用移动板和D型环组合结构，可自由调节。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5、扦针孔：优质不锈钢材质，直径12mm，距带尾部200mm处成双排六列型式向前等距排列。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6、移动板：尼龙66材质，规格为65mm×95mm×3mm。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7、收带扣：尼龙材质，松紧带缝纫，宽度规格为20mm。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8、缝线：尼龙66材质，颜色为灰色，电脑曲折缝制线迹。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9、型号：分大、中、小三个型号，成品长度分别为1400mm、1300mm、1200mm。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三、标志带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永久性标志：耐磨水洗布，长160mm×宽60mm，缝于腰内侧。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1、腰带质量：≤0.85kg。腰带的带扣的边角半径应≥6mm。正立方向静拉力：≥13KN。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2、安全腰带的拉环不允许焊接。</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3、耐高温性能：安全腰带的织带和缝线不应出现融熔，焦化现象。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4、金属零件的耐腐蚀性能：盐雾试验后。</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DF095F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4D0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B01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F532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DB5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7C6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六米拉梯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34447C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1、满足XF137-2007标准；2、竹质材质，工作长度≥6米；3、整梯重量≤30KG；4、提供国家级检测机构（第三方）的检测报告。带滑轮、绳子，可伸缩的。</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2C4E77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D04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B9E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7B5F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2F82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A69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电绝缘剪断钳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09B18C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用于事故现场电线电缆或其他带电体的剪切，可剪断16mm以下电线、钢筋，安全操作电压≥1000V；</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05153B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166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C7F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4815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685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34C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折叠担架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F21AF6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1、优质高强度合金骨架，可折叠存放，便于洗消；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2、担架主体采用耐割、防穿刺面料，在担架两侧各设置4个固定环和扣绳；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3、承重≥120kg，跌落承重≥300kg；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4、配携带防水包；</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EF1A60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D3D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E9B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BB27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B12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1E1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千斤顶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282139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1、立式油压千斤顶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2、最低高度 ：≤195mm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3、调整高度 ：≥60mm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4、起重高度 ：≥115mm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5、起重量 ：≥10吨。</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E59039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49A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942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AD0F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991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383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正压式空气呼吸器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5F18D5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1、符合国家XF124-2013标准，提供“国家消防装备质量监督检验中心”出具的检测报告和“应急管理部消防产品合格评审定中心”出具的消防产品认证证书。</w:t>
            </w:r>
          </w:p>
          <w:p w14:paraId="160698A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★2、全套空气呼吸器由全面罩、抬头显示、供气阀、减压阀、救援快速插口（三通）、报警哨和压力表、背板、托垫及 6.8L碳纤维复合气瓶，佩戴质量11.4Kg，每具空气呼吸器配备1个救援小包，内含供气头罩和供气导管，每20具空气呼吸器配置1套快速充气装置，快速充气连接管配有泄压阀，可实现气瓶对空呼充气，安全、快速；</w:t>
            </w:r>
          </w:p>
          <w:p w14:paraId="668A162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背架总成：背板采用复合材质制作，符合人体工程学设计。背板带有腰夹，重量分布于腰间，减轻肩部受力，可以完美贴合使用者背部及腰部，背部受力均匀；背带采用高性能本质阻燃材料制作，肩带设有弹性衬垫，肩垫宽厚柔软，调节方便；腰带和肩带均为耐磨、防滑、防火、防滑材料，且肩带上具有荧光带及面罩放置挂钩等；腰垫为可拆卸式，配合不同的工作环境使用；腰带采用前拉式收紧方式，便于消防车等狭小空间内的呼吸器穿戴；</w:t>
            </w:r>
          </w:p>
          <w:p w14:paraId="061F0A3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气瓶总成：符合TSG23-2021《气瓶安全技术规程》，提供“特种设备检测研究院”出具的的检测报告：特种设备制造监督检测证书（气瓶），工作压力30MPa,水压试验压力50MPa，爆破压力≥102MPa；气瓶容积6.8L；气瓶阀配置压力表，能在任何时候显示气瓶内部压力；气瓶阀带自锁功能，避免因使用过程中不慎碰撞或误操作关闭瓶阀；采用全缠绕式碳纤维复合材料制作，瓶体内层缠绕环形标识，每只气瓶有清晰的永久性标记，标记植入树脂层内，标记项目包含：气瓶编号、气瓶公称容积（L）、气瓶公称重量（kg）、气瓶充装截止名称或代号、气瓶公称工作压力（Mpa）、气瓶水压试验压力（Mpa）、制造单位名称或代号、气瓶制造年月、气瓶设计使用寿命、监督检验标志、产品标准、水压试验极限弹性膨胀量等信息；内胆采用高强度、经防腐处理、重量轻的铝合金材料；配套具有防火性能，气瓶保护套需按甲方要求印制表示;气瓶阀安装有限流装置，避免在气瓶阀意外断裂时因大流量的高压气体不受控制的释放而产生的气瓶冲击危险。</w:t>
            </w:r>
          </w:p>
          <w:p w14:paraId="63145BC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面罩总成：采用球形大视野面屏全面罩，面罩胶体及口鼻罩设计形状符合亚洲人脸型，贴合度及密封性良好，面罩胶体采用硅胶材质，不出现僵化、硬化现象，对皮肤不造成过敏，长久防刮擦。总视野保留率为81.2%，双目视野保留率为67.8%，下方视野&gt;35°，镜片透光率为94%，全面罩面屏纳米镀层具有本质防雾功能，保障环境温差大使用不上雾。口鼻罩采用食品级硅胶材料，头罩采用网状高性能阻燃材料制成。配备具有阻燃性能的保护套。面罩固定方式为五点固定调节式头网，完全可根据任何佩戴者头部需要自由调整，头网采用KEVLAR材质，本质阻燃耐切割，抗撕拉，配置有颈带，佩戴舒适。</w:t>
            </w:r>
          </w:p>
          <w:p w14:paraId="5DDBC6A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供气阀总成：供气阀具有紧急供气、面罩强制去雾，配备水久除雾、排放余气等功能；中压管与供气阀、供气阀与面罩为活接插方式为360°快速接插，任何角度都可以操作，支持快速插拔功能：具有自动开启装置，首次呼吸自动激活，具有自动正压机构；供气流量≥500L/min：外形为仿生学原理按照人类握拳型设计，体积小巧，使用者方便对供气阀进行抓握。供气阀接插在面罩的正下方，保证良好视野率。供气阀与中压管可以自由连接、拆卸</w:t>
            </w:r>
          </w:p>
          <w:p w14:paraId="1D7988D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★7、减压阀总成：恒压式结构设计，减压器输出压力0.66-0.79Mpa；设置安全阀，当减压器输出压力超过设定安全压力时，中压安全阀会自动泄压；</w:t>
            </w:r>
          </w:p>
          <w:p w14:paraId="3D57F47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4B74279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591B232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抬头显示HUD:压力平视显示装置（HUD）接收端安装在供气阀上，免工具拆卸，传输方式：无线。显示装置具有光感传感器，感应环境光，调节灯光亮度，保护使用者视力，也方便浓烟环境观察压力，通过压力传感器采集气瓶内的气体压力，将信号用无线发射的方式发送到安装在面罩内侧的抬头显示器上，信号具有唯一性，设计有配对按钮。压力平视显示装置采用红、黄、绿不同颜色的LED灯光分别显示压力范围方式；当气瓶压力30MPa~10 MPa时，绿灯常亮；10MPa^6 MPa时，黄灯常亮；当气瓶压力低于6MPa时，红灯闪亮；同时报警哨起鸣，安装在面罩内的接收端上的两盏伙伴灯同时红灯闪烁，同行的伙伴处于任何位置都可观察到并提示；并且接收端同时会有震动功能提示。开启气瓶自动激活，实现自动开机。关闭气瓶手动关机；无气压状态下，支持手动开机并通过对码按键进行对码连接；先进的低功耗蓝牙无线传输技术，抗干扰能力强；连续工作时间可达100小时；内嵌光感传感器，报警灯亮度根据环境亮度自动调节；低电量报警，黄灯亮起提醒及时更换电池；电源：发射端采用2节7号碱性电池。防爆等级:Exia IIC T4 Ga，防护等级： IP67；工作温度-35℃--60℃；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3C28D7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BDC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840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7A1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9C8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7A0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手抬机动泵</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DE259E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水泵材质：超轻铝合金单级单程离心泵引水方式：碳纤维旋片真空泵</w:t>
            </w:r>
          </w:p>
          <w:p w14:paraId="2C734D8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额定流量（吸深3M）：≥36T/h</w:t>
            </w:r>
          </w:p>
          <w:p w14:paraId="5876CD9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★扬程：≥8</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M</w:t>
            </w:r>
          </w:p>
          <w:p w14:paraId="794727C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额定压力（吸深3M)：≥0.55MPA</w:t>
            </w:r>
          </w:p>
          <w:p w14:paraId="161AB4C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吸水口：65MM</w:t>
            </w:r>
          </w:p>
          <w:p w14:paraId="6576F0F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★最大流量：≥5</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T/H</w:t>
            </w:r>
          </w:p>
          <w:p w14:paraId="5786FD7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出水口：65MM</w:t>
            </w:r>
          </w:p>
          <w:p w14:paraId="61382FF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发动机型式：立式、单杠、风冷、四冲程(188F）启动系统：手拉启动、电启动</w:t>
            </w:r>
          </w:p>
          <w:p w14:paraId="5223DA7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输出功率：≥8.2KW</w:t>
            </w:r>
          </w:p>
          <w:p w14:paraId="3198307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燃料材质：柴油</w:t>
            </w:r>
          </w:p>
          <w:p w14:paraId="2B43AA4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转速规格：3600RPM/MIN</w:t>
            </w:r>
          </w:p>
          <w:p w14:paraId="1D6226C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点火方式：压燃式</w:t>
            </w:r>
          </w:p>
          <w:p w14:paraId="3F58BD5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燃油容积：≥5L</w:t>
            </w:r>
          </w:p>
          <w:p w14:paraId="138A881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体积：≤610X475X610MM</w:t>
            </w:r>
          </w:p>
          <w:p w14:paraId="053E219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重量：≤85KG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2B7B73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55C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11C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2721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83C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140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通用安全绳50米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C81857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1、满足XF494-2004标准，提供国家级检测报告；</w:t>
            </w:r>
          </w:p>
          <w:p w14:paraId="31BEC0B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2、特殊螺旋均匀纺织工艺使外皮和内芯紧密的结合一体，外皮滑动率为零。</w:t>
            </w:r>
          </w:p>
          <w:p w14:paraId="3CD492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3、直径10.5mm，长度为50米，最小破裂强度≥50KN，静拉力＞4000kg。</w:t>
            </w:r>
          </w:p>
          <w:p w14:paraId="0943943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4、性能：经204℃士5℃的耐高温性能试验后，安全绳不应出现融熔、焦化现象。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A7E57C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卷</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3E9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647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bl>
    <w:p w14:paraId="0ABC8AF2">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color w:val="auto"/>
          <w:szCs w:val="21"/>
          <w:highlight w:val="none"/>
          <w:lang w:eastAsia="zh-CN"/>
        </w:rPr>
      </w:pPr>
      <w:r>
        <w:rPr>
          <w:rFonts w:hint="eastAsia" w:ascii="仿宋" w:hAnsi="仿宋" w:eastAsia="仿宋" w:cs="仿宋"/>
          <w:b/>
          <w:bCs/>
          <w:color w:val="auto"/>
          <w:szCs w:val="21"/>
          <w:highlight w:val="none"/>
          <w:lang w:val="en-US" w:eastAsia="zh-CN"/>
        </w:rPr>
        <w:t>1.2 供货要求</w:t>
      </w:r>
      <w:r>
        <w:rPr>
          <w:rFonts w:hint="eastAsia" w:ascii="仿宋" w:hAnsi="仿宋" w:eastAsia="仿宋" w:cs="仿宋"/>
          <w:color w:val="auto"/>
          <w:szCs w:val="21"/>
          <w:highlight w:val="none"/>
          <w:lang w:val="en-US" w:eastAsia="zh-CN"/>
        </w:rPr>
        <w:t xml:space="preserve"> </w:t>
      </w:r>
    </w:p>
    <w:p w14:paraId="0127EE76">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486"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（一）为确保实际使用需求，投标人中标后针对“水罐泡沫消防车”供货期间，在完成车辆上牌后，须协助使用方加装举升照明灯装备（</w:t>
      </w:r>
      <w:r>
        <w:rPr>
          <w:rFonts w:hint="eastAsia" w:ascii="仿宋" w:hAnsi="仿宋" w:eastAsia="仿宋" w:cs="仿宋"/>
          <w:color w:val="auto"/>
          <w:szCs w:val="21"/>
          <w:highlight w:val="none"/>
          <w:u w:val="none"/>
          <w:lang w:val="en-US" w:eastAsia="zh-CN"/>
        </w:rPr>
        <w:t>举升照明灯：最大离地高度：≥7m ；主灯功率：≥2×1000W ；光源类型：LED灯 灯头旋转角度：水平360°，俯仰90°</w:t>
      </w:r>
      <w:r>
        <w:rPr>
          <w:rFonts w:hint="eastAsia" w:ascii="仿宋" w:hAnsi="仿宋" w:eastAsia="仿宋" w:cs="仿宋"/>
          <w:color w:val="auto"/>
          <w:szCs w:val="21"/>
          <w:highlight w:val="none"/>
          <w:lang w:val="en-US" w:eastAsia="zh-CN"/>
        </w:rPr>
        <w:t>），上述装备安装过程中产生的设备费、安装调试费、运费、税金等一切费用均需包含在本项目总报价内。</w:t>
      </w:r>
    </w:p>
    <w:p w14:paraId="459EE37F">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486"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（二）中标人在供货期间，需按照上述清单及使用方要求，对指定装备进行RFID编码工作，中标人须按照相关标准及使用方要求配合提供产品厂家、性能、注意事项等相关信息，确保装备信息准确无误。</w:t>
      </w:r>
    </w:p>
    <w:p w14:paraId="7B5B9610">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486"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（三）中标人在供货期间须随货物携带相关产品资料，包括但不限于产品检测报告、合格证、说明书等能够佐证产品质量符合相关标准的证明资料。</w:t>
      </w:r>
    </w:p>
    <w:p w14:paraId="62029ECA">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val="en-US" w:eastAsia="zh-CN"/>
        </w:rPr>
        <w:t xml:space="preserve">1.3 项目商务要求 </w:t>
      </w:r>
    </w:p>
    <w:p w14:paraId="7043E53E">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243" w:firstLineChars="1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（一）实施（交货）时间 ：具体以甲乙双方签订合同为准。</w:t>
      </w:r>
    </w:p>
    <w:p w14:paraId="39A6D717">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243" w:firstLineChars="1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（二）实施（交货）地点 ：采购人指定地点</w:t>
      </w:r>
    </w:p>
    <w:p w14:paraId="6BCEA50B">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243" w:firstLineChars="1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（三）付款方式：具体以甲乙双方签订合同为准。</w:t>
      </w:r>
    </w:p>
    <w:p w14:paraId="026DDA6D">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243" w:firstLineChars="1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（四）质保要求：质保期为1年（验收合格之日起算），产品最终验收合格后履行规定的质保要求，在质保期内，若有设备非人为损坏，中标方负责免费维修或更换，并承担与维修和更换相关的全部费用。 </w:t>
      </w:r>
    </w:p>
    <w:p w14:paraId="0D99B044">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243" w:firstLineChars="1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（五）售后服务、质量保证及验收的承诺 </w:t>
      </w:r>
    </w:p>
    <w:p w14:paraId="5EF06F78">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243" w:firstLineChars="1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1.售后服务及要求： </w:t>
      </w:r>
    </w:p>
    <w:p w14:paraId="16C76139">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486" w:firstLineChars="200"/>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color w:val="auto"/>
          <w:szCs w:val="21"/>
          <w:highlight w:val="none"/>
          <w:lang w:val="en-US" w:eastAsia="zh-CN"/>
        </w:rPr>
        <w:t>（1）在质保期内中标方应当提供电话支持服务，中标方接到甲方保修通知后2个小时内响应，24个小时内排除故障，对于质保期内不能维修的产品或部件，中标方应在7天内免费更换备品备件，若中标方拖延，甲方可另行委托他人维修更换，费用由中标方承担。</w:t>
      </w:r>
      <w:r>
        <w:rPr>
          <w:rFonts w:hint="eastAsia" w:ascii="仿宋" w:hAnsi="仿宋" w:eastAsia="仿宋" w:cs="仿宋"/>
          <w:b w:val="0"/>
          <w:bCs w:val="0"/>
          <w:color w:val="auto"/>
          <w:sz w:val="24"/>
          <w:szCs w:val="24"/>
          <w:lang w:val="en-US" w:eastAsia="zh-CN"/>
        </w:rPr>
        <w:t xml:space="preserve">        </w:t>
      </w:r>
    </w:p>
    <w:p w14:paraId="2867A9D9">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hint="default" w:ascii="仿宋" w:hAnsi="仿宋" w:eastAsia="仿宋" w:cs="仿宋"/>
          <w:color w:val="auto"/>
          <w:szCs w:val="21"/>
          <w:highlight w:val="none"/>
          <w:lang w:val="en-US" w:eastAsia="zh-CN"/>
        </w:rPr>
      </w:pPr>
      <w:r>
        <w:rPr>
          <w:rFonts w:hint="eastAsia" w:ascii="仿宋" w:hAnsi="仿宋" w:eastAsia="仿宋" w:cs="仿宋"/>
          <w:b w:val="0"/>
          <w:bCs w:val="0"/>
          <w:color w:val="auto"/>
          <w:sz w:val="24"/>
          <w:szCs w:val="24"/>
          <w:lang w:val="en-US" w:eastAsia="zh-CN"/>
        </w:rPr>
        <w:t xml:space="preserve">（2）供应商不得将本中标项目进行转包或分包，否则，采购人有权终止合同, 由此产生的一切经济损失由中标人自行承担。 </w:t>
      </w:r>
    </w:p>
    <w:p w14:paraId="085D243D">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486"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2.产品质量保证 </w:t>
      </w:r>
    </w:p>
    <w:p w14:paraId="70F2B1D6">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486"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（1）供</w:t>
      </w:r>
      <w:r>
        <w:rPr>
          <w:rFonts w:hint="eastAsia" w:ascii="仿宋" w:hAnsi="仿宋" w:eastAsia="仿宋" w:cs="仿宋"/>
          <w:b w:val="0"/>
          <w:bCs w:val="0"/>
          <w:color w:val="auto"/>
          <w:sz w:val="24"/>
          <w:szCs w:val="24"/>
          <w:lang w:val="en-US" w:eastAsia="zh-CN"/>
        </w:rPr>
        <w:t>应商将严格控制采购、检验、生产、包装和售后服务的质量过程，严格遵循</w:t>
      </w:r>
      <w:r>
        <w:rPr>
          <w:rFonts w:hint="eastAsia" w:ascii="仿宋" w:hAnsi="仿宋" w:eastAsia="仿宋" w:cs="仿宋"/>
          <w:color w:val="auto"/>
          <w:szCs w:val="21"/>
          <w:highlight w:val="none"/>
          <w:lang w:val="en-US" w:eastAsia="zh-CN"/>
        </w:rPr>
        <w:t xml:space="preserve">企业标准和相关的行业和国家标准的要求。 </w:t>
      </w:r>
    </w:p>
    <w:p w14:paraId="4CE607A1">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486"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（2）认真与需方配合，严格按照合同要求，确保产品符合需方要求。 </w:t>
      </w:r>
    </w:p>
    <w:p w14:paraId="15E0E2EE">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486"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（3）严格控制原材料的进厂质量，保证所供产品加工工艺完善，检测手段完备，产品绝不带缺陷出厂。 </w:t>
      </w:r>
    </w:p>
    <w:p w14:paraId="0617D1EF">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486"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（4）若成交，本承诺将成为合同不可分割的部分，与合同具有同等法律效力。 </w:t>
      </w:r>
    </w:p>
    <w:p w14:paraId="0A52AE62">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486"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3.货物验收要求 </w:t>
      </w:r>
    </w:p>
    <w:p w14:paraId="03466B9B">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486"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（1）供应商应在使用单位人员在场情况下当面共同清点、检查，作出检查记录， 双方签字确认。 </w:t>
      </w:r>
    </w:p>
    <w:p w14:paraId="3C956BA8">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486"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2）质量要求:严格按照双方确认的供应货物，交货时同时提供相关产品合格证或检验报告等相关质量证明文件，若发现乙方未严格按清单供货或产品存在质量问题，甲方有权拒收产品，中标方应负责无偿调换或补齐。 </w:t>
      </w:r>
    </w:p>
    <w:p w14:paraId="163EC6AD">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486" w:firstLineChars="2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（3）验收:甲方按双方确认供应货物的数量，材料、规格等的书面材料及本合同约定内容进行验收。验收过程中若存在质量问题，中标方须按要求整改完毕。 </w:t>
      </w:r>
    </w:p>
    <w:p w14:paraId="7AD8F4C9">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243" w:firstLineChars="1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（六）知识产权 </w:t>
      </w:r>
    </w:p>
    <w:p w14:paraId="42405FD4">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243" w:firstLineChars="1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采购人在中华人民共和国境内使用投标人提供的货物及服务时免受第三方提出的侵犯其专利权或其它知识产权的起诉。如果第三方提出侵权指控，中标人应承担由此而引起的一切法律责任和费用。 </w:t>
      </w:r>
    </w:p>
    <w:p w14:paraId="12417E36">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(八）其他 </w:t>
      </w:r>
    </w:p>
    <w:p w14:paraId="5414C3CE">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486"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1、投标人必须在投标文件中对以上条款和服务承诺明确列出，承诺内容必须达到本篇及招标文件其他条款的要求。 </w:t>
      </w:r>
    </w:p>
    <w:p w14:paraId="35B3E0F1">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color w:val="auto"/>
        </w:rPr>
      </w:pPr>
      <w:r>
        <w:rPr>
          <w:rFonts w:hint="eastAsia" w:ascii="仿宋" w:hAnsi="仿宋" w:eastAsia="仿宋" w:cs="仿宋"/>
          <w:color w:val="auto"/>
          <w:szCs w:val="21"/>
          <w:highlight w:val="none"/>
          <w:lang w:val="en-US" w:eastAsia="zh-CN"/>
        </w:rPr>
        <w:t>2、其他未尽事宜由供需双方在采购合同中详细约定。</w:t>
      </w:r>
    </w:p>
    <w:p w14:paraId="28D4E5E4">
      <w:pPr>
        <w:pStyle w:val="31"/>
        <w:rPr>
          <w:rFonts w:hint="eastAsia" w:ascii="仿宋" w:hAnsi="仿宋" w:eastAsia="仿宋" w:cs="仿宋"/>
          <w:b/>
          <w:color w:val="auto"/>
          <w:sz w:val="30"/>
          <w:szCs w:val="30"/>
          <w:highlight w:val="none"/>
          <w:lang w:eastAsia="zh-CN"/>
        </w:rPr>
      </w:pPr>
    </w:p>
    <w:p w14:paraId="634F4ED7">
      <w:pPr>
        <w:pStyle w:val="31"/>
        <w:ind w:left="0" w:leftChars="0" w:firstLine="0" w:firstLineChars="0"/>
        <w:rPr>
          <w:rFonts w:hint="eastAsia" w:ascii="仿宋" w:hAnsi="仿宋" w:eastAsia="仿宋" w:cs="仿宋"/>
          <w:b/>
          <w:color w:val="auto"/>
          <w:sz w:val="30"/>
          <w:szCs w:val="30"/>
          <w:highlight w:val="none"/>
          <w:lang w:eastAsia="zh-CN"/>
        </w:rPr>
      </w:pPr>
    </w:p>
    <w:p w14:paraId="2C976E14">
      <w:pPr>
        <w:spacing w:line="480" w:lineRule="exact"/>
        <w:jc w:val="center"/>
        <w:outlineLvl w:val="1"/>
        <w:rPr>
          <w:rFonts w:hint="eastAsia" w:ascii="仿宋" w:hAnsi="仿宋" w:eastAsia="仿宋" w:cs="仿宋"/>
          <w:b/>
          <w:color w:val="auto"/>
          <w:sz w:val="30"/>
          <w:szCs w:val="30"/>
          <w:highlight w:val="none"/>
          <w:lang w:eastAsia="zh-CN"/>
        </w:rPr>
      </w:pPr>
    </w:p>
    <w:p w14:paraId="226A88F2">
      <w:pPr>
        <w:spacing w:line="480" w:lineRule="exact"/>
        <w:jc w:val="center"/>
        <w:outlineLvl w:val="1"/>
        <w:rPr>
          <w:rFonts w:hint="eastAsia" w:ascii="仿宋" w:hAnsi="仿宋" w:eastAsia="仿宋" w:cs="仿宋"/>
          <w:b/>
          <w:color w:val="auto"/>
          <w:sz w:val="30"/>
          <w:szCs w:val="30"/>
          <w:highlight w:val="none"/>
          <w:lang w:eastAsia="zh-CN"/>
        </w:rPr>
      </w:pPr>
    </w:p>
    <w:p w14:paraId="348AF4E1">
      <w:pPr>
        <w:spacing w:line="480" w:lineRule="exact"/>
        <w:jc w:val="center"/>
        <w:outlineLvl w:val="1"/>
        <w:rPr>
          <w:rFonts w:hint="eastAsia" w:ascii="仿宋" w:hAnsi="仿宋" w:eastAsia="仿宋" w:cs="仿宋"/>
          <w:b/>
          <w:color w:val="auto"/>
          <w:sz w:val="30"/>
          <w:szCs w:val="30"/>
          <w:highlight w:val="none"/>
          <w:lang w:eastAsia="zh-CN"/>
        </w:rPr>
      </w:pPr>
    </w:p>
    <w:p w14:paraId="1C4DC927">
      <w:pPr>
        <w:spacing w:line="480" w:lineRule="exact"/>
        <w:jc w:val="center"/>
        <w:outlineLvl w:val="1"/>
        <w:rPr>
          <w:rFonts w:hint="eastAsia" w:ascii="仿宋" w:hAnsi="仿宋" w:eastAsia="仿宋" w:cs="仿宋"/>
          <w:b/>
          <w:color w:val="auto"/>
          <w:sz w:val="30"/>
          <w:szCs w:val="30"/>
          <w:highlight w:val="none"/>
          <w:lang w:eastAsia="zh-CN"/>
        </w:rPr>
      </w:pPr>
    </w:p>
    <w:p w14:paraId="589CAA2B">
      <w:pPr>
        <w:spacing w:line="480" w:lineRule="exact"/>
        <w:jc w:val="center"/>
        <w:outlineLvl w:val="1"/>
        <w:rPr>
          <w:rFonts w:hint="eastAsia" w:ascii="仿宋" w:hAnsi="仿宋" w:eastAsia="仿宋" w:cs="仿宋"/>
          <w:b/>
          <w:color w:val="auto"/>
          <w:sz w:val="30"/>
          <w:szCs w:val="30"/>
          <w:highlight w:val="none"/>
          <w:lang w:eastAsia="zh-CN"/>
        </w:rPr>
      </w:pPr>
    </w:p>
    <w:p w14:paraId="57A87063">
      <w:pPr>
        <w:spacing w:line="480" w:lineRule="exact"/>
        <w:jc w:val="center"/>
        <w:outlineLvl w:val="1"/>
        <w:rPr>
          <w:rFonts w:hint="eastAsia" w:ascii="仿宋" w:hAnsi="仿宋" w:eastAsia="仿宋" w:cs="仿宋"/>
          <w:b/>
          <w:color w:val="auto"/>
          <w:sz w:val="30"/>
          <w:szCs w:val="30"/>
          <w:highlight w:val="none"/>
          <w:lang w:eastAsia="zh-CN"/>
        </w:rPr>
      </w:pPr>
    </w:p>
    <w:p w14:paraId="602FC63F">
      <w:pPr>
        <w:spacing w:line="480" w:lineRule="exact"/>
        <w:jc w:val="center"/>
        <w:outlineLvl w:val="1"/>
        <w:rPr>
          <w:rFonts w:hint="eastAsia" w:ascii="仿宋" w:hAnsi="仿宋" w:eastAsia="仿宋" w:cs="仿宋"/>
          <w:b/>
          <w:color w:val="auto"/>
          <w:sz w:val="30"/>
          <w:szCs w:val="30"/>
          <w:highlight w:val="none"/>
          <w:lang w:eastAsia="zh-CN"/>
        </w:rPr>
      </w:pPr>
    </w:p>
    <w:p w14:paraId="22E7128F">
      <w:pPr>
        <w:spacing w:line="480" w:lineRule="exact"/>
        <w:jc w:val="center"/>
        <w:outlineLvl w:val="1"/>
        <w:rPr>
          <w:rFonts w:hint="eastAsia" w:ascii="仿宋" w:hAnsi="仿宋" w:eastAsia="仿宋" w:cs="仿宋"/>
          <w:b/>
          <w:color w:val="auto"/>
          <w:sz w:val="30"/>
          <w:szCs w:val="30"/>
          <w:highlight w:val="none"/>
          <w:lang w:eastAsia="zh-CN"/>
        </w:rPr>
      </w:pPr>
    </w:p>
    <w:p w14:paraId="6A50C8CC">
      <w:pPr>
        <w:spacing w:line="480" w:lineRule="exact"/>
        <w:jc w:val="center"/>
        <w:outlineLvl w:val="1"/>
        <w:rPr>
          <w:rFonts w:hint="eastAsia" w:ascii="仿宋" w:hAnsi="仿宋" w:eastAsia="仿宋" w:cs="仿宋"/>
          <w:b/>
          <w:color w:val="auto"/>
          <w:sz w:val="30"/>
          <w:szCs w:val="30"/>
          <w:highlight w:val="none"/>
          <w:lang w:eastAsia="zh-CN"/>
        </w:rPr>
      </w:pPr>
    </w:p>
    <w:p w14:paraId="454CCF38">
      <w:pPr>
        <w:spacing w:line="480" w:lineRule="exact"/>
        <w:jc w:val="center"/>
        <w:outlineLvl w:val="1"/>
        <w:rPr>
          <w:rFonts w:hint="eastAsia" w:ascii="仿宋" w:hAnsi="仿宋" w:eastAsia="仿宋" w:cs="仿宋"/>
          <w:b/>
          <w:color w:val="auto"/>
          <w:sz w:val="30"/>
          <w:szCs w:val="30"/>
          <w:highlight w:val="none"/>
          <w:lang w:eastAsia="zh-CN"/>
        </w:rPr>
      </w:pPr>
    </w:p>
    <w:p w14:paraId="3046A891">
      <w:pPr>
        <w:spacing w:line="480" w:lineRule="exact"/>
        <w:jc w:val="center"/>
        <w:outlineLvl w:val="1"/>
        <w:rPr>
          <w:rFonts w:hint="eastAsia" w:ascii="仿宋" w:hAnsi="仿宋" w:eastAsia="仿宋" w:cs="仿宋"/>
          <w:b/>
          <w:color w:val="auto"/>
          <w:sz w:val="30"/>
          <w:szCs w:val="30"/>
          <w:highlight w:val="none"/>
          <w:lang w:eastAsia="zh-CN"/>
        </w:rPr>
      </w:pPr>
    </w:p>
    <w:p w14:paraId="7D014E55">
      <w:pPr>
        <w:spacing w:line="480" w:lineRule="exact"/>
        <w:jc w:val="center"/>
        <w:outlineLvl w:val="1"/>
        <w:rPr>
          <w:rFonts w:hint="eastAsia" w:ascii="仿宋" w:hAnsi="仿宋" w:eastAsia="仿宋" w:cs="仿宋"/>
          <w:b/>
          <w:color w:val="auto"/>
          <w:sz w:val="30"/>
          <w:szCs w:val="30"/>
          <w:highlight w:val="none"/>
          <w:lang w:eastAsia="zh-CN"/>
        </w:rPr>
      </w:pPr>
    </w:p>
    <w:p w14:paraId="5B3B18EC">
      <w:pPr>
        <w:spacing w:line="480" w:lineRule="exact"/>
        <w:jc w:val="center"/>
        <w:outlineLvl w:val="1"/>
        <w:rPr>
          <w:rFonts w:hint="eastAsia" w:ascii="仿宋" w:hAnsi="仿宋" w:eastAsia="仿宋" w:cs="仿宋"/>
          <w:b/>
          <w:color w:val="auto"/>
          <w:sz w:val="30"/>
          <w:szCs w:val="30"/>
          <w:highlight w:val="none"/>
          <w:lang w:eastAsia="zh-CN"/>
        </w:rPr>
      </w:pPr>
    </w:p>
    <w:p w14:paraId="2C3ECCCF">
      <w:pPr>
        <w:spacing w:line="480" w:lineRule="exact"/>
        <w:jc w:val="center"/>
        <w:outlineLvl w:val="1"/>
        <w:rPr>
          <w:rFonts w:hint="eastAsia" w:ascii="仿宋" w:hAnsi="仿宋" w:eastAsia="仿宋" w:cs="仿宋"/>
          <w:b/>
          <w:color w:val="auto"/>
          <w:sz w:val="30"/>
          <w:szCs w:val="30"/>
          <w:highlight w:val="none"/>
          <w:lang w:eastAsia="zh-CN"/>
        </w:rPr>
      </w:pPr>
    </w:p>
    <w:p w14:paraId="20E866EF">
      <w:pPr>
        <w:spacing w:line="480" w:lineRule="exact"/>
        <w:jc w:val="center"/>
        <w:outlineLvl w:val="1"/>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第五章 合同条款及格式</w:t>
      </w:r>
      <w:bookmarkStart w:id="49" w:name="_Toc20669"/>
    </w:p>
    <w:p w14:paraId="2B3FE8C0">
      <w:pPr>
        <w:spacing w:line="480" w:lineRule="exact"/>
        <w:jc w:val="center"/>
        <w:outlineLvl w:val="1"/>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bookmarkEnd w:id="49"/>
    </w:p>
    <w:p w14:paraId="4450A6F3">
      <w:pPr>
        <w:keepNext w:val="0"/>
        <w:keepLines w:val="0"/>
        <w:pageBreakBefore w:val="0"/>
        <w:widowControl/>
        <w:numPr>
          <w:ilvl w:val="0"/>
          <w:numId w:val="8"/>
        </w:numPr>
        <w:kinsoku/>
        <w:wordWrap/>
        <w:overflowPunct/>
        <w:topLinePunct w:val="0"/>
        <w:autoSpaceDE/>
        <w:autoSpaceDN/>
        <w:bidi w:val="0"/>
        <w:adjustRightInd/>
        <w:snapToGrid/>
        <w:spacing w:line="440" w:lineRule="exact"/>
        <w:jc w:val="center"/>
        <w:textAlignment w:val="baseline"/>
        <w:outlineLvl w:val="1"/>
        <w:rPr>
          <w:rFonts w:ascii="宋体"/>
          <w:color w:val="auto"/>
          <w:highlight w:val="none"/>
        </w:rPr>
      </w:pPr>
      <w:r>
        <w:rPr>
          <w:rFonts w:hint="eastAsia" w:ascii="仿宋" w:hAnsi="仿宋" w:eastAsia="仿宋" w:cs="仿宋"/>
          <w:b/>
          <w:color w:val="auto"/>
          <w:sz w:val="30"/>
          <w:szCs w:val="30"/>
          <w:highlight w:val="none"/>
          <w:lang w:eastAsia="zh-CN"/>
        </w:rPr>
        <w:t xml:space="preserve"> </w:t>
      </w:r>
      <w:bookmarkStart w:id="50" w:name="_Toc469495741"/>
      <w:r>
        <w:rPr>
          <w:rFonts w:hint="eastAsia" w:ascii="仿宋" w:hAnsi="仿宋" w:eastAsia="仿宋" w:cs="仿宋"/>
          <w:b/>
          <w:color w:val="auto"/>
          <w:sz w:val="30"/>
          <w:szCs w:val="30"/>
          <w:highlight w:val="none"/>
        </w:rPr>
        <w:t>合同协议书</w:t>
      </w:r>
      <w:bookmarkEnd w:id="50"/>
      <w:r>
        <w:rPr>
          <w:rFonts w:hint="eastAsia" w:ascii="仿宋" w:hAnsi="仿宋" w:eastAsia="仿宋" w:cs="仿宋"/>
          <w:b/>
          <w:color w:val="auto"/>
          <w:sz w:val="30"/>
          <w:szCs w:val="30"/>
          <w:highlight w:val="none"/>
          <w:lang w:eastAsia="zh-CN"/>
        </w:rPr>
        <w:t xml:space="preserve">      </w:t>
      </w:r>
      <w:r>
        <w:rPr>
          <w:rFonts w:hint="eastAsia" w:ascii="仿宋" w:hAnsi="仿宋" w:eastAsia="仿宋" w:cs="仿宋"/>
          <w:b/>
          <w:color w:val="auto"/>
          <w:sz w:val="32"/>
          <w:szCs w:val="32"/>
          <w:highlight w:val="none"/>
        </w:rPr>
        <w:t>合同名称</w:t>
      </w:r>
      <w:r>
        <w:rPr>
          <w:rFonts w:hint="eastAsia" w:ascii="仿宋" w:hAnsi="仿宋" w:eastAsia="仿宋" w:cs="仿宋"/>
          <w:b/>
          <w:color w:val="auto"/>
          <w:highlight w:val="none"/>
        </w:rPr>
        <w:t xml:space="preserve"> </w:t>
      </w:r>
      <w:r>
        <w:rPr>
          <w:rFonts w:hint="eastAsia" w:ascii="宋体"/>
          <w:b/>
          <w:color w:val="auto"/>
          <w:highlight w:val="none"/>
        </w:rPr>
        <w:t xml:space="preserve"> </w:t>
      </w:r>
    </w:p>
    <w:p w14:paraId="7F0883A7">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1"/>
        <w:rPr>
          <w:rFonts w:ascii="仿宋" w:hAnsi="仿宋" w:eastAsia="仿宋" w:cs="仿宋"/>
          <w:color w:val="auto"/>
          <w:highlight w:val="none"/>
        </w:rPr>
      </w:pPr>
      <w:r>
        <w:rPr>
          <w:rFonts w:hint="eastAsia" w:ascii="仿宋" w:hAnsi="仿宋" w:eastAsia="仿宋" w:cs="仿宋"/>
          <w:color w:val="auto"/>
          <w:highlight w:val="none"/>
        </w:rPr>
        <w:t>编号</w:t>
      </w:r>
    </w:p>
    <w:p w14:paraId="7D8A2DB1">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r>
        <w:rPr>
          <w:rFonts w:hint="eastAsia" w:ascii="仿宋" w:hAnsi="仿宋" w:eastAsia="仿宋" w:cs="仿宋"/>
          <w:color w:val="auto"/>
          <w:highlight w:val="none"/>
        </w:rPr>
        <w:t>买    方：                                   卖    方：</w:t>
      </w:r>
    </w:p>
    <w:p w14:paraId="72661465">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r>
        <w:rPr>
          <w:rFonts w:hint="eastAsia" w:ascii="仿宋" w:hAnsi="仿宋" w:eastAsia="仿宋" w:cs="仿宋"/>
          <w:color w:val="auto"/>
          <w:highlight w:val="none"/>
        </w:rPr>
        <w:t>电    话：                                   电    话：</w:t>
      </w:r>
    </w:p>
    <w:p w14:paraId="7E795DF9">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r>
        <w:rPr>
          <w:rFonts w:hint="eastAsia" w:ascii="仿宋" w:hAnsi="仿宋" w:eastAsia="仿宋" w:cs="仿宋"/>
          <w:color w:val="auto"/>
          <w:highlight w:val="none"/>
        </w:rPr>
        <w:t xml:space="preserve">住    所：                                   住    所：                       </w:t>
      </w:r>
    </w:p>
    <w:p w14:paraId="3E399287">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（买方）</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中所需</w:t>
      </w:r>
      <w:r>
        <w:rPr>
          <w:rFonts w:hint="eastAsia" w:ascii="仿宋" w:hAnsi="仿宋" w:eastAsia="仿宋" w:cs="仿宋"/>
          <w:color w:val="auto"/>
          <w:highlight w:val="none"/>
          <w:u w:val="single"/>
          <w:lang w:eastAsia="zh-CN"/>
        </w:rPr>
        <w:t>（产品名称）</w:t>
      </w:r>
      <w:r>
        <w:rPr>
          <w:rFonts w:hint="eastAsia" w:ascii="仿宋" w:hAnsi="仿宋" w:eastAsia="仿宋" w:cs="仿宋"/>
          <w:color w:val="auto"/>
          <w:highlight w:val="none"/>
          <w:lang w:eastAsia="zh-CN"/>
        </w:rPr>
        <w:t xml:space="preserve"> 经公开招标，确定</w:t>
      </w:r>
      <w:r>
        <w:rPr>
          <w:rFonts w:hint="eastAsia" w:ascii="仿宋" w:hAnsi="仿宋" w:eastAsia="仿宋" w:cs="仿宋"/>
          <w:color w:val="auto"/>
          <w:highlight w:val="none"/>
          <w:u w:val="single"/>
          <w:lang w:eastAsia="zh-CN"/>
        </w:rPr>
        <w:t>（卖方）</w:t>
      </w:r>
      <w:r>
        <w:rPr>
          <w:rFonts w:hint="eastAsia" w:ascii="仿宋" w:hAnsi="仿宋" w:eastAsia="仿宋" w:cs="仿宋"/>
          <w:color w:val="auto"/>
          <w:highlight w:val="none"/>
          <w:lang w:eastAsia="zh-CN"/>
        </w:rPr>
        <w:t>为中标人。按照《中华人民共和国民法典》的规定，买卖双方同意按照下述的条款和条件，签署本合同。</w:t>
      </w:r>
    </w:p>
    <w:p w14:paraId="684DBB9F">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1、本合同文件</w:t>
      </w:r>
    </w:p>
    <w:p w14:paraId="7649B1D3">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下列每一文件均应作为合同的组成部分进行阅读和解释：</w:t>
      </w:r>
    </w:p>
    <w:p w14:paraId="06ACE1D9">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（1）采购文件（2）投标文件（3）中标通知书</w:t>
      </w:r>
    </w:p>
    <w:p w14:paraId="2412E0D8">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（4）经双方确认进入合同的其它文件、补充条款或说明</w:t>
      </w:r>
    </w:p>
    <w:p w14:paraId="41860D68">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2、采购标的、数量、质量要求</w:t>
      </w:r>
    </w:p>
    <w:p w14:paraId="0B00AC00">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3、合同总价</w:t>
      </w:r>
    </w:p>
    <w:p w14:paraId="6D6F0ADF">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合同总价为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元人民币。</w:t>
      </w:r>
    </w:p>
    <w:p w14:paraId="2CD8CB09">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val="0"/>
          <w:bCs w:val="0"/>
          <w:color w:val="auto"/>
          <w:highlight w:val="none"/>
          <w:lang w:eastAsia="zh-CN"/>
        </w:rPr>
      </w:pPr>
      <w:r>
        <w:rPr>
          <w:rFonts w:hint="eastAsia" w:ascii="仿宋" w:hAnsi="仿宋" w:eastAsia="仿宋" w:cs="仿宋"/>
          <w:color w:val="auto"/>
          <w:highlight w:val="none"/>
          <w:lang w:eastAsia="zh-CN"/>
        </w:rPr>
        <w:t>4、付款方式</w:t>
      </w:r>
      <w:r>
        <w:rPr>
          <w:rFonts w:hint="eastAsia" w:ascii="仿宋" w:hAnsi="仿宋" w:eastAsia="仿宋" w:cs="仿宋"/>
          <w:b/>
          <w:bCs/>
          <w:color w:val="auto"/>
          <w:highlight w:val="none"/>
          <w:lang w:eastAsia="zh-CN"/>
        </w:rPr>
        <w:t>：</w:t>
      </w:r>
    </w:p>
    <w:p w14:paraId="374E25CD">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5、合同供货（服务）期限及地点和方式</w:t>
      </w:r>
    </w:p>
    <w:p w14:paraId="7C23481B">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6、验收要求及违约责任</w:t>
      </w:r>
    </w:p>
    <w:p w14:paraId="7B37D4E7">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7、违约责任及解决争议方法</w:t>
      </w:r>
    </w:p>
    <w:p w14:paraId="510A51CB">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8、合同的生效</w:t>
      </w:r>
    </w:p>
    <w:p w14:paraId="13360C9B">
      <w:pPr>
        <w:pStyle w:val="11"/>
        <w:spacing w:after="0" w:line="42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合同经双方授权代表签署，买卖双方加盖印章之后生效。</w:t>
      </w:r>
    </w:p>
    <w:p w14:paraId="3B2EA5E4">
      <w:pPr>
        <w:pStyle w:val="11"/>
        <w:spacing w:after="0" w:line="42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本合同一式     份，双方各执     份。</w:t>
      </w:r>
    </w:p>
    <w:p w14:paraId="6FE77E74">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买  方：                            卖  方：</w:t>
      </w:r>
    </w:p>
    <w:p w14:paraId="2C226887">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名  称：（盖章）                    名  称：（盖章）</w:t>
      </w:r>
    </w:p>
    <w:p w14:paraId="3DAAD313">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法定代表人（或委托代理人签章）：    法定代表人（或委托代理人签章）：</w:t>
      </w:r>
    </w:p>
    <w:p w14:paraId="6303DD47">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地    址：                          地    址：</w:t>
      </w:r>
    </w:p>
    <w:p w14:paraId="167FEAE2">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邮政编码：                          邮政编码：</w:t>
      </w:r>
    </w:p>
    <w:p w14:paraId="4A16CDDA">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电    话：                          电    话：</w:t>
      </w:r>
    </w:p>
    <w:p w14:paraId="0367AC24">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开户银行：                          开户银行：</w:t>
      </w:r>
    </w:p>
    <w:p w14:paraId="664D44B5">
      <w:pPr>
        <w:pStyle w:val="11"/>
        <w:spacing w:after="0" w:line="360" w:lineRule="exact"/>
        <w:ind w:left="0" w:leftChars="0" w:firstLine="486" w:firstLineChars="200"/>
        <w:rPr>
          <w:rFonts w:hint="default" w:eastAsia="浠垮畫" w:cs="浠垮畫" w:asciiTheme="minorAscii" w:hAnsiTheme="minorAscii"/>
          <w:b/>
          <w:bCs/>
          <w:color w:val="000000"/>
          <w:kern w:val="0"/>
          <w:sz w:val="30"/>
          <w:szCs w:val="30"/>
          <w:lang w:val="en-US" w:eastAsia="zh-CN" w:bidi="ar"/>
        </w:rPr>
      </w:pPr>
      <w:r>
        <w:rPr>
          <w:rFonts w:hint="eastAsia" w:ascii="仿宋" w:hAnsi="仿宋" w:eastAsia="仿宋" w:cs="仿宋"/>
          <w:color w:val="auto"/>
          <w:highlight w:val="none"/>
          <w:u w:color="000000"/>
          <w:lang w:eastAsia="zh-CN"/>
        </w:rPr>
        <w:t>帐    号：                          帐    号：</w:t>
      </w:r>
    </w:p>
    <w:p w14:paraId="13497BAE">
      <w:pPr>
        <w:pStyle w:val="11"/>
        <w:spacing w:after="0" w:line="420" w:lineRule="exact"/>
        <w:ind w:left="0" w:leftChars="0" w:firstLine="606" w:firstLineChars="200"/>
        <w:jc w:val="center"/>
        <w:rPr>
          <w:rFonts w:hint="eastAsia" w:ascii="仿宋" w:hAnsi="仿宋" w:eastAsia="仿宋" w:cs="仿宋"/>
          <w:b/>
          <w:color w:val="auto"/>
          <w:sz w:val="30"/>
          <w:szCs w:val="30"/>
          <w:highlight w:val="none"/>
          <w:lang w:eastAsia="zh-CN"/>
        </w:rPr>
      </w:pPr>
    </w:p>
    <w:p w14:paraId="65F836D2">
      <w:pPr>
        <w:pStyle w:val="11"/>
        <w:spacing w:after="0" w:line="420" w:lineRule="exact"/>
        <w:ind w:left="0" w:leftChars="0" w:firstLine="606" w:firstLineChars="200"/>
        <w:jc w:val="center"/>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二  合同条款</w:t>
      </w:r>
    </w:p>
    <w:p w14:paraId="5C28C7FE">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一.合同文件</w:t>
      </w:r>
    </w:p>
    <w:p w14:paraId="62F77227">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1、合同文件适用法律</w:t>
      </w:r>
    </w:p>
    <w:p w14:paraId="540F409D">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适用于合同文件的法律是中华人民共和国现行法律、法规及招标人所在地的地方性法规。</w:t>
      </w:r>
    </w:p>
    <w:p w14:paraId="515CB7A6">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2、合同文件组成和解释顺序</w:t>
      </w:r>
    </w:p>
    <w:p w14:paraId="5E746E71">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(1)合同文件的组成和解释顺序如下：</w:t>
      </w:r>
    </w:p>
    <w:p w14:paraId="19DF95D5">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&lt;1&gt;合同的主要条款；</w:t>
      </w:r>
    </w:p>
    <w:p w14:paraId="24827E46">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&lt;2&gt;合同的一般性条款；</w:t>
      </w:r>
    </w:p>
    <w:p w14:paraId="21D207F9">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&lt;3&gt;洽商、变更等明确双方权利义务的纪要、协议；</w:t>
      </w:r>
    </w:p>
    <w:p w14:paraId="0C332713">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&lt;4&gt;中标通知书、投标文件和采购文件；</w:t>
      </w:r>
    </w:p>
    <w:p w14:paraId="02A5F043">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&lt;5&gt;有关图纸、标准、规范和其它有关技术资料、技术要求。</w:t>
      </w:r>
    </w:p>
    <w:p w14:paraId="2E8B4C1E">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&lt;6&gt;合同的主要条款的效力优于合同的一般性条款的效力。</w:t>
      </w:r>
    </w:p>
    <w:p w14:paraId="5161C7FE">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3、合同文件使用文字</w:t>
      </w:r>
    </w:p>
    <w:p w14:paraId="1BEE8E18">
      <w:pPr>
        <w:pStyle w:val="7"/>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(1)合同文件使用中文书写、解释和说明。</w:t>
      </w:r>
    </w:p>
    <w:p w14:paraId="720AC285">
      <w:pPr>
        <w:pStyle w:val="7"/>
        <w:overflowPunct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(2)合同文件使用技术性条款约定的为国家标准和规范；国家没有相应标准、规范时，可使用行业标准、规范。非标货物应按约定的技术性条款的标准和规范。 </w:t>
      </w:r>
    </w:p>
    <w:p w14:paraId="5128AF0E">
      <w:pPr>
        <w:spacing w:line="44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二.标的物的一般条款</w:t>
      </w:r>
    </w:p>
    <w:p w14:paraId="2A444F11">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4、完整物权</w:t>
      </w:r>
    </w:p>
    <w:p w14:paraId="4DB2FFC6">
      <w:pPr>
        <w:tabs>
          <w:tab w:val="left" w:pos="660"/>
        </w:tabs>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对于出卖的标的物，卖方应当拥有完整物权，并且卖方负有保证第三人不得向买方主张任何权利（包括知识产权）的义务。</w:t>
      </w:r>
    </w:p>
    <w:p w14:paraId="0DDE5C7F">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5、质量保证</w:t>
      </w:r>
    </w:p>
    <w:p w14:paraId="42DF2987">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69571B92">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4A39C4B4">
      <w:pPr>
        <w:pStyle w:val="7"/>
        <w:tabs>
          <w:tab w:val="left" w:pos="900"/>
        </w:tabs>
        <w:overflowPunct w:val="0"/>
        <w:spacing w:line="440" w:lineRule="exact"/>
        <w:rPr>
          <w:rFonts w:cs="宋体"/>
          <w:color w:val="auto"/>
          <w:sz w:val="21"/>
          <w:szCs w:val="21"/>
          <w:highlight w:val="none"/>
          <w:u w:color="000000"/>
          <w:lang w:eastAsia="zh-CN"/>
        </w:rPr>
      </w:pPr>
      <w:r>
        <w:rPr>
          <w:rFonts w:hint="eastAsia" w:ascii="仿宋" w:hAnsi="仿宋" w:eastAsia="仿宋" w:cs="仿宋"/>
          <w:color w:val="auto"/>
          <w:szCs w:val="24"/>
          <w:highlight w:val="none"/>
          <w:u w:color="000000"/>
          <w:lang w:eastAsia="zh-CN"/>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cs="宋体"/>
          <w:color w:val="auto"/>
          <w:sz w:val="21"/>
          <w:szCs w:val="21"/>
          <w:highlight w:val="none"/>
          <w:u w:color="000000"/>
          <w:lang w:eastAsia="zh-CN"/>
        </w:rPr>
        <w:t>外）。</w:t>
      </w:r>
    </w:p>
    <w:p w14:paraId="627C25C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6、包装</w:t>
      </w:r>
    </w:p>
    <w:p w14:paraId="75FFC43B">
      <w:pPr>
        <w:pStyle w:val="7"/>
        <w:tabs>
          <w:tab w:val="left" w:pos="900"/>
        </w:tabs>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73838935">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7、伴随服务</w:t>
      </w:r>
    </w:p>
    <w:p w14:paraId="4C8811E9">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(1)卖方除应履行按期按量交付合格标的物的义务之外，还应提供下列服务：</w:t>
      </w:r>
    </w:p>
    <w:p w14:paraId="2200D95F">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&lt;1&gt;标的物的现场安装或指导安装、启动、调试、监督（如果必须安装、调试的话）；</w:t>
      </w:r>
    </w:p>
    <w:p w14:paraId="291A4C09">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&lt;2&gt;提供标的物组装和一般维修所必须的工具；</w:t>
      </w:r>
    </w:p>
    <w:p w14:paraId="2A406A87">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&lt;3&gt;在合同规定的期限内对所提供标的物实行运行监督、维修服务的前提条件是该服务并不能免除卖方在质量保证期内所承担的义务；</w:t>
      </w:r>
    </w:p>
    <w:p w14:paraId="1939AED1">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&lt;4&gt;对买方技术人员的技术指导或培训。</w:t>
      </w:r>
    </w:p>
    <w:p w14:paraId="486E6C6A">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(2)除合同另有规定之外，伴随服务的费用均已含在合同价款中，买方不再另行进行支付。</w:t>
      </w:r>
    </w:p>
    <w:p w14:paraId="06A26393">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三.标的物的交付、检验和验收</w:t>
      </w:r>
    </w:p>
    <w:p w14:paraId="41D56735">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8、标的物的交付</w:t>
      </w:r>
    </w:p>
    <w:p w14:paraId="0CEF0E13">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(1)标的物的所有权自标的物交付时转移。</w:t>
      </w:r>
    </w:p>
    <w:p w14:paraId="3CF9A4B1">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(2)卖方应当按照约定的期限和约定的地点交付符合采购文件要求的标的物。</w:t>
      </w:r>
    </w:p>
    <w:p w14:paraId="5A2C74F6">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(3)卖方应当按照约定或者交易习惯向招标人交付提取标的物单证以外的有关单证和资料。</w:t>
      </w:r>
    </w:p>
    <w:p w14:paraId="64A63179">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9、检验和验收</w:t>
      </w:r>
    </w:p>
    <w:p w14:paraId="4818570F">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486C2341">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(2)买方根据合同规定的内容和验收标准进行验收，经检验无误后出具验收合格证明，该证明作为最终付款所需文件的组成部分。</w:t>
      </w:r>
    </w:p>
    <w:p w14:paraId="78AA031A">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(3)验收期限自标的物交付之日起三十天内。特殊情况需延长的，双方应在合同条款中约定。</w:t>
      </w:r>
    </w:p>
    <w:p w14:paraId="2DA4258C">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四.对标的物提出异议的时间和办法</w:t>
      </w:r>
    </w:p>
    <w:p w14:paraId="466ABC5F">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10、对标的物提出异议的时间和办法 </w:t>
      </w:r>
    </w:p>
    <w:p w14:paraId="533D2DBC">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(1)买方在验收过程中，应当于双方约定的检验期间内将标的物的数量或质量不符合约定的情形及处理方式以书面形式通知卖方。</w:t>
      </w:r>
    </w:p>
    <w:p w14:paraId="25D77931">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(2)如买方在验收期满后既不出具验收合格证明又未提出书面异议的视为卖方所交标的物符合合同规定。</w:t>
      </w:r>
    </w:p>
    <w:p w14:paraId="2EC5D3C7">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(3)卖方应在收到买方书面异议后七天内负责处理问题，否则将视为默认买方提出的异议和处理意见。</w:t>
      </w:r>
    </w:p>
    <w:p w14:paraId="2C082646">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五.合同价款和支付</w:t>
      </w:r>
    </w:p>
    <w:p w14:paraId="70193656">
      <w:pPr>
        <w:spacing w:line="440" w:lineRule="exact"/>
        <w:rPr>
          <w:rFonts w:ascii="仿宋" w:hAnsi="仿宋" w:eastAsia="仿宋" w:cs="仿宋"/>
          <w:color w:val="auto"/>
          <w:highlight w:val="none"/>
        </w:rPr>
      </w:pPr>
      <w:r>
        <w:rPr>
          <w:rFonts w:hint="eastAsia" w:ascii="仿宋" w:hAnsi="仿宋" w:eastAsia="仿宋" w:cs="仿宋"/>
          <w:color w:val="auto"/>
          <w:highlight w:val="none"/>
        </w:rPr>
        <w:t>11、合同价款和支付</w:t>
      </w:r>
    </w:p>
    <w:p w14:paraId="6507699B">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(1)本合同的结算货币为人民币，单位元。</w:t>
      </w:r>
    </w:p>
    <w:p w14:paraId="19139E48">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(2)卖方应按照双方签订的合同规定交货并在合同主要条款规定的期限内持下列单据结算货款：</w:t>
      </w:r>
    </w:p>
    <w:p w14:paraId="7C691E3A">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&lt;1&gt;合格的销售发票；</w:t>
      </w:r>
    </w:p>
    <w:p w14:paraId="22DC70FE">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&lt;2&gt;买方盖章签收后的送货回单和验收合格证明。</w:t>
      </w:r>
    </w:p>
    <w:p w14:paraId="1E9D789B">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(3)买方应按合同主要条款规定的期限和方式付款。</w:t>
      </w:r>
    </w:p>
    <w:p w14:paraId="08989778">
      <w:pPr>
        <w:pStyle w:val="7"/>
        <w:tabs>
          <w:tab w:val="left" w:pos="54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(4)根据现行税法对买方征收的与本合同有关的一切税费均由买方承担；根据现行税法对卖方征收的与本合同有关的一切税费均由卖方承担。</w:t>
      </w:r>
    </w:p>
    <w:p w14:paraId="3CF3EC71">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六.违约责任</w:t>
      </w:r>
    </w:p>
    <w:p w14:paraId="39DDFD94">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12、违约责任</w:t>
      </w:r>
    </w:p>
    <w:p w14:paraId="148F9CA9">
      <w:pPr>
        <w:pStyle w:val="7"/>
        <w:spacing w:line="440" w:lineRule="exact"/>
        <w:ind w:firstLine="486" w:firstLineChars="20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合同一方不履行合同义务或者履行合同义务不符合约定的，应当承担继续履行、采取补救措施或者赔偿损失等违约责任。</w:t>
      </w:r>
    </w:p>
    <w:p w14:paraId="7ADE51A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13、买方违约责任</w:t>
      </w:r>
    </w:p>
    <w:p w14:paraId="7640E9A4">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(1)在合同生效后，买方要求退货的，应向卖方偿付合同总价款的5%，作为违约金，违约金不足以补偿损失的，卖方有权要求甲方补足。</w:t>
      </w:r>
    </w:p>
    <w:p w14:paraId="78232A3C">
      <w:pPr>
        <w:pStyle w:val="7"/>
        <w:overflowPunct w:val="0"/>
        <w:spacing w:line="440" w:lineRule="exact"/>
        <w:ind w:right="-386"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(2)买方逾期付款的应按照逾期付款金额的每天万分之四支付逾期付款违约金。</w:t>
      </w:r>
    </w:p>
    <w:p w14:paraId="3B161972">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(3)买方违反合同规定，拒绝接收卖方交付的符合采购文件要求的合格标的物，应当承担卖方由此造成的损失。</w:t>
      </w:r>
    </w:p>
    <w:p w14:paraId="68B287B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14、卖方违约责任</w:t>
      </w:r>
    </w:p>
    <w:p w14:paraId="7BD38F58">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(1)卖方不能交货（逾期超过五天视为不能交货），或交货不合格从而影响买方按期正常使用的，应向买方偿付合同总价款5%的违约金，违约金不足以补偿损失的，买方有权要求卖方补足。</w:t>
      </w:r>
    </w:p>
    <w:p w14:paraId="79BF2588">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14:paraId="6FF58A70">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15、不可抗力</w:t>
      </w:r>
    </w:p>
    <w:p w14:paraId="01D188B2">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(1)因水灾、火灾、地震、战争等不可抗力不能履行合同的，根据不可抗力的影响，部分或者全部免除责任。但合同一方迟延履行后发生不可抗力的，不能免除责任。</w:t>
      </w:r>
    </w:p>
    <w:p w14:paraId="064AAF35">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(2)合同一方因不可抗力不能履行合同的，应当及时通知对方，以减轻可能给对方造成的损失，并应当在合理期限内提供证明。</w:t>
      </w:r>
    </w:p>
    <w:p w14:paraId="419EAA4D">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七.索赔</w:t>
      </w:r>
    </w:p>
    <w:p w14:paraId="72773CC7">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16、索赔</w:t>
      </w:r>
    </w:p>
    <w:p w14:paraId="46DB2EF4">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(1)买方有权根据当地产品质量检验机构或其它有权威部门出具的检验证书向卖方提出索赔。</w:t>
      </w:r>
    </w:p>
    <w:p w14:paraId="09B4B661">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(2)在本合同规定的检验期和质量保证期内，如果卖方对买方提出的索赔或差异有责任，则卖方应按买方同意的下列一种或多种方式解决索赔事宜：</w:t>
      </w:r>
    </w:p>
    <w:p w14:paraId="27AAA235">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14:paraId="07C15E79">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&lt;2&gt;根据标的物的低劣程度、损坏程度以及甲方遭受损失的数额，经双方协商确定降低标的物的价格；</w:t>
      </w:r>
    </w:p>
    <w:p w14:paraId="0FCA799C">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40BECC7C">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0D755716">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(4)买方提出索赔的书面材料应报当地政府采购管理部门备案。卖方同意的索赔方案应报当地政府采购管理部门审核。</w:t>
      </w:r>
    </w:p>
    <w:p w14:paraId="475A09BB">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八.履约保证金</w:t>
      </w:r>
    </w:p>
    <w:p w14:paraId="5EE7506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17、履约保证金</w:t>
      </w:r>
    </w:p>
    <w:p w14:paraId="5C171BD6">
      <w:pPr>
        <w:pStyle w:val="7"/>
        <w:overflowPunct w:val="0"/>
        <w:spacing w:line="440" w:lineRule="exact"/>
        <w:ind w:firstLine="607" w:firstLineChars="25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(1)卖方应在本合同签订时，按采购文件的约定提供相应的履约保证金，保证金的有效期应不低于合同有效期。</w:t>
      </w:r>
    </w:p>
    <w:p w14:paraId="68573130">
      <w:pPr>
        <w:pStyle w:val="7"/>
        <w:overflowPunct w:val="0"/>
        <w:spacing w:line="440" w:lineRule="exact"/>
        <w:ind w:right="-386"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(2)如果卖方未能履行合同规定的任何义务，买方有权从履约保证金中取得补偿。</w:t>
      </w:r>
    </w:p>
    <w:p w14:paraId="6CD218F6">
      <w:pPr>
        <w:pStyle w:val="7"/>
        <w:overflowPunct w:val="0"/>
        <w:spacing w:line="440" w:lineRule="exact"/>
        <w:ind w:right="-1010" w:rightChars="-416"/>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(3)履约保证金（无息）将在卖方履行完合同义务，买方支付合同价款的五天内</w:t>
      </w:r>
    </w:p>
    <w:p w14:paraId="462B1352">
      <w:pPr>
        <w:pStyle w:val="7"/>
        <w:overflowPunct w:val="0"/>
        <w:spacing w:line="440" w:lineRule="exact"/>
        <w:ind w:right="-1010" w:rightChars="-416" w:firstLine="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退回。</w:t>
      </w:r>
    </w:p>
    <w:p w14:paraId="757644C3">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九.合同的解除和转让</w:t>
      </w:r>
    </w:p>
    <w:p w14:paraId="326BC991">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18、合同的解除</w:t>
      </w:r>
    </w:p>
    <w:p w14:paraId="307A597C">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(1)买方和卖方协商一致，可以解除合同。</w:t>
      </w:r>
    </w:p>
    <w:p w14:paraId="1774C874">
      <w:pPr>
        <w:pStyle w:val="7"/>
        <w:spacing w:line="440" w:lineRule="exact"/>
        <w:rPr>
          <w:rFonts w:ascii="仿宋" w:hAnsi="仿宋" w:eastAsia="仿宋" w:cs="仿宋"/>
          <w:color w:val="auto"/>
          <w:szCs w:val="24"/>
          <w:highlight w:val="none"/>
          <w:u w:color="000000"/>
        </w:rPr>
      </w:pPr>
      <w:r>
        <w:rPr>
          <w:rFonts w:hint="eastAsia" w:ascii="仿宋" w:hAnsi="仿宋" w:eastAsia="仿宋" w:cs="仿宋"/>
          <w:color w:val="auto"/>
          <w:szCs w:val="24"/>
          <w:highlight w:val="none"/>
          <w:u w:color="000000"/>
        </w:rPr>
        <w:t>(2)有下列情形之一，合同一方可以解除合同：</w:t>
      </w:r>
    </w:p>
    <w:p w14:paraId="0A10648E">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&lt;1&gt;因不可抗力致使不能实现合同目的，未受不可抗力影响的一方有权解除合同；</w:t>
      </w:r>
    </w:p>
    <w:p w14:paraId="1539C49C">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&lt;2&gt;因合同一方违约导致合同不能履行，另一方有权解除合同。</w:t>
      </w:r>
    </w:p>
    <w:p w14:paraId="60B649A9">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(3)有权解除合同的一方，应当在违约事实或不可抗力发生之后三十天内书面通知对方以主张解除合同，合同在书面通知到达对方时解除。</w:t>
      </w:r>
    </w:p>
    <w:p w14:paraId="5A403E40">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19、合同的转让</w:t>
      </w:r>
    </w:p>
    <w:p w14:paraId="6F8A8FF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合同的部分和全部都不得转让。</w:t>
      </w:r>
    </w:p>
    <w:p w14:paraId="43520088">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十.合同的生效</w:t>
      </w:r>
    </w:p>
    <w:p w14:paraId="352B297E">
      <w:pPr>
        <w:spacing w:line="440" w:lineRule="exact"/>
        <w:rPr>
          <w:rFonts w:ascii="仿宋" w:hAnsi="仿宋" w:eastAsia="仿宋" w:cs="仿宋"/>
          <w:color w:val="auto"/>
          <w:highlight w:val="none"/>
        </w:rPr>
      </w:pPr>
      <w:r>
        <w:rPr>
          <w:rFonts w:hint="eastAsia" w:ascii="仿宋" w:hAnsi="仿宋" w:eastAsia="仿宋" w:cs="仿宋"/>
          <w:color w:val="auto"/>
          <w:highlight w:val="none"/>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合同的生效</w:t>
      </w:r>
    </w:p>
    <w:p w14:paraId="7901201D">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本合同在双方签字盖章并在招标人收到中标人提交的履约保证金后，经招标采购管理部门备案后生效。</w:t>
      </w:r>
    </w:p>
    <w:p w14:paraId="2149D30A">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十一. 争议解决</w:t>
      </w:r>
    </w:p>
    <w:p w14:paraId="3348E51E">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21、争议解决</w:t>
      </w:r>
    </w:p>
    <w:p w14:paraId="45082A98">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 xml:space="preserve"> 买卖双方因合同发生争议，进行调解，协商不成，可选择：</w:t>
      </w:r>
    </w:p>
    <w:p w14:paraId="54CA6B74">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(1)双方同时申请仲裁；</w:t>
      </w:r>
    </w:p>
    <w:p w14:paraId="1AF07843">
      <w:pPr>
        <w:pStyle w:val="7"/>
        <w:tabs>
          <w:tab w:val="left" w:pos="90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(2)向买方所在地人民法院提起诉讼。</w:t>
      </w:r>
    </w:p>
    <w:p w14:paraId="213C24BF">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十二 .附则</w:t>
      </w:r>
    </w:p>
    <w:p w14:paraId="136003B2">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22、合同份数。</w:t>
      </w:r>
    </w:p>
    <w:p w14:paraId="6AACCF6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eastAsia="zh-CN"/>
        </w:rPr>
        <w:tab/>
      </w:r>
      <w:r>
        <w:rPr>
          <w:rFonts w:hint="eastAsia" w:ascii="仿宋" w:hAnsi="仿宋" w:eastAsia="仿宋" w:cs="仿宋"/>
          <w:color w:val="auto"/>
          <w:highlight w:val="none"/>
          <w:lang w:eastAsia="zh-CN"/>
        </w:rPr>
        <w:t xml:space="preserve"> 本合同一式陆份，买卖双方各执二份，招标代理机构一份，招标采购管理部门一份。</w:t>
      </w:r>
    </w:p>
    <w:p w14:paraId="56E8D55C">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23、未尽事宜</w:t>
      </w:r>
    </w:p>
    <w:p w14:paraId="4EBCE2F0">
      <w:pPr>
        <w:spacing w:line="440" w:lineRule="exact"/>
        <w:ind w:firstLine="607" w:firstLineChars="250"/>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本合同未尽事宜应按《中华人民共和国政府采购法》、《中华人民共和国民法典》、《中华人民共和国产品质量法》之规定解释。</w:t>
      </w:r>
    </w:p>
    <w:p w14:paraId="3EF12535">
      <w:pPr>
        <w:ind w:firstLine="486" w:firstLineChars="200"/>
        <w:rPr>
          <w:rFonts w:hint="eastAsia" w:ascii="仿宋" w:hAnsi="仿宋" w:eastAsia="仿宋" w:cs="仿宋"/>
          <w:color w:val="auto"/>
          <w:highlight w:val="none"/>
          <w:lang w:eastAsia="zh-CN"/>
        </w:rPr>
      </w:pPr>
    </w:p>
    <w:p w14:paraId="41519E29">
      <w:pPr>
        <w:ind w:firstLine="486" w:firstLineChars="200"/>
        <w:rPr>
          <w:rFonts w:hint="eastAsia" w:ascii="仿宋" w:hAnsi="仿宋" w:eastAsia="仿宋" w:cs="仿宋"/>
          <w:color w:val="auto"/>
          <w:highlight w:val="none"/>
          <w:lang w:eastAsia="zh-CN"/>
        </w:rPr>
      </w:pPr>
    </w:p>
    <w:p w14:paraId="421B7038">
      <w:pPr>
        <w:ind w:firstLine="486" w:firstLineChars="200"/>
        <w:rPr>
          <w:rFonts w:hint="eastAsia" w:ascii="仿宋" w:hAnsi="仿宋" w:eastAsia="仿宋" w:cs="仿宋"/>
          <w:color w:val="auto"/>
          <w:highlight w:val="none"/>
          <w:lang w:eastAsia="zh-CN"/>
        </w:rPr>
      </w:pPr>
    </w:p>
    <w:p w14:paraId="4B0CF00B">
      <w:pPr>
        <w:ind w:firstLine="486" w:firstLineChars="200"/>
        <w:rPr>
          <w:rFonts w:hint="eastAsia" w:ascii="仿宋" w:hAnsi="仿宋" w:eastAsia="仿宋" w:cs="仿宋"/>
          <w:color w:val="auto"/>
          <w:highlight w:val="none"/>
          <w:lang w:eastAsia="zh-CN"/>
        </w:rPr>
      </w:pPr>
    </w:p>
    <w:p w14:paraId="65B1B25A">
      <w:pPr>
        <w:rPr>
          <w:rFonts w:ascii="仿宋" w:hAnsi="仿宋" w:eastAsia="仿宋" w:cs="仿宋"/>
          <w:bCs/>
          <w:color w:val="auto"/>
          <w:sz w:val="24"/>
          <w:highlight w:val="none"/>
          <w:lang w:eastAsia="zh-CN"/>
        </w:rPr>
      </w:pPr>
      <w:bookmarkStart w:id="51" w:name="_Toc515647803"/>
      <w:bookmarkStart w:id="52" w:name="_Toc18694"/>
      <w:bookmarkStart w:id="53" w:name="_Toc18974"/>
      <w:bookmarkStart w:id="54" w:name="_Toc8919"/>
    </w:p>
    <w:p w14:paraId="12F9419D">
      <w:pPr>
        <w:pStyle w:val="37"/>
        <w:keepNext/>
        <w:keepLines/>
        <w:spacing w:before="0" w:after="1160"/>
        <w:jc w:val="center"/>
        <w:rPr>
          <w:rFonts w:ascii="仿宋" w:hAnsi="仿宋" w:eastAsia="仿宋" w:cs="仿宋"/>
          <w:b/>
          <w:bCs/>
          <w:color w:val="auto"/>
          <w:highlight w:val="none"/>
        </w:rPr>
      </w:pPr>
      <w:r>
        <w:rPr>
          <w:rFonts w:hint="eastAsia" w:ascii="仿宋" w:hAnsi="仿宋" w:eastAsia="仿宋" w:cs="仿宋"/>
          <w:b/>
          <w:bCs/>
          <w:color w:val="auto"/>
          <w:highlight w:val="none"/>
        </w:rPr>
        <w:t>第</w:t>
      </w:r>
      <w:r>
        <w:rPr>
          <w:rFonts w:hint="eastAsia" w:ascii="仿宋" w:hAnsi="仿宋" w:eastAsia="仿宋" w:cs="仿宋"/>
          <w:b/>
          <w:bCs/>
          <w:color w:val="auto"/>
          <w:highlight w:val="none"/>
          <w:lang w:eastAsia="zh-CN"/>
        </w:rPr>
        <w:t>六</w:t>
      </w:r>
      <w:r>
        <w:rPr>
          <w:rFonts w:hint="eastAsia" w:ascii="仿宋" w:hAnsi="仿宋" w:eastAsia="仿宋" w:cs="仿宋"/>
          <w:b/>
          <w:bCs/>
          <w:color w:val="auto"/>
          <w:highlight w:val="none"/>
          <w:lang w:val="en-US" w:eastAsia="zh-CN"/>
        </w:rPr>
        <w:t xml:space="preserve">章  </w:t>
      </w:r>
      <w:r>
        <w:rPr>
          <w:rFonts w:hint="eastAsia" w:ascii="仿宋" w:hAnsi="仿宋" w:eastAsia="仿宋" w:cs="仿宋"/>
          <w:b/>
          <w:bCs/>
          <w:color w:val="auto"/>
          <w:highlight w:val="none"/>
        </w:rPr>
        <w:t>投标文件格式</w:t>
      </w:r>
    </w:p>
    <w:p w14:paraId="78E678F7">
      <w:pPr>
        <w:adjustRightInd w:val="0"/>
        <w:snapToGrid w:val="0"/>
        <w:spacing w:line="360" w:lineRule="auto"/>
        <w:jc w:val="center"/>
        <w:rPr>
          <w:rFonts w:ascii="仿宋" w:hAnsi="仿宋" w:eastAsia="仿宋" w:cs="仿宋"/>
          <w:b/>
          <w:caps/>
          <w:color w:val="auto"/>
          <w:highlight w:val="none"/>
          <w:lang w:eastAsia="zh-CN"/>
        </w:rPr>
      </w:pPr>
    </w:p>
    <w:p w14:paraId="046AD930">
      <w:pPr>
        <w:adjustRightInd w:val="0"/>
        <w:snapToGrid w:val="0"/>
        <w:spacing w:line="360" w:lineRule="auto"/>
        <w:jc w:val="center"/>
        <w:rPr>
          <w:rFonts w:ascii="仿宋" w:hAnsi="仿宋" w:eastAsia="仿宋" w:cs="仿宋"/>
          <w:bCs/>
          <w:color w:val="auto"/>
          <w:sz w:val="32"/>
          <w:szCs w:val="32"/>
          <w:highlight w:val="none"/>
          <w:lang w:eastAsia="zh-CN"/>
        </w:rPr>
      </w:pPr>
      <w:r>
        <w:rPr>
          <w:rFonts w:hint="eastAsia" w:ascii="仿宋" w:hAnsi="仿宋" w:eastAsia="仿宋" w:cs="仿宋"/>
          <w:b/>
          <w:caps/>
          <w:color w:val="auto"/>
          <w:sz w:val="32"/>
          <w:szCs w:val="32"/>
          <w:highlight w:val="none"/>
          <w:lang w:eastAsia="zh-CN"/>
        </w:rPr>
        <w:t>（项目名称）</w:t>
      </w:r>
    </w:p>
    <w:p w14:paraId="29BF17AF">
      <w:pPr>
        <w:adjustRightInd w:val="0"/>
        <w:snapToGrid w:val="0"/>
        <w:spacing w:line="360" w:lineRule="auto"/>
        <w:jc w:val="center"/>
        <w:rPr>
          <w:rFonts w:hint="eastAsia" w:ascii="仿宋" w:hAnsi="仿宋" w:eastAsia="仿宋" w:cs="仿宋"/>
          <w:b/>
          <w:bCs/>
          <w:color w:val="auto"/>
          <w:sz w:val="44"/>
          <w:szCs w:val="44"/>
          <w:highlight w:val="none"/>
          <w:lang w:eastAsia="zh-CN"/>
        </w:rPr>
      </w:pPr>
    </w:p>
    <w:p w14:paraId="37213C81">
      <w:pPr>
        <w:adjustRightInd w:val="0"/>
        <w:snapToGrid w:val="0"/>
        <w:spacing w:line="360" w:lineRule="auto"/>
        <w:jc w:val="center"/>
        <w:rPr>
          <w:rFonts w:ascii="仿宋" w:hAnsi="仿宋" w:eastAsia="仿宋" w:cs="仿宋"/>
          <w:bCs/>
          <w:color w:val="auto"/>
          <w:sz w:val="32"/>
          <w:szCs w:val="32"/>
          <w:highlight w:val="none"/>
          <w:lang w:eastAsia="zh-CN"/>
        </w:rPr>
      </w:pPr>
      <w:r>
        <w:rPr>
          <w:rFonts w:hint="eastAsia" w:ascii="仿宋" w:hAnsi="仿宋" w:eastAsia="仿宋" w:cs="仿宋"/>
          <w:b/>
          <w:bCs/>
          <w:color w:val="auto"/>
          <w:sz w:val="44"/>
          <w:szCs w:val="44"/>
          <w:highlight w:val="none"/>
          <w:lang w:eastAsia="zh-CN"/>
        </w:rPr>
        <w:t>投标文件</w:t>
      </w:r>
    </w:p>
    <w:p w14:paraId="50A92894">
      <w:pPr>
        <w:adjustRightInd w:val="0"/>
        <w:snapToGrid w:val="0"/>
        <w:spacing w:line="360" w:lineRule="auto"/>
        <w:jc w:val="center"/>
        <w:rPr>
          <w:rFonts w:ascii="仿宋" w:hAnsi="仿宋" w:eastAsia="仿宋" w:cs="仿宋"/>
          <w:bCs/>
          <w:color w:val="auto"/>
          <w:sz w:val="32"/>
          <w:szCs w:val="32"/>
          <w:highlight w:val="none"/>
          <w:lang w:eastAsia="zh-CN"/>
        </w:rPr>
      </w:pPr>
    </w:p>
    <w:p w14:paraId="42CF6D16">
      <w:pPr>
        <w:adjustRightInd w:val="0"/>
        <w:snapToGrid w:val="0"/>
        <w:spacing w:line="360" w:lineRule="auto"/>
        <w:jc w:val="center"/>
        <w:rPr>
          <w:rFonts w:ascii="仿宋" w:hAnsi="仿宋" w:eastAsia="仿宋" w:cs="仿宋"/>
          <w:bCs/>
          <w:color w:val="auto"/>
          <w:sz w:val="32"/>
          <w:szCs w:val="32"/>
          <w:highlight w:val="none"/>
          <w:lang w:eastAsia="zh-CN"/>
        </w:rPr>
      </w:pPr>
    </w:p>
    <w:p w14:paraId="7C43F2BC">
      <w:pPr>
        <w:adjustRightInd w:val="0"/>
        <w:snapToGrid w:val="0"/>
        <w:spacing w:line="360" w:lineRule="auto"/>
        <w:jc w:val="center"/>
        <w:rPr>
          <w:rFonts w:ascii="仿宋" w:hAnsi="仿宋" w:eastAsia="仿宋" w:cs="仿宋"/>
          <w:bCs/>
          <w:color w:val="auto"/>
          <w:sz w:val="32"/>
          <w:szCs w:val="32"/>
          <w:highlight w:val="none"/>
          <w:lang w:eastAsia="zh-CN"/>
        </w:rPr>
      </w:pPr>
    </w:p>
    <w:p w14:paraId="5CBFE2C6">
      <w:pPr>
        <w:adjustRightInd w:val="0"/>
        <w:snapToGrid w:val="0"/>
        <w:spacing w:line="360" w:lineRule="auto"/>
        <w:jc w:val="both"/>
        <w:rPr>
          <w:rFonts w:ascii="仿宋" w:hAnsi="仿宋" w:eastAsia="仿宋" w:cs="仿宋"/>
          <w:bCs/>
          <w:color w:val="auto"/>
          <w:sz w:val="32"/>
          <w:szCs w:val="32"/>
          <w:highlight w:val="none"/>
          <w:lang w:eastAsia="zh-CN"/>
        </w:rPr>
      </w:pPr>
    </w:p>
    <w:p w14:paraId="52915F68">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0"/>
          <w:kern w:val="0"/>
          <w:sz w:val="28"/>
          <w:szCs w:val="28"/>
          <w:highlight w:val="none"/>
          <w:fitText w:val="2810" w:id="1643525703"/>
          <w:lang w:eastAsia="zh-CN"/>
        </w:rPr>
        <w:t>供应商名称（公章）：</w:t>
      </w:r>
    </w:p>
    <w:p w14:paraId="25F09F25">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0"/>
          <w:w w:val="77"/>
          <w:kern w:val="0"/>
          <w:sz w:val="28"/>
          <w:szCs w:val="28"/>
          <w:highlight w:val="none"/>
          <w:fitText w:val="2810" w:id="1208245813"/>
          <w:lang w:eastAsia="zh-CN"/>
        </w:rPr>
        <w:t>法定代表人（签章或盖章）</w:t>
      </w:r>
      <w:r>
        <w:rPr>
          <w:rFonts w:hint="eastAsia" w:ascii="仿宋" w:hAnsi="仿宋" w:eastAsia="仿宋" w:cs="仿宋"/>
          <w:b/>
          <w:caps/>
          <w:color w:val="auto"/>
          <w:spacing w:val="-1"/>
          <w:w w:val="77"/>
          <w:kern w:val="0"/>
          <w:sz w:val="28"/>
          <w:szCs w:val="28"/>
          <w:highlight w:val="none"/>
          <w:fitText w:val="2810" w:id="1208245813"/>
          <w:lang w:eastAsia="zh-CN"/>
        </w:rPr>
        <w:t>：</w:t>
      </w:r>
    </w:p>
    <w:p w14:paraId="1D9E1418">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113"/>
          <w:kern w:val="0"/>
          <w:sz w:val="28"/>
          <w:szCs w:val="28"/>
          <w:highlight w:val="none"/>
          <w:fitText w:val="2810" w:id="931535269"/>
          <w:lang w:eastAsia="zh-CN"/>
        </w:rPr>
        <w:t>供应商地址</w:t>
      </w:r>
      <w:r>
        <w:rPr>
          <w:rFonts w:hint="eastAsia" w:ascii="仿宋" w:hAnsi="仿宋" w:eastAsia="仿宋" w:cs="仿宋"/>
          <w:b/>
          <w:caps/>
          <w:color w:val="auto"/>
          <w:spacing w:val="0"/>
          <w:kern w:val="0"/>
          <w:sz w:val="28"/>
          <w:szCs w:val="28"/>
          <w:highlight w:val="none"/>
          <w:fitText w:val="2810" w:id="931535269"/>
          <w:lang w:eastAsia="zh-CN"/>
        </w:rPr>
        <w:t>：</w:t>
      </w:r>
    </w:p>
    <w:p w14:paraId="27854F60">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281"/>
          <w:kern w:val="0"/>
          <w:sz w:val="28"/>
          <w:szCs w:val="28"/>
          <w:highlight w:val="none"/>
          <w:fitText w:val="2810" w:id="1118840267"/>
          <w:lang w:eastAsia="zh-CN"/>
        </w:rPr>
        <w:t>联系人</w:t>
      </w:r>
      <w:r>
        <w:rPr>
          <w:rFonts w:hint="eastAsia" w:ascii="仿宋" w:hAnsi="仿宋" w:eastAsia="仿宋" w:cs="仿宋"/>
          <w:b/>
          <w:caps/>
          <w:color w:val="auto"/>
          <w:spacing w:val="2"/>
          <w:kern w:val="0"/>
          <w:sz w:val="28"/>
          <w:szCs w:val="28"/>
          <w:highlight w:val="none"/>
          <w:fitText w:val="2810" w:id="1118840267"/>
          <w:lang w:eastAsia="zh-CN"/>
        </w:rPr>
        <w:t>：</w:t>
      </w:r>
    </w:p>
    <w:p w14:paraId="2B777494">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176"/>
          <w:kern w:val="0"/>
          <w:sz w:val="28"/>
          <w:szCs w:val="28"/>
          <w:highlight w:val="none"/>
          <w:fitText w:val="2810" w:id="908408467"/>
          <w:lang w:eastAsia="zh-CN"/>
        </w:rPr>
        <w:t>联系电话</w:t>
      </w:r>
      <w:r>
        <w:rPr>
          <w:rFonts w:hint="eastAsia" w:ascii="仿宋" w:hAnsi="仿宋" w:eastAsia="仿宋" w:cs="仿宋"/>
          <w:b/>
          <w:caps/>
          <w:color w:val="auto"/>
          <w:spacing w:val="1"/>
          <w:kern w:val="0"/>
          <w:sz w:val="28"/>
          <w:szCs w:val="28"/>
          <w:highlight w:val="none"/>
          <w:fitText w:val="2810" w:id="908408467"/>
          <w:lang w:eastAsia="zh-CN"/>
        </w:rPr>
        <w:t>：</w:t>
      </w:r>
    </w:p>
    <w:p w14:paraId="32DB019A">
      <w:pPr>
        <w:adjustRightInd w:val="0"/>
        <w:snapToGrid w:val="0"/>
        <w:spacing w:line="360" w:lineRule="auto"/>
        <w:jc w:val="center"/>
        <w:rPr>
          <w:rFonts w:ascii="仿宋" w:hAnsi="仿宋" w:eastAsia="仿宋" w:cs="仿宋"/>
          <w:b/>
          <w:caps/>
          <w:color w:val="auto"/>
          <w:sz w:val="28"/>
          <w:szCs w:val="28"/>
          <w:highlight w:val="none"/>
          <w:lang w:eastAsia="zh-CN"/>
        </w:rPr>
      </w:pPr>
    </w:p>
    <w:p w14:paraId="29DB9B01">
      <w:pPr>
        <w:adjustRightInd w:val="0"/>
        <w:snapToGrid w:val="0"/>
        <w:spacing w:line="360" w:lineRule="auto"/>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lang w:eastAsia="zh-CN"/>
        </w:rPr>
        <w:t>年</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lang w:eastAsia="zh-CN"/>
        </w:rPr>
        <w:t>月</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lang w:eastAsia="zh-CN"/>
        </w:rPr>
        <w:t>日</w:t>
      </w:r>
    </w:p>
    <w:p w14:paraId="550966C1">
      <w:pPr>
        <w:pStyle w:val="3"/>
        <w:spacing w:line="240" w:lineRule="atLeast"/>
        <w:rPr>
          <w:rFonts w:hint="eastAsia" w:ascii="仿宋" w:hAnsi="仿宋" w:eastAsia="仿宋" w:cs="仿宋"/>
          <w:bCs/>
          <w:color w:val="auto"/>
          <w:sz w:val="44"/>
          <w:szCs w:val="32"/>
          <w:highlight w:val="none"/>
          <w:lang w:eastAsia="zh-CN"/>
        </w:rPr>
      </w:pPr>
    </w:p>
    <w:p w14:paraId="679A0090">
      <w:pPr>
        <w:pStyle w:val="3"/>
        <w:spacing w:line="240" w:lineRule="atLeast"/>
        <w:rPr>
          <w:rFonts w:hint="eastAsia" w:ascii="仿宋" w:hAnsi="仿宋" w:eastAsia="仿宋" w:cs="仿宋"/>
          <w:bCs/>
          <w:color w:val="auto"/>
          <w:sz w:val="44"/>
          <w:szCs w:val="32"/>
          <w:highlight w:val="none"/>
          <w:lang w:eastAsia="zh-CN"/>
        </w:rPr>
      </w:pPr>
    </w:p>
    <w:p w14:paraId="73EDB6F8">
      <w:pPr>
        <w:pStyle w:val="3"/>
        <w:spacing w:line="240" w:lineRule="atLeast"/>
        <w:rPr>
          <w:rFonts w:hint="eastAsia" w:ascii="仿宋" w:hAnsi="仿宋" w:eastAsia="仿宋" w:cs="仿宋"/>
          <w:bCs/>
          <w:color w:val="auto"/>
          <w:sz w:val="44"/>
          <w:szCs w:val="32"/>
          <w:highlight w:val="none"/>
          <w:lang w:eastAsia="zh-CN"/>
        </w:rPr>
      </w:pPr>
    </w:p>
    <w:p w14:paraId="0AD5F069">
      <w:pPr>
        <w:pStyle w:val="3"/>
        <w:spacing w:line="240" w:lineRule="atLeast"/>
        <w:rPr>
          <w:rFonts w:hint="eastAsia" w:ascii="仿宋" w:hAnsi="仿宋" w:eastAsia="仿宋" w:cs="仿宋"/>
          <w:bCs/>
          <w:color w:val="auto"/>
          <w:sz w:val="44"/>
          <w:szCs w:val="32"/>
          <w:highlight w:val="none"/>
          <w:lang w:eastAsia="zh-CN"/>
        </w:rPr>
      </w:pPr>
    </w:p>
    <w:p w14:paraId="72F65CBD">
      <w:pPr>
        <w:pStyle w:val="3"/>
        <w:spacing w:line="240" w:lineRule="atLeast"/>
        <w:rPr>
          <w:rFonts w:hint="eastAsia" w:ascii="仿宋" w:hAnsi="仿宋" w:eastAsia="仿宋" w:cs="仿宋"/>
          <w:bCs/>
          <w:color w:val="auto"/>
          <w:sz w:val="44"/>
          <w:szCs w:val="32"/>
          <w:highlight w:val="none"/>
          <w:lang w:eastAsia="zh-CN"/>
        </w:rPr>
      </w:pPr>
    </w:p>
    <w:p w14:paraId="23576D0F">
      <w:pPr>
        <w:pStyle w:val="3"/>
        <w:spacing w:line="240" w:lineRule="atLeast"/>
        <w:rPr>
          <w:rFonts w:ascii="仿宋" w:hAnsi="仿宋" w:eastAsia="仿宋" w:cs="仿宋"/>
          <w:color w:val="auto"/>
          <w:szCs w:val="21"/>
          <w:highlight w:val="none"/>
          <w:lang w:eastAsia="zh-CN"/>
        </w:rPr>
      </w:pPr>
      <w:r>
        <w:rPr>
          <w:rFonts w:hint="eastAsia" w:ascii="仿宋" w:hAnsi="仿宋" w:eastAsia="仿宋" w:cs="仿宋"/>
          <w:bCs/>
          <w:color w:val="auto"/>
          <w:sz w:val="44"/>
          <w:szCs w:val="32"/>
          <w:highlight w:val="none"/>
          <w:lang w:eastAsia="zh-CN"/>
        </w:rPr>
        <w:t>第一部分 资格证明文件</w:t>
      </w:r>
      <w:bookmarkEnd w:id="51"/>
      <w:bookmarkEnd w:id="52"/>
      <w:bookmarkEnd w:id="53"/>
      <w:bookmarkEnd w:id="54"/>
    </w:p>
    <w:p w14:paraId="5F44384F">
      <w:pPr>
        <w:spacing w:line="240" w:lineRule="atLeast"/>
        <w:ind w:left="717" w:hanging="716" w:hangingChars="295"/>
        <w:jc w:val="center"/>
        <w:rPr>
          <w:rFonts w:ascii="仿宋" w:hAnsi="仿宋" w:eastAsia="仿宋" w:cs="仿宋"/>
          <w:color w:val="auto"/>
          <w:highlight w:val="none"/>
          <w:lang w:eastAsia="zh-CN"/>
        </w:rPr>
      </w:pPr>
    </w:p>
    <w:p w14:paraId="2856D23D">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eastAsia="zh-CN"/>
        </w:rPr>
        <w:t>1、法人或者非法人组织的营业执照等证明文件或自然人的身份证明（须加盖本单位章）;</w:t>
      </w:r>
    </w:p>
    <w:p w14:paraId="46F09FCA">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eastAsia="zh-CN"/>
        </w:rPr>
        <w:t>2、法定代表人资格证明书；</w:t>
      </w:r>
    </w:p>
    <w:p w14:paraId="2BD5D5C2">
      <w:pPr>
        <w:tabs>
          <w:tab w:val="left" w:pos="5580"/>
        </w:tabs>
        <w:spacing w:line="500" w:lineRule="atLeast"/>
        <w:ind w:left="1" w:firstLine="571" w:firstLineChars="235"/>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3、法定代表人授权委托书；</w:t>
      </w:r>
    </w:p>
    <w:p w14:paraId="46746FEB">
      <w:pPr>
        <w:tabs>
          <w:tab w:val="left" w:pos="5580"/>
        </w:tabs>
        <w:spacing w:line="500" w:lineRule="atLeast"/>
        <w:ind w:left="1" w:firstLine="571" w:firstLineChars="235"/>
        <w:rPr>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、参加政府采购活动前3年内在经营活动中没有重大违法记录的书面声明;</w:t>
      </w:r>
    </w:p>
    <w:p w14:paraId="75450427">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、投标保证金缴纳凭证或投标担保函；</w:t>
      </w:r>
    </w:p>
    <w:p w14:paraId="4C04A7D7">
      <w:pPr>
        <w:tabs>
          <w:tab w:val="left" w:pos="5580"/>
        </w:tabs>
        <w:spacing w:line="500" w:lineRule="atLeast"/>
        <w:ind w:left="1" w:firstLine="571" w:firstLineChars="235"/>
        <w:rPr>
          <w:color w:val="auto"/>
          <w:highlight w:val="none"/>
          <w:lang w:eastAsia="zh-CN"/>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、投标企业须提供投标人（被授权在职人员）近6个月内任意一个月有效的社保证明；</w:t>
      </w:r>
    </w:p>
    <w:p w14:paraId="0F2772A5">
      <w:pPr>
        <w:tabs>
          <w:tab w:val="left" w:pos="5580"/>
        </w:tabs>
        <w:spacing w:line="500" w:lineRule="atLeast"/>
        <w:ind w:left="1" w:firstLine="571" w:firstLineChars="235"/>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color w:val="auto"/>
          <w:highlight w:val="none"/>
          <w:lang w:eastAsia="zh-CN"/>
        </w:rPr>
        <w:t>；</w:t>
      </w:r>
    </w:p>
    <w:p w14:paraId="60D30200">
      <w:pPr>
        <w:keepNext w:val="0"/>
        <w:keepLines w:val="0"/>
        <w:pageBreakBefore w:val="0"/>
        <w:widowControl w:val="0"/>
        <w:tabs>
          <w:tab w:val="left" w:pos="5580"/>
        </w:tabs>
        <w:kinsoku/>
        <w:wordWrap/>
        <w:overflowPunct/>
        <w:topLinePunct w:val="0"/>
        <w:autoSpaceDE/>
        <w:autoSpaceDN/>
        <w:bidi w:val="0"/>
        <w:adjustRightInd/>
        <w:snapToGrid/>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lang w:eastAsia="zh-CN"/>
        </w:rPr>
        <w:t>供应商须知前附表要求的其他资格证明文件。</w:t>
      </w:r>
    </w:p>
    <w:p w14:paraId="65953CF3">
      <w:pPr>
        <w:pStyle w:val="10"/>
        <w:numPr>
          <w:ilvl w:val="0"/>
          <w:numId w:val="0"/>
        </w:numPr>
        <w:kinsoku w:val="0"/>
        <w:overflowPunct w:val="0"/>
        <w:spacing w:before="130" w:line="355" w:lineRule="auto"/>
        <w:ind w:left="480" w:right="7"/>
        <w:jc w:val="center"/>
        <w:rPr>
          <w:rFonts w:ascii="仿宋" w:hAnsi="仿宋" w:eastAsia="仿宋" w:cs="仿宋"/>
          <w:b/>
          <w:bCs/>
          <w:color w:val="auto"/>
          <w:sz w:val="36"/>
          <w:szCs w:val="36"/>
          <w:highlight w:val="none"/>
          <w:lang w:eastAsia="zh-CN"/>
        </w:rPr>
      </w:pPr>
    </w:p>
    <w:p w14:paraId="15E9BBAF">
      <w:pPr>
        <w:pStyle w:val="34"/>
        <w:rPr>
          <w:rFonts w:ascii="仿宋" w:hAnsi="仿宋" w:eastAsia="仿宋" w:cs="仿宋"/>
          <w:b/>
          <w:bCs/>
          <w:color w:val="auto"/>
          <w:sz w:val="36"/>
          <w:szCs w:val="36"/>
          <w:highlight w:val="none"/>
          <w:lang w:eastAsia="zh-CN"/>
        </w:rPr>
      </w:pPr>
    </w:p>
    <w:p w14:paraId="16DCF2B2">
      <w:pPr>
        <w:pStyle w:val="10"/>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bookmarkStart w:id="55" w:name="_Toc515647805"/>
      <w:bookmarkStart w:id="56" w:name="_Toc17577"/>
      <w:bookmarkStart w:id="57" w:name="_Toc4844"/>
      <w:bookmarkStart w:id="58" w:name="_Toc29899"/>
    </w:p>
    <w:p w14:paraId="56CD8472">
      <w:pPr>
        <w:rPr>
          <w:rFonts w:hint="eastAsia" w:ascii="仿宋" w:hAnsi="仿宋" w:eastAsia="仿宋" w:cs="仿宋"/>
          <w:b/>
          <w:bCs/>
          <w:color w:val="auto"/>
          <w:sz w:val="36"/>
          <w:szCs w:val="36"/>
          <w:highlight w:val="none"/>
          <w:lang w:eastAsia="zh-CN"/>
        </w:rPr>
      </w:pPr>
    </w:p>
    <w:p w14:paraId="16034D24">
      <w:pPr>
        <w:pStyle w:val="7"/>
        <w:rPr>
          <w:rFonts w:hint="eastAsia" w:ascii="仿宋" w:hAnsi="仿宋" w:eastAsia="仿宋" w:cs="仿宋"/>
          <w:b/>
          <w:bCs/>
          <w:color w:val="auto"/>
          <w:sz w:val="36"/>
          <w:szCs w:val="36"/>
          <w:highlight w:val="none"/>
          <w:lang w:eastAsia="zh-CN"/>
        </w:rPr>
      </w:pPr>
    </w:p>
    <w:p w14:paraId="307CE44B">
      <w:pPr>
        <w:pStyle w:val="8"/>
        <w:rPr>
          <w:rFonts w:hint="eastAsia" w:ascii="仿宋" w:hAnsi="仿宋" w:eastAsia="仿宋" w:cs="仿宋"/>
          <w:b/>
          <w:bCs/>
          <w:color w:val="auto"/>
          <w:sz w:val="36"/>
          <w:szCs w:val="36"/>
          <w:highlight w:val="none"/>
          <w:lang w:eastAsia="zh-CN"/>
        </w:rPr>
      </w:pPr>
    </w:p>
    <w:p w14:paraId="15591D73">
      <w:pPr>
        <w:rPr>
          <w:rFonts w:hint="eastAsia" w:ascii="仿宋" w:hAnsi="仿宋" w:eastAsia="仿宋" w:cs="仿宋"/>
          <w:b/>
          <w:bCs/>
          <w:color w:val="auto"/>
          <w:sz w:val="36"/>
          <w:szCs w:val="36"/>
          <w:highlight w:val="none"/>
          <w:lang w:eastAsia="zh-CN"/>
        </w:rPr>
      </w:pPr>
    </w:p>
    <w:p w14:paraId="5F0F2591">
      <w:pPr>
        <w:pStyle w:val="7"/>
        <w:rPr>
          <w:rFonts w:hint="eastAsia"/>
          <w:color w:val="auto"/>
          <w:highlight w:val="none"/>
          <w:lang w:eastAsia="zh-CN"/>
        </w:rPr>
      </w:pPr>
    </w:p>
    <w:p w14:paraId="407612F8">
      <w:pPr>
        <w:pStyle w:val="10"/>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p>
    <w:p w14:paraId="38447869">
      <w:pPr>
        <w:pStyle w:val="10"/>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p>
    <w:p w14:paraId="2C7EF67D">
      <w:pPr>
        <w:pStyle w:val="10"/>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p>
    <w:p w14:paraId="5E4C1D47">
      <w:pPr>
        <w:pStyle w:val="10"/>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p>
    <w:p w14:paraId="6ADCCCF8">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1、 法人或者非法人组织的营业执照等证明文件</w:t>
      </w:r>
      <w:bookmarkEnd w:id="55"/>
      <w:bookmarkStart w:id="59" w:name="_Toc515647806"/>
      <w:r>
        <w:rPr>
          <w:rFonts w:hint="eastAsia" w:ascii="仿宋" w:hAnsi="仿宋" w:eastAsia="仿宋" w:cs="仿宋"/>
          <w:b/>
          <w:bCs/>
          <w:color w:val="auto"/>
          <w:sz w:val="36"/>
          <w:szCs w:val="36"/>
          <w:highlight w:val="none"/>
          <w:lang w:eastAsia="zh-CN"/>
        </w:rPr>
        <w:t>或自然人的身份证明</w:t>
      </w:r>
      <w:bookmarkEnd w:id="56"/>
      <w:bookmarkEnd w:id="57"/>
      <w:bookmarkEnd w:id="58"/>
      <w:bookmarkEnd w:id="59"/>
    </w:p>
    <w:p w14:paraId="2C05B20C">
      <w:pPr>
        <w:pStyle w:val="13"/>
        <w:tabs>
          <w:tab w:val="left" w:pos="5580"/>
        </w:tabs>
        <w:spacing w:line="400" w:lineRule="exact"/>
        <w:ind w:left="1164" w:leftChars="257" w:hanging="540"/>
        <w:jc w:val="center"/>
        <w:rPr>
          <w:rFonts w:ascii="仿宋" w:hAnsi="仿宋" w:eastAsia="仿宋" w:cs="仿宋"/>
          <w:b/>
          <w:color w:val="auto"/>
          <w:highlight w:val="none"/>
          <w:lang w:eastAsia="zh-CN"/>
        </w:rPr>
      </w:pPr>
    </w:p>
    <w:p w14:paraId="5B6575B8">
      <w:pPr>
        <w:pStyle w:val="13"/>
        <w:tabs>
          <w:tab w:val="left" w:pos="5580"/>
        </w:tabs>
        <w:spacing w:line="400" w:lineRule="exact"/>
        <w:ind w:left="1164" w:leftChars="257" w:hanging="540"/>
        <w:rPr>
          <w:rFonts w:ascii="仿宋" w:hAnsi="仿宋" w:eastAsia="仿宋" w:cs="仿宋"/>
          <w:b/>
          <w:color w:val="auto"/>
          <w:highlight w:val="none"/>
          <w:lang w:eastAsia="zh-CN"/>
        </w:rPr>
      </w:pPr>
    </w:p>
    <w:p w14:paraId="2570FD54">
      <w:pPr>
        <w:pStyle w:val="13"/>
        <w:tabs>
          <w:tab w:val="left" w:pos="5580"/>
        </w:tabs>
        <w:spacing w:line="400" w:lineRule="exact"/>
        <w:ind w:left="1164" w:leftChars="257" w:hanging="540"/>
        <w:rPr>
          <w:rFonts w:ascii="仿宋" w:hAnsi="仿宋" w:eastAsia="仿宋" w:cs="仿宋"/>
          <w:b/>
          <w:color w:val="auto"/>
          <w:highlight w:val="none"/>
          <w:lang w:eastAsia="zh-CN"/>
        </w:rPr>
      </w:pPr>
    </w:p>
    <w:p w14:paraId="4CFD2CE1">
      <w:pPr>
        <w:pStyle w:val="13"/>
        <w:tabs>
          <w:tab w:val="left" w:pos="5580"/>
        </w:tabs>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说明：1.提供有效的营业执照等证明文件复印件，复印件上应加盖本单位章。</w:t>
      </w:r>
    </w:p>
    <w:p w14:paraId="3C110FB9">
      <w:pPr>
        <w:pStyle w:val="13"/>
        <w:tabs>
          <w:tab w:val="left" w:pos="5580"/>
        </w:tabs>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2.供应商为自然人的，应提供身份证明的复印件。</w:t>
      </w:r>
    </w:p>
    <w:p w14:paraId="713E3DD2">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4FF1D177">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41DF0B16">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1CC875C0">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45AF0A70">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4BA91DCE">
      <w:pPr>
        <w:pStyle w:val="10"/>
        <w:numPr>
          <w:ilvl w:val="0"/>
          <w:numId w:val="0"/>
        </w:numPr>
        <w:kinsoku w:val="0"/>
        <w:overflowPunct w:val="0"/>
        <w:spacing w:before="34" w:line="440" w:lineRule="exact"/>
        <w:ind w:right="126"/>
        <w:jc w:val="both"/>
        <w:rPr>
          <w:rFonts w:ascii="仿宋" w:hAnsi="仿宋" w:eastAsia="仿宋" w:cs="仿宋"/>
          <w:b/>
          <w:bCs/>
          <w:color w:val="auto"/>
          <w:sz w:val="36"/>
          <w:szCs w:val="36"/>
          <w:highlight w:val="none"/>
          <w:lang w:eastAsia="zh-CN"/>
        </w:rPr>
      </w:pPr>
    </w:p>
    <w:p w14:paraId="01BE1BDD">
      <w:pPr>
        <w:rPr>
          <w:rFonts w:ascii="仿宋" w:hAnsi="仿宋" w:eastAsia="仿宋" w:cs="仿宋"/>
          <w:b/>
          <w:bCs/>
          <w:color w:val="auto"/>
          <w:sz w:val="36"/>
          <w:szCs w:val="36"/>
          <w:highlight w:val="none"/>
          <w:lang w:eastAsia="zh-CN"/>
        </w:rPr>
      </w:pPr>
    </w:p>
    <w:p w14:paraId="3AF56DED">
      <w:pPr>
        <w:pStyle w:val="34"/>
        <w:rPr>
          <w:rFonts w:ascii="仿宋" w:hAnsi="仿宋" w:eastAsia="仿宋" w:cs="仿宋"/>
          <w:b/>
          <w:bCs/>
          <w:color w:val="auto"/>
          <w:sz w:val="36"/>
          <w:szCs w:val="36"/>
          <w:highlight w:val="none"/>
          <w:lang w:eastAsia="zh-CN"/>
        </w:rPr>
      </w:pPr>
    </w:p>
    <w:p w14:paraId="78BFAB5F">
      <w:pPr>
        <w:pStyle w:val="34"/>
        <w:rPr>
          <w:rFonts w:ascii="仿宋" w:hAnsi="仿宋" w:eastAsia="仿宋" w:cs="仿宋"/>
          <w:b/>
          <w:bCs/>
          <w:color w:val="auto"/>
          <w:sz w:val="36"/>
          <w:szCs w:val="36"/>
          <w:highlight w:val="none"/>
          <w:lang w:eastAsia="zh-CN"/>
        </w:rPr>
      </w:pPr>
    </w:p>
    <w:p w14:paraId="3831DAEC">
      <w:pPr>
        <w:pStyle w:val="34"/>
        <w:rPr>
          <w:rFonts w:ascii="仿宋" w:hAnsi="仿宋" w:eastAsia="仿宋" w:cs="仿宋"/>
          <w:b/>
          <w:bCs/>
          <w:color w:val="auto"/>
          <w:sz w:val="36"/>
          <w:szCs w:val="36"/>
          <w:highlight w:val="none"/>
          <w:lang w:eastAsia="zh-CN"/>
        </w:rPr>
      </w:pPr>
    </w:p>
    <w:p w14:paraId="22849708">
      <w:pPr>
        <w:pStyle w:val="34"/>
        <w:rPr>
          <w:rFonts w:ascii="仿宋" w:hAnsi="仿宋" w:eastAsia="仿宋" w:cs="仿宋"/>
          <w:b/>
          <w:bCs/>
          <w:color w:val="auto"/>
          <w:sz w:val="36"/>
          <w:szCs w:val="36"/>
          <w:highlight w:val="none"/>
          <w:lang w:eastAsia="zh-CN"/>
        </w:rPr>
      </w:pPr>
    </w:p>
    <w:p w14:paraId="08CD6311">
      <w:pPr>
        <w:pStyle w:val="34"/>
        <w:rPr>
          <w:rFonts w:ascii="仿宋" w:hAnsi="仿宋" w:eastAsia="仿宋" w:cs="仿宋"/>
          <w:b/>
          <w:bCs/>
          <w:color w:val="auto"/>
          <w:sz w:val="36"/>
          <w:szCs w:val="36"/>
          <w:highlight w:val="none"/>
          <w:lang w:eastAsia="zh-CN"/>
        </w:rPr>
      </w:pPr>
    </w:p>
    <w:p w14:paraId="06DF0CF9">
      <w:pPr>
        <w:pStyle w:val="34"/>
        <w:rPr>
          <w:rFonts w:ascii="仿宋" w:hAnsi="仿宋" w:eastAsia="仿宋" w:cs="仿宋"/>
          <w:b/>
          <w:bCs/>
          <w:color w:val="auto"/>
          <w:sz w:val="36"/>
          <w:szCs w:val="36"/>
          <w:highlight w:val="none"/>
          <w:lang w:eastAsia="zh-CN"/>
        </w:rPr>
      </w:pPr>
    </w:p>
    <w:p w14:paraId="432430C9">
      <w:pPr>
        <w:pStyle w:val="34"/>
        <w:rPr>
          <w:rFonts w:ascii="仿宋" w:hAnsi="仿宋" w:eastAsia="仿宋" w:cs="仿宋"/>
          <w:b/>
          <w:bCs/>
          <w:color w:val="auto"/>
          <w:sz w:val="36"/>
          <w:szCs w:val="36"/>
          <w:highlight w:val="none"/>
          <w:lang w:eastAsia="zh-CN"/>
        </w:rPr>
      </w:pPr>
    </w:p>
    <w:p w14:paraId="02D888A0">
      <w:pPr>
        <w:pStyle w:val="34"/>
        <w:rPr>
          <w:rFonts w:ascii="仿宋" w:hAnsi="仿宋" w:eastAsia="仿宋" w:cs="仿宋"/>
          <w:b/>
          <w:bCs/>
          <w:color w:val="auto"/>
          <w:sz w:val="36"/>
          <w:szCs w:val="36"/>
          <w:highlight w:val="none"/>
          <w:lang w:eastAsia="zh-CN"/>
        </w:rPr>
      </w:pPr>
    </w:p>
    <w:p w14:paraId="07857FE6">
      <w:pPr>
        <w:pStyle w:val="34"/>
        <w:rPr>
          <w:rFonts w:ascii="仿宋" w:hAnsi="仿宋" w:eastAsia="仿宋" w:cs="仿宋"/>
          <w:b/>
          <w:bCs/>
          <w:color w:val="auto"/>
          <w:sz w:val="36"/>
          <w:szCs w:val="36"/>
          <w:highlight w:val="none"/>
          <w:lang w:eastAsia="zh-CN"/>
        </w:rPr>
      </w:pPr>
    </w:p>
    <w:p w14:paraId="6C102D38">
      <w:pPr>
        <w:pStyle w:val="34"/>
        <w:rPr>
          <w:rFonts w:ascii="仿宋" w:hAnsi="仿宋" w:eastAsia="仿宋" w:cs="仿宋"/>
          <w:b/>
          <w:bCs/>
          <w:color w:val="auto"/>
          <w:sz w:val="36"/>
          <w:szCs w:val="36"/>
          <w:highlight w:val="none"/>
          <w:lang w:eastAsia="zh-CN"/>
        </w:rPr>
      </w:pPr>
    </w:p>
    <w:p w14:paraId="70BF27F1">
      <w:pPr>
        <w:pStyle w:val="34"/>
        <w:rPr>
          <w:rFonts w:ascii="仿宋" w:hAnsi="仿宋" w:eastAsia="仿宋" w:cs="仿宋"/>
          <w:b/>
          <w:bCs/>
          <w:color w:val="auto"/>
          <w:sz w:val="36"/>
          <w:szCs w:val="36"/>
          <w:highlight w:val="none"/>
          <w:lang w:eastAsia="zh-CN"/>
        </w:rPr>
      </w:pPr>
    </w:p>
    <w:p w14:paraId="343CB17C">
      <w:pPr>
        <w:pStyle w:val="34"/>
        <w:rPr>
          <w:rFonts w:ascii="仿宋" w:hAnsi="仿宋" w:eastAsia="仿宋" w:cs="仿宋"/>
          <w:b/>
          <w:bCs/>
          <w:color w:val="auto"/>
          <w:sz w:val="36"/>
          <w:szCs w:val="36"/>
          <w:highlight w:val="none"/>
          <w:lang w:eastAsia="zh-CN"/>
        </w:rPr>
      </w:pPr>
    </w:p>
    <w:p w14:paraId="707C230A">
      <w:pPr>
        <w:pStyle w:val="34"/>
        <w:rPr>
          <w:rFonts w:ascii="仿宋" w:hAnsi="仿宋" w:eastAsia="仿宋" w:cs="仿宋"/>
          <w:b/>
          <w:bCs/>
          <w:color w:val="auto"/>
          <w:sz w:val="36"/>
          <w:szCs w:val="36"/>
          <w:highlight w:val="none"/>
          <w:lang w:eastAsia="zh-CN"/>
        </w:rPr>
      </w:pPr>
    </w:p>
    <w:p w14:paraId="55672CA5">
      <w:pPr>
        <w:pStyle w:val="10"/>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p>
    <w:p w14:paraId="0100FB4A">
      <w:pPr>
        <w:pStyle w:val="10"/>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p>
    <w:p w14:paraId="570B1446">
      <w:pPr>
        <w:pStyle w:val="10"/>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p>
    <w:p w14:paraId="6AB513E3">
      <w:pPr>
        <w:pStyle w:val="10"/>
        <w:numPr>
          <w:ilvl w:val="0"/>
          <w:numId w:val="0"/>
        </w:numPr>
        <w:kinsoku w:val="0"/>
        <w:overflowPunct w:val="0"/>
        <w:spacing w:before="34" w:line="440" w:lineRule="exact"/>
        <w:ind w:left="480" w:right="126"/>
        <w:jc w:val="center"/>
        <w:rPr>
          <w:rFonts w:ascii="仿宋" w:hAnsi="仿宋" w:eastAsia="仿宋" w:cs="仿宋"/>
          <w:color w:val="auto"/>
          <w:sz w:val="36"/>
          <w:szCs w:val="36"/>
          <w:highlight w:val="none"/>
          <w:lang w:eastAsia="zh-CN"/>
        </w:rPr>
      </w:pPr>
      <w:r>
        <w:rPr>
          <w:rFonts w:hint="eastAsia" w:ascii="仿宋" w:hAnsi="仿宋" w:eastAsia="仿宋" w:cs="仿宋"/>
          <w:b/>
          <w:bCs/>
          <w:color w:val="auto"/>
          <w:sz w:val="36"/>
          <w:szCs w:val="36"/>
          <w:highlight w:val="none"/>
          <w:lang w:eastAsia="zh-CN"/>
        </w:rPr>
        <w:t>2、法定代表人身份证明</w:t>
      </w:r>
    </w:p>
    <w:p w14:paraId="5686FE82">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投标单位名称：</w:t>
      </w:r>
      <w:r>
        <w:rPr>
          <w:rFonts w:hint="eastAsia" w:ascii="仿宋" w:hAnsi="仿宋" w:eastAsia="仿宋" w:cs="仿宋"/>
          <w:color w:val="auto"/>
          <w:highlight w:val="none"/>
          <w:u w:val="single"/>
          <w:lang w:eastAsia="zh-CN"/>
        </w:rPr>
        <w:t xml:space="preserve">                       </w:t>
      </w:r>
    </w:p>
    <w:p w14:paraId="31BBBA46">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单位性质：</w:t>
      </w:r>
      <w:r>
        <w:rPr>
          <w:rFonts w:hint="eastAsia" w:ascii="仿宋" w:hAnsi="仿宋" w:eastAsia="仿宋" w:cs="仿宋"/>
          <w:color w:val="auto"/>
          <w:highlight w:val="none"/>
          <w:u w:val="single"/>
          <w:lang w:eastAsia="zh-CN"/>
        </w:rPr>
        <w:t xml:space="preserve">                           </w:t>
      </w:r>
    </w:p>
    <w:p w14:paraId="26699E9D">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p>
    <w:p w14:paraId="0F089AE7">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成立时间：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06817F5C">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经营期限：</w:t>
      </w:r>
      <w:r>
        <w:rPr>
          <w:rFonts w:hint="eastAsia" w:ascii="仿宋" w:hAnsi="仿宋" w:eastAsia="仿宋" w:cs="仿宋"/>
          <w:color w:val="auto"/>
          <w:highlight w:val="none"/>
          <w:u w:val="single"/>
          <w:lang w:eastAsia="zh-CN"/>
        </w:rPr>
        <w:t xml:space="preserve">             </w:t>
      </w:r>
    </w:p>
    <w:p w14:paraId="7AE22653">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性别：</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年龄：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17F3B78A">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身份证号码：</w:t>
      </w:r>
      <w:r>
        <w:rPr>
          <w:rFonts w:hint="eastAsia" w:ascii="仿宋" w:hAnsi="仿宋" w:eastAsia="仿宋" w:cs="仿宋"/>
          <w:color w:val="auto"/>
          <w:highlight w:val="none"/>
          <w:u w:val="single"/>
          <w:lang w:eastAsia="zh-CN"/>
        </w:rPr>
        <w:t xml:space="preserve">                                                     </w:t>
      </w:r>
    </w:p>
    <w:p w14:paraId="163EA886">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系</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（投标单位名称）的法定代表人。</w:t>
      </w:r>
    </w:p>
    <w:p w14:paraId="61D4CBCF">
      <w:pPr>
        <w:spacing w:line="420" w:lineRule="exact"/>
        <w:ind w:firstLine="972" w:firstLineChars="400"/>
        <w:rPr>
          <w:rFonts w:ascii="仿宋" w:hAnsi="仿宋" w:eastAsia="仿宋" w:cs="仿宋"/>
          <w:color w:val="auto"/>
          <w:highlight w:val="none"/>
        </w:rPr>
      </w:pPr>
      <w:r>
        <w:rPr>
          <w:rFonts w:hint="eastAsia" w:ascii="仿宋" w:hAnsi="仿宋" w:eastAsia="仿宋" w:cs="仿宋"/>
          <w:color w:val="auto"/>
          <w:highlight w:val="none"/>
        </w:rPr>
        <w:t>特此证明。</w:t>
      </w:r>
    </w:p>
    <w:p w14:paraId="4292C99A">
      <w:pPr>
        <w:pStyle w:val="10"/>
        <w:numPr>
          <w:ilvl w:val="0"/>
          <w:numId w:val="0"/>
        </w:numPr>
        <w:kinsoku w:val="0"/>
        <w:overflowPunct w:val="0"/>
        <w:rPr>
          <w:rFonts w:ascii="仿宋" w:hAnsi="仿宋" w:eastAsia="仿宋" w:cs="仿宋"/>
          <w:color w:val="auto"/>
          <w:sz w:val="20"/>
          <w:szCs w:val="20"/>
          <w:highlight w:val="none"/>
        </w:rPr>
      </w:pPr>
    </w:p>
    <w:p w14:paraId="0C843999">
      <w:pPr>
        <w:pStyle w:val="10"/>
        <w:numPr>
          <w:ilvl w:val="0"/>
          <w:numId w:val="0"/>
        </w:numPr>
        <w:kinsoku w:val="0"/>
        <w:overflowPunct w:val="0"/>
        <w:spacing w:before="7"/>
        <w:rPr>
          <w:rFonts w:ascii="仿宋" w:hAnsi="仿宋" w:eastAsia="仿宋" w:cs="仿宋"/>
          <w:color w:val="auto"/>
          <w:sz w:val="25"/>
          <w:szCs w:val="25"/>
          <w:highlight w:val="none"/>
        </w:rPr>
      </w:pPr>
      <w:r>
        <w:rPr>
          <w:color w:val="auto"/>
          <w:sz w:val="25"/>
          <w:highlight w:val="none"/>
        </w:rPr>
        <mc:AlternateContent>
          <mc:Choice Requires="wps">
            <w:drawing>
              <wp:anchor distT="0" distB="0" distL="114300" distR="114300" simplePos="0" relativeHeight="251666432" behindDoc="1" locked="0" layoutInCell="1" allowOverlap="1">
                <wp:simplePos x="0" y="0"/>
                <wp:positionH relativeFrom="column">
                  <wp:posOffset>336550</wp:posOffset>
                </wp:positionH>
                <wp:positionV relativeFrom="paragraph">
                  <wp:posOffset>17145</wp:posOffset>
                </wp:positionV>
                <wp:extent cx="4772025" cy="1403350"/>
                <wp:effectExtent l="5080" t="5080" r="0" b="20320"/>
                <wp:wrapTight wrapText="bothSides">
                  <wp:wrapPolygon>
                    <wp:start x="408" y="-68"/>
                    <wp:lineTo x="-23" y="1398"/>
                    <wp:lineTo x="-23" y="19870"/>
                    <wp:lineTo x="322" y="21336"/>
                    <wp:lineTo x="21189" y="21336"/>
                    <wp:lineTo x="21534" y="19870"/>
                    <wp:lineTo x="21534" y="1398"/>
                    <wp:lineTo x="21103" y="-68"/>
                    <wp:lineTo x="408" y="-68"/>
                  </wp:wrapPolygon>
                </wp:wrapTight>
                <wp:docPr id="5" name="自选图形 91"/>
                <wp:cNvGraphicFramePr/>
                <a:graphic xmlns:a="http://schemas.openxmlformats.org/drawingml/2006/main">
                  <a:graphicData uri="http://schemas.microsoft.com/office/word/2010/wordprocessingShape">
                    <wps:wsp>
                      <wps:cNvSpPr/>
                      <wps:spPr>
                        <a:xfrm>
                          <a:off x="0" y="0"/>
                          <a:ext cx="4772025"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71835E1">
                            <w:pPr>
                              <w:jc w:val="center"/>
                              <w:rPr>
                                <w:rFonts w:hint="eastAsia" w:ascii="仿宋" w:hAnsi="仿宋" w:eastAsia="仿宋" w:cs="仿宋"/>
                                <w:sz w:val="24"/>
                                <w:szCs w:val="24"/>
                              </w:rPr>
                            </w:pPr>
                          </w:p>
                          <w:p w14:paraId="19B679E0">
                            <w:pPr>
                              <w:jc w:val="center"/>
                              <w:rPr>
                                <w:rFonts w:hint="eastAsia" w:ascii="仿宋" w:hAnsi="仿宋" w:eastAsia="仿宋" w:cs="仿宋"/>
                                <w:sz w:val="24"/>
                                <w:szCs w:val="24"/>
                              </w:rPr>
                            </w:pPr>
                          </w:p>
                          <w:p w14:paraId="0B4720C8">
                            <w:pPr>
                              <w:jc w:val="center"/>
                              <w:rPr>
                                <w:rFonts w:hint="eastAsia" w:ascii="仿宋" w:hAnsi="仿宋" w:eastAsia="仿宋" w:cs="仿宋"/>
                                <w:sz w:val="24"/>
                                <w:szCs w:val="24"/>
                              </w:rPr>
                            </w:pPr>
                            <w:r>
                              <w:rPr>
                                <w:rFonts w:hint="eastAsia" w:ascii="仿宋" w:hAnsi="仿宋" w:eastAsia="仿宋" w:cs="仿宋"/>
                                <w:sz w:val="24"/>
                                <w:szCs w:val="24"/>
                              </w:rPr>
                              <w:t>法定代表人身份证件正</w:t>
                            </w:r>
                            <w:r>
                              <w:rPr>
                                <w:rFonts w:hint="eastAsia" w:ascii="仿宋" w:hAnsi="仿宋" w:eastAsia="仿宋" w:cs="仿宋"/>
                                <w:sz w:val="24"/>
                                <w:szCs w:val="24"/>
                                <w:lang w:eastAsia="zh-CN"/>
                              </w:rPr>
                              <w:t>反</w:t>
                            </w:r>
                            <w:r>
                              <w:rPr>
                                <w:rFonts w:hint="eastAsia" w:ascii="仿宋" w:hAnsi="仿宋" w:eastAsia="仿宋" w:cs="仿宋"/>
                                <w:sz w:val="24"/>
                                <w:szCs w:val="24"/>
                              </w:rPr>
                              <w:t>面</w:t>
                            </w:r>
                          </w:p>
                          <w:p w14:paraId="43F17C60"/>
                        </w:txbxContent>
                      </wps:txbx>
                      <wps:bodyPr upright="1"/>
                    </wps:wsp>
                  </a:graphicData>
                </a:graphic>
              </wp:anchor>
            </w:drawing>
          </mc:Choice>
          <mc:Fallback>
            <w:pict>
              <v:roundrect id="自选图形 91" o:spid="_x0000_s1026" o:spt="2" style="position:absolute;left:0pt;margin-left:26.5pt;margin-top:1.35pt;height:110.5pt;width:375.75pt;mso-wrap-distance-left:9pt;mso-wrap-distance-right:9pt;z-index:-251650048;mso-width-relative:page;mso-height-relative:page;" fillcolor="#FFFFFF" filled="t" stroked="t" coordsize="21600,21600" wrapcoords="408 -68 -23 1398 -23 19870 322 21336 21189 21336 21534 19870 21534 1398 21103 -68 408 -68" arcsize="0.166666666666667" o:gfxdata="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P7strV&#10;AAAACAEAAA8AAAAAAAAAAQAgAAAAIgAAAGRycy9kb3ducmV2LnhtbFBLAQIUABQAAAAIAIdO4kDS&#10;LvIQIwIAAFgEAAAOAAAAAAAAAAEAIAAAACQBAABkcnMvZTJvRG9jLnhtbFBLBQYAAAAABgAGAFkB&#10;AAC5BQAAAAA=&#10;">
                <v:fill on="t" focussize="0,0"/>
                <v:stroke color="#000000" joinstyle="round"/>
                <v:imagedata o:title=""/>
                <o:lock v:ext="edit" aspectratio="f"/>
                <v:textbox>
                  <w:txbxContent>
                    <w:p w14:paraId="171835E1">
                      <w:pPr>
                        <w:jc w:val="center"/>
                        <w:rPr>
                          <w:rFonts w:hint="eastAsia" w:ascii="仿宋" w:hAnsi="仿宋" w:eastAsia="仿宋" w:cs="仿宋"/>
                          <w:sz w:val="24"/>
                          <w:szCs w:val="24"/>
                        </w:rPr>
                      </w:pPr>
                    </w:p>
                    <w:p w14:paraId="19B679E0">
                      <w:pPr>
                        <w:jc w:val="center"/>
                        <w:rPr>
                          <w:rFonts w:hint="eastAsia" w:ascii="仿宋" w:hAnsi="仿宋" w:eastAsia="仿宋" w:cs="仿宋"/>
                          <w:sz w:val="24"/>
                          <w:szCs w:val="24"/>
                        </w:rPr>
                      </w:pPr>
                    </w:p>
                    <w:p w14:paraId="0B4720C8">
                      <w:pPr>
                        <w:jc w:val="center"/>
                        <w:rPr>
                          <w:rFonts w:hint="eastAsia" w:ascii="仿宋" w:hAnsi="仿宋" w:eastAsia="仿宋" w:cs="仿宋"/>
                          <w:sz w:val="24"/>
                          <w:szCs w:val="24"/>
                        </w:rPr>
                      </w:pPr>
                      <w:r>
                        <w:rPr>
                          <w:rFonts w:hint="eastAsia" w:ascii="仿宋" w:hAnsi="仿宋" w:eastAsia="仿宋" w:cs="仿宋"/>
                          <w:sz w:val="24"/>
                          <w:szCs w:val="24"/>
                        </w:rPr>
                        <w:t>法定代表人身份证件正</w:t>
                      </w:r>
                      <w:r>
                        <w:rPr>
                          <w:rFonts w:hint="eastAsia" w:ascii="仿宋" w:hAnsi="仿宋" w:eastAsia="仿宋" w:cs="仿宋"/>
                          <w:sz w:val="24"/>
                          <w:szCs w:val="24"/>
                          <w:lang w:eastAsia="zh-CN"/>
                        </w:rPr>
                        <w:t>反</w:t>
                      </w:r>
                      <w:r>
                        <w:rPr>
                          <w:rFonts w:hint="eastAsia" w:ascii="仿宋" w:hAnsi="仿宋" w:eastAsia="仿宋" w:cs="仿宋"/>
                          <w:sz w:val="24"/>
                          <w:szCs w:val="24"/>
                        </w:rPr>
                        <w:t>面</w:t>
                      </w:r>
                    </w:p>
                    <w:p w14:paraId="43F17C60"/>
                  </w:txbxContent>
                </v:textbox>
                <w10:wrap type="tight"/>
              </v:roundrect>
            </w:pict>
          </mc:Fallback>
        </mc:AlternateContent>
      </w:r>
    </w:p>
    <w:p w14:paraId="3D09D4CD">
      <w:pPr>
        <w:pStyle w:val="10"/>
        <w:numPr>
          <w:ilvl w:val="0"/>
          <w:numId w:val="0"/>
        </w:numPr>
        <w:kinsoku w:val="0"/>
        <w:overflowPunct w:val="0"/>
        <w:spacing w:line="200" w:lineRule="atLeast"/>
        <w:rPr>
          <w:rFonts w:ascii="仿宋" w:hAnsi="仿宋" w:eastAsia="仿宋" w:cs="仿宋"/>
          <w:color w:val="auto"/>
          <w:sz w:val="20"/>
          <w:szCs w:val="20"/>
          <w:highlight w:val="none"/>
        </w:rPr>
      </w:pPr>
    </w:p>
    <w:p w14:paraId="15F810D6">
      <w:pPr>
        <w:wordWrap w:val="0"/>
        <w:spacing w:line="420" w:lineRule="exact"/>
        <w:ind w:firstLine="486" w:firstLineChars="200"/>
        <w:jc w:val="right"/>
        <w:rPr>
          <w:rFonts w:ascii="仿宋" w:hAnsi="仿宋" w:eastAsia="仿宋" w:cs="仿宋"/>
          <w:color w:val="auto"/>
          <w:highlight w:val="none"/>
        </w:rPr>
      </w:pPr>
    </w:p>
    <w:p w14:paraId="72BA576A">
      <w:pPr>
        <w:pStyle w:val="10"/>
        <w:numPr>
          <w:ilvl w:val="0"/>
          <w:numId w:val="0"/>
        </w:numPr>
        <w:kinsoku w:val="0"/>
        <w:overflowPunct w:val="0"/>
        <w:spacing w:before="34" w:line="357" w:lineRule="auto"/>
        <w:ind w:right="126"/>
        <w:jc w:val="both"/>
        <w:rPr>
          <w:rFonts w:ascii="仿宋" w:hAnsi="仿宋" w:eastAsia="仿宋" w:cs="仿宋"/>
          <w:color w:val="auto"/>
          <w:highlight w:val="none"/>
          <w:lang w:eastAsia="zh-CN"/>
        </w:rPr>
      </w:pPr>
    </w:p>
    <w:p w14:paraId="57072ED3">
      <w:pPr>
        <w:pStyle w:val="10"/>
        <w:numPr>
          <w:ilvl w:val="0"/>
          <w:numId w:val="0"/>
        </w:numPr>
        <w:kinsoku w:val="0"/>
        <w:overflowPunct w:val="0"/>
        <w:spacing w:before="34" w:line="357" w:lineRule="auto"/>
        <w:ind w:right="126"/>
        <w:jc w:val="both"/>
        <w:rPr>
          <w:rFonts w:hint="eastAsia" w:ascii="仿宋" w:hAnsi="仿宋" w:eastAsia="仿宋" w:cs="仿宋"/>
          <w:color w:val="auto"/>
          <w:sz w:val="24"/>
          <w:highlight w:val="none"/>
          <w:lang w:eastAsia="zh-CN"/>
        </w:rPr>
      </w:pPr>
    </w:p>
    <w:p w14:paraId="6183BD01">
      <w:pPr>
        <w:pStyle w:val="10"/>
        <w:numPr>
          <w:ilvl w:val="0"/>
          <w:numId w:val="0"/>
        </w:numPr>
        <w:kinsoku w:val="0"/>
        <w:overflowPunct w:val="0"/>
        <w:spacing w:before="34" w:line="357" w:lineRule="auto"/>
        <w:ind w:right="126"/>
        <w:jc w:val="both"/>
        <w:rPr>
          <w:rFonts w:hint="eastAsia" w:ascii="仿宋" w:hAnsi="仿宋" w:eastAsia="仿宋" w:cs="仿宋"/>
          <w:color w:val="auto"/>
          <w:sz w:val="24"/>
          <w:highlight w:val="none"/>
          <w:lang w:eastAsia="zh-CN"/>
        </w:rPr>
      </w:pPr>
    </w:p>
    <w:p w14:paraId="625383CD">
      <w:pPr>
        <w:pStyle w:val="10"/>
        <w:numPr>
          <w:ilvl w:val="0"/>
          <w:numId w:val="0"/>
        </w:numPr>
        <w:kinsoku w:val="0"/>
        <w:overflowPunct w:val="0"/>
        <w:spacing w:before="34" w:line="357" w:lineRule="auto"/>
        <w:ind w:right="126"/>
        <w:jc w:val="both"/>
        <w:rPr>
          <w:rFonts w:hint="eastAsia" w:ascii="仿宋" w:hAnsi="仿宋" w:eastAsia="仿宋" w:cs="仿宋"/>
          <w:color w:val="auto"/>
          <w:sz w:val="24"/>
          <w:highlight w:val="none"/>
          <w:lang w:eastAsia="zh-CN"/>
        </w:rPr>
      </w:pPr>
    </w:p>
    <w:p w14:paraId="334D931A">
      <w:pPr>
        <w:rPr>
          <w:rFonts w:hint="eastAsia"/>
          <w:lang w:eastAsia="zh-CN"/>
        </w:rPr>
      </w:pPr>
    </w:p>
    <w:p w14:paraId="38736366">
      <w:pPr>
        <w:pStyle w:val="10"/>
        <w:numPr>
          <w:ilvl w:val="0"/>
          <w:numId w:val="0"/>
        </w:numPr>
        <w:kinsoku w:val="0"/>
        <w:overflowPunct w:val="0"/>
        <w:spacing w:before="34" w:line="357" w:lineRule="auto"/>
        <w:ind w:right="126" w:firstLine="486" w:firstLineChars="200"/>
        <w:jc w:val="both"/>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投标单位名称（公章）：                       </w:t>
      </w:r>
    </w:p>
    <w:p w14:paraId="6FD90431">
      <w:pPr>
        <w:pStyle w:val="10"/>
        <w:numPr>
          <w:ilvl w:val="0"/>
          <w:numId w:val="0"/>
        </w:numPr>
        <w:kinsoku w:val="0"/>
        <w:overflowPunct w:val="0"/>
        <w:spacing w:before="34" w:line="357" w:lineRule="auto"/>
        <w:ind w:right="126" w:firstLine="486" w:firstLineChars="200"/>
        <w:jc w:val="both"/>
        <w:rPr>
          <w:rFonts w:ascii="仿宋" w:hAnsi="仿宋" w:eastAsia="仿宋" w:cs="仿宋"/>
          <w:color w:val="auto"/>
          <w:highlight w:val="none"/>
          <w:lang w:eastAsia="zh-CN"/>
        </w:rPr>
      </w:pPr>
      <w:r>
        <w:rPr>
          <w:rFonts w:hint="eastAsia" w:ascii="仿宋" w:hAnsi="仿宋" w:eastAsia="仿宋" w:cs="仿宋"/>
          <w:color w:val="auto"/>
          <w:sz w:val="24"/>
          <w:highlight w:val="none"/>
          <w:lang w:eastAsia="zh-CN"/>
        </w:rPr>
        <w:t xml:space="preserve">法定代表人（签字或盖章）：           </w:t>
      </w:r>
      <w:r>
        <w:rPr>
          <w:rFonts w:hint="eastAsia" w:ascii="仿宋" w:hAnsi="仿宋" w:eastAsia="仿宋" w:cs="仿宋"/>
          <w:color w:val="auto"/>
          <w:highlight w:val="none"/>
          <w:lang w:eastAsia="zh-CN"/>
        </w:rPr>
        <w:t xml:space="preserve">      </w:t>
      </w:r>
    </w:p>
    <w:p w14:paraId="4A13E960">
      <w:pPr>
        <w:pStyle w:val="10"/>
        <w:numPr>
          <w:ilvl w:val="0"/>
          <w:numId w:val="0"/>
        </w:numPr>
        <w:kinsoku w:val="0"/>
        <w:overflowPunct w:val="0"/>
        <w:spacing w:before="34" w:line="357" w:lineRule="auto"/>
        <w:ind w:right="126"/>
        <w:jc w:val="both"/>
        <w:rPr>
          <w:rFonts w:ascii="仿宋" w:hAnsi="仿宋" w:eastAsia="仿宋" w:cs="仿宋"/>
          <w:color w:val="auto"/>
          <w:highlight w:val="none"/>
          <w:lang w:eastAsia="zh-CN"/>
        </w:rPr>
      </w:pPr>
    </w:p>
    <w:p w14:paraId="1F33AA23">
      <w:pPr>
        <w:pStyle w:val="10"/>
        <w:numPr>
          <w:ilvl w:val="0"/>
          <w:numId w:val="0"/>
        </w:numPr>
        <w:kinsoku w:val="0"/>
        <w:overflowPunct w:val="0"/>
        <w:spacing w:before="34" w:line="357" w:lineRule="auto"/>
        <w:ind w:right="126"/>
        <w:jc w:val="both"/>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 日  期：   年  月  日</w:t>
      </w:r>
    </w:p>
    <w:p w14:paraId="5CAD124A">
      <w:pPr>
        <w:pStyle w:val="10"/>
        <w:numPr>
          <w:ilvl w:val="0"/>
          <w:numId w:val="0"/>
        </w:numPr>
        <w:kinsoku w:val="0"/>
        <w:overflowPunct w:val="0"/>
        <w:spacing w:before="34" w:line="357" w:lineRule="auto"/>
        <w:ind w:left="480" w:right="126"/>
        <w:jc w:val="center"/>
        <w:rPr>
          <w:rFonts w:ascii="仿宋" w:hAnsi="仿宋" w:eastAsia="仿宋" w:cs="仿宋"/>
          <w:b/>
          <w:bCs/>
          <w:color w:val="auto"/>
          <w:szCs w:val="21"/>
          <w:highlight w:val="none"/>
          <w:lang w:eastAsia="zh-CN"/>
        </w:rPr>
      </w:pPr>
      <w:r>
        <w:rPr>
          <w:rFonts w:hint="eastAsia" w:ascii="仿宋" w:hAnsi="仿宋" w:eastAsia="仿宋" w:cs="仿宋"/>
          <w:color w:val="auto"/>
          <w:highlight w:val="none"/>
          <w:lang w:eastAsia="zh-CN"/>
        </w:rPr>
        <w:br w:type="page"/>
      </w:r>
      <w:r>
        <w:rPr>
          <w:rFonts w:hint="eastAsia" w:ascii="仿宋" w:hAnsi="仿宋" w:eastAsia="仿宋" w:cs="仿宋"/>
          <w:b/>
          <w:bCs/>
          <w:color w:val="auto"/>
          <w:sz w:val="36"/>
          <w:szCs w:val="36"/>
          <w:highlight w:val="none"/>
          <w:lang w:eastAsia="zh-CN"/>
        </w:rPr>
        <w:t>3、法定代表人授权委托书</w:t>
      </w:r>
    </w:p>
    <w:p w14:paraId="72B3C3B4">
      <w:pPr>
        <w:spacing w:line="420" w:lineRule="exact"/>
        <w:rPr>
          <w:rFonts w:hint="eastAsia" w:ascii="仿宋" w:hAnsi="仿宋" w:eastAsia="仿宋" w:cs="仿宋"/>
          <w:color w:val="auto"/>
          <w:highlight w:val="none"/>
          <w:lang w:eastAsia="zh-CN"/>
        </w:rPr>
      </w:pPr>
    </w:p>
    <w:p w14:paraId="0D60D562">
      <w:pPr>
        <w:pStyle w:val="13"/>
        <w:tabs>
          <w:tab w:val="left" w:pos="5580"/>
        </w:tabs>
        <w:spacing w:line="360" w:lineRule="auto"/>
        <w:ind w:firstLine="729" w:firstLineChars="3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致：采购人名称 </w:t>
      </w:r>
    </w:p>
    <w:p w14:paraId="35D3B64F">
      <w:pPr>
        <w:pStyle w:val="13"/>
        <w:tabs>
          <w:tab w:val="left" w:pos="5580"/>
        </w:tabs>
        <w:spacing w:line="360" w:lineRule="auto"/>
        <w:ind w:left="746" w:leftChars="307" w:firstLine="607" w:firstLineChars="25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本授权书声明：注册于（供应商地址）的（供应商名称）法定代表人（负责人）姓名、职务或职称）代表本公司授权（姓名）为本单位的合法代理人，参与贵方组织的（项目名称及项目编号） 的投标、谈判、签约等具体工作，并签署全部有关文件、协议及合同。</w:t>
      </w:r>
    </w:p>
    <w:p w14:paraId="703552DD">
      <w:pPr>
        <w:pStyle w:val="13"/>
        <w:tabs>
          <w:tab w:val="left" w:pos="5580"/>
        </w:tabs>
        <w:spacing w:line="360" w:lineRule="auto"/>
        <w:ind w:left="746" w:leftChars="307" w:firstLine="607" w:firstLineChars="25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我单位对被授权人的上述经济活动负全部责任。在撤销授权的书面通知前，本授权书一直有效。被授权人在授权书有效期内签署的所有文件不因授权的撤消而失效。</w:t>
      </w:r>
    </w:p>
    <w:p w14:paraId="18EA9403">
      <w:pPr>
        <w:spacing w:line="420" w:lineRule="exact"/>
        <w:ind w:firstLine="486" w:firstLineChars="200"/>
        <w:rPr>
          <w:rFonts w:hint="eastAsia" w:ascii="仿宋" w:hAnsi="仿宋" w:eastAsia="仿宋" w:cs="仿宋"/>
          <w:color w:val="auto"/>
          <w:highlight w:val="none"/>
          <w:lang w:eastAsia="zh-CN"/>
        </w:rPr>
      </w:pPr>
      <w:r>
        <w:rPr>
          <w:rFonts w:hint="default" w:ascii="仿宋" w:hAnsi="仿宋" w:eastAsia="仿宋" w:cs="仿宋"/>
          <w:color w:val="auto"/>
          <w:highlight w:val="none"/>
          <w:lang w:val="en-US" w:eastAsia="zh-CN"/>
        </w:rPr>
        <mc:AlternateContent>
          <mc:Choice Requires="wps">
            <w:drawing>
              <wp:anchor distT="0" distB="0" distL="114300" distR="114300" simplePos="0" relativeHeight="251662336" behindDoc="1" locked="0" layoutInCell="1" allowOverlap="1">
                <wp:simplePos x="0" y="0"/>
                <wp:positionH relativeFrom="column">
                  <wp:posOffset>652780</wp:posOffset>
                </wp:positionH>
                <wp:positionV relativeFrom="paragraph">
                  <wp:posOffset>188595</wp:posOffset>
                </wp:positionV>
                <wp:extent cx="4758055" cy="1367155"/>
                <wp:effectExtent l="4445" t="4445" r="0" b="19050"/>
                <wp:wrapTight wrapText="bothSides">
                  <wp:wrapPolygon>
                    <wp:start x="326" y="-70"/>
                    <wp:lineTo x="-20" y="1134"/>
                    <wp:lineTo x="-20" y="20095"/>
                    <wp:lineTo x="326" y="21299"/>
                    <wp:lineTo x="21168" y="21299"/>
                    <wp:lineTo x="21514" y="20095"/>
                    <wp:lineTo x="21514" y="1134"/>
                    <wp:lineTo x="21168" y="-70"/>
                    <wp:lineTo x="326" y="-70"/>
                  </wp:wrapPolygon>
                </wp:wrapTight>
                <wp:docPr id="2" name="自选图形 60"/>
                <wp:cNvGraphicFramePr/>
                <a:graphic xmlns:a="http://schemas.openxmlformats.org/drawingml/2006/main">
                  <a:graphicData uri="http://schemas.microsoft.com/office/word/2010/wordprocessingShape">
                    <wps:wsp>
                      <wps:cNvSpPr/>
                      <wps:spPr>
                        <a:xfrm>
                          <a:off x="0" y="0"/>
                          <a:ext cx="475805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0FE8B58">
                            <w:pPr>
                              <w:jc w:val="center"/>
                              <w:rPr>
                                <w:rFonts w:hint="eastAsia" w:ascii="仿宋" w:hAnsi="仿宋" w:eastAsia="仿宋" w:cs="仿宋"/>
                                <w:sz w:val="24"/>
                                <w:szCs w:val="24"/>
                              </w:rPr>
                            </w:pPr>
                          </w:p>
                          <w:p w14:paraId="4903AFDA">
                            <w:pPr>
                              <w:jc w:val="center"/>
                              <w:rPr>
                                <w:rFonts w:hint="eastAsia" w:ascii="仿宋" w:hAnsi="仿宋" w:eastAsia="仿宋" w:cs="仿宋"/>
                                <w:sz w:val="24"/>
                                <w:szCs w:val="24"/>
                              </w:rPr>
                            </w:pPr>
                          </w:p>
                          <w:p w14:paraId="238F7956">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被</w:t>
                            </w:r>
                            <w:r>
                              <w:rPr>
                                <w:rFonts w:hint="eastAsia" w:ascii="仿宋" w:hAnsi="仿宋" w:eastAsia="仿宋" w:cs="仿宋"/>
                                <w:sz w:val="24"/>
                                <w:szCs w:val="24"/>
                              </w:rPr>
                              <w:t>授权委托人身份证件</w:t>
                            </w:r>
                            <w:r>
                              <w:rPr>
                                <w:rFonts w:hint="eastAsia" w:ascii="仿宋" w:hAnsi="仿宋" w:eastAsia="仿宋" w:cs="仿宋"/>
                                <w:sz w:val="24"/>
                                <w:szCs w:val="24"/>
                                <w:lang w:eastAsia="zh-CN"/>
                              </w:rPr>
                              <w:t>正反面</w:t>
                            </w:r>
                          </w:p>
                          <w:p w14:paraId="26EFA6E1">
                            <w:pPr>
                              <w:rPr>
                                <w:rFonts w:hint="eastAsia"/>
                                <w:lang w:val="en-US" w:eastAsia="zh-CN"/>
                              </w:rPr>
                            </w:pPr>
                          </w:p>
                        </w:txbxContent>
                      </wps:txbx>
                      <wps:bodyPr upright="1"/>
                    </wps:wsp>
                  </a:graphicData>
                </a:graphic>
              </wp:anchor>
            </w:drawing>
          </mc:Choice>
          <mc:Fallback>
            <w:pict>
              <v:roundrect id="自选图形 60" o:spid="_x0000_s1026" o:spt="2" style="position:absolute;left:0pt;margin-left:51.4pt;margin-top:14.85pt;height:107.65pt;width:374.65pt;mso-wrap-distance-left:9pt;mso-wrap-distance-right:9pt;z-index:-251654144;mso-width-relative:page;mso-height-relative:page;" fillcolor="#FFFFFF" filled="t" stroked="t" coordsize="21600,21600" wrapcoords="326 -70 -20 1134 -20 20095 326 21299 21168 21299 21514 20095 21514 1134 21168 -70 326 -70" arcsize="0.166666666666667" o:gfxdata="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HRZfdUA&#10;AAAKAQAADwAAAAAAAAABACAAAAAiAAAAZHJzL2Rvd25yZXYueG1sUEsBAhQAFAAAAAgAh07iQHT9&#10;qK8iAgAAWAQAAA4AAAAAAAAAAQAgAAAAJAEAAGRycy9lMm9Eb2MueG1sUEsFBgAAAAAGAAYAWQEA&#10;ALgFAAAAAA==&#10;">
                <v:fill on="t" focussize="0,0"/>
                <v:stroke color="#000000" joinstyle="round"/>
                <v:imagedata o:title=""/>
                <o:lock v:ext="edit" aspectratio="f"/>
                <v:textbox>
                  <w:txbxContent>
                    <w:p w14:paraId="70FE8B58">
                      <w:pPr>
                        <w:jc w:val="center"/>
                        <w:rPr>
                          <w:rFonts w:hint="eastAsia" w:ascii="仿宋" w:hAnsi="仿宋" w:eastAsia="仿宋" w:cs="仿宋"/>
                          <w:sz w:val="24"/>
                          <w:szCs w:val="24"/>
                        </w:rPr>
                      </w:pPr>
                    </w:p>
                    <w:p w14:paraId="4903AFDA">
                      <w:pPr>
                        <w:jc w:val="center"/>
                        <w:rPr>
                          <w:rFonts w:hint="eastAsia" w:ascii="仿宋" w:hAnsi="仿宋" w:eastAsia="仿宋" w:cs="仿宋"/>
                          <w:sz w:val="24"/>
                          <w:szCs w:val="24"/>
                        </w:rPr>
                      </w:pPr>
                    </w:p>
                    <w:p w14:paraId="238F7956">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被</w:t>
                      </w:r>
                      <w:r>
                        <w:rPr>
                          <w:rFonts w:hint="eastAsia" w:ascii="仿宋" w:hAnsi="仿宋" w:eastAsia="仿宋" w:cs="仿宋"/>
                          <w:sz w:val="24"/>
                          <w:szCs w:val="24"/>
                        </w:rPr>
                        <w:t>授权委托人身份证件</w:t>
                      </w:r>
                      <w:r>
                        <w:rPr>
                          <w:rFonts w:hint="eastAsia" w:ascii="仿宋" w:hAnsi="仿宋" w:eastAsia="仿宋" w:cs="仿宋"/>
                          <w:sz w:val="24"/>
                          <w:szCs w:val="24"/>
                          <w:lang w:eastAsia="zh-CN"/>
                        </w:rPr>
                        <w:t>正反面</w:t>
                      </w:r>
                    </w:p>
                    <w:p w14:paraId="26EFA6E1">
                      <w:pPr>
                        <w:rPr>
                          <w:rFonts w:hint="eastAsia"/>
                          <w:lang w:val="en-US" w:eastAsia="zh-CN"/>
                        </w:rPr>
                      </w:pPr>
                    </w:p>
                  </w:txbxContent>
                </v:textbox>
                <w10:wrap type="tight"/>
              </v:roundrect>
            </w:pict>
          </mc:Fallback>
        </mc:AlternateContent>
      </w:r>
    </w:p>
    <w:p w14:paraId="64056D30">
      <w:pPr>
        <w:adjustRightInd w:val="0"/>
        <w:snapToGrid w:val="0"/>
        <w:spacing w:line="420" w:lineRule="exact"/>
        <w:ind w:firstLine="486" w:firstLineChars="200"/>
        <w:rPr>
          <w:rFonts w:hint="eastAsia" w:ascii="仿宋" w:hAnsi="仿宋" w:eastAsia="仿宋" w:cs="仿宋"/>
          <w:color w:val="auto"/>
          <w:highlight w:val="none"/>
          <w:lang w:eastAsia="zh-CN"/>
        </w:rPr>
      </w:pPr>
    </w:p>
    <w:p w14:paraId="6C513FCF">
      <w:pPr>
        <w:adjustRightInd w:val="0"/>
        <w:snapToGrid w:val="0"/>
        <w:spacing w:line="420" w:lineRule="exact"/>
        <w:ind w:firstLine="486" w:firstLineChars="200"/>
        <w:rPr>
          <w:rFonts w:hint="eastAsia" w:ascii="仿宋" w:hAnsi="仿宋" w:eastAsia="仿宋" w:cs="仿宋"/>
          <w:color w:val="auto"/>
          <w:highlight w:val="none"/>
          <w:lang w:eastAsia="zh-CN"/>
        </w:rPr>
      </w:pPr>
    </w:p>
    <w:p w14:paraId="2B107FAC">
      <w:pPr>
        <w:adjustRightInd w:val="0"/>
        <w:snapToGrid w:val="0"/>
        <w:spacing w:line="420" w:lineRule="exact"/>
        <w:ind w:firstLine="486" w:firstLineChars="200"/>
        <w:rPr>
          <w:rFonts w:hint="eastAsia" w:ascii="仿宋" w:hAnsi="仿宋" w:eastAsia="仿宋" w:cs="仿宋"/>
          <w:color w:val="auto"/>
          <w:highlight w:val="none"/>
          <w:lang w:eastAsia="zh-CN"/>
        </w:rPr>
      </w:pPr>
    </w:p>
    <w:p w14:paraId="4CDC11EF">
      <w:pPr>
        <w:adjustRightInd w:val="0"/>
        <w:snapToGrid w:val="0"/>
        <w:spacing w:line="420" w:lineRule="exact"/>
        <w:ind w:firstLine="486" w:firstLineChars="200"/>
        <w:rPr>
          <w:rFonts w:hint="eastAsia" w:ascii="仿宋" w:hAnsi="仿宋" w:eastAsia="仿宋" w:cs="仿宋"/>
          <w:color w:val="auto"/>
          <w:highlight w:val="none"/>
          <w:lang w:eastAsia="zh-CN"/>
        </w:rPr>
      </w:pPr>
    </w:p>
    <w:p w14:paraId="0F551B83">
      <w:pPr>
        <w:adjustRightInd w:val="0"/>
        <w:snapToGrid w:val="0"/>
        <w:spacing w:line="420" w:lineRule="exact"/>
        <w:ind w:firstLine="486" w:firstLineChars="200"/>
        <w:rPr>
          <w:rFonts w:hint="eastAsia" w:ascii="仿宋" w:hAnsi="仿宋" w:eastAsia="仿宋" w:cs="仿宋"/>
          <w:color w:val="auto"/>
          <w:highlight w:val="none"/>
          <w:lang w:eastAsia="zh-CN"/>
        </w:rPr>
      </w:pPr>
    </w:p>
    <w:p w14:paraId="496E2F32">
      <w:pPr>
        <w:adjustRightInd w:val="0"/>
        <w:snapToGrid w:val="0"/>
        <w:spacing w:line="420" w:lineRule="exact"/>
        <w:ind w:firstLine="366" w:firstLineChars="200"/>
        <w:rPr>
          <w:rFonts w:hint="eastAsia" w:ascii="仿宋" w:hAnsi="仿宋" w:eastAsia="仿宋" w:cs="仿宋"/>
          <w:color w:val="auto"/>
          <w:highlight w:val="none"/>
          <w:lang w:eastAsia="zh-CN"/>
        </w:rPr>
      </w:pPr>
      <w:r>
        <w:rPr>
          <w:color w:val="auto"/>
          <w:sz w:val="18"/>
          <w:highlight w:val="none"/>
        </w:rPr>
        <mc:AlternateContent>
          <mc:Choice Requires="wps">
            <w:drawing>
              <wp:anchor distT="0" distB="0" distL="114300" distR="114300" simplePos="0" relativeHeight="251665408" behindDoc="0" locked="0" layoutInCell="1" allowOverlap="1">
                <wp:simplePos x="0" y="0"/>
                <wp:positionH relativeFrom="column">
                  <wp:posOffset>652780</wp:posOffset>
                </wp:positionH>
                <wp:positionV relativeFrom="paragraph">
                  <wp:posOffset>78740</wp:posOffset>
                </wp:positionV>
                <wp:extent cx="4767580" cy="1367155"/>
                <wp:effectExtent l="4445" t="4445" r="9525" b="19050"/>
                <wp:wrapSquare wrapText="bothSides"/>
                <wp:docPr id="4" name="自选图形 62"/>
                <wp:cNvGraphicFramePr/>
                <a:graphic xmlns:a="http://schemas.openxmlformats.org/drawingml/2006/main">
                  <a:graphicData uri="http://schemas.microsoft.com/office/word/2010/wordprocessingShape">
                    <wps:wsp>
                      <wps:cNvSpPr/>
                      <wps:spPr>
                        <a:xfrm>
                          <a:off x="0" y="0"/>
                          <a:ext cx="4767580"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E9E1369">
                            <w:pPr>
                              <w:jc w:val="center"/>
                              <w:rPr>
                                <w:rFonts w:hint="eastAsia" w:ascii="仿宋" w:hAnsi="仿宋" w:eastAsia="仿宋" w:cs="仿宋"/>
                                <w:sz w:val="24"/>
                                <w:szCs w:val="24"/>
                              </w:rPr>
                            </w:pPr>
                          </w:p>
                          <w:p w14:paraId="600441C1">
                            <w:pPr>
                              <w:jc w:val="center"/>
                              <w:rPr>
                                <w:rFonts w:hint="eastAsia" w:ascii="仿宋" w:hAnsi="仿宋" w:eastAsia="仿宋" w:cs="仿宋"/>
                                <w:sz w:val="24"/>
                                <w:szCs w:val="24"/>
                              </w:rPr>
                            </w:pPr>
                          </w:p>
                          <w:p w14:paraId="1526AFC5">
                            <w:pPr>
                              <w:jc w:val="center"/>
                              <w:rPr>
                                <w:rFonts w:hint="eastAsia" w:ascii="仿宋" w:hAnsi="仿宋" w:eastAsia="仿宋" w:cs="仿宋"/>
                                <w:sz w:val="24"/>
                                <w:szCs w:val="24"/>
                              </w:rPr>
                            </w:pPr>
                            <w:r>
                              <w:rPr>
                                <w:rFonts w:hint="eastAsia" w:ascii="仿宋" w:hAnsi="仿宋" w:eastAsia="仿宋" w:cs="仿宋"/>
                                <w:sz w:val="24"/>
                                <w:szCs w:val="24"/>
                              </w:rPr>
                              <w:t>法定代表人身份证件正</w:t>
                            </w:r>
                            <w:r>
                              <w:rPr>
                                <w:rFonts w:hint="eastAsia" w:ascii="仿宋" w:hAnsi="仿宋" w:eastAsia="仿宋" w:cs="仿宋"/>
                                <w:sz w:val="24"/>
                                <w:szCs w:val="24"/>
                                <w:lang w:eastAsia="zh-CN"/>
                              </w:rPr>
                              <w:t>反</w:t>
                            </w:r>
                            <w:r>
                              <w:rPr>
                                <w:rFonts w:hint="eastAsia" w:ascii="仿宋" w:hAnsi="仿宋" w:eastAsia="仿宋" w:cs="仿宋"/>
                                <w:sz w:val="24"/>
                                <w:szCs w:val="24"/>
                              </w:rPr>
                              <w:t>面</w:t>
                            </w:r>
                          </w:p>
                          <w:p w14:paraId="322BE820"/>
                        </w:txbxContent>
                      </wps:txbx>
                      <wps:bodyPr upright="1"/>
                    </wps:wsp>
                  </a:graphicData>
                </a:graphic>
              </wp:anchor>
            </w:drawing>
          </mc:Choice>
          <mc:Fallback>
            <w:pict>
              <v:roundrect id="自选图形 62" o:spid="_x0000_s1026" o:spt="2" style="position:absolute;left:0pt;margin-left:51.4pt;margin-top:6.2pt;height:107.65pt;width:375.4pt;mso-wrap-distance-bottom:0pt;mso-wrap-distance-left:9pt;mso-wrap-distance-right:9pt;mso-wrap-distance-top:0pt;z-index:251665408;mso-width-relative:page;mso-height-relative:page;" fillcolor="#FFFFFF" filled="t" stroked="t" coordsize="21600,21600" arcsize="0.166666666666667" o:gfxdata="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H/p&#10;H9cAAAAKAQAADwAAAAAAAAABACAAAAAiAAAAZHJzL2Rvd25yZXYueG1sUEsBAhQAFAAAAAgAh07i&#10;QKTMsacjAgAAWAQAAA4AAAAAAAAAAQAgAAAAJgEAAGRycy9lMm9Eb2MueG1sUEsFBgAAAAAGAAYA&#10;WQEAALsFAAAAAA==&#10;">
                <v:fill on="t" focussize="0,0"/>
                <v:stroke color="#000000" joinstyle="round"/>
                <v:imagedata o:title=""/>
                <o:lock v:ext="edit" aspectratio="f"/>
                <v:textbox>
                  <w:txbxContent>
                    <w:p w14:paraId="2E9E1369">
                      <w:pPr>
                        <w:jc w:val="center"/>
                        <w:rPr>
                          <w:rFonts w:hint="eastAsia" w:ascii="仿宋" w:hAnsi="仿宋" w:eastAsia="仿宋" w:cs="仿宋"/>
                          <w:sz w:val="24"/>
                          <w:szCs w:val="24"/>
                        </w:rPr>
                      </w:pPr>
                    </w:p>
                    <w:p w14:paraId="600441C1">
                      <w:pPr>
                        <w:jc w:val="center"/>
                        <w:rPr>
                          <w:rFonts w:hint="eastAsia" w:ascii="仿宋" w:hAnsi="仿宋" w:eastAsia="仿宋" w:cs="仿宋"/>
                          <w:sz w:val="24"/>
                          <w:szCs w:val="24"/>
                        </w:rPr>
                      </w:pPr>
                    </w:p>
                    <w:p w14:paraId="1526AFC5">
                      <w:pPr>
                        <w:jc w:val="center"/>
                        <w:rPr>
                          <w:rFonts w:hint="eastAsia" w:ascii="仿宋" w:hAnsi="仿宋" w:eastAsia="仿宋" w:cs="仿宋"/>
                          <w:sz w:val="24"/>
                          <w:szCs w:val="24"/>
                        </w:rPr>
                      </w:pPr>
                      <w:r>
                        <w:rPr>
                          <w:rFonts w:hint="eastAsia" w:ascii="仿宋" w:hAnsi="仿宋" w:eastAsia="仿宋" w:cs="仿宋"/>
                          <w:sz w:val="24"/>
                          <w:szCs w:val="24"/>
                        </w:rPr>
                        <w:t>法定代表人身份证件正</w:t>
                      </w:r>
                      <w:r>
                        <w:rPr>
                          <w:rFonts w:hint="eastAsia" w:ascii="仿宋" w:hAnsi="仿宋" w:eastAsia="仿宋" w:cs="仿宋"/>
                          <w:sz w:val="24"/>
                          <w:szCs w:val="24"/>
                          <w:lang w:eastAsia="zh-CN"/>
                        </w:rPr>
                        <w:t>反</w:t>
                      </w:r>
                      <w:r>
                        <w:rPr>
                          <w:rFonts w:hint="eastAsia" w:ascii="仿宋" w:hAnsi="仿宋" w:eastAsia="仿宋" w:cs="仿宋"/>
                          <w:sz w:val="24"/>
                          <w:szCs w:val="24"/>
                        </w:rPr>
                        <w:t>面</w:t>
                      </w:r>
                    </w:p>
                    <w:p w14:paraId="322BE820"/>
                  </w:txbxContent>
                </v:textbox>
                <w10:wrap type="square"/>
              </v:roundrect>
            </w:pict>
          </mc:Fallback>
        </mc:AlternateContent>
      </w:r>
    </w:p>
    <w:p w14:paraId="244D1809">
      <w:pPr>
        <w:pStyle w:val="10"/>
        <w:tabs>
          <w:tab w:val="left" w:pos="780"/>
        </w:tabs>
        <w:kinsoku w:val="0"/>
        <w:overflowPunct w:val="0"/>
        <w:adjustRightInd w:val="0"/>
        <w:snapToGrid w:val="0"/>
        <w:spacing w:before="12"/>
        <w:rPr>
          <w:rFonts w:ascii="仿宋" w:hAnsi="仿宋" w:eastAsia="仿宋" w:cs="仿宋"/>
          <w:color w:val="auto"/>
          <w:sz w:val="4"/>
          <w:szCs w:val="4"/>
          <w:highlight w:val="none"/>
          <w:lang w:eastAsia="zh-CN"/>
        </w:rPr>
      </w:pPr>
      <w:r>
        <w:rPr>
          <w:rFonts w:hint="eastAsia" w:ascii="仿宋" w:hAnsi="仿宋" w:eastAsia="仿宋" w:cs="仿宋"/>
          <w:color w:val="auto"/>
          <w:sz w:val="4"/>
          <w:szCs w:val="4"/>
          <w:highlight w:val="none"/>
          <w:lang w:val="en-US" w:eastAsia="zh-CN"/>
        </w:rPr>
        <w:t xml:space="preserve">  </w:t>
      </w:r>
    </w:p>
    <w:p w14:paraId="234F957D">
      <w:pPr>
        <w:pStyle w:val="10"/>
        <w:numPr>
          <w:ilvl w:val="0"/>
          <w:numId w:val="0"/>
        </w:numPr>
        <w:kinsoku w:val="0"/>
        <w:overflowPunct w:val="0"/>
        <w:adjustRightInd w:val="0"/>
        <w:snapToGrid w:val="0"/>
        <w:spacing w:line="200" w:lineRule="atLeast"/>
        <w:ind w:right="1931" w:rightChars="795"/>
        <w:jc w:val="center"/>
        <w:rPr>
          <w:rFonts w:ascii="仿宋" w:hAnsi="仿宋" w:eastAsia="仿宋" w:cs="仿宋"/>
          <w:color w:val="auto"/>
          <w:sz w:val="18"/>
          <w:szCs w:val="20"/>
          <w:highlight w:val="none"/>
        </w:rPr>
      </w:pPr>
    </w:p>
    <w:p w14:paraId="30518F09">
      <w:pPr>
        <w:pStyle w:val="10"/>
        <w:numPr>
          <w:ilvl w:val="0"/>
          <w:numId w:val="0"/>
        </w:numPr>
        <w:kinsoku w:val="0"/>
        <w:overflowPunct w:val="0"/>
        <w:adjustRightInd w:val="0"/>
        <w:snapToGrid w:val="0"/>
        <w:spacing w:line="200" w:lineRule="atLeast"/>
        <w:rPr>
          <w:rFonts w:ascii="仿宋" w:hAnsi="仿宋" w:eastAsia="仿宋" w:cs="仿宋"/>
          <w:color w:val="auto"/>
          <w:sz w:val="18"/>
          <w:szCs w:val="20"/>
          <w:highlight w:val="none"/>
        </w:rPr>
      </w:pPr>
    </w:p>
    <w:p w14:paraId="0C3569F2">
      <w:pPr>
        <w:rPr>
          <w:rFonts w:ascii="仿宋" w:hAnsi="仿宋" w:eastAsia="仿宋" w:cs="仿宋"/>
          <w:color w:val="auto"/>
          <w:sz w:val="18"/>
          <w:szCs w:val="20"/>
          <w:highlight w:val="none"/>
        </w:rPr>
      </w:pPr>
    </w:p>
    <w:p w14:paraId="01E7F96B">
      <w:pPr>
        <w:pStyle w:val="34"/>
        <w:rPr>
          <w:rFonts w:ascii="仿宋" w:hAnsi="仿宋" w:eastAsia="仿宋" w:cs="仿宋"/>
          <w:color w:val="auto"/>
          <w:sz w:val="18"/>
          <w:szCs w:val="20"/>
          <w:highlight w:val="none"/>
        </w:rPr>
      </w:pPr>
    </w:p>
    <w:p w14:paraId="1ABEDAB6">
      <w:pPr>
        <w:pStyle w:val="34"/>
        <w:rPr>
          <w:rFonts w:ascii="仿宋" w:hAnsi="仿宋" w:eastAsia="仿宋" w:cs="仿宋"/>
          <w:color w:val="auto"/>
          <w:sz w:val="18"/>
          <w:szCs w:val="20"/>
          <w:highlight w:val="none"/>
        </w:rPr>
      </w:pPr>
    </w:p>
    <w:p w14:paraId="755FC445">
      <w:pPr>
        <w:pStyle w:val="34"/>
        <w:rPr>
          <w:rFonts w:ascii="仿宋" w:hAnsi="仿宋" w:eastAsia="仿宋" w:cs="仿宋"/>
          <w:color w:val="auto"/>
          <w:sz w:val="18"/>
          <w:szCs w:val="20"/>
          <w:highlight w:val="none"/>
        </w:rPr>
      </w:pPr>
    </w:p>
    <w:p w14:paraId="2A7F3730">
      <w:pPr>
        <w:pStyle w:val="34"/>
        <w:rPr>
          <w:rFonts w:ascii="仿宋" w:hAnsi="仿宋" w:eastAsia="仿宋" w:cs="仿宋"/>
          <w:color w:val="auto"/>
          <w:sz w:val="18"/>
          <w:szCs w:val="20"/>
          <w:highlight w:val="none"/>
        </w:rPr>
      </w:pPr>
    </w:p>
    <w:p w14:paraId="181BDEA3">
      <w:pPr>
        <w:pStyle w:val="10"/>
        <w:numPr>
          <w:ilvl w:val="0"/>
          <w:numId w:val="0"/>
        </w:numPr>
        <w:tabs>
          <w:tab w:val="left" w:pos="5295"/>
        </w:tabs>
        <w:kinsoku w:val="0"/>
        <w:overflowPunct w:val="0"/>
        <w:adjustRightInd w:val="0"/>
        <w:snapToGrid w:val="0"/>
        <w:spacing w:line="360" w:lineRule="auto"/>
        <w:ind w:left="709"/>
        <w:rPr>
          <w:rFonts w:hint="eastAsia" w:ascii="仿宋" w:hAnsi="仿宋" w:eastAsia="仿宋" w:cs="仿宋"/>
          <w:color w:val="auto"/>
          <w:sz w:val="24"/>
          <w:highlight w:val="none"/>
          <w:lang w:eastAsia="zh-CN"/>
        </w:rPr>
      </w:pPr>
    </w:p>
    <w:p w14:paraId="3F4AA901">
      <w:pPr>
        <w:pStyle w:val="10"/>
        <w:numPr>
          <w:ilvl w:val="0"/>
          <w:numId w:val="0"/>
        </w:numPr>
        <w:tabs>
          <w:tab w:val="left" w:pos="5295"/>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被授权代表（签章）：          供应商法定代表人（签章）：</w:t>
      </w:r>
    </w:p>
    <w:p w14:paraId="07B5047E">
      <w:pPr>
        <w:pStyle w:val="10"/>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职</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务：</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职</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务：</w:t>
      </w:r>
    </w:p>
    <w:p w14:paraId="33EF15C7">
      <w:pPr>
        <w:pStyle w:val="10"/>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电</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话：</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电</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话：</w:t>
      </w:r>
    </w:p>
    <w:p w14:paraId="54AF53E8">
      <w:pPr>
        <w:pStyle w:val="10"/>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（盖章）</w:t>
      </w:r>
    </w:p>
    <w:p w14:paraId="76FF7006">
      <w:pPr>
        <w:pStyle w:val="10"/>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1" w:leftChars="50" w:right="238" w:firstLine="2916" w:firstLineChars="1200"/>
        <w:jc w:val="both"/>
        <w:rPr>
          <w:rFonts w:ascii="仿宋" w:hAnsi="仿宋" w:eastAsia="仿宋" w:cs="仿宋"/>
          <w:color w:val="auto"/>
          <w:sz w:val="20"/>
          <w:highlight w:val="none"/>
          <w:lang w:eastAsia="zh-CN"/>
        </w:rPr>
      </w:pPr>
      <w:r>
        <w:rPr>
          <w:rFonts w:hint="eastAsia" w:ascii="仿宋" w:hAnsi="仿宋" w:eastAsia="仿宋" w:cs="仿宋"/>
          <w:color w:val="auto"/>
          <w:sz w:val="24"/>
          <w:highlight w:val="none"/>
          <w:lang w:eastAsia="zh-CN"/>
        </w:rPr>
        <w:t xml:space="preserve"> 日期：</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 xml:space="preserve">日 </w:t>
      </w:r>
      <w:r>
        <w:rPr>
          <w:rFonts w:hint="eastAsia" w:ascii="仿宋" w:hAnsi="仿宋" w:eastAsia="仿宋" w:cs="仿宋"/>
          <w:color w:val="auto"/>
          <w:sz w:val="20"/>
          <w:highlight w:val="none"/>
          <w:lang w:eastAsia="zh-CN"/>
        </w:rPr>
        <w:t xml:space="preserve">               </w:t>
      </w:r>
    </w:p>
    <w:p w14:paraId="06055FD0">
      <w:pPr>
        <w:pStyle w:val="34"/>
        <w:rPr>
          <w:rFonts w:ascii="仿宋" w:hAnsi="仿宋" w:eastAsia="仿宋" w:cs="仿宋"/>
          <w:b/>
          <w:bCs/>
          <w:color w:val="auto"/>
          <w:sz w:val="36"/>
          <w:szCs w:val="36"/>
          <w:highlight w:val="none"/>
          <w:lang w:eastAsia="zh-CN"/>
        </w:rPr>
      </w:pPr>
      <w:r>
        <w:rPr>
          <w:rFonts w:hint="eastAsia" w:ascii="仿宋" w:hAnsi="仿宋" w:eastAsia="仿宋" w:cs="仿宋"/>
          <w:color w:val="auto"/>
          <w:highlight w:val="none"/>
          <w:lang w:eastAsia="zh-CN"/>
        </w:rPr>
        <w:br w:type="page"/>
      </w:r>
    </w:p>
    <w:p w14:paraId="0AF7B041">
      <w:pPr>
        <w:pStyle w:val="3"/>
        <w:spacing w:line="240" w:lineRule="atLeast"/>
        <w:rPr>
          <w:rFonts w:ascii="仿宋" w:hAnsi="仿宋" w:eastAsia="仿宋" w:cs="仿宋"/>
          <w:color w:val="auto"/>
          <w:sz w:val="32"/>
          <w:szCs w:val="22"/>
          <w:highlight w:val="none"/>
          <w:lang w:eastAsia="zh-CN"/>
        </w:rPr>
      </w:pPr>
      <w:r>
        <w:rPr>
          <w:rFonts w:hint="eastAsia" w:ascii="仿宋" w:hAnsi="仿宋" w:eastAsia="仿宋" w:cs="仿宋"/>
          <w:color w:val="auto"/>
          <w:sz w:val="32"/>
          <w:szCs w:val="22"/>
          <w:highlight w:val="none"/>
          <w:lang w:eastAsia="zh-CN"/>
        </w:rPr>
        <w:t>4、参加政府采购活动前3年内</w:t>
      </w:r>
      <w:bookmarkStart w:id="60" w:name="_Toc6008"/>
      <w:bookmarkStart w:id="61" w:name="_Toc515647812"/>
      <w:bookmarkStart w:id="62" w:name="_Toc1137"/>
      <w:r>
        <w:rPr>
          <w:rFonts w:hint="eastAsia" w:ascii="仿宋" w:hAnsi="仿宋" w:eastAsia="仿宋" w:cs="仿宋"/>
          <w:color w:val="auto"/>
          <w:sz w:val="32"/>
          <w:szCs w:val="22"/>
          <w:highlight w:val="none"/>
          <w:lang w:eastAsia="zh-CN"/>
        </w:rPr>
        <w:t>在经营活动中没有重大违法记录的书面声明</w:t>
      </w:r>
      <w:bookmarkEnd w:id="60"/>
      <w:bookmarkEnd w:id="61"/>
      <w:bookmarkEnd w:id="62"/>
    </w:p>
    <w:p w14:paraId="75AE9D05">
      <w:pPr>
        <w:pStyle w:val="13"/>
        <w:tabs>
          <w:tab w:val="left" w:pos="5580"/>
        </w:tabs>
        <w:spacing w:line="240" w:lineRule="atLeast"/>
        <w:ind w:left="1164" w:leftChars="257" w:hanging="540"/>
        <w:jc w:val="center"/>
        <w:rPr>
          <w:rFonts w:ascii="仿宋" w:hAnsi="仿宋" w:eastAsia="仿宋" w:cs="仿宋"/>
          <w:b/>
          <w:color w:val="auto"/>
          <w:highlight w:val="none"/>
          <w:lang w:eastAsia="zh-CN"/>
        </w:rPr>
      </w:pPr>
    </w:p>
    <w:p w14:paraId="406E521F">
      <w:pPr>
        <w:pStyle w:val="13"/>
        <w:tabs>
          <w:tab w:val="left" w:pos="5580"/>
        </w:tabs>
        <w:spacing w:line="240" w:lineRule="atLeast"/>
        <w:ind w:left="1164" w:leftChars="257" w:hanging="540"/>
        <w:rPr>
          <w:rFonts w:ascii="仿宋" w:hAnsi="仿宋" w:eastAsia="仿宋" w:cs="仿宋"/>
          <w:color w:val="auto"/>
          <w:highlight w:val="none"/>
          <w:lang w:eastAsia="zh-CN"/>
        </w:rPr>
      </w:pPr>
    </w:p>
    <w:p w14:paraId="7DC09508">
      <w:pPr>
        <w:pStyle w:val="13"/>
        <w:tabs>
          <w:tab w:val="left" w:pos="5580"/>
        </w:tabs>
        <w:spacing w:line="240" w:lineRule="atLeast"/>
        <w:ind w:left="1164" w:leftChars="257" w:hanging="540"/>
        <w:rPr>
          <w:rFonts w:ascii="仿宋" w:hAnsi="仿宋" w:eastAsia="仿宋" w:cs="仿宋"/>
          <w:color w:val="auto"/>
          <w:highlight w:val="none"/>
          <w:lang w:eastAsia="zh-CN"/>
        </w:rPr>
      </w:pPr>
    </w:p>
    <w:p w14:paraId="556946D8">
      <w:pPr>
        <w:pStyle w:val="13"/>
        <w:tabs>
          <w:tab w:val="left" w:pos="5580"/>
        </w:tabs>
        <w:spacing w:line="360" w:lineRule="auto"/>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说明：1.供应商应按照相关法规规定如实作出说明。</w:t>
      </w:r>
    </w:p>
    <w:p w14:paraId="4DE1B931">
      <w:pPr>
        <w:pStyle w:val="13"/>
        <w:tabs>
          <w:tab w:val="left" w:pos="5580"/>
        </w:tabs>
        <w:spacing w:line="360" w:lineRule="auto"/>
        <w:ind w:left="746" w:leftChars="307" w:firstLine="607" w:firstLineChars="25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2．按照招标文件的规定加盖单位章（自然人投标的无需盖章，需要签字）。</w:t>
      </w:r>
    </w:p>
    <w:p w14:paraId="2CCCCB16">
      <w:pPr>
        <w:pStyle w:val="13"/>
        <w:tabs>
          <w:tab w:val="left" w:pos="5580"/>
        </w:tabs>
        <w:spacing w:line="360" w:lineRule="auto"/>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55F02089">
      <w:pPr>
        <w:pStyle w:val="4"/>
        <w:rPr>
          <w:rFonts w:ascii="仿宋" w:hAnsi="仿宋" w:eastAsia="仿宋" w:cs="仿宋"/>
          <w:color w:val="auto"/>
          <w:sz w:val="36"/>
          <w:szCs w:val="36"/>
          <w:highlight w:val="none"/>
          <w:lang w:eastAsia="zh-CN"/>
        </w:rPr>
      </w:pPr>
    </w:p>
    <w:p w14:paraId="78394678">
      <w:pPr>
        <w:rPr>
          <w:rFonts w:ascii="仿宋" w:hAnsi="仿宋" w:eastAsia="仿宋" w:cs="仿宋"/>
          <w:b/>
          <w:bCs/>
          <w:color w:val="auto"/>
          <w:sz w:val="36"/>
          <w:szCs w:val="36"/>
          <w:highlight w:val="none"/>
          <w:lang w:eastAsia="zh-CN"/>
        </w:rPr>
      </w:pPr>
    </w:p>
    <w:p w14:paraId="06E95003">
      <w:pPr>
        <w:pStyle w:val="4"/>
        <w:rPr>
          <w:rFonts w:ascii="仿宋" w:hAnsi="仿宋" w:eastAsia="仿宋" w:cs="仿宋"/>
          <w:color w:val="auto"/>
          <w:sz w:val="36"/>
          <w:szCs w:val="36"/>
          <w:highlight w:val="none"/>
          <w:lang w:eastAsia="zh-CN"/>
        </w:rPr>
      </w:pPr>
    </w:p>
    <w:p w14:paraId="1CA63CF7">
      <w:pPr>
        <w:rPr>
          <w:rFonts w:ascii="仿宋" w:hAnsi="仿宋" w:eastAsia="仿宋" w:cs="仿宋"/>
          <w:b/>
          <w:bCs/>
          <w:color w:val="auto"/>
          <w:sz w:val="36"/>
          <w:szCs w:val="36"/>
          <w:highlight w:val="none"/>
          <w:lang w:eastAsia="zh-CN"/>
        </w:rPr>
      </w:pPr>
    </w:p>
    <w:p w14:paraId="5680FA67">
      <w:pPr>
        <w:pStyle w:val="4"/>
        <w:rPr>
          <w:rFonts w:ascii="仿宋" w:hAnsi="仿宋" w:eastAsia="仿宋" w:cs="仿宋"/>
          <w:color w:val="auto"/>
          <w:sz w:val="36"/>
          <w:szCs w:val="36"/>
          <w:highlight w:val="none"/>
          <w:lang w:eastAsia="zh-CN"/>
        </w:rPr>
      </w:pPr>
    </w:p>
    <w:p w14:paraId="3704E929">
      <w:pPr>
        <w:rPr>
          <w:rFonts w:ascii="仿宋" w:hAnsi="仿宋" w:eastAsia="仿宋" w:cs="仿宋"/>
          <w:b/>
          <w:bCs/>
          <w:color w:val="auto"/>
          <w:sz w:val="36"/>
          <w:szCs w:val="36"/>
          <w:highlight w:val="none"/>
          <w:lang w:eastAsia="zh-CN"/>
        </w:rPr>
      </w:pPr>
    </w:p>
    <w:p w14:paraId="2DFACBEE">
      <w:pPr>
        <w:pStyle w:val="4"/>
        <w:rPr>
          <w:rFonts w:ascii="仿宋" w:hAnsi="仿宋" w:eastAsia="仿宋" w:cs="仿宋"/>
          <w:color w:val="auto"/>
          <w:sz w:val="36"/>
          <w:szCs w:val="36"/>
          <w:highlight w:val="none"/>
          <w:lang w:eastAsia="zh-CN"/>
        </w:rPr>
      </w:pPr>
    </w:p>
    <w:p w14:paraId="239CBAF7">
      <w:pPr>
        <w:rPr>
          <w:rFonts w:ascii="仿宋" w:hAnsi="仿宋" w:eastAsia="仿宋" w:cs="仿宋"/>
          <w:b/>
          <w:bCs/>
          <w:color w:val="auto"/>
          <w:sz w:val="36"/>
          <w:szCs w:val="36"/>
          <w:highlight w:val="none"/>
          <w:lang w:eastAsia="zh-CN"/>
        </w:rPr>
      </w:pPr>
    </w:p>
    <w:p w14:paraId="53B4ED1E">
      <w:pPr>
        <w:pStyle w:val="4"/>
        <w:rPr>
          <w:rFonts w:ascii="仿宋" w:hAnsi="仿宋" w:eastAsia="仿宋" w:cs="仿宋"/>
          <w:color w:val="auto"/>
          <w:sz w:val="36"/>
          <w:szCs w:val="36"/>
          <w:highlight w:val="none"/>
          <w:lang w:eastAsia="zh-CN"/>
        </w:rPr>
      </w:pPr>
    </w:p>
    <w:p w14:paraId="6F67BECA">
      <w:pPr>
        <w:rPr>
          <w:rFonts w:ascii="仿宋" w:hAnsi="仿宋" w:eastAsia="仿宋" w:cs="仿宋"/>
          <w:b/>
          <w:bCs/>
          <w:color w:val="auto"/>
          <w:sz w:val="36"/>
          <w:szCs w:val="36"/>
          <w:highlight w:val="none"/>
          <w:lang w:eastAsia="zh-CN"/>
        </w:rPr>
      </w:pPr>
    </w:p>
    <w:p w14:paraId="55096677">
      <w:pPr>
        <w:rPr>
          <w:rFonts w:ascii="仿宋" w:hAnsi="仿宋" w:eastAsia="仿宋" w:cs="仿宋"/>
          <w:b/>
          <w:bCs/>
          <w:color w:val="auto"/>
          <w:sz w:val="36"/>
          <w:szCs w:val="36"/>
          <w:highlight w:val="none"/>
          <w:lang w:eastAsia="zh-CN"/>
        </w:rPr>
      </w:pPr>
    </w:p>
    <w:p w14:paraId="4DD70D6C">
      <w:pPr>
        <w:rPr>
          <w:rFonts w:ascii="仿宋" w:hAnsi="仿宋" w:eastAsia="仿宋" w:cs="仿宋"/>
          <w:b/>
          <w:bCs/>
          <w:color w:val="auto"/>
          <w:sz w:val="36"/>
          <w:szCs w:val="36"/>
          <w:highlight w:val="none"/>
          <w:lang w:eastAsia="zh-CN"/>
        </w:rPr>
      </w:pPr>
    </w:p>
    <w:p w14:paraId="16B992F5">
      <w:pPr>
        <w:pStyle w:val="3"/>
        <w:spacing w:line="240" w:lineRule="atLeast"/>
        <w:rPr>
          <w:rFonts w:ascii="仿宋" w:hAnsi="仿宋" w:eastAsia="仿宋" w:cs="仿宋"/>
          <w:bCs/>
          <w:color w:val="auto"/>
          <w:sz w:val="36"/>
          <w:szCs w:val="36"/>
          <w:highlight w:val="none"/>
          <w:lang w:eastAsia="zh-CN"/>
        </w:rPr>
      </w:pPr>
    </w:p>
    <w:p w14:paraId="0E71743B">
      <w:pPr>
        <w:pStyle w:val="3"/>
        <w:spacing w:line="240" w:lineRule="atLeast"/>
        <w:rPr>
          <w:rFonts w:ascii="仿宋" w:hAnsi="仿宋" w:eastAsia="仿宋" w:cs="仿宋"/>
          <w:bCs/>
          <w:color w:val="auto"/>
          <w:sz w:val="36"/>
          <w:szCs w:val="36"/>
          <w:highlight w:val="none"/>
          <w:lang w:eastAsia="zh-CN"/>
        </w:rPr>
      </w:pPr>
      <w:r>
        <w:rPr>
          <w:rFonts w:hint="eastAsia" w:ascii="仿宋" w:hAnsi="仿宋" w:eastAsia="仿宋" w:cs="仿宋"/>
          <w:bCs/>
          <w:color w:val="auto"/>
          <w:sz w:val="36"/>
          <w:szCs w:val="36"/>
          <w:highlight w:val="none"/>
          <w:lang w:eastAsia="zh-CN"/>
        </w:rPr>
        <w:t>5、投标保证金缴纳凭证或投标担保函</w:t>
      </w:r>
    </w:p>
    <w:p w14:paraId="2995E2AD">
      <w:pPr>
        <w:ind w:firstLine="486" w:firstLineChars="200"/>
        <w:rPr>
          <w:rFonts w:ascii="仿宋" w:hAnsi="仿宋" w:eastAsia="仿宋" w:cs="仿宋"/>
          <w:color w:val="auto"/>
          <w:highlight w:val="none"/>
          <w:lang w:eastAsia="zh-CN"/>
        </w:rPr>
      </w:pPr>
      <w:bookmarkStart w:id="63" w:name="_Toc494296665"/>
      <w:bookmarkStart w:id="64" w:name="_Toc494296991"/>
    </w:p>
    <w:bookmarkEnd w:id="63"/>
    <w:bookmarkEnd w:id="64"/>
    <w:p w14:paraId="16316F04">
      <w:pPr>
        <w:pStyle w:val="7"/>
        <w:rPr>
          <w:rFonts w:ascii="仿宋" w:hAnsi="仿宋" w:eastAsia="仿宋" w:cs="仿宋"/>
          <w:color w:val="auto"/>
          <w:highlight w:val="none"/>
          <w:lang w:eastAsia="zh-CN"/>
        </w:rPr>
      </w:pPr>
    </w:p>
    <w:p w14:paraId="77781AFF">
      <w:pPr>
        <w:pStyle w:val="7"/>
        <w:rPr>
          <w:rFonts w:ascii="仿宋" w:hAnsi="仿宋" w:eastAsia="仿宋" w:cs="仿宋"/>
          <w:color w:val="auto"/>
          <w:highlight w:val="none"/>
        </w:rPr>
      </w:pPr>
    </w:p>
    <w:p w14:paraId="11048D3E">
      <w:pPr>
        <w:spacing w:line="240" w:lineRule="atLeast"/>
        <w:ind w:left="1164" w:leftChars="257" w:hanging="540"/>
        <w:jc w:val="center"/>
        <w:rPr>
          <w:rFonts w:ascii="仿宋" w:hAnsi="仿宋" w:eastAsia="仿宋" w:cs="仿宋"/>
          <w:color w:val="auto"/>
          <w:highlight w:val="none"/>
        </w:rPr>
      </w:pPr>
    </w:p>
    <w:p w14:paraId="610BFA55">
      <w:pPr>
        <w:rPr>
          <w:rFonts w:ascii="仿宋" w:hAnsi="仿宋" w:eastAsia="仿宋" w:cs="仿宋"/>
          <w:color w:val="auto"/>
          <w:sz w:val="28"/>
          <w:szCs w:val="28"/>
          <w:highlight w:val="none"/>
        </w:rPr>
      </w:pPr>
    </w:p>
    <w:tbl>
      <w:tblPr>
        <w:tblStyle w:val="25"/>
        <w:tblpPr w:leftFromText="180" w:rightFromText="180" w:vertAnchor="text" w:horzAnchor="page" w:tblpX="2357" w:tblpY="750"/>
        <w:tblOverlap w:val="never"/>
        <w:tblW w:w="7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2"/>
      </w:tblGrid>
      <w:tr w14:paraId="7150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612" w:type="dxa"/>
          </w:tcPr>
          <w:p w14:paraId="6062A604">
            <w:pPr>
              <w:rPr>
                <w:rFonts w:ascii="仿宋" w:hAnsi="仿宋" w:eastAsia="仿宋" w:cs="仿宋"/>
                <w:b/>
                <w:bCs/>
                <w:color w:val="auto"/>
                <w:sz w:val="30"/>
                <w:szCs w:val="30"/>
                <w:highlight w:val="none"/>
              </w:rPr>
            </w:pPr>
          </w:p>
          <w:p w14:paraId="1A9F24C6">
            <w:pPr>
              <w:jc w:val="center"/>
              <w:rPr>
                <w:rFonts w:ascii="仿宋" w:hAnsi="仿宋" w:eastAsia="仿宋" w:cs="仿宋"/>
                <w:b/>
                <w:bCs/>
                <w:color w:val="auto"/>
                <w:sz w:val="30"/>
                <w:szCs w:val="30"/>
                <w:highlight w:val="none"/>
              </w:rPr>
            </w:pPr>
          </w:p>
          <w:p w14:paraId="58829BB5">
            <w:pPr>
              <w:jc w:val="center"/>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14:paraId="47BBE0CE">
      <w:pPr>
        <w:pStyle w:val="7"/>
        <w:rPr>
          <w:rFonts w:ascii="仿宋" w:hAnsi="仿宋" w:eastAsia="仿宋" w:cs="仿宋"/>
          <w:color w:val="auto"/>
          <w:highlight w:val="none"/>
        </w:rPr>
      </w:pPr>
    </w:p>
    <w:p w14:paraId="41225958">
      <w:pPr>
        <w:pStyle w:val="7"/>
        <w:rPr>
          <w:rFonts w:ascii="仿宋" w:hAnsi="仿宋" w:eastAsia="仿宋" w:cs="仿宋"/>
          <w:color w:val="auto"/>
          <w:highlight w:val="none"/>
        </w:rPr>
      </w:pPr>
    </w:p>
    <w:p w14:paraId="6356BA88">
      <w:pPr>
        <w:pStyle w:val="7"/>
        <w:rPr>
          <w:rFonts w:ascii="仿宋" w:hAnsi="仿宋" w:eastAsia="仿宋" w:cs="仿宋"/>
          <w:color w:val="auto"/>
          <w:highlight w:val="none"/>
        </w:rPr>
      </w:pPr>
    </w:p>
    <w:p w14:paraId="1F362F2C">
      <w:pPr>
        <w:pStyle w:val="7"/>
        <w:rPr>
          <w:rFonts w:ascii="仿宋" w:hAnsi="仿宋" w:eastAsia="仿宋" w:cs="仿宋"/>
          <w:color w:val="auto"/>
          <w:highlight w:val="none"/>
        </w:rPr>
      </w:pPr>
    </w:p>
    <w:p w14:paraId="2A35E2B1">
      <w:pPr>
        <w:pStyle w:val="7"/>
        <w:rPr>
          <w:rFonts w:ascii="仿宋" w:hAnsi="仿宋" w:eastAsia="仿宋" w:cs="仿宋"/>
          <w:color w:val="auto"/>
          <w:highlight w:val="none"/>
        </w:rPr>
      </w:pPr>
    </w:p>
    <w:p w14:paraId="7E481912">
      <w:pPr>
        <w:pStyle w:val="7"/>
        <w:rPr>
          <w:rFonts w:ascii="仿宋" w:hAnsi="仿宋" w:eastAsia="仿宋" w:cs="仿宋"/>
          <w:color w:val="auto"/>
          <w:highlight w:val="none"/>
        </w:rPr>
      </w:pPr>
    </w:p>
    <w:p w14:paraId="0E906E22">
      <w:pPr>
        <w:rPr>
          <w:rFonts w:ascii="仿宋" w:hAnsi="仿宋" w:eastAsia="仿宋" w:cs="仿宋"/>
          <w:color w:val="auto"/>
          <w:highlight w:val="none"/>
        </w:rPr>
      </w:pPr>
    </w:p>
    <w:p w14:paraId="5E60DF9B">
      <w:pPr>
        <w:pStyle w:val="4"/>
        <w:rPr>
          <w:rFonts w:ascii="仿宋" w:hAnsi="仿宋" w:eastAsia="仿宋" w:cs="仿宋"/>
          <w:color w:val="auto"/>
          <w:highlight w:val="none"/>
        </w:rPr>
      </w:pPr>
    </w:p>
    <w:p w14:paraId="51F95B3D">
      <w:pPr>
        <w:rPr>
          <w:rFonts w:ascii="仿宋" w:hAnsi="仿宋" w:eastAsia="仿宋" w:cs="仿宋"/>
          <w:color w:val="auto"/>
          <w:highlight w:val="none"/>
        </w:rPr>
      </w:pPr>
    </w:p>
    <w:p w14:paraId="76E7810E">
      <w:pPr>
        <w:rPr>
          <w:rFonts w:ascii="仿宋" w:hAnsi="仿宋" w:eastAsia="仿宋" w:cs="仿宋"/>
          <w:color w:val="auto"/>
          <w:highlight w:val="none"/>
        </w:rPr>
      </w:pPr>
    </w:p>
    <w:p w14:paraId="2F3E625F">
      <w:pPr>
        <w:rPr>
          <w:rFonts w:ascii="仿宋" w:hAnsi="仿宋" w:eastAsia="仿宋" w:cs="仿宋"/>
          <w:color w:val="auto"/>
          <w:highlight w:val="none"/>
        </w:rPr>
      </w:pPr>
    </w:p>
    <w:p w14:paraId="7ED67E82">
      <w:pPr>
        <w:jc w:val="center"/>
        <w:rPr>
          <w:rFonts w:ascii="仿宋" w:hAnsi="仿宋" w:eastAsia="仿宋" w:cs="仿宋"/>
          <w:color w:val="auto"/>
          <w:sz w:val="28"/>
          <w:szCs w:val="28"/>
          <w:highlight w:val="none"/>
        </w:rPr>
      </w:pPr>
    </w:p>
    <w:p w14:paraId="04906A75">
      <w:pPr>
        <w:jc w:val="center"/>
        <w:rPr>
          <w:rFonts w:ascii="仿宋" w:hAnsi="仿宋" w:eastAsia="仿宋" w:cs="仿宋"/>
          <w:color w:val="auto"/>
          <w:sz w:val="28"/>
          <w:szCs w:val="28"/>
          <w:highlight w:val="none"/>
        </w:rPr>
      </w:pPr>
    </w:p>
    <w:p w14:paraId="692989B1">
      <w:pPr>
        <w:jc w:val="center"/>
        <w:rPr>
          <w:rFonts w:ascii="仿宋" w:hAnsi="仿宋" w:eastAsia="仿宋" w:cs="仿宋"/>
          <w:color w:val="auto"/>
          <w:sz w:val="28"/>
          <w:szCs w:val="28"/>
          <w:highlight w:val="none"/>
        </w:rPr>
      </w:pPr>
    </w:p>
    <w:p w14:paraId="6DC8F8B5">
      <w:pPr>
        <w:jc w:val="center"/>
        <w:rPr>
          <w:rFonts w:ascii="仿宋" w:hAnsi="仿宋" w:eastAsia="仿宋" w:cs="仿宋"/>
          <w:color w:val="auto"/>
          <w:sz w:val="28"/>
          <w:szCs w:val="28"/>
          <w:highlight w:val="none"/>
        </w:rPr>
      </w:pPr>
    </w:p>
    <w:p w14:paraId="2FB44218">
      <w:pPr>
        <w:jc w:val="center"/>
        <w:rPr>
          <w:rFonts w:ascii="仿宋" w:hAnsi="仿宋" w:eastAsia="仿宋" w:cs="仿宋"/>
          <w:color w:val="auto"/>
          <w:sz w:val="28"/>
          <w:szCs w:val="28"/>
          <w:highlight w:val="none"/>
        </w:rPr>
      </w:pPr>
    </w:p>
    <w:p w14:paraId="50A7DD15">
      <w:pPr>
        <w:jc w:val="center"/>
        <w:rPr>
          <w:rFonts w:ascii="仿宋" w:hAnsi="仿宋" w:eastAsia="仿宋" w:cs="仿宋"/>
          <w:color w:val="auto"/>
          <w:sz w:val="28"/>
          <w:szCs w:val="28"/>
          <w:highlight w:val="none"/>
        </w:rPr>
      </w:pPr>
    </w:p>
    <w:p w14:paraId="08541D6F">
      <w:pPr>
        <w:jc w:val="center"/>
        <w:rPr>
          <w:rFonts w:ascii="仿宋" w:hAnsi="仿宋" w:eastAsia="仿宋" w:cs="仿宋"/>
          <w:color w:val="auto"/>
          <w:sz w:val="28"/>
          <w:szCs w:val="28"/>
          <w:highlight w:val="none"/>
        </w:rPr>
      </w:pPr>
    </w:p>
    <w:p w14:paraId="58D538A6">
      <w:pPr>
        <w:jc w:val="center"/>
        <w:rPr>
          <w:rFonts w:ascii="仿宋" w:hAnsi="仿宋" w:eastAsia="仿宋" w:cs="仿宋"/>
          <w:color w:val="auto"/>
          <w:sz w:val="28"/>
          <w:szCs w:val="28"/>
          <w:highlight w:val="none"/>
        </w:rPr>
      </w:pPr>
    </w:p>
    <w:p w14:paraId="2C4507F8">
      <w:pPr>
        <w:spacing w:line="360" w:lineRule="auto"/>
        <w:jc w:val="both"/>
        <w:rPr>
          <w:rFonts w:ascii="仿宋" w:hAnsi="仿宋" w:eastAsia="仿宋" w:cs="仿宋"/>
          <w:b/>
          <w:bCs/>
          <w:color w:val="auto"/>
          <w:sz w:val="28"/>
          <w:szCs w:val="28"/>
          <w:highlight w:val="none"/>
          <w:lang w:eastAsia="zh-CN"/>
        </w:rPr>
      </w:pPr>
    </w:p>
    <w:p w14:paraId="4480A6C9">
      <w:pPr>
        <w:spacing w:line="360" w:lineRule="auto"/>
        <w:jc w:val="center"/>
        <w:rPr>
          <w:rFonts w:hint="eastAsia" w:ascii="仿宋" w:hAnsi="仿宋" w:eastAsia="仿宋" w:cs="仿宋"/>
          <w:b/>
          <w:bCs/>
          <w:color w:val="auto"/>
          <w:sz w:val="28"/>
          <w:szCs w:val="28"/>
          <w:highlight w:val="none"/>
          <w:lang w:eastAsia="zh-CN"/>
        </w:rPr>
      </w:pPr>
    </w:p>
    <w:p w14:paraId="2303ABB8">
      <w:pPr>
        <w:spacing w:line="360" w:lineRule="auto"/>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政府采购投标担保函 （项目用）</w:t>
      </w:r>
    </w:p>
    <w:p w14:paraId="5DDCFA19">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编号：</w:t>
      </w:r>
    </w:p>
    <w:p w14:paraId="38C4362C">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（采购人或采购代理机构）：</w:t>
      </w:r>
    </w:p>
    <w:p w14:paraId="5D05AAA0">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鉴于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（以下简称“供应商”）拟参加编号为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095345FD">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以下简称“本项目”）投标，根据本项目招标文件，供应商参加投标时应向你方缴纳投标保证金，且可以投标担保函的形式缴纳投标保证金。应供应商的申请，我方以保证的方式向你方提供如下投标保证金担保：</w:t>
      </w:r>
    </w:p>
    <w:p w14:paraId="2F425A66">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一、保证责任的情形及保证金额</w:t>
      </w:r>
    </w:p>
    <w:p w14:paraId="7BA64C71">
      <w:pPr>
        <w:spacing w:line="360" w:lineRule="auto"/>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（一）在供应商出现下列情形之一时，我方承担保证责任：</w:t>
      </w:r>
    </w:p>
    <w:p w14:paraId="3BADA212">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1．中标后供应商无正当理由不与采购人或者采购代理机构签订《政府采购合同》；</w:t>
      </w:r>
    </w:p>
    <w:p w14:paraId="5CF63DF8">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2．招标文件规定的供应商应当缴纳保证金的其他情形。</w:t>
      </w:r>
    </w:p>
    <w:p w14:paraId="02B93EE4">
      <w:pPr>
        <w:spacing w:line="360" w:lineRule="auto"/>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（二）我方承担保证责任的最高金额为人民币</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元（大写</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），即本项目的投标保证金金额。</w:t>
      </w:r>
    </w:p>
    <w:p w14:paraId="1432E461">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二、保证的方式及保证期间</w:t>
      </w:r>
    </w:p>
    <w:p w14:paraId="22F3AB06">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我方保证的方式为：连带责任保证。</w:t>
      </w:r>
    </w:p>
    <w:p w14:paraId="6BA66E36">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我方的保证期间为：自本保函生效之日起</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个月止。</w:t>
      </w:r>
    </w:p>
    <w:p w14:paraId="5A19743B">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三、承担保证责任的程序</w:t>
      </w:r>
    </w:p>
    <w:p w14:paraId="69B3F497">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11C02718">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2．我方在收到索赔通知及相关证明材料后，在</w:t>
      </w:r>
      <w:r>
        <w:rPr>
          <w:rFonts w:hint="eastAsia" w:ascii="仿宋" w:hAnsi="仿宋" w:eastAsia="仿宋" w:cs="仿宋"/>
          <w:color w:val="auto"/>
          <w:highlight w:val="none"/>
          <w:u w:val="single"/>
          <w:lang w:eastAsia="zh-CN"/>
        </w:rPr>
        <w:t>　　　</w:t>
      </w:r>
      <w:r>
        <w:rPr>
          <w:rFonts w:hint="eastAsia" w:ascii="仿宋" w:hAnsi="仿宋" w:eastAsia="仿宋" w:cs="仿宋"/>
          <w:color w:val="auto"/>
          <w:highlight w:val="none"/>
          <w:lang w:eastAsia="zh-CN"/>
        </w:rPr>
        <w:t>个工作日内进行审查，符合应承担保证责任情形的，我方应按照你方的要求代供应商向你方支付投标保证金。</w:t>
      </w:r>
    </w:p>
    <w:p w14:paraId="5F0636D7">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四、保证责任的终止</w:t>
      </w:r>
    </w:p>
    <w:p w14:paraId="5460C1C7">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1．保证期间届满你方未向我方书面主张保证责任的，自保证期间届满次日起，我方保证责任自动终止。</w:t>
      </w:r>
    </w:p>
    <w:p w14:paraId="4D1854D3">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2．我方按照本保函向你贵方履行了保证责任后，自我方向你贵方支付款项（支付款项从我方账户划出）之日起，保证责任终止。</w:t>
      </w:r>
    </w:p>
    <w:p w14:paraId="3FE29E8B">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3．按照法律法规的规定或出现我方保证责任终止的其它情形的，我方在本保函项下的保证责任亦终止。</w:t>
      </w:r>
    </w:p>
    <w:p w14:paraId="49E604B1">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五、免责条款</w:t>
      </w:r>
    </w:p>
    <w:p w14:paraId="41130B4C">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1．依照法律规定或你方与供应商的另行约定，全部或者部分免除供应商投标保证金义务时，我方亦免除相应的保证责任。</w:t>
      </w:r>
    </w:p>
    <w:p w14:paraId="752FA5B6">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2．因你方原因致使供应商发生本保函第一条第（一）款约定情形的，我方不承担保证责任。</w:t>
      </w:r>
    </w:p>
    <w:p w14:paraId="5FC6AF51">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3．因不可抗力造成供应商发生本保函第一条约定情形的，我方不承担保证责任。</w:t>
      </w:r>
    </w:p>
    <w:p w14:paraId="48BAC2D0">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4．你方或其他有权机关对询价通知书进行任何澄清或修改，加重我方保证责任的，我方对加重部分不承担保证责任，但该澄清或修改经我方事先书面同意的除外。</w:t>
      </w:r>
    </w:p>
    <w:p w14:paraId="4BFA6CBF">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六、争议的解决</w:t>
      </w:r>
    </w:p>
    <w:p w14:paraId="675E1523">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因本保函发生的纠纷，由你我双方协商解决，协商不成的，通过诉讼程序解决，诉讼管辖地法院为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法院。</w:t>
      </w:r>
    </w:p>
    <w:p w14:paraId="20F46C3A">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七、保函的生效</w:t>
      </w:r>
    </w:p>
    <w:p w14:paraId="6AE2143C">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本保函自我方加盖公章之日起生效。</w:t>
      </w:r>
    </w:p>
    <w:p w14:paraId="3AB6E769">
      <w:pPr>
        <w:spacing w:line="360" w:lineRule="auto"/>
        <w:ind w:firstLine="6439" w:firstLineChars="2650"/>
        <w:rPr>
          <w:rFonts w:ascii="仿宋" w:hAnsi="仿宋" w:eastAsia="仿宋" w:cs="仿宋"/>
          <w:color w:val="auto"/>
          <w:highlight w:val="none"/>
          <w:lang w:eastAsia="zh-CN"/>
        </w:rPr>
      </w:pPr>
    </w:p>
    <w:p w14:paraId="22CE602C">
      <w:pPr>
        <w:spacing w:line="360" w:lineRule="auto"/>
        <w:ind w:firstLine="6439" w:firstLineChars="2650"/>
        <w:rPr>
          <w:rFonts w:ascii="仿宋" w:hAnsi="仿宋" w:eastAsia="仿宋" w:cs="仿宋"/>
          <w:color w:val="auto"/>
          <w:highlight w:val="none"/>
          <w:lang w:eastAsia="zh-CN"/>
        </w:rPr>
      </w:pPr>
    </w:p>
    <w:p w14:paraId="5B5106B4">
      <w:pPr>
        <w:spacing w:line="360" w:lineRule="auto"/>
        <w:ind w:firstLine="6439" w:firstLineChars="2650"/>
        <w:rPr>
          <w:rFonts w:ascii="仿宋" w:hAnsi="仿宋" w:eastAsia="仿宋" w:cs="仿宋"/>
          <w:color w:val="auto"/>
          <w:highlight w:val="none"/>
          <w:lang w:eastAsia="zh-CN"/>
        </w:rPr>
      </w:pPr>
      <w:r>
        <w:rPr>
          <w:rFonts w:hint="eastAsia" w:ascii="仿宋" w:hAnsi="仿宋" w:eastAsia="仿宋" w:cs="仿宋"/>
          <w:color w:val="auto"/>
          <w:highlight w:val="none"/>
          <w:lang w:eastAsia="zh-CN"/>
        </w:rPr>
        <w:t>保证人：（公章）</w:t>
      </w:r>
    </w:p>
    <w:p w14:paraId="1A844239">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10C99303">
      <w:pPr>
        <w:spacing w:line="360" w:lineRule="auto"/>
        <w:ind w:firstLine="6318" w:firstLineChars="2600"/>
        <w:rPr>
          <w:rFonts w:ascii="仿宋" w:hAnsi="仿宋" w:eastAsia="仿宋" w:cs="仿宋"/>
          <w:color w:val="auto"/>
          <w:highlight w:val="none"/>
          <w:lang w:eastAsia="zh-CN"/>
        </w:rPr>
        <w:sectPr>
          <w:headerReference r:id="rId6" w:type="default"/>
          <w:footerReference r:id="rId7" w:type="default"/>
          <w:pgSz w:w="11905" w:h="16838"/>
          <w:pgMar w:top="1440" w:right="1417" w:bottom="1440" w:left="1417" w:header="850" w:footer="992" w:gutter="0"/>
          <w:pgNumType w:fmt="decimal"/>
          <w:cols w:space="0" w:num="1"/>
          <w:docGrid w:type="linesAndChars" w:linePitch="325" w:charSpace="635"/>
        </w:sectPr>
      </w:pPr>
      <w:r>
        <w:rPr>
          <w:rFonts w:hint="eastAsia" w:ascii="仿宋" w:hAnsi="仿宋" w:eastAsia="仿宋" w:cs="仿宋"/>
          <w:color w:val="auto"/>
          <w:highlight w:val="none"/>
          <w:lang w:eastAsia="zh-CN"/>
        </w:rPr>
        <w:t>年     月      日</w:t>
      </w:r>
    </w:p>
    <w:p w14:paraId="32218F22">
      <w:pPr>
        <w:spacing w:line="400" w:lineRule="exact"/>
        <w:jc w:val="center"/>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6</w:t>
      </w:r>
      <w:r>
        <w:rPr>
          <w:rFonts w:hint="eastAsia" w:ascii="仿宋" w:hAnsi="仿宋" w:eastAsia="仿宋" w:cs="仿宋"/>
          <w:b/>
          <w:bCs/>
          <w:color w:val="auto"/>
          <w:sz w:val="32"/>
          <w:szCs w:val="32"/>
          <w:highlight w:val="none"/>
          <w:lang w:eastAsia="zh-CN"/>
        </w:rPr>
        <w:t>、投标企业须提供投标人（被授权在职人员）近6个月内任意一个月有效的社保证明</w:t>
      </w:r>
    </w:p>
    <w:p w14:paraId="36D9F3B9">
      <w:pPr>
        <w:spacing w:line="400" w:lineRule="exact"/>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说明：复印件上应加盖本单位章</w:t>
      </w:r>
    </w:p>
    <w:p w14:paraId="1C9F1C65">
      <w:pPr>
        <w:pStyle w:val="34"/>
        <w:ind w:firstLine="0"/>
        <w:rPr>
          <w:rFonts w:ascii="仿宋" w:hAnsi="仿宋" w:eastAsia="仿宋" w:cs="仿宋"/>
          <w:color w:val="auto"/>
          <w:highlight w:val="none"/>
          <w:lang w:eastAsia="zh-CN"/>
        </w:rPr>
      </w:pPr>
    </w:p>
    <w:p w14:paraId="4AC449F3">
      <w:pPr>
        <w:pStyle w:val="34"/>
        <w:rPr>
          <w:rFonts w:ascii="仿宋" w:hAnsi="仿宋" w:eastAsia="仿宋" w:cs="仿宋"/>
          <w:color w:val="auto"/>
          <w:highlight w:val="none"/>
          <w:lang w:eastAsia="zh-CN"/>
        </w:rPr>
      </w:pPr>
    </w:p>
    <w:p w14:paraId="1494A5A3">
      <w:pPr>
        <w:pStyle w:val="34"/>
        <w:rPr>
          <w:rFonts w:ascii="仿宋" w:hAnsi="仿宋" w:eastAsia="仿宋" w:cs="仿宋"/>
          <w:color w:val="auto"/>
          <w:highlight w:val="none"/>
          <w:lang w:eastAsia="zh-CN"/>
        </w:rPr>
      </w:pPr>
    </w:p>
    <w:p w14:paraId="560D5612">
      <w:pPr>
        <w:pStyle w:val="34"/>
        <w:ind w:left="0" w:leftChars="0" w:firstLine="0" w:firstLineChars="0"/>
        <w:jc w:val="left"/>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7</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bCs/>
          <w:color w:val="auto"/>
          <w:sz w:val="32"/>
          <w:szCs w:val="32"/>
          <w:highlight w:val="none"/>
          <w:lang w:eastAsia="zh-CN"/>
        </w:rPr>
        <w:t>。</w:t>
      </w:r>
    </w:p>
    <w:p w14:paraId="3F0CB065">
      <w:pPr>
        <w:pStyle w:val="34"/>
        <w:jc w:val="left"/>
        <w:rPr>
          <w:rFonts w:ascii="仿宋" w:hAnsi="仿宋" w:eastAsia="仿宋" w:cs="仿宋"/>
          <w:b/>
          <w:bCs/>
          <w:color w:val="auto"/>
          <w:sz w:val="32"/>
          <w:szCs w:val="32"/>
          <w:highlight w:val="none"/>
          <w:lang w:eastAsia="zh-CN"/>
        </w:rPr>
      </w:pPr>
    </w:p>
    <w:p w14:paraId="34345FEA">
      <w:pPr>
        <w:jc w:val="left"/>
        <w:rPr>
          <w:rFonts w:ascii="仿宋" w:hAnsi="仿宋" w:eastAsia="仿宋" w:cs="仿宋"/>
          <w:color w:val="auto"/>
          <w:sz w:val="32"/>
          <w:szCs w:val="32"/>
          <w:highlight w:val="none"/>
          <w:lang w:eastAsia="zh-CN"/>
        </w:rPr>
      </w:pPr>
    </w:p>
    <w:p w14:paraId="5AFDDBAA">
      <w:pPr>
        <w:spacing w:line="400" w:lineRule="exact"/>
        <w:ind w:firstLine="646" w:firstLineChars="200"/>
        <w:jc w:val="left"/>
        <w:rPr>
          <w:rFonts w:ascii="仿宋" w:hAnsi="仿宋" w:eastAsia="仿宋" w:cs="仿宋"/>
          <w:b/>
          <w:bCs/>
          <w:color w:val="auto"/>
          <w:sz w:val="32"/>
          <w:szCs w:val="32"/>
          <w:highlight w:val="none"/>
          <w:lang w:eastAsia="zh-CN"/>
        </w:rPr>
      </w:pPr>
    </w:p>
    <w:p w14:paraId="6114F1D8">
      <w:pPr>
        <w:spacing w:line="400" w:lineRule="exact"/>
        <w:jc w:val="left"/>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8、</w:t>
      </w:r>
      <w:r>
        <w:rPr>
          <w:rFonts w:hint="eastAsia" w:ascii="仿宋" w:hAnsi="仿宋" w:eastAsia="仿宋" w:cs="仿宋"/>
          <w:b/>
          <w:bCs/>
          <w:color w:val="auto"/>
          <w:sz w:val="32"/>
          <w:szCs w:val="32"/>
          <w:highlight w:val="none"/>
          <w:lang w:eastAsia="zh-CN"/>
        </w:rPr>
        <w:t>供应商须知资料表要求的其他资格证明文件</w:t>
      </w:r>
    </w:p>
    <w:p w14:paraId="1117A047">
      <w:pPr>
        <w:pStyle w:val="2"/>
        <w:spacing w:before="40" w:after="40" w:line="579" w:lineRule="auto"/>
        <w:jc w:val="left"/>
        <w:rPr>
          <w:rFonts w:hint="eastAsia" w:ascii="仿宋" w:hAnsi="仿宋" w:eastAsia="仿宋" w:cs="仿宋"/>
          <w:color w:val="auto"/>
          <w:sz w:val="40"/>
          <w:szCs w:val="40"/>
          <w:highlight w:val="none"/>
          <w:lang w:eastAsia="zh-CN"/>
        </w:rPr>
      </w:pPr>
      <w:bookmarkStart w:id="65" w:name="_Toc11180"/>
      <w:bookmarkStart w:id="66" w:name="_Toc5695"/>
      <w:bookmarkStart w:id="67" w:name="_Toc515647816"/>
      <w:bookmarkStart w:id="68" w:name="_Toc22967"/>
    </w:p>
    <w:p w14:paraId="6CB7B285">
      <w:pPr>
        <w:jc w:val="left"/>
        <w:rPr>
          <w:rFonts w:hint="eastAsia" w:ascii="仿宋" w:hAnsi="仿宋" w:eastAsia="仿宋" w:cs="仿宋"/>
          <w:color w:val="auto"/>
          <w:sz w:val="40"/>
          <w:szCs w:val="40"/>
          <w:highlight w:val="none"/>
          <w:lang w:eastAsia="zh-CN"/>
        </w:rPr>
      </w:pPr>
    </w:p>
    <w:p w14:paraId="2B491776">
      <w:pPr>
        <w:pStyle w:val="4"/>
        <w:jc w:val="left"/>
        <w:rPr>
          <w:rFonts w:hint="eastAsia" w:ascii="仿宋" w:hAnsi="仿宋" w:eastAsia="仿宋" w:cs="仿宋"/>
          <w:color w:val="auto"/>
          <w:sz w:val="40"/>
          <w:szCs w:val="40"/>
          <w:highlight w:val="none"/>
          <w:lang w:eastAsia="zh-CN"/>
        </w:rPr>
      </w:pPr>
    </w:p>
    <w:p w14:paraId="4C2E2FAD">
      <w:pPr>
        <w:jc w:val="left"/>
        <w:rPr>
          <w:rFonts w:hint="eastAsia"/>
          <w:color w:val="auto"/>
          <w:sz w:val="32"/>
          <w:szCs w:val="32"/>
          <w:highlight w:val="none"/>
          <w:lang w:eastAsia="zh-CN"/>
        </w:rPr>
      </w:pPr>
    </w:p>
    <w:p w14:paraId="2EBDD7CB">
      <w:pPr>
        <w:pStyle w:val="2"/>
        <w:spacing w:before="40" w:after="40" w:line="579" w:lineRule="auto"/>
        <w:jc w:val="both"/>
        <w:rPr>
          <w:rFonts w:hint="eastAsia" w:ascii="仿宋" w:hAnsi="仿宋" w:eastAsia="仿宋" w:cs="仿宋"/>
          <w:color w:val="auto"/>
          <w:sz w:val="32"/>
          <w:szCs w:val="32"/>
          <w:highlight w:val="none"/>
          <w:lang w:eastAsia="zh-CN"/>
        </w:rPr>
      </w:pPr>
    </w:p>
    <w:p w14:paraId="689A3605">
      <w:pPr>
        <w:rPr>
          <w:rFonts w:hint="eastAsia" w:ascii="仿宋" w:hAnsi="仿宋" w:eastAsia="仿宋" w:cs="仿宋"/>
          <w:color w:val="auto"/>
          <w:sz w:val="32"/>
          <w:szCs w:val="32"/>
          <w:highlight w:val="none"/>
          <w:lang w:eastAsia="zh-CN"/>
        </w:rPr>
      </w:pPr>
    </w:p>
    <w:p w14:paraId="729E137B">
      <w:pPr>
        <w:rPr>
          <w:rFonts w:hint="eastAsia" w:ascii="仿宋" w:hAnsi="仿宋" w:eastAsia="仿宋" w:cs="仿宋"/>
          <w:color w:val="auto"/>
          <w:sz w:val="32"/>
          <w:szCs w:val="32"/>
          <w:highlight w:val="none"/>
          <w:lang w:eastAsia="zh-CN"/>
        </w:rPr>
      </w:pPr>
    </w:p>
    <w:p w14:paraId="72F774EF">
      <w:pPr>
        <w:pStyle w:val="2"/>
        <w:spacing w:before="40" w:after="40" w:line="579" w:lineRule="auto"/>
        <w:jc w:val="center"/>
        <w:rPr>
          <w:rFonts w:hint="eastAsia" w:ascii="仿宋" w:hAnsi="仿宋" w:eastAsia="仿宋" w:cs="仿宋"/>
          <w:color w:val="auto"/>
          <w:sz w:val="32"/>
          <w:szCs w:val="32"/>
          <w:highlight w:val="none"/>
          <w:lang w:eastAsia="zh-CN"/>
        </w:rPr>
      </w:pPr>
    </w:p>
    <w:p w14:paraId="61A39127">
      <w:pPr>
        <w:pStyle w:val="2"/>
        <w:spacing w:before="40" w:after="40" w:line="579" w:lineRule="auto"/>
        <w:jc w:val="center"/>
        <w:rPr>
          <w:rFonts w:hint="eastAsia" w:ascii="仿宋" w:hAnsi="仿宋" w:eastAsia="仿宋" w:cs="仿宋"/>
          <w:color w:val="auto"/>
          <w:sz w:val="32"/>
          <w:szCs w:val="32"/>
          <w:highlight w:val="none"/>
          <w:lang w:eastAsia="zh-CN"/>
        </w:rPr>
      </w:pPr>
    </w:p>
    <w:p w14:paraId="08196E0A">
      <w:pPr>
        <w:pStyle w:val="2"/>
        <w:spacing w:before="40" w:after="40" w:line="579" w:lineRule="auto"/>
        <w:jc w:val="center"/>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第二部分  商务及技术文件</w:t>
      </w:r>
      <w:bookmarkEnd w:id="65"/>
      <w:bookmarkEnd w:id="66"/>
      <w:bookmarkEnd w:id="67"/>
      <w:bookmarkEnd w:id="68"/>
    </w:p>
    <w:p w14:paraId="25772330">
      <w:pPr>
        <w:pStyle w:val="13"/>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1、投标函</w:t>
      </w:r>
    </w:p>
    <w:p w14:paraId="4C9CDF45">
      <w:pPr>
        <w:pStyle w:val="13"/>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2、开标一览表</w:t>
      </w:r>
    </w:p>
    <w:p w14:paraId="62D46D3F">
      <w:pPr>
        <w:pStyle w:val="13"/>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3、货物说明一览表</w:t>
      </w:r>
    </w:p>
    <w:p w14:paraId="09D27DFC">
      <w:pPr>
        <w:pStyle w:val="13"/>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4、投标分项报价明细表</w:t>
      </w:r>
    </w:p>
    <w:p w14:paraId="433B6D84">
      <w:pPr>
        <w:pStyle w:val="13"/>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5、技术规格偏离表</w:t>
      </w:r>
    </w:p>
    <w:p w14:paraId="325A0947">
      <w:pPr>
        <w:pStyle w:val="13"/>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6、商务条款偏离表</w:t>
      </w:r>
    </w:p>
    <w:p w14:paraId="3E1986D1">
      <w:pPr>
        <w:pStyle w:val="13"/>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7、供应商基本情况表</w:t>
      </w:r>
    </w:p>
    <w:p w14:paraId="6240595D">
      <w:pPr>
        <w:pStyle w:val="13"/>
        <w:spacing w:line="400" w:lineRule="exact"/>
        <w:ind w:left="359" w:leftChars="148" w:firstLine="228"/>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8、中标服务费支付承诺书</w:t>
      </w:r>
    </w:p>
    <w:p w14:paraId="2861372E">
      <w:pPr>
        <w:pStyle w:val="13"/>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eastAsia="zh-CN"/>
        </w:rPr>
        <w:t>、中小企业声明函(货物)</w:t>
      </w:r>
    </w:p>
    <w:p w14:paraId="0F96FD52">
      <w:pPr>
        <w:pStyle w:val="13"/>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、《残疾人福利性单位声明函》</w:t>
      </w:r>
    </w:p>
    <w:p w14:paraId="49CEFE4E">
      <w:pPr>
        <w:pStyle w:val="13"/>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lang w:eastAsia="zh-CN"/>
        </w:rPr>
        <w:t>、评分标准和细则中技术部分、商务部分证明材料（格式自拟）</w:t>
      </w:r>
    </w:p>
    <w:p w14:paraId="464A8D42">
      <w:pPr>
        <w:pStyle w:val="13"/>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lang w:eastAsia="zh-CN"/>
        </w:rPr>
        <w:t>、供应商认为有必要提供的其他证明材料（格式自拟）</w:t>
      </w:r>
    </w:p>
    <w:p w14:paraId="4BCA0B11">
      <w:pPr>
        <w:pStyle w:val="13"/>
        <w:tabs>
          <w:tab w:val="left" w:pos="5580"/>
        </w:tabs>
        <w:spacing w:line="400" w:lineRule="exact"/>
        <w:ind w:left="648" w:leftChars="267"/>
        <w:rPr>
          <w:rFonts w:ascii="仿宋" w:hAnsi="仿宋" w:eastAsia="仿宋" w:cs="仿宋"/>
          <w:color w:val="auto"/>
          <w:sz w:val="21"/>
          <w:szCs w:val="21"/>
          <w:highlight w:val="none"/>
          <w:lang w:eastAsia="zh-CN"/>
        </w:rPr>
      </w:pPr>
      <w:r>
        <w:rPr>
          <w:rFonts w:hint="eastAsia" w:ascii="仿宋" w:hAnsi="仿宋" w:eastAsia="仿宋" w:cs="仿宋"/>
          <w:color w:val="auto"/>
          <w:highlight w:val="none"/>
          <w:lang w:eastAsia="zh-CN"/>
        </w:rPr>
        <w:br w:type="page"/>
      </w:r>
    </w:p>
    <w:p w14:paraId="39A95834">
      <w:pPr>
        <w:pStyle w:val="10"/>
        <w:numPr>
          <w:ilvl w:val="0"/>
          <w:numId w:val="0"/>
        </w:numPr>
        <w:kinsoku w:val="0"/>
        <w:overflowPunct w:val="0"/>
        <w:spacing w:before="130" w:line="355" w:lineRule="auto"/>
        <w:ind w:left="480" w:right="7"/>
        <w:jc w:val="center"/>
        <w:rPr>
          <w:rFonts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1、投标函</w:t>
      </w:r>
    </w:p>
    <w:p w14:paraId="21F81DA1">
      <w:pPr>
        <w:spacing w:line="440" w:lineRule="exact"/>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致：</w:t>
      </w:r>
      <w:r>
        <w:rPr>
          <w:rFonts w:hint="eastAsia" w:ascii="仿宋" w:hAnsi="仿宋" w:eastAsia="仿宋" w:cs="仿宋"/>
          <w:color w:val="auto"/>
          <w:highlight w:val="none"/>
          <w:u w:val="single"/>
          <w:lang w:eastAsia="zh-CN"/>
        </w:rPr>
        <w:t xml:space="preserve">                     </w:t>
      </w:r>
    </w:p>
    <w:p w14:paraId="29CFA52A">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为响应你方组织的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项目的招标[项目编号为：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]，我方愿参与投标。</w:t>
      </w:r>
    </w:p>
    <w:p w14:paraId="5512ECE5">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我方确认收到贵方提供的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eastAsia="zh-CN"/>
        </w:rPr>
        <w:t>招标文件的全部内容。</w:t>
      </w:r>
    </w:p>
    <w:p w14:paraId="308DE811">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14:paraId="410DE154">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(供应商名称)      </w:t>
      </w:r>
      <w:r>
        <w:rPr>
          <w:rFonts w:hint="eastAsia" w:ascii="仿宋" w:hAnsi="仿宋" w:eastAsia="仿宋" w:cs="仿宋"/>
          <w:color w:val="auto"/>
          <w:highlight w:val="none"/>
          <w:lang w:eastAsia="zh-CN"/>
        </w:rPr>
        <w:t>作为供应商正式授权</w:t>
      </w:r>
      <w:r>
        <w:rPr>
          <w:rFonts w:hint="eastAsia" w:ascii="仿宋" w:hAnsi="仿宋" w:eastAsia="仿宋" w:cs="仿宋"/>
          <w:color w:val="auto"/>
          <w:highlight w:val="none"/>
          <w:u w:val="single"/>
          <w:lang w:eastAsia="zh-CN"/>
        </w:rPr>
        <w:t xml:space="preserve">  (授权代表全名, 职务)  </w:t>
      </w:r>
      <w:r>
        <w:rPr>
          <w:rFonts w:hint="eastAsia" w:ascii="仿宋" w:hAnsi="仿宋" w:eastAsia="仿宋" w:cs="仿宋"/>
          <w:color w:val="auto"/>
          <w:highlight w:val="none"/>
          <w:lang w:eastAsia="zh-CN"/>
        </w:rPr>
        <w:t>代表我方全权处理有关本报价的一切事宜。</w:t>
      </w:r>
    </w:p>
    <w:p w14:paraId="3F05F025">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我方已完全明白招标文件的所有条款要求，并申明如下：</w:t>
      </w:r>
    </w:p>
    <w:p w14:paraId="46B7B9EE">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（一）按招标文件提供的全部货物与相关服务的投标总价详见《报价一览表》。</w:t>
      </w:r>
    </w:p>
    <w:p w14:paraId="017B377D">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（二）本投标文件的有效期为投标截止时间起</w:t>
      </w:r>
      <w:r>
        <w:rPr>
          <w:rFonts w:hint="eastAsia" w:ascii="仿宋" w:hAnsi="仿宋" w:eastAsia="仿宋" w:cs="仿宋"/>
          <w:color w:val="auto"/>
          <w:highlight w:val="none"/>
          <w:u w:val="single"/>
          <w:lang w:eastAsia="zh-CN"/>
        </w:rPr>
        <w:t>60</w:t>
      </w:r>
      <w:r>
        <w:rPr>
          <w:rFonts w:hint="eastAsia" w:ascii="仿宋" w:hAnsi="仿宋" w:eastAsia="仿宋" w:cs="仿宋"/>
          <w:color w:val="auto"/>
          <w:highlight w:val="none"/>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7267EFD3">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（三）我方同意按照贵方可能提出的要求而提供与投标有关的任何其它数据、信息或资料。</w:t>
      </w:r>
    </w:p>
    <w:p w14:paraId="77EE833F">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（四）我方理解贵方不一定接受最低投标价或任何贵方可能收到的投标。</w:t>
      </w:r>
    </w:p>
    <w:p w14:paraId="38AAC5D4">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（五）我方如果中标，将保证履行招标文件及其澄清、修改文件（如果有）中的全部责任和义务，按质、按量、按期完成《招标内容》及《合同书》中的全部任务。</w:t>
      </w:r>
    </w:p>
    <w:p w14:paraId="04D088E7">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（六）如我方被授予合同，我方承诺支付就本次招标应支付或将支付的中标服务费（详见按招标文件要求格式填写的《中标服务费支付承诺书》）。</w:t>
      </w:r>
    </w:p>
    <w:p w14:paraId="1350C1B1">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（七）我方作为在法律、财务和运作上独立于采购人、招标代理机构的供应商，在此保证所提交的所有文件和全部说明是真实的和正确的。</w:t>
      </w:r>
    </w:p>
    <w:p w14:paraId="0E1996CB">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（八）我方投标报价已包含应向知识产权所有权人支付的所有相关税费，并保证采购人在中国使用我方提供的货物时，如有第三方提出侵犯其知识产权主张的，责任由我方承担。</w:t>
      </w:r>
    </w:p>
    <w:p w14:paraId="55285C7F">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（九）我方与其他供应商不存在单位负责人为同一人或者存在直接控股、管理关系。</w:t>
      </w:r>
    </w:p>
    <w:p w14:paraId="21C5DE46">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（十）我方承诺未为本项目提供整体设计、规范编制或者项目管理、监理、检测等服务。</w:t>
      </w:r>
    </w:p>
    <w:p w14:paraId="748FDF97">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（十一）我方具备《政府采购法》第二十二条规定的条件，承诺如下：</w:t>
      </w:r>
    </w:p>
    <w:p w14:paraId="4FBC5C4D">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（1）我方已依法缴纳了各项税费及社会保险费用，如有需要，可随时向采购人提供近三个月内的相关缴费证明，以便核查。</w:t>
      </w:r>
    </w:p>
    <w:p w14:paraId="0D206494">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（2）我方已依法建立健全的财务会计制度，如有需要，可随时向采购人提供相关的证明材料，以便核查。</w:t>
      </w:r>
    </w:p>
    <w:p w14:paraId="7CB7C8CE">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（3）我方参加本项目政府采购活动前3年内在经营活动中没有重大违法记录。</w:t>
      </w:r>
    </w:p>
    <w:p w14:paraId="1210E97D">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（4）我方具备履行合同所必需的设备和专业技术能力。</w:t>
      </w:r>
    </w:p>
    <w:p w14:paraId="55DE2EB8">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（5）我方符合法律、行政法规规定的其他条件。</w:t>
      </w:r>
    </w:p>
    <w:p w14:paraId="5F7F4504">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以上内容如有虚假或与事实不符的，评审委员会可将我方做无效投标处理，我方愿意承担相应的法律责任。</w:t>
      </w:r>
    </w:p>
    <w:p w14:paraId="78BCBC09">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（十三）我方对在本函及投标文件中所作的所有承诺承担法律责任。</w:t>
      </w:r>
    </w:p>
    <w:p w14:paraId="14D2AFCA">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（十四）所有与本招标有关的函件请发往下列地址：</w:t>
      </w:r>
    </w:p>
    <w:p w14:paraId="76998687">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    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.邮政编码：</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62F7AF5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电    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6AB5F3A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传    真：</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662F1679">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代表姓名：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.职    务：</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21FAB12F">
      <w:pPr>
        <w:spacing w:line="440" w:lineRule="exact"/>
        <w:ind w:right="48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（公章） </w:t>
      </w:r>
    </w:p>
    <w:p w14:paraId="11AF4F27">
      <w:pPr>
        <w:wordWrap w:val="0"/>
        <w:spacing w:line="440" w:lineRule="exact"/>
        <w:ind w:firstLine="486" w:firstLineChars="20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法定代表人或委托人：</w:t>
      </w:r>
      <w:r>
        <w:rPr>
          <w:rFonts w:hint="eastAsia" w:ascii="仿宋" w:hAnsi="仿宋" w:eastAsia="仿宋" w:cs="仿宋"/>
          <w:color w:val="auto"/>
          <w:highlight w:val="non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（签章）  </w:t>
      </w:r>
    </w:p>
    <w:p w14:paraId="16B887D0">
      <w:pPr>
        <w:wordWrap w:val="0"/>
        <w:spacing w:line="440" w:lineRule="exact"/>
        <w:ind w:firstLine="486" w:firstLineChars="20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6E7186B4">
      <w:pPr>
        <w:pStyle w:val="34"/>
        <w:rPr>
          <w:rFonts w:ascii="仿宋" w:hAnsi="仿宋" w:eastAsia="仿宋" w:cs="仿宋"/>
          <w:color w:val="auto"/>
          <w:highlight w:val="none"/>
          <w:lang w:eastAsia="zh-CN"/>
        </w:rPr>
      </w:pPr>
      <w:r>
        <w:rPr>
          <w:rFonts w:hint="eastAsia" w:ascii="仿宋" w:hAnsi="仿宋" w:eastAsia="仿宋" w:cs="仿宋"/>
          <w:color w:val="auto"/>
          <w:highlight w:val="none"/>
          <w:lang w:eastAsia="zh-CN"/>
        </w:rPr>
        <w:br w:type="page"/>
      </w:r>
    </w:p>
    <w:p w14:paraId="39D3A6C3">
      <w:pPr>
        <w:pStyle w:val="7"/>
        <w:tabs>
          <w:tab w:val="left" w:pos="5580"/>
        </w:tabs>
        <w:spacing w:line="240" w:lineRule="atLeast"/>
        <w:ind w:firstLine="3364" w:firstLineChars="927"/>
        <w:jc w:val="both"/>
        <w:rPr>
          <w:rFonts w:ascii="仿宋" w:hAnsi="仿宋" w:eastAsia="仿宋" w:cs="仿宋"/>
          <w:color w:val="auto"/>
          <w:highlight w:val="none"/>
          <w:lang w:eastAsia="zh-CN"/>
        </w:rPr>
      </w:pPr>
      <w:r>
        <w:rPr>
          <w:rFonts w:hint="eastAsia" w:ascii="仿宋" w:hAnsi="仿宋" w:eastAsia="仿宋" w:cs="仿宋"/>
          <w:b/>
          <w:color w:val="auto"/>
          <w:sz w:val="36"/>
          <w:szCs w:val="24"/>
          <w:highlight w:val="none"/>
          <w:lang w:eastAsia="zh-CN"/>
        </w:rPr>
        <w:t>2、开标一览表</w:t>
      </w:r>
      <w:r>
        <w:rPr>
          <w:rFonts w:hint="eastAsia" w:ascii="仿宋" w:hAnsi="仿宋" w:eastAsia="仿宋" w:cs="仿宋"/>
          <w:b/>
          <w:color w:val="auto"/>
          <w:sz w:val="36"/>
          <w:szCs w:val="24"/>
          <w:highlight w:val="none"/>
          <w:lang w:eastAsia="zh-CN"/>
        </w:rPr>
        <w:cr/>
      </w:r>
    </w:p>
    <w:p w14:paraId="4E57CE69">
      <w:pPr>
        <w:adjustRightInd w:val="0"/>
        <w:snapToGrid w:val="0"/>
        <w:spacing w:line="500" w:lineRule="exact"/>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招标项目名称： </w:t>
      </w:r>
      <w:r>
        <w:rPr>
          <w:rFonts w:hint="eastAsia" w:ascii="仿宋" w:hAnsi="仿宋" w:eastAsia="仿宋" w:cs="仿宋"/>
          <w:color w:val="auto"/>
          <w:szCs w:val="21"/>
          <w:highlight w:val="none"/>
          <w:u w:val="single"/>
          <w:lang w:eastAsia="zh-CN"/>
        </w:rPr>
        <w:t xml:space="preserve">                         </w:t>
      </w:r>
    </w:p>
    <w:p w14:paraId="6D3F1BC5">
      <w:pPr>
        <w:adjustRightInd w:val="0"/>
        <w:snapToGrid w:val="0"/>
        <w:spacing w:line="500" w:lineRule="exact"/>
        <w:rPr>
          <w:rFonts w:hint="default" w:ascii="仿宋" w:hAnsi="仿宋" w:eastAsia="仿宋" w:cs="仿宋"/>
          <w:i/>
          <w:iCs/>
          <w:color w:val="auto"/>
          <w:szCs w:val="21"/>
          <w:highlight w:val="none"/>
          <w:lang w:val="en-US" w:eastAsia="zh-CN"/>
        </w:rPr>
      </w:pPr>
      <w:r>
        <w:rPr>
          <w:rFonts w:hint="eastAsia" w:ascii="仿宋" w:hAnsi="仿宋" w:eastAsia="仿宋" w:cs="仿宋"/>
          <w:color w:val="auto"/>
          <w:szCs w:val="21"/>
          <w:highlight w:val="none"/>
          <w:lang w:eastAsia="zh-CN"/>
        </w:rPr>
        <w:t>招标项目编号：</w:t>
      </w:r>
      <w:r>
        <w:rPr>
          <w:rFonts w:hint="eastAsia" w:ascii="仿宋" w:hAnsi="仿宋" w:eastAsia="仿宋" w:cs="仿宋"/>
          <w:i/>
          <w:iCs/>
          <w:color w:val="auto"/>
          <w:szCs w:val="21"/>
          <w:highlight w:val="none"/>
          <w:lang w:eastAsia="zh-CN"/>
        </w:rPr>
        <w:t xml:space="preserve"> </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b w:val="0"/>
          <w:bCs w:val="0"/>
          <w:color w:val="auto"/>
          <w:szCs w:val="21"/>
          <w:highlight w:val="none"/>
          <w:u w:val="none"/>
          <w:lang w:eastAsia="zh-CN"/>
        </w:rPr>
        <w:t>包号：</w:t>
      </w:r>
    </w:p>
    <w:p w14:paraId="7CE0C4A9">
      <w:pPr>
        <w:spacing w:line="5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w:t>
      </w:r>
    </w:p>
    <w:tbl>
      <w:tblPr>
        <w:tblStyle w:val="25"/>
        <w:tblW w:w="8433"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5838"/>
      </w:tblGrid>
      <w:tr w14:paraId="408B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5AEA108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5838" w:type="dxa"/>
            <w:vAlign w:val="center"/>
          </w:tcPr>
          <w:p w14:paraId="1E85A5D5">
            <w:pPr>
              <w:rPr>
                <w:rFonts w:ascii="仿宋" w:hAnsi="仿宋" w:eastAsia="仿宋" w:cs="仿宋"/>
                <w:color w:val="auto"/>
                <w:szCs w:val="21"/>
                <w:highlight w:val="none"/>
              </w:rPr>
            </w:pPr>
          </w:p>
        </w:tc>
      </w:tr>
      <w:tr w14:paraId="6BE8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4B13DB1C">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供货期（天）</w:t>
            </w:r>
          </w:p>
        </w:tc>
        <w:tc>
          <w:tcPr>
            <w:tcW w:w="5838" w:type="dxa"/>
            <w:vAlign w:val="center"/>
          </w:tcPr>
          <w:p w14:paraId="79161E82">
            <w:pPr>
              <w:jc w:val="center"/>
              <w:rPr>
                <w:rFonts w:hint="eastAsia" w:ascii="仿宋" w:hAnsi="仿宋" w:eastAsia="仿宋" w:cs="仿宋"/>
                <w:color w:val="auto"/>
                <w:szCs w:val="21"/>
                <w:highlight w:val="none"/>
                <w:lang w:eastAsia="zh-CN"/>
              </w:rPr>
            </w:pPr>
          </w:p>
        </w:tc>
      </w:tr>
      <w:tr w14:paraId="1387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603BEF3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5838" w:type="dxa"/>
            <w:vAlign w:val="center"/>
          </w:tcPr>
          <w:p w14:paraId="4D462DF4">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60天</w:t>
            </w:r>
          </w:p>
        </w:tc>
      </w:tr>
      <w:tr w14:paraId="3245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21" w:type="dxa"/>
            <w:vMerge w:val="restart"/>
            <w:vAlign w:val="center"/>
          </w:tcPr>
          <w:p w14:paraId="1DDFE1A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投标报价</w:t>
            </w:r>
          </w:p>
          <w:p w14:paraId="1945A2E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元</w:t>
            </w:r>
            <w:r>
              <w:rPr>
                <w:rFonts w:hint="eastAsia" w:ascii="仿宋" w:hAnsi="仿宋" w:eastAsia="仿宋" w:cs="仿宋"/>
                <w:color w:val="auto"/>
                <w:szCs w:val="21"/>
                <w:highlight w:val="none"/>
              </w:rPr>
              <w:t>）</w:t>
            </w:r>
          </w:p>
        </w:tc>
        <w:tc>
          <w:tcPr>
            <w:tcW w:w="974" w:type="dxa"/>
            <w:tcBorders>
              <w:top w:val="single" w:color="auto" w:sz="4" w:space="0"/>
              <w:bottom w:val="single" w:color="auto" w:sz="4" w:space="0"/>
            </w:tcBorders>
            <w:vAlign w:val="center"/>
          </w:tcPr>
          <w:p w14:paraId="2AE32CA1">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5838" w:type="dxa"/>
            <w:vAlign w:val="center"/>
          </w:tcPr>
          <w:p w14:paraId="751BF4FE">
            <w:pPr>
              <w:numPr>
                <w:ilvl w:val="0"/>
                <w:numId w:val="0"/>
              </w:numPr>
              <w:ind w:leftChars="0"/>
              <w:jc w:val="both"/>
              <w:rPr>
                <w:rFonts w:hint="default" w:ascii="仿宋" w:hAnsi="仿宋" w:eastAsia="仿宋" w:cs="仿宋"/>
                <w:color w:val="auto"/>
                <w:szCs w:val="21"/>
                <w:highlight w:val="none"/>
                <w:lang w:val="en-US" w:eastAsia="zh-CN"/>
              </w:rPr>
            </w:pPr>
          </w:p>
        </w:tc>
      </w:tr>
      <w:tr w14:paraId="3C7A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4758618F">
            <w:pPr>
              <w:jc w:val="center"/>
              <w:rPr>
                <w:rFonts w:ascii="仿宋" w:hAnsi="仿宋" w:eastAsia="仿宋" w:cs="仿宋"/>
                <w:color w:val="auto"/>
                <w:szCs w:val="21"/>
                <w:highlight w:val="none"/>
              </w:rPr>
            </w:pPr>
          </w:p>
        </w:tc>
        <w:tc>
          <w:tcPr>
            <w:tcW w:w="974" w:type="dxa"/>
            <w:tcBorders>
              <w:top w:val="single" w:color="auto" w:sz="4" w:space="0"/>
              <w:bottom w:val="single" w:color="auto" w:sz="4" w:space="0"/>
            </w:tcBorders>
            <w:vAlign w:val="center"/>
          </w:tcPr>
          <w:p w14:paraId="49BD7FC7">
            <w:pPr>
              <w:widowControl/>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5838" w:type="dxa"/>
            <w:vAlign w:val="center"/>
          </w:tcPr>
          <w:p w14:paraId="36B8B226">
            <w:pPr>
              <w:jc w:val="both"/>
              <w:rPr>
                <w:rFonts w:hint="default" w:ascii="仿宋" w:hAnsi="仿宋" w:eastAsia="仿宋" w:cs="仿宋"/>
                <w:color w:val="auto"/>
                <w:szCs w:val="21"/>
                <w:highlight w:val="none"/>
                <w:u w:val="single"/>
                <w:lang w:val="en-US" w:eastAsia="zh-CN"/>
              </w:rPr>
            </w:pPr>
          </w:p>
        </w:tc>
      </w:tr>
    </w:tbl>
    <w:p w14:paraId="7EE5F0BC">
      <w:pPr>
        <w:spacing w:line="500" w:lineRule="exact"/>
        <w:ind w:firstLine="475" w:firstLineChars="196"/>
        <w:rPr>
          <w:rFonts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2A7B9302">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256128C0">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.投标总价为招标范围所列全部招标项目的报价总和，并应与投标报价明细表及分项价格表保持一致。</w:t>
      </w:r>
    </w:p>
    <w:p w14:paraId="37A99E21">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.必须在投标文件中装订。</w:t>
      </w:r>
    </w:p>
    <w:p w14:paraId="7C43D4BB">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.投标报价不得填报选择性报价。</w:t>
      </w:r>
    </w:p>
    <w:p w14:paraId="06296181">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供应商名称：</w:t>
      </w:r>
      <w:r>
        <w:rPr>
          <w:rFonts w:hint="eastAsia" w:ascii="仿宋" w:hAnsi="仿宋" w:eastAsia="仿宋" w:cs="仿宋"/>
          <w:color w:val="auto"/>
          <w:szCs w:val="21"/>
          <w:highlight w:val="none"/>
          <w:u w:val="single"/>
          <w:lang w:eastAsia="zh-CN"/>
        </w:rPr>
        <w:t xml:space="preserve">    （加盖公章）     </w:t>
      </w:r>
      <w:r>
        <w:rPr>
          <w:rFonts w:hint="eastAsia" w:ascii="仿宋" w:hAnsi="仿宋" w:eastAsia="仿宋" w:cs="仿宋"/>
          <w:color w:val="auto"/>
          <w:szCs w:val="21"/>
          <w:highlight w:val="none"/>
          <w:lang w:eastAsia="zh-CN"/>
        </w:rPr>
        <w:t xml:space="preserve">       </w:t>
      </w:r>
    </w:p>
    <w:p w14:paraId="0E26E146">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法定代表人签字或盖章：</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w:t>
      </w:r>
    </w:p>
    <w:p w14:paraId="73F80A97">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授权代表签字或盖章：</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w:t>
      </w:r>
    </w:p>
    <w:p w14:paraId="25FF5D3B">
      <w:pPr>
        <w:spacing w:line="500" w:lineRule="exact"/>
        <w:ind w:firstLine="486"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签署日期：</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年</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月 </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日</w:t>
      </w:r>
    </w:p>
    <w:p w14:paraId="068D8E65">
      <w:pPr>
        <w:spacing w:line="500" w:lineRule="exact"/>
        <w:ind w:firstLine="486" w:firstLineChars="200"/>
        <w:rPr>
          <w:rFonts w:hint="eastAsia" w:ascii="仿宋" w:hAnsi="仿宋" w:eastAsia="仿宋" w:cs="仿宋"/>
          <w:color w:val="auto"/>
          <w:szCs w:val="21"/>
          <w:highlight w:val="none"/>
          <w:lang w:val="en-US" w:eastAsia="zh-CN"/>
        </w:rPr>
      </w:pPr>
    </w:p>
    <w:p w14:paraId="7EFFB8F8">
      <w:pPr>
        <w:pStyle w:val="37"/>
        <w:keepNext/>
        <w:keepLines/>
        <w:spacing w:before="0" w:after="220"/>
        <w:jc w:val="center"/>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3、货物说明一览表</w:t>
      </w:r>
    </w:p>
    <w:p w14:paraId="5BE8D5E5">
      <w:pPr>
        <w:pStyle w:val="13"/>
        <w:spacing w:line="240" w:lineRule="atLeast"/>
        <w:ind w:left="1164" w:leftChars="257" w:hanging="540"/>
        <w:rPr>
          <w:rFonts w:ascii="仿宋" w:hAnsi="仿宋" w:eastAsia="仿宋" w:cs="仿宋"/>
          <w:color w:val="auto"/>
          <w:highlight w:val="none"/>
          <w:lang w:eastAsia="zh-CN"/>
        </w:rPr>
      </w:pPr>
    </w:p>
    <w:p w14:paraId="29E530AE">
      <w:pPr>
        <w:pStyle w:val="13"/>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项目名称:                           </w:t>
      </w:r>
    </w:p>
    <w:p w14:paraId="7E4A34CB">
      <w:pPr>
        <w:pStyle w:val="13"/>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招标编号:                       包号:                      </w:t>
      </w:r>
    </w:p>
    <w:p w14:paraId="0C781B5E">
      <w:pPr>
        <w:pStyle w:val="13"/>
        <w:spacing w:line="240" w:lineRule="atLeast"/>
        <w:ind w:left="1164" w:leftChars="257" w:hanging="540"/>
        <w:rPr>
          <w:rFonts w:ascii="仿宋" w:hAnsi="仿宋" w:eastAsia="仿宋" w:cs="仿宋"/>
          <w:color w:val="auto"/>
          <w:highlight w:val="none"/>
          <w:lang w:eastAsia="zh-CN"/>
        </w:rPr>
      </w:pPr>
    </w:p>
    <w:tbl>
      <w:tblPr>
        <w:tblStyle w:val="25"/>
        <w:tblW w:w="8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0"/>
        <w:gridCol w:w="1410"/>
        <w:gridCol w:w="1040"/>
        <w:gridCol w:w="1186"/>
        <w:gridCol w:w="1365"/>
        <w:gridCol w:w="1080"/>
      </w:tblGrid>
      <w:tr w14:paraId="3634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1" w:type="dxa"/>
            <w:vAlign w:val="center"/>
          </w:tcPr>
          <w:p w14:paraId="2A7D1E6B">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序号</w:t>
            </w:r>
          </w:p>
        </w:tc>
        <w:tc>
          <w:tcPr>
            <w:tcW w:w="1400" w:type="dxa"/>
            <w:vAlign w:val="center"/>
          </w:tcPr>
          <w:p w14:paraId="62C61AD9">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货物名称</w:t>
            </w:r>
          </w:p>
        </w:tc>
        <w:tc>
          <w:tcPr>
            <w:tcW w:w="1410" w:type="dxa"/>
            <w:vAlign w:val="center"/>
          </w:tcPr>
          <w:p w14:paraId="41D5CD6D">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主要规格</w:t>
            </w:r>
          </w:p>
        </w:tc>
        <w:tc>
          <w:tcPr>
            <w:tcW w:w="1040" w:type="dxa"/>
            <w:vAlign w:val="center"/>
          </w:tcPr>
          <w:p w14:paraId="1D906704">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数量</w:t>
            </w:r>
          </w:p>
        </w:tc>
        <w:tc>
          <w:tcPr>
            <w:tcW w:w="1186" w:type="dxa"/>
            <w:vAlign w:val="center"/>
          </w:tcPr>
          <w:p w14:paraId="3AB7DFA3">
            <w:pPr>
              <w:jc w:val="center"/>
              <w:rPr>
                <w:rFonts w:hint="eastAsia"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单位</w:t>
            </w:r>
          </w:p>
        </w:tc>
        <w:tc>
          <w:tcPr>
            <w:tcW w:w="1365" w:type="dxa"/>
            <w:vAlign w:val="center"/>
          </w:tcPr>
          <w:p w14:paraId="18E53DC2">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交货地点</w:t>
            </w:r>
          </w:p>
        </w:tc>
        <w:tc>
          <w:tcPr>
            <w:tcW w:w="1080" w:type="dxa"/>
            <w:vAlign w:val="center"/>
          </w:tcPr>
          <w:p w14:paraId="0E40C454">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其它</w:t>
            </w:r>
          </w:p>
        </w:tc>
      </w:tr>
      <w:tr w14:paraId="7F8A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51D20BC1">
            <w:pPr>
              <w:pStyle w:val="13"/>
              <w:spacing w:line="240" w:lineRule="atLeast"/>
              <w:ind w:left="1164" w:leftChars="257" w:hanging="540"/>
              <w:rPr>
                <w:rFonts w:ascii="仿宋" w:hAnsi="仿宋" w:eastAsia="仿宋" w:cs="仿宋"/>
                <w:color w:val="auto"/>
                <w:highlight w:val="none"/>
                <w:lang w:eastAsia="zh-CN"/>
              </w:rPr>
            </w:pPr>
          </w:p>
        </w:tc>
        <w:tc>
          <w:tcPr>
            <w:tcW w:w="1400" w:type="dxa"/>
          </w:tcPr>
          <w:p w14:paraId="5034BADB">
            <w:pPr>
              <w:pStyle w:val="13"/>
              <w:spacing w:line="240" w:lineRule="atLeast"/>
              <w:ind w:left="1164" w:leftChars="257" w:hanging="540"/>
              <w:rPr>
                <w:rFonts w:ascii="仿宋" w:hAnsi="仿宋" w:eastAsia="仿宋" w:cs="仿宋"/>
                <w:color w:val="auto"/>
                <w:highlight w:val="none"/>
                <w:lang w:eastAsia="zh-CN"/>
              </w:rPr>
            </w:pPr>
          </w:p>
        </w:tc>
        <w:tc>
          <w:tcPr>
            <w:tcW w:w="1410" w:type="dxa"/>
          </w:tcPr>
          <w:p w14:paraId="5E0E01D9">
            <w:pPr>
              <w:pStyle w:val="13"/>
              <w:spacing w:line="240" w:lineRule="atLeast"/>
              <w:ind w:left="1164" w:leftChars="257" w:hanging="540"/>
              <w:rPr>
                <w:rFonts w:ascii="仿宋" w:hAnsi="仿宋" w:eastAsia="仿宋" w:cs="仿宋"/>
                <w:color w:val="auto"/>
                <w:highlight w:val="none"/>
                <w:lang w:eastAsia="zh-CN"/>
              </w:rPr>
            </w:pPr>
          </w:p>
        </w:tc>
        <w:tc>
          <w:tcPr>
            <w:tcW w:w="1040" w:type="dxa"/>
          </w:tcPr>
          <w:p w14:paraId="0C315322">
            <w:pPr>
              <w:pStyle w:val="13"/>
              <w:spacing w:line="240" w:lineRule="atLeast"/>
              <w:ind w:left="1164" w:leftChars="257" w:hanging="540"/>
              <w:rPr>
                <w:rFonts w:ascii="仿宋" w:hAnsi="仿宋" w:eastAsia="仿宋" w:cs="仿宋"/>
                <w:color w:val="auto"/>
                <w:highlight w:val="none"/>
                <w:lang w:eastAsia="zh-CN"/>
              </w:rPr>
            </w:pPr>
          </w:p>
        </w:tc>
        <w:tc>
          <w:tcPr>
            <w:tcW w:w="1186" w:type="dxa"/>
          </w:tcPr>
          <w:p w14:paraId="422F80DB">
            <w:pPr>
              <w:pStyle w:val="13"/>
              <w:spacing w:line="240" w:lineRule="atLeast"/>
              <w:ind w:left="1164" w:leftChars="257" w:hanging="540"/>
              <w:rPr>
                <w:rFonts w:ascii="仿宋" w:hAnsi="仿宋" w:eastAsia="仿宋" w:cs="仿宋"/>
                <w:color w:val="auto"/>
                <w:highlight w:val="none"/>
                <w:lang w:eastAsia="zh-CN"/>
              </w:rPr>
            </w:pPr>
          </w:p>
        </w:tc>
        <w:tc>
          <w:tcPr>
            <w:tcW w:w="1365" w:type="dxa"/>
          </w:tcPr>
          <w:p w14:paraId="6B70E6C5">
            <w:pPr>
              <w:pStyle w:val="13"/>
              <w:spacing w:line="240" w:lineRule="atLeast"/>
              <w:ind w:left="1164" w:leftChars="257" w:hanging="540"/>
              <w:rPr>
                <w:rFonts w:ascii="仿宋" w:hAnsi="仿宋" w:eastAsia="仿宋" w:cs="仿宋"/>
                <w:color w:val="auto"/>
                <w:highlight w:val="none"/>
                <w:lang w:eastAsia="zh-CN"/>
              </w:rPr>
            </w:pPr>
          </w:p>
        </w:tc>
        <w:tc>
          <w:tcPr>
            <w:tcW w:w="1080" w:type="dxa"/>
          </w:tcPr>
          <w:p w14:paraId="2880889A">
            <w:pPr>
              <w:pStyle w:val="13"/>
              <w:spacing w:line="240" w:lineRule="atLeast"/>
              <w:ind w:left="1164" w:leftChars="257" w:hanging="540"/>
              <w:rPr>
                <w:rFonts w:ascii="仿宋" w:hAnsi="仿宋" w:eastAsia="仿宋" w:cs="仿宋"/>
                <w:color w:val="auto"/>
                <w:highlight w:val="none"/>
                <w:lang w:eastAsia="zh-CN"/>
              </w:rPr>
            </w:pPr>
          </w:p>
        </w:tc>
      </w:tr>
      <w:tr w14:paraId="3FE5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47AA4E19">
            <w:pPr>
              <w:pStyle w:val="13"/>
              <w:spacing w:line="240" w:lineRule="atLeast"/>
              <w:ind w:left="1164" w:leftChars="257" w:hanging="540"/>
              <w:rPr>
                <w:rFonts w:ascii="仿宋" w:hAnsi="仿宋" w:eastAsia="仿宋" w:cs="仿宋"/>
                <w:color w:val="auto"/>
                <w:highlight w:val="none"/>
                <w:lang w:eastAsia="zh-CN"/>
              </w:rPr>
            </w:pPr>
          </w:p>
        </w:tc>
        <w:tc>
          <w:tcPr>
            <w:tcW w:w="1400" w:type="dxa"/>
          </w:tcPr>
          <w:p w14:paraId="59C42A2E">
            <w:pPr>
              <w:pStyle w:val="13"/>
              <w:spacing w:line="240" w:lineRule="atLeast"/>
              <w:ind w:left="1164" w:leftChars="257" w:hanging="540"/>
              <w:rPr>
                <w:rFonts w:ascii="仿宋" w:hAnsi="仿宋" w:eastAsia="仿宋" w:cs="仿宋"/>
                <w:color w:val="auto"/>
                <w:highlight w:val="none"/>
                <w:lang w:eastAsia="zh-CN"/>
              </w:rPr>
            </w:pPr>
          </w:p>
        </w:tc>
        <w:tc>
          <w:tcPr>
            <w:tcW w:w="1410" w:type="dxa"/>
          </w:tcPr>
          <w:p w14:paraId="751CE7C7">
            <w:pPr>
              <w:pStyle w:val="13"/>
              <w:spacing w:line="240" w:lineRule="atLeast"/>
              <w:ind w:left="1164" w:leftChars="257" w:hanging="540"/>
              <w:rPr>
                <w:rFonts w:ascii="仿宋" w:hAnsi="仿宋" w:eastAsia="仿宋" w:cs="仿宋"/>
                <w:color w:val="auto"/>
                <w:highlight w:val="none"/>
                <w:lang w:eastAsia="zh-CN"/>
              </w:rPr>
            </w:pPr>
          </w:p>
        </w:tc>
        <w:tc>
          <w:tcPr>
            <w:tcW w:w="1040" w:type="dxa"/>
          </w:tcPr>
          <w:p w14:paraId="42DFE288">
            <w:pPr>
              <w:pStyle w:val="13"/>
              <w:spacing w:line="240" w:lineRule="atLeast"/>
              <w:ind w:left="1164" w:leftChars="257" w:hanging="540"/>
              <w:rPr>
                <w:rFonts w:ascii="仿宋" w:hAnsi="仿宋" w:eastAsia="仿宋" w:cs="仿宋"/>
                <w:color w:val="auto"/>
                <w:highlight w:val="none"/>
                <w:lang w:eastAsia="zh-CN"/>
              </w:rPr>
            </w:pPr>
          </w:p>
        </w:tc>
        <w:tc>
          <w:tcPr>
            <w:tcW w:w="1186" w:type="dxa"/>
          </w:tcPr>
          <w:p w14:paraId="2A605675">
            <w:pPr>
              <w:pStyle w:val="13"/>
              <w:spacing w:line="240" w:lineRule="atLeast"/>
              <w:ind w:left="1164" w:leftChars="257" w:hanging="540"/>
              <w:rPr>
                <w:rFonts w:ascii="仿宋" w:hAnsi="仿宋" w:eastAsia="仿宋" w:cs="仿宋"/>
                <w:color w:val="auto"/>
                <w:highlight w:val="none"/>
                <w:lang w:eastAsia="zh-CN"/>
              </w:rPr>
            </w:pPr>
          </w:p>
        </w:tc>
        <w:tc>
          <w:tcPr>
            <w:tcW w:w="1365" w:type="dxa"/>
          </w:tcPr>
          <w:p w14:paraId="1A94CB55">
            <w:pPr>
              <w:pStyle w:val="13"/>
              <w:spacing w:line="240" w:lineRule="atLeast"/>
              <w:ind w:left="1164" w:leftChars="257" w:hanging="540"/>
              <w:rPr>
                <w:rFonts w:ascii="仿宋" w:hAnsi="仿宋" w:eastAsia="仿宋" w:cs="仿宋"/>
                <w:color w:val="auto"/>
                <w:highlight w:val="none"/>
                <w:lang w:eastAsia="zh-CN"/>
              </w:rPr>
            </w:pPr>
          </w:p>
        </w:tc>
        <w:tc>
          <w:tcPr>
            <w:tcW w:w="1080" w:type="dxa"/>
          </w:tcPr>
          <w:p w14:paraId="120C842F">
            <w:pPr>
              <w:pStyle w:val="13"/>
              <w:spacing w:line="240" w:lineRule="atLeast"/>
              <w:ind w:left="1164" w:leftChars="257" w:hanging="540"/>
              <w:rPr>
                <w:rFonts w:ascii="仿宋" w:hAnsi="仿宋" w:eastAsia="仿宋" w:cs="仿宋"/>
                <w:color w:val="auto"/>
                <w:highlight w:val="none"/>
                <w:lang w:eastAsia="zh-CN"/>
              </w:rPr>
            </w:pPr>
          </w:p>
        </w:tc>
      </w:tr>
      <w:tr w14:paraId="4E48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309A77B1">
            <w:pPr>
              <w:pStyle w:val="13"/>
              <w:spacing w:line="240" w:lineRule="atLeast"/>
              <w:ind w:left="1164" w:leftChars="257" w:hanging="540"/>
              <w:rPr>
                <w:rFonts w:ascii="仿宋" w:hAnsi="仿宋" w:eastAsia="仿宋" w:cs="仿宋"/>
                <w:color w:val="auto"/>
                <w:highlight w:val="none"/>
                <w:lang w:eastAsia="zh-CN"/>
              </w:rPr>
            </w:pPr>
          </w:p>
        </w:tc>
        <w:tc>
          <w:tcPr>
            <w:tcW w:w="1400" w:type="dxa"/>
          </w:tcPr>
          <w:p w14:paraId="60E3617A">
            <w:pPr>
              <w:pStyle w:val="13"/>
              <w:spacing w:line="240" w:lineRule="atLeast"/>
              <w:ind w:left="1164" w:leftChars="257" w:hanging="540"/>
              <w:rPr>
                <w:rFonts w:ascii="仿宋" w:hAnsi="仿宋" w:eastAsia="仿宋" w:cs="仿宋"/>
                <w:color w:val="auto"/>
                <w:highlight w:val="none"/>
                <w:lang w:eastAsia="zh-CN"/>
              </w:rPr>
            </w:pPr>
          </w:p>
        </w:tc>
        <w:tc>
          <w:tcPr>
            <w:tcW w:w="1410" w:type="dxa"/>
          </w:tcPr>
          <w:p w14:paraId="4C6E4F03">
            <w:pPr>
              <w:pStyle w:val="13"/>
              <w:spacing w:line="240" w:lineRule="atLeast"/>
              <w:ind w:left="1164" w:leftChars="257" w:hanging="540"/>
              <w:rPr>
                <w:rFonts w:ascii="仿宋" w:hAnsi="仿宋" w:eastAsia="仿宋" w:cs="仿宋"/>
                <w:color w:val="auto"/>
                <w:highlight w:val="none"/>
                <w:lang w:eastAsia="zh-CN"/>
              </w:rPr>
            </w:pPr>
          </w:p>
        </w:tc>
        <w:tc>
          <w:tcPr>
            <w:tcW w:w="1040" w:type="dxa"/>
          </w:tcPr>
          <w:p w14:paraId="50D6B72B">
            <w:pPr>
              <w:pStyle w:val="13"/>
              <w:spacing w:line="240" w:lineRule="atLeast"/>
              <w:ind w:left="1164" w:leftChars="257" w:hanging="540"/>
              <w:rPr>
                <w:rFonts w:ascii="仿宋" w:hAnsi="仿宋" w:eastAsia="仿宋" w:cs="仿宋"/>
                <w:color w:val="auto"/>
                <w:highlight w:val="none"/>
                <w:lang w:eastAsia="zh-CN"/>
              </w:rPr>
            </w:pPr>
          </w:p>
        </w:tc>
        <w:tc>
          <w:tcPr>
            <w:tcW w:w="1186" w:type="dxa"/>
          </w:tcPr>
          <w:p w14:paraId="059128BB">
            <w:pPr>
              <w:pStyle w:val="13"/>
              <w:spacing w:line="240" w:lineRule="atLeast"/>
              <w:ind w:left="1164" w:leftChars="257" w:hanging="540"/>
              <w:rPr>
                <w:rFonts w:ascii="仿宋" w:hAnsi="仿宋" w:eastAsia="仿宋" w:cs="仿宋"/>
                <w:color w:val="auto"/>
                <w:highlight w:val="none"/>
                <w:lang w:eastAsia="zh-CN"/>
              </w:rPr>
            </w:pPr>
          </w:p>
        </w:tc>
        <w:tc>
          <w:tcPr>
            <w:tcW w:w="1365" w:type="dxa"/>
          </w:tcPr>
          <w:p w14:paraId="481ABE6B">
            <w:pPr>
              <w:pStyle w:val="13"/>
              <w:spacing w:line="240" w:lineRule="atLeast"/>
              <w:ind w:left="1164" w:leftChars="257" w:hanging="540"/>
              <w:rPr>
                <w:rFonts w:ascii="仿宋" w:hAnsi="仿宋" w:eastAsia="仿宋" w:cs="仿宋"/>
                <w:color w:val="auto"/>
                <w:highlight w:val="none"/>
                <w:lang w:eastAsia="zh-CN"/>
              </w:rPr>
            </w:pPr>
          </w:p>
        </w:tc>
        <w:tc>
          <w:tcPr>
            <w:tcW w:w="1080" w:type="dxa"/>
          </w:tcPr>
          <w:p w14:paraId="3BCA6F3D">
            <w:pPr>
              <w:pStyle w:val="13"/>
              <w:spacing w:line="240" w:lineRule="atLeast"/>
              <w:ind w:left="1164" w:leftChars="257" w:hanging="540"/>
              <w:rPr>
                <w:rFonts w:ascii="仿宋" w:hAnsi="仿宋" w:eastAsia="仿宋" w:cs="仿宋"/>
                <w:color w:val="auto"/>
                <w:highlight w:val="none"/>
                <w:lang w:eastAsia="zh-CN"/>
              </w:rPr>
            </w:pPr>
          </w:p>
        </w:tc>
      </w:tr>
      <w:tr w14:paraId="01A0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1F6DD676">
            <w:pPr>
              <w:pStyle w:val="13"/>
              <w:spacing w:line="240" w:lineRule="atLeast"/>
              <w:ind w:left="1164" w:leftChars="257" w:hanging="540"/>
              <w:rPr>
                <w:rFonts w:ascii="仿宋" w:hAnsi="仿宋" w:eastAsia="仿宋" w:cs="仿宋"/>
                <w:color w:val="auto"/>
                <w:highlight w:val="none"/>
                <w:lang w:eastAsia="zh-CN"/>
              </w:rPr>
            </w:pPr>
          </w:p>
        </w:tc>
        <w:tc>
          <w:tcPr>
            <w:tcW w:w="1400" w:type="dxa"/>
          </w:tcPr>
          <w:p w14:paraId="1042D018">
            <w:pPr>
              <w:pStyle w:val="13"/>
              <w:spacing w:line="240" w:lineRule="atLeast"/>
              <w:ind w:left="1164" w:leftChars="257" w:hanging="540"/>
              <w:rPr>
                <w:rFonts w:ascii="仿宋" w:hAnsi="仿宋" w:eastAsia="仿宋" w:cs="仿宋"/>
                <w:color w:val="auto"/>
                <w:highlight w:val="none"/>
                <w:lang w:eastAsia="zh-CN"/>
              </w:rPr>
            </w:pPr>
          </w:p>
        </w:tc>
        <w:tc>
          <w:tcPr>
            <w:tcW w:w="1410" w:type="dxa"/>
          </w:tcPr>
          <w:p w14:paraId="7AC8236C">
            <w:pPr>
              <w:pStyle w:val="13"/>
              <w:spacing w:line="240" w:lineRule="atLeast"/>
              <w:ind w:left="1164" w:leftChars="257" w:hanging="540"/>
              <w:rPr>
                <w:rFonts w:ascii="仿宋" w:hAnsi="仿宋" w:eastAsia="仿宋" w:cs="仿宋"/>
                <w:color w:val="auto"/>
                <w:highlight w:val="none"/>
                <w:lang w:eastAsia="zh-CN"/>
              </w:rPr>
            </w:pPr>
          </w:p>
        </w:tc>
        <w:tc>
          <w:tcPr>
            <w:tcW w:w="1040" w:type="dxa"/>
          </w:tcPr>
          <w:p w14:paraId="6D998D9A">
            <w:pPr>
              <w:pStyle w:val="13"/>
              <w:spacing w:line="240" w:lineRule="atLeast"/>
              <w:ind w:left="1164" w:leftChars="257" w:hanging="540"/>
              <w:rPr>
                <w:rFonts w:ascii="仿宋" w:hAnsi="仿宋" w:eastAsia="仿宋" w:cs="仿宋"/>
                <w:color w:val="auto"/>
                <w:highlight w:val="none"/>
                <w:lang w:eastAsia="zh-CN"/>
              </w:rPr>
            </w:pPr>
          </w:p>
        </w:tc>
        <w:tc>
          <w:tcPr>
            <w:tcW w:w="1186" w:type="dxa"/>
          </w:tcPr>
          <w:p w14:paraId="5050D63D">
            <w:pPr>
              <w:pStyle w:val="13"/>
              <w:spacing w:line="240" w:lineRule="atLeast"/>
              <w:ind w:left="1164" w:leftChars="257" w:hanging="540"/>
              <w:rPr>
                <w:rFonts w:ascii="仿宋" w:hAnsi="仿宋" w:eastAsia="仿宋" w:cs="仿宋"/>
                <w:color w:val="auto"/>
                <w:highlight w:val="none"/>
                <w:lang w:eastAsia="zh-CN"/>
              </w:rPr>
            </w:pPr>
          </w:p>
        </w:tc>
        <w:tc>
          <w:tcPr>
            <w:tcW w:w="1365" w:type="dxa"/>
          </w:tcPr>
          <w:p w14:paraId="14DF15BC">
            <w:pPr>
              <w:pStyle w:val="13"/>
              <w:spacing w:line="240" w:lineRule="atLeast"/>
              <w:ind w:left="1164" w:leftChars="257" w:hanging="540"/>
              <w:rPr>
                <w:rFonts w:ascii="仿宋" w:hAnsi="仿宋" w:eastAsia="仿宋" w:cs="仿宋"/>
                <w:color w:val="auto"/>
                <w:highlight w:val="none"/>
                <w:lang w:eastAsia="zh-CN"/>
              </w:rPr>
            </w:pPr>
          </w:p>
        </w:tc>
        <w:tc>
          <w:tcPr>
            <w:tcW w:w="1080" w:type="dxa"/>
          </w:tcPr>
          <w:p w14:paraId="530D4D6A">
            <w:pPr>
              <w:pStyle w:val="13"/>
              <w:spacing w:line="240" w:lineRule="atLeast"/>
              <w:ind w:left="1164" w:leftChars="257" w:hanging="540"/>
              <w:rPr>
                <w:rFonts w:ascii="仿宋" w:hAnsi="仿宋" w:eastAsia="仿宋" w:cs="仿宋"/>
                <w:color w:val="auto"/>
                <w:highlight w:val="none"/>
                <w:lang w:eastAsia="zh-CN"/>
              </w:rPr>
            </w:pPr>
          </w:p>
        </w:tc>
      </w:tr>
      <w:tr w14:paraId="10F0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tcPr>
          <w:p w14:paraId="141C6F9D">
            <w:pPr>
              <w:pStyle w:val="13"/>
              <w:spacing w:line="240" w:lineRule="atLeast"/>
              <w:ind w:left="1164" w:leftChars="257" w:hanging="540"/>
              <w:rPr>
                <w:rFonts w:ascii="仿宋" w:hAnsi="仿宋" w:eastAsia="仿宋" w:cs="仿宋"/>
                <w:color w:val="auto"/>
                <w:highlight w:val="none"/>
                <w:lang w:eastAsia="zh-CN"/>
              </w:rPr>
            </w:pPr>
          </w:p>
        </w:tc>
        <w:tc>
          <w:tcPr>
            <w:tcW w:w="1400" w:type="dxa"/>
          </w:tcPr>
          <w:p w14:paraId="78E6DAD0">
            <w:pPr>
              <w:pStyle w:val="13"/>
              <w:spacing w:line="240" w:lineRule="atLeast"/>
              <w:ind w:left="1164" w:leftChars="257" w:hanging="540"/>
              <w:rPr>
                <w:rFonts w:ascii="仿宋" w:hAnsi="仿宋" w:eastAsia="仿宋" w:cs="仿宋"/>
                <w:color w:val="auto"/>
                <w:highlight w:val="none"/>
                <w:lang w:eastAsia="zh-CN"/>
              </w:rPr>
            </w:pPr>
          </w:p>
        </w:tc>
        <w:tc>
          <w:tcPr>
            <w:tcW w:w="1410" w:type="dxa"/>
          </w:tcPr>
          <w:p w14:paraId="58718FC2">
            <w:pPr>
              <w:pStyle w:val="13"/>
              <w:spacing w:line="240" w:lineRule="atLeast"/>
              <w:ind w:left="1164" w:leftChars="257" w:hanging="540"/>
              <w:rPr>
                <w:rFonts w:ascii="仿宋" w:hAnsi="仿宋" w:eastAsia="仿宋" w:cs="仿宋"/>
                <w:color w:val="auto"/>
                <w:highlight w:val="none"/>
                <w:lang w:eastAsia="zh-CN"/>
              </w:rPr>
            </w:pPr>
          </w:p>
        </w:tc>
        <w:tc>
          <w:tcPr>
            <w:tcW w:w="1040" w:type="dxa"/>
          </w:tcPr>
          <w:p w14:paraId="799D6A50">
            <w:pPr>
              <w:pStyle w:val="13"/>
              <w:spacing w:line="240" w:lineRule="atLeast"/>
              <w:ind w:left="1164" w:leftChars="257" w:hanging="540"/>
              <w:rPr>
                <w:rFonts w:ascii="仿宋" w:hAnsi="仿宋" w:eastAsia="仿宋" w:cs="仿宋"/>
                <w:color w:val="auto"/>
                <w:highlight w:val="none"/>
                <w:lang w:eastAsia="zh-CN"/>
              </w:rPr>
            </w:pPr>
          </w:p>
        </w:tc>
        <w:tc>
          <w:tcPr>
            <w:tcW w:w="1186" w:type="dxa"/>
          </w:tcPr>
          <w:p w14:paraId="34D85AF1">
            <w:pPr>
              <w:pStyle w:val="13"/>
              <w:spacing w:line="240" w:lineRule="atLeast"/>
              <w:ind w:left="1164" w:leftChars="257" w:hanging="540"/>
              <w:rPr>
                <w:rFonts w:ascii="仿宋" w:hAnsi="仿宋" w:eastAsia="仿宋" w:cs="仿宋"/>
                <w:color w:val="auto"/>
                <w:highlight w:val="none"/>
                <w:lang w:eastAsia="zh-CN"/>
              </w:rPr>
            </w:pPr>
          </w:p>
        </w:tc>
        <w:tc>
          <w:tcPr>
            <w:tcW w:w="1365" w:type="dxa"/>
          </w:tcPr>
          <w:p w14:paraId="551DEC91">
            <w:pPr>
              <w:pStyle w:val="13"/>
              <w:spacing w:line="240" w:lineRule="atLeast"/>
              <w:ind w:left="1164" w:leftChars="257" w:hanging="540"/>
              <w:rPr>
                <w:rFonts w:ascii="仿宋" w:hAnsi="仿宋" w:eastAsia="仿宋" w:cs="仿宋"/>
                <w:color w:val="auto"/>
                <w:highlight w:val="none"/>
                <w:lang w:eastAsia="zh-CN"/>
              </w:rPr>
            </w:pPr>
          </w:p>
        </w:tc>
        <w:tc>
          <w:tcPr>
            <w:tcW w:w="1080" w:type="dxa"/>
          </w:tcPr>
          <w:p w14:paraId="2F1AF1E2">
            <w:pPr>
              <w:pStyle w:val="13"/>
              <w:spacing w:line="240" w:lineRule="atLeast"/>
              <w:ind w:left="1164" w:leftChars="257" w:hanging="540"/>
              <w:rPr>
                <w:rFonts w:ascii="仿宋" w:hAnsi="仿宋" w:eastAsia="仿宋" w:cs="仿宋"/>
                <w:color w:val="auto"/>
                <w:highlight w:val="none"/>
                <w:lang w:eastAsia="zh-CN"/>
              </w:rPr>
            </w:pPr>
          </w:p>
        </w:tc>
      </w:tr>
      <w:tr w14:paraId="710C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1" w:type="dxa"/>
          </w:tcPr>
          <w:p w14:paraId="4FA3873D">
            <w:pPr>
              <w:pStyle w:val="13"/>
              <w:spacing w:line="240" w:lineRule="atLeast"/>
              <w:ind w:left="1164" w:leftChars="257" w:hanging="540"/>
              <w:rPr>
                <w:rFonts w:ascii="仿宋" w:hAnsi="仿宋" w:eastAsia="仿宋" w:cs="仿宋"/>
                <w:color w:val="auto"/>
                <w:highlight w:val="none"/>
                <w:lang w:eastAsia="zh-CN"/>
              </w:rPr>
            </w:pPr>
          </w:p>
        </w:tc>
        <w:tc>
          <w:tcPr>
            <w:tcW w:w="1400" w:type="dxa"/>
          </w:tcPr>
          <w:p w14:paraId="6EC9D8D9">
            <w:pPr>
              <w:pStyle w:val="13"/>
              <w:spacing w:line="240" w:lineRule="atLeast"/>
              <w:ind w:left="1164" w:leftChars="257" w:hanging="540"/>
              <w:rPr>
                <w:rFonts w:ascii="仿宋" w:hAnsi="仿宋" w:eastAsia="仿宋" w:cs="仿宋"/>
                <w:color w:val="auto"/>
                <w:highlight w:val="none"/>
                <w:lang w:eastAsia="zh-CN"/>
              </w:rPr>
            </w:pPr>
          </w:p>
        </w:tc>
        <w:tc>
          <w:tcPr>
            <w:tcW w:w="1410" w:type="dxa"/>
          </w:tcPr>
          <w:p w14:paraId="10A0F94A">
            <w:pPr>
              <w:pStyle w:val="13"/>
              <w:spacing w:line="240" w:lineRule="atLeast"/>
              <w:ind w:left="1164" w:leftChars="257" w:hanging="540"/>
              <w:rPr>
                <w:rFonts w:ascii="仿宋" w:hAnsi="仿宋" w:eastAsia="仿宋" w:cs="仿宋"/>
                <w:color w:val="auto"/>
                <w:highlight w:val="none"/>
                <w:lang w:eastAsia="zh-CN"/>
              </w:rPr>
            </w:pPr>
          </w:p>
        </w:tc>
        <w:tc>
          <w:tcPr>
            <w:tcW w:w="1040" w:type="dxa"/>
          </w:tcPr>
          <w:p w14:paraId="7654EE8D">
            <w:pPr>
              <w:pStyle w:val="13"/>
              <w:spacing w:line="240" w:lineRule="atLeast"/>
              <w:ind w:left="1164" w:leftChars="257" w:hanging="540"/>
              <w:rPr>
                <w:rFonts w:ascii="仿宋" w:hAnsi="仿宋" w:eastAsia="仿宋" w:cs="仿宋"/>
                <w:color w:val="auto"/>
                <w:highlight w:val="none"/>
                <w:lang w:eastAsia="zh-CN"/>
              </w:rPr>
            </w:pPr>
          </w:p>
        </w:tc>
        <w:tc>
          <w:tcPr>
            <w:tcW w:w="1186" w:type="dxa"/>
          </w:tcPr>
          <w:p w14:paraId="23F15316">
            <w:pPr>
              <w:pStyle w:val="13"/>
              <w:spacing w:line="240" w:lineRule="atLeast"/>
              <w:ind w:left="1164" w:leftChars="257" w:hanging="540"/>
              <w:rPr>
                <w:rFonts w:ascii="仿宋" w:hAnsi="仿宋" w:eastAsia="仿宋" w:cs="仿宋"/>
                <w:color w:val="auto"/>
                <w:highlight w:val="none"/>
                <w:lang w:eastAsia="zh-CN"/>
              </w:rPr>
            </w:pPr>
          </w:p>
        </w:tc>
        <w:tc>
          <w:tcPr>
            <w:tcW w:w="1365" w:type="dxa"/>
          </w:tcPr>
          <w:p w14:paraId="1A2EC880">
            <w:pPr>
              <w:pStyle w:val="13"/>
              <w:spacing w:line="240" w:lineRule="atLeast"/>
              <w:ind w:left="1164" w:leftChars="257" w:hanging="540"/>
              <w:rPr>
                <w:rFonts w:ascii="仿宋" w:hAnsi="仿宋" w:eastAsia="仿宋" w:cs="仿宋"/>
                <w:color w:val="auto"/>
                <w:highlight w:val="none"/>
                <w:lang w:eastAsia="zh-CN"/>
              </w:rPr>
            </w:pPr>
          </w:p>
        </w:tc>
        <w:tc>
          <w:tcPr>
            <w:tcW w:w="1080" w:type="dxa"/>
          </w:tcPr>
          <w:p w14:paraId="7E06A74F">
            <w:pPr>
              <w:pStyle w:val="13"/>
              <w:spacing w:line="240" w:lineRule="atLeast"/>
              <w:ind w:left="1164" w:leftChars="257" w:hanging="540"/>
              <w:rPr>
                <w:rFonts w:ascii="仿宋" w:hAnsi="仿宋" w:eastAsia="仿宋" w:cs="仿宋"/>
                <w:color w:val="auto"/>
                <w:highlight w:val="none"/>
                <w:lang w:eastAsia="zh-CN"/>
              </w:rPr>
            </w:pPr>
          </w:p>
        </w:tc>
      </w:tr>
      <w:tr w14:paraId="7F09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1" w:type="dxa"/>
          </w:tcPr>
          <w:p w14:paraId="043388B1">
            <w:pPr>
              <w:pStyle w:val="13"/>
              <w:spacing w:line="240" w:lineRule="atLeast"/>
              <w:ind w:left="1164" w:leftChars="257" w:hanging="540"/>
              <w:rPr>
                <w:rFonts w:ascii="仿宋" w:hAnsi="仿宋" w:eastAsia="仿宋" w:cs="仿宋"/>
                <w:color w:val="auto"/>
                <w:highlight w:val="none"/>
                <w:lang w:eastAsia="zh-CN"/>
              </w:rPr>
            </w:pPr>
          </w:p>
        </w:tc>
        <w:tc>
          <w:tcPr>
            <w:tcW w:w="1400" w:type="dxa"/>
          </w:tcPr>
          <w:p w14:paraId="485D87D9">
            <w:pPr>
              <w:pStyle w:val="13"/>
              <w:spacing w:line="240" w:lineRule="atLeast"/>
              <w:ind w:left="1164" w:leftChars="257" w:hanging="540"/>
              <w:rPr>
                <w:rFonts w:ascii="仿宋" w:hAnsi="仿宋" w:eastAsia="仿宋" w:cs="仿宋"/>
                <w:color w:val="auto"/>
                <w:highlight w:val="none"/>
                <w:lang w:eastAsia="zh-CN"/>
              </w:rPr>
            </w:pPr>
          </w:p>
        </w:tc>
        <w:tc>
          <w:tcPr>
            <w:tcW w:w="1410" w:type="dxa"/>
          </w:tcPr>
          <w:p w14:paraId="744427D4">
            <w:pPr>
              <w:pStyle w:val="13"/>
              <w:spacing w:line="240" w:lineRule="atLeast"/>
              <w:ind w:left="1164" w:leftChars="257" w:hanging="540"/>
              <w:rPr>
                <w:rFonts w:ascii="仿宋" w:hAnsi="仿宋" w:eastAsia="仿宋" w:cs="仿宋"/>
                <w:color w:val="auto"/>
                <w:highlight w:val="none"/>
                <w:lang w:eastAsia="zh-CN"/>
              </w:rPr>
            </w:pPr>
          </w:p>
        </w:tc>
        <w:tc>
          <w:tcPr>
            <w:tcW w:w="1040" w:type="dxa"/>
          </w:tcPr>
          <w:p w14:paraId="74DB1ACF">
            <w:pPr>
              <w:pStyle w:val="13"/>
              <w:spacing w:line="240" w:lineRule="atLeast"/>
              <w:ind w:left="1164" w:leftChars="257" w:hanging="540"/>
              <w:rPr>
                <w:rFonts w:ascii="仿宋" w:hAnsi="仿宋" w:eastAsia="仿宋" w:cs="仿宋"/>
                <w:color w:val="auto"/>
                <w:highlight w:val="none"/>
                <w:lang w:eastAsia="zh-CN"/>
              </w:rPr>
            </w:pPr>
          </w:p>
        </w:tc>
        <w:tc>
          <w:tcPr>
            <w:tcW w:w="1186" w:type="dxa"/>
          </w:tcPr>
          <w:p w14:paraId="0936E038">
            <w:pPr>
              <w:pStyle w:val="13"/>
              <w:spacing w:line="240" w:lineRule="atLeast"/>
              <w:ind w:left="1164" w:leftChars="257" w:hanging="540"/>
              <w:rPr>
                <w:rFonts w:ascii="仿宋" w:hAnsi="仿宋" w:eastAsia="仿宋" w:cs="仿宋"/>
                <w:color w:val="auto"/>
                <w:highlight w:val="none"/>
                <w:lang w:eastAsia="zh-CN"/>
              </w:rPr>
            </w:pPr>
          </w:p>
        </w:tc>
        <w:tc>
          <w:tcPr>
            <w:tcW w:w="1365" w:type="dxa"/>
          </w:tcPr>
          <w:p w14:paraId="2A712DBE">
            <w:pPr>
              <w:pStyle w:val="13"/>
              <w:spacing w:line="240" w:lineRule="atLeast"/>
              <w:ind w:left="1164" w:leftChars="257" w:hanging="540"/>
              <w:rPr>
                <w:rFonts w:ascii="仿宋" w:hAnsi="仿宋" w:eastAsia="仿宋" w:cs="仿宋"/>
                <w:color w:val="auto"/>
                <w:highlight w:val="none"/>
                <w:lang w:eastAsia="zh-CN"/>
              </w:rPr>
            </w:pPr>
          </w:p>
        </w:tc>
        <w:tc>
          <w:tcPr>
            <w:tcW w:w="1080" w:type="dxa"/>
          </w:tcPr>
          <w:p w14:paraId="18FD75B7">
            <w:pPr>
              <w:pStyle w:val="13"/>
              <w:spacing w:line="240" w:lineRule="atLeast"/>
              <w:ind w:left="1164" w:leftChars="257" w:hanging="540"/>
              <w:rPr>
                <w:rFonts w:ascii="仿宋" w:hAnsi="仿宋" w:eastAsia="仿宋" w:cs="仿宋"/>
                <w:color w:val="auto"/>
                <w:highlight w:val="none"/>
                <w:lang w:eastAsia="zh-CN"/>
              </w:rPr>
            </w:pPr>
          </w:p>
        </w:tc>
      </w:tr>
      <w:tr w14:paraId="47F8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 w:type="dxa"/>
          </w:tcPr>
          <w:p w14:paraId="3AA15897">
            <w:pPr>
              <w:pStyle w:val="13"/>
              <w:spacing w:line="240" w:lineRule="atLeast"/>
              <w:ind w:left="1164" w:leftChars="257" w:hanging="540"/>
              <w:rPr>
                <w:rFonts w:ascii="仿宋" w:hAnsi="仿宋" w:eastAsia="仿宋" w:cs="仿宋"/>
                <w:color w:val="auto"/>
                <w:highlight w:val="none"/>
                <w:lang w:eastAsia="zh-CN"/>
              </w:rPr>
            </w:pPr>
          </w:p>
        </w:tc>
        <w:tc>
          <w:tcPr>
            <w:tcW w:w="1400" w:type="dxa"/>
          </w:tcPr>
          <w:p w14:paraId="32F6894B">
            <w:pPr>
              <w:pStyle w:val="13"/>
              <w:spacing w:line="240" w:lineRule="atLeast"/>
              <w:ind w:left="1164" w:leftChars="257" w:hanging="540"/>
              <w:rPr>
                <w:rFonts w:ascii="仿宋" w:hAnsi="仿宋" w:eastAsia="仿宋" w:cs="仿宋"/>
                <w:color w:val="auto"/>
                <w:highlight w:val="none"/>
                <w:lang w:eastAsia="zh-CN"/>
              </w:rPr>
            </w:pPr>
          </w:p>
        </w:tc>
        <w:tc>
          <w:tcPr>
            <w:tcW w:w="1410" w:type="dxa"/>
          </w:tcPr>
          <w:p w14:paraId="65229E0A">
            <w:pPr>
              <w:pStyle w:val="13"/>
              <w:spacing w:line="240" w:lineRule="atLeast"/>
              <w:ind w:left="1164" w:leftChars="257" w:hanging="540"/>
              <w:rPr>
                <w:rFonts w:ascii="仿宋" w:hAnsi="仿宋" w:eastAsia="仿宋" w:cs="仿宋"/>
                <w:color w:val="auto"/>
                <w:highlight w:val="none"/>
                <w:lang w:eastAsia="zh-CN"/>
              </w:rPr>
            </w:pPr>
          </w:p>
        </w:tc>
        <w:tc>
          <w:tcPr>
            <w:tcW w:w="1040" w:type="dxa"/>
          </w:tcPr>
          <w:p w14:paraId="5EE6D4C8">
            <w:pPr>
              <w:pStyle w:val="13"/>
              <w:spacing w:line="240" w:lineRule="atLeast"/>
              <w:ind w:left="1164" w:leftChars="257" w:hanging="540"/>
              <w:rPr>
                <w:rFonts w:ascii="仿宋" w:hAnsi="仿宋" w:eastAsia="仿宋" w:cs="仿宋"/>
                <w:color w:val="auto"/>
                <w:highlight w:val="none"/>
                <w:lang w:eastAsia="zh-CN"/>
              </w:rPr>
            </w:pPr>
          </w:p>
        </w:tc>
        <w:tc>
          <w:tcPr>
            <w:tcW w:w="1186" w:type="dxa"/>
          </w:tcPr>
          <w:p w14:paraId="00BE8126">
            <w:pPr>
              <w:pStyle w:val="13"/>
              <w:spacing w:line="240" w:lineRule="atLeast"/>
              <w:ind w:left="1164" w:leftChars="257" w:hanging="540"/>
              <w:rPr>
                <w:rFonts w:ascii="仿宋" w:hAnsi="仿宋" w:eastAsia="仿宋" w:cs="仿宋"/>
                <w:color w:val="auto"/>
                <w:highlight w:val="none"/>
                <w:lang w:eastAsia="zh-CN"/>
              </w:rPr>
            </w:pPr>
          </w:p>
        </w:tc>
        <w:tc>
          <w:tcPr>
            <w:tcW w:w="1365" w:type="dxa"/>
          </w:tcPr>
          <w:p w14:paraId="5B177134">
            <w:pPr>
              <w:pStyle w:val="13"/>
              <w:spacing w:line="240" w:lineRule="atLeast"/>
              <w:ind w:left="1164" w:leftChars="257" w:hanging="540"/>
              <w:rPr>
                <w:rFonts w:ascii="仿宋" w:hAnsi="仿宋" w:eastAsia="仿宋" w:cs="仿宋"/>
                <w:color w:val="auto"/>
                <w:highlight w:val="none"/>
                <w:lang w:eastAsia="zh-CN"/>
              </w:rPr>
            </w:pPr>
          </w:p>
        </w:tc>
        <w:tc>
          <w:tcPr>
            <w:tcW w:w="1080" w:type="dxa"/>
          </w:tcPr>
          <w:p w14:paraId="2A03784F">
            <w:pPr>
              <w:pStyle w:val="13"/>
              <w:spacing w:line="240" w:lineRule="atLeast"/>
              <w:ind w:left="1164" w:leftChars="257" w:hanging="540"/>
              <w:rPr>
                <w:rFonts w:ascii="仿宋" w:hAnsi="仿宋" w:eastAsia="仿宋" w:cs="仿宋"/>
                <w:color w:val="auto"/>
                <w:highlight w:val="none"/>
                <w:lang w:eastAsia="zh-CN"/>
              </w:rPr>
            </w:pPr>
          </w:p>
        </w:tc>
      </w:tr>
    </w:tbl>
    <w:p w14:paraId="0DDFCE1B">
      <w:pPr>
        <w:pStyle w:val="13"/>
        <w:spacing w:line="240" w:lineRule="atLeast"/>
        <w:ind w:left="1164" w:leftChars="257" w:hanging="540"/>
        <w:rPr>
          <w:rFonts w:ascii="仿宋" w:hAnsi="仿宋" w:eastAsia="仿宋" w:cs="仿宋"/>
          <w:color w:val="auto"/>
          <w:highlight w:val="none"/>
        </w:rPr>
      </w:pPr>
    </w:p>
    <w:p w14:paraId="3DBFDC09">
      <w:pPr>
        <w:pStyle w:val="13"/>
        <w:spacing w:line="240" w:lineRule="atLeast"/>
        <w:ind w:left="1164" w:leftChars="257" w:hanging="540"/>
        <w:rPr>
          <w:rFonts w:hint="eastAsia" w:ascii="仿宋" w:hAnsi="仿宋" w:eastAsia="仿宋" w:cs="仿宋"/>
          <w:color w:val="auto"/>
          <w:highlight w:val="none"/>
          <w:lang w:eastAsia="zh-CN"/>
        </w:rPr>
      </w:pPr>
    </w:p>
    <w:p w14:paraId="6216A7EB">
      <w:pPr>
        <w:pStyle w:val="13"/>
        <w:spacing w:line="240" w:lineRule="atLeast"/>
        <w:ind w:left="1164"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法定代表人或其委托代理人签章:</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hAnsi="宋体" w:eastAsia="宋体" w:cs="宋体"/>
          <w:color w:val="auto"/>
          <w:highlight w:val="none"/>
          <w:u w:val="single"/>
          <w:lang w:eastAsia="zh-CN"/>
        </w:rPr>
        <w:t xml:space="preserve">         </w:t>
      </w:r>
    </w:p>
    <w:p w14:paraId="769D2959">
      <w:pPr>
        <w:pStyle w:val="13"/>
        <w:tabs>
          <w:tab w:val="left" w:pos="5370"/>
        </w:tabs>
        <w:spacing w:line="240" w:lineRule="atLeast"/>
        <w:ind w:left="1164" w:leftChars="257" w:hanging="540"/>
        <w:rPr>
          <w:rFonts w:ascii="仿宋" w:hAnsi="仿宋" w:eastAsia="仿宋" w:cs="仿宋"/>
          <w:color w:val="auto"/>
          <w:highlight w:val="none"/>
          <w:lang w:eastAsia="zh-CN"/>
        </w:rPr>
      </w:pPr>
    </w:p>
    <w:p w14:paraId="3653FAA5">
      <w:pPr>
        <w:pStyle w:val="13"/>
        <w:tabs>
          <w:tab w:val="left" w:pos="5370"/>
        </w:tabs>
        <w:spacing w:line="240" w:lineRule="atLeast"/>
        <w:ind w:left="1164" w:leftChars="257" w:hanging="54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供应商(盖单位章):</w:t>
      </w:r>
      <w:r>
        <w:rPr>
          <w:rFonts w:hint="eastAsia" w:ascii="仿宋" w:hAnsi="仿宋" w:eastAsia="仿宋" w:cs="仿宋"/>
          <w:color w:val="auto"/>
          <w:highlight w:val="none"/>
          <w:u w:val="single"/>
          <w:lang w:eastAsia="zh-CN"/>
        </w:rPr>
        <w:tab/>
      </w:r>
    </w:p>
    <w:p w14:paraId="310E1C17">
      <w:pPr>
        <w:pStyle w:val="13"/>
        <w:spacing w:line="240" w:lineRule="atLeast"/>
        <w:ind w:left="1164" w:leftChars="257" w:hanging="540"/>
        <w:rPr>
          <w:rFonts w:ascii="仿宋" w:hAnsi="仿宋" w:eastAsia="仿宋" w:cs="仿宋"/>
          <w:color w:val="auto"/>
          <w:highlight w:val="none"/>
          <w:lang w:eastAsia="zh-CN"/>
        </w:rPr>
      </w:pPr>
    </w:p>
    <w:p w14:paraId="02EE4A66">
      <w:pPr>
        <w:pStyle w:val="13"/>
        <w:spacing w:line="240" w:lineRule="atLeast"/>
        <w:ind w:left="1164" w:leftChars="257" w:hanging="540"/>
        <w:jc w:val="center"/>
        <w:rPr>
          <w:rFonts w:hAnsi="宋体" w:eastAsia="宋体" w:cs="宋体"/>
          <w:color w:val="auto"/>
          <w:highlight w:val="none"/>
          <w:lang w:eastAsia="zh-CN"/>
        </w:rPr>
      </w:pPr>
    </w:p>
    <w:p w14:paraId="0792B62A">
      <w:pPr>
        <w:pStyle w:val="13"/>
        <w:spacing w:line="240" w:lineRule="atLeast"/>
        <w:ind w:left="1164" w:leftChars="257" w:hanging="540"/>
        <w:jc w:val="center"/>
        <w:rPr>
          <w:rFonts w:hAnsi="宋体" w:eastAsia="宋体" w:cs="宋体"/>
          <w:color w:val="auto"/>
          <w:highlight w:val="none"/>
          <w:lang w:eastAsia="zh-CN"/>
        </w:rPr>
        <w:sectPr>
          <w:footerReference r:id="rId8" w:type="default"/>
          <w:pgSz w:w="11905" w:h="16838"/>
          <w:pgMar w:top="1440" w:right="1797" w:bottom="1440" w:left="1797" w:header="850" w:footer="992" w:gutter="0"/>
          <w:pgNumType w:fmt="decimal"/>
          <w:cols w:space="720" w:num="1"/>
          <w:docGrid w:type="linesAndChars" w:linePitch="325" w:charSpace="635"/>
        </w:sectPr>
      </w:pPr>
    </w:p>
    <w:p w14:paraId="1B7A52B5">
      <w:pPr>
        <w:pStyle w:val="37"/>
        <w:keepNext/>
        <w:keepLines/>
        <w:spacing w:before="0" w:after="220"/>
        <w:rPr>
          <w:rFonts w:ascii="仿宋" w:hAnsi="仿宋" w:eastAsia="仿宋" w:cs="仿宋"/>
          <w:b/>
          <w:bCs/>
          <w:color w:val="auto"/>
          <w:highlight w:val="none"/>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投标</w:t>
      </w:r>
      <w:r>
        <w:rPr>
          <w:rFonts w:hint="eastAsia" w:ascii="仿宋" w:hAnsi="仿宋" w:eastAsia="仿宋" w:cs="仿宋"/>
          <w:b/>
          <w:bCs/>
          <w:color w:val="auto"/>
          <w:highlight w:val="none"/>
          <w:lang w:eastAsia="zh-CN"/>
        </w:rPr>
        <w:t>分项</w:t>
      </w:r>
      <w:r>
        <w:rPr>
          <w:rFonts w:hint="eastAsia" w:ascii="仿宋" w:hAnsi="仿宋" w:eastAsia="仿宋" w:cs="仿宋"/>
          <w:b/>
          <w:bCs/>
          <w:color w:val="auto"/>
          <w:highlight w:val="none"/>
        </w:rPr>
        <w:t>报价明细表</w:t>
      </w:r>
    </w:p>
    <w:p w14:paraId="0C97AAA2">
      <w:pPr>
        <w:pStyle w:val="37"/>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14854EFB">
      <w:pPr>
        <w:pStyle w:val="37"/>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招标编号: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包号: 　 </w:t>
      </w:r>
    </w:p>
    <w:p w14:paraId="1983B75D">
      <w:pPr>
        <w:pStyle w:val="13"/>
        <w:spacing w:line="240" w:lineRule="atLeast"/>
        <w:ind w:left="1157" w:leftChars="257" w:hanging="54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单位：</w:t>
      </w:r>
      <w:r>
        <w:rPr>
          <w:rFonts w:hint="eastAsia" w:ascii="仿宋" w:hAnsi="仿宋" w:eastAsia="仿宋" w:cs="仿宋"/>
          <w:color w:val="auto"/>
          <w:szCs w:val="21"/>
          <w:highlight w:val="none"/>
          <w:lang w:eastAsia="zh-CN"/>
        </w:rPr>
        <w:t>元（人民币）</w:t>
      </w:r>
    </w:p>
    <w:tbl>
      <w:tblPr>
        <w:tblStyle w:val="25"/>
        <w:tblW w:w="103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32"/>
        <w:gridCol w:w="646"/>
        <w:gridCol w:w="911"/>
        <w:gridCol w:w="894"/>
        <w:gridCol w:w="1517"/>
        <w:gridCol w:w="1083"/>
        <w:gridCol w:w="1232"/>
        <w:gridCol w:w="1011"/>
        <w:gridCol w:w="827"/>
        <w:gridCol w:w="1113"/>
      </w:tblGrid>
      <w:tr w14:paraId="2F248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7842E54">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878" w:type="dxa"/>
            <w:gridSpan w:val="2"/>
            <w:tcBorders>
              <w:top w:val="single" w:color="auto" w:sz="4" w:space="0"/>
              <w:left w:val="single" w:color="auto" w:sz="4" w:space="0"/>
              <w:bottom w:val="single" w:color="auto" w:sz="4" w:space="0"/>
              <w:right w:val="single" w:color="auto" w:sz="4" w:space="0"/>
            </w:tcBorders>
            <w:vAlign w:val="center"/>
          </w:tcPr>
          <w:p w14:paraId="40BBE24E">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911" w:type="dxa"/>
            <w:tcBorders>
              <w:top w:val="single" w:color="auto" w:sz="4" w:space="0"/>
              <w:left w:val="single" w:color="auto" w:sz="4" w:space="0"/>
              <w:bottom w:val="single" w:color="auto" w:sz="4" w:space="0"/>
              <w:right w:val="single" w:color="auto" w:sz="4" w:space="0"/>
            </w:tcBorders>
            <w:vAlign w:val="center"/>
          </w:tcPr>
          <w:p w14:paraId="20F976C1">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参数</w:t>
            </w:r>
          </w:p>
        </w:tc>
        <w:tc>
          <w:tcPr>
            <w:tcW w:w="894" w:type="dxa"/>
            <w:tcBorders>
              <w:top w:val="single" w:color="auto" w:sz="4" w:space="0"/>
              <w:left w:val="single" w:color="auto" w:sz="4" w:space="0"/>
              <w:bottom w:val="single" w:color="auto" w:sz="4" w:space="0"/>
              <w:right w:val="single" w:color="auto" w:sz="4" w:space="0"/>
            </w:tcBorders>
            <w:vAlign w:val="center"/>
          </w:tcPr>
          <w:p w14:paraId="5C75AD1E">
            <w:pPr>
              <w:spacing w:line="5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品牌</w:t>
            </w:r>
          </w:p>
        </w:tc>
        <w:tc>
          <w:tcPr>
            <w:tcW w:w="1517" w:type="dxa"/>
            <w:tcBorders>
              <w:top w:val="single" w:color="auto" w:sz="4" w:space="0"/>
              <w:left w:val="single" w:color="auto" w:sz="4" w:space="0"/>
              <w:bottom w:val="single" w:color="auto" w:sz="4" w:space="0"/>
              <w:right w:val="single" w:color="auto" w:sz="4" w:space="0"/>
            </w:tcBorders>
            <w:vAlign w:val="center"/>
          </w:tcPr>
          <w:p w14:paraId="7BD57146">
            <w:pPr>
              <w:spacing w:line="5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规格型号</w:t>
            </w:r>
          </w:p>
        </w:tc>
        <w:tc>
          <w:tcPr>
            <w:tcW w:w="1083" w:type="dxa"/>
            <w:tcBorders>
              <w:top w:val="single" w:color="auto" w:sz="4" w:space="0"/>
              <w:left w:val="single" w:color="auto" w:sz="4" w:space="0"/>
              <w:bottom w:val="single" w:color="auto" w:sz="4" w:space="0"/>
              <w:right w:val="single" w:color="auto" w:sz="4" w:space="0"/>
            </w:tcBorders>
            <w:vAlign w:val="center"/>
          </w:tcPr>
          <w:p w14:paraId="692CCAA4">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数量</w:t>
            </w:r>
          </w:p>
        </w:tc>
        <w:tc>
          <w:tcPr>
            <w:tcW w:w="1232" w:type="dxa"/>
            <w:tcBorders>
              <w:top w:val="single" w:color="auto" w:sz="4" w:space="0"/>
              <w:left w:val="single" w:color="auto" w:sz="4" w:space="0"/>
              <w:bottom w:val="single" w:color="auto" w:sz="4" w:space="0"/>
              <w:right w:val="single" w:color="auto" w:sz="4" w:space="0"/>
            </w:tcBorders>
            <w:vAlign w:val="center"/>
          </w:tcPr>
          <w:p w14:paraId="6D880450">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单位</w:t>
            </w:r>
          </w:p>
        </w:tc>
        <w:tc>
          <w:tcPr>
            <w:tcW w:w="1011" w:type="dxa"/>
            <w:tcBorders>
              <w:top w:val="single" w:color="auto" w:sz="4" w:space="0"/>
              <w:left w:val="single" w:color="auto" w:sz="4" w:space="0"/>
              <w:bottom w:val="single" w:color="auto" w:sz="4" w:space="0"/>
              <w:right w:val="single" w:color="auto" w:sz="4" w:space="0"/>
            </w:tcBorders>
            <w:vAlign w:val="center"/>
          </w:tcPr>
          <w:p w14:paraId="25C1CD66">
            <w:pPr>
              <w:spacing w:line="5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单价</w:t>
            </w:r>
          </w:p>
          <w:p w14:paraId="54623DF8">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（元）</w:t>
            </w:r>
          </w:p>
        </w:tc>
        <w:tc>
          <w:tcPr>
            <w:tcW w:w="827" w:type="dxa"/>
            <w:tcBorders>
              <w:top w:val="single" w:color="auto" w:sz="4" w:space="0"/>
              <w:left w:val="single" w:color="auto" w:sz="4" w:space="0"/>
              <w:bottom w:val="single" w:color="auto" w:sz="4" w:space="0"/>
              <w:right w:val="single" w:color="auto" w:sz="4" w:space="0"/>
            </w:tcBorders>
            <w:vAlign w:val="center"/>
          </w:tcPr>
          <w:p w14:paraId="4B31A47B">
            <w:pPr>
              <w:spacing w:line="500" w:lineRule="exact"/>
              <w:jc w:val="center"/>
              <w:rPr>
                <w:rFonts w:ascii="仿宋" w:hAnsi="仿宋" w:eastAsia="仿宋" w:cs="仿宋"/>
                <w:color w:val="auto"/>
                <w:szCs w:val="21"/>
                <w:highlight w:val="none"/>
                <w:lang w:eastAsia="zh-CN"/>
              </w:rPr>
            </w:pPr>
            <w:r>
              <w:rPr>
                <w:rFonts w:ascii="仿宋" w:hAnsi="仿宋" w:eastAsia="仿宋" w:cs="仿宋"/>
                <w:color w:val="auto"/>
                <w:szCs w:val="21"/>
                <w:highlight w:val="none"/>
                <w:lang w:eastAsia="zh-CN"/>
              </w:rPr>
              <w:t>总价</w:t>
            </w:r>
            <w:r>
              <w:rPr>
                <w:rFonts w:hint="eastAsia" w:ascii="仿宋" w:hAnsi="仿宋" w:eastAsia="仿宋" w:cs="仿宋"/>
                <w:color w:val="auto"/>
                <w:szCs w:val="21"/>
                <w:highlight w:val="none"/>
                <w:lang w:eastAsia="zh-CN"/>
              </w:rPr>
              <w:t>（元）</w:t>
            </w:r>
          </w:p>
        </w:tc>
        <w:tc>
          <w:tcPr>
            <w:tcW w:w="1113" w:type="dxa"/>
            <w:tcBorders>
              <w:top w:val="single" w:color="auto" w:sz="4" w:space="0"/>
              <w:left w:val="single" w:color="auto" w:sz="4" w:space="0"/>
              <w:bottom w:val="single" w:color="auto" w:sz="4" w:space="0"/>
              <w:right w:val="single" w:color="auto" w:sz="4" w:space="0"/>
            </w:tcBorders>
            <w:vAlign w:val="center"/>
          </w:tcPr>
          <w:p w14:paraId="44BF0BF3">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备注</w:t>
            </w:r>
          </w:p>
        </w:tc>
      </w:tr>
      <w:tr w14:paraId="19CF2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41BF313">
            <w:pPr>
              <w:spacing w:line="500" w:lineRule="exact"/>
              <w:jc w:val="center"/>
              <w:rPr>
                <w:rFonts w:ascii="仿宋" w:hAnsi="仿宋" w:eastAsia="仿宋" w:cs="仿宋"/>
                <w:color w:val="auto"/>
                <w:szCs w:val="21"/>
                <w:highlight w:val="none"/>
              </w:rPr>
            </w:pPr>
          </w:p>
        </w:tc>
        <w:tc>
          <w:tcPr>
            <w:tcW w:w="878" w:type="dxa"/>
            <w:gridSpan w:val="2"/>
            <w:tcBorders>
              <w:top w:val="single" w:color="auto" w:sz="4" w:space="0"/>
              <w:left w:val="single" w:color="auto" w:sz="4" w:space="0"/>
              <w:bottom w:val="single" w:color="auto" w:sz="4" w:space="0"/>
              <w:right w:val="single" w:color="auto" w:sz="4" w:space="0"/>
            </w:tcBorders>
            <w:vAlign w:val="center"/>
          </w:tcPr>
          <w:p w14:paraId="40006441">
            <w:pPr>
              <w:spacing w:line="500" w:lineRule="exact"/>
              <w:jc w:val="center"/>
              <w:rPr>
                <w:rFonts w:ascii="仿宋" w:hAnsi="仿宋" w:eastAsia="仿宋" w:cs="仿宋"/>
                <w:color w:val="auto"/>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596207C4">
            <w:pPr>
              <w:spacing w:line="500" w:lineRule="exact"/>
              <w:jc w:val="center"/>
              <w:rPr>
                <w:rFonts w:ascii="仿宋" w:hAnsi="仿宋" w:eastAsia="仿宋" w:cs="仿宋"/>
                <w:color w:val="auto"/>
                <w:szCs w:val="21"/>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13B4FDBB">
            <w:pPr>
              <w:spacing w:line="500" w:lineRule="exact"/>
              <w:jc w:val="center"/>
              <w:rPr>
                <w:rFonts w:ascii="仿宋" w:hAnsi="仿宋" w:eastAsia="仿宋" w:cs="仿宋"/>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0E9830A7">
            <w:pPr>
              <w:spacing w:line="500" w:lineRule="exact"/>
              <w:jc w:val="center"/>
              <w:rPr>
                <w:rFonts w:ascii="仿宋" w:hAnsi="仿宋" w:eastAsia="仿宋" w:cs="仿宋"/>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11ECECB5">
            <w:pPr>
              <w:spacing w:line="500" w:lineRule="exact"/>
              <w:jc w:val="center"/>
              <w:rPr>
                <w:rFonts w:ascii="仿宋" w:hAnsi="仿宋" w:eastAsia="仿宋" w:cs="仿宋"/>
                <w:color w:val="auto"/>
                <w:szCs w:val="21"/>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2124ABAA">
            <w:pPr>
              <w:spacing w:line="500" w:lineRule="exact"/>
              <w:jc w:val="center"/>
              <w:rPr>
                <w:rFonts w:ascii="仿宋" w:hAnsi="仿宋" w:eastAsia="仿宋" w:cs="仿宋"/>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14:paraId="679655A4">
            <w:pPr>
              <w:spacing w:line="500" w:lineRule="exact"/>
              <w:jc w:val="center"/>
              <w:rPr>
                <w:rFonts w:ascii="仿宋" w:hAnsi="仿宋" w:eastAsia="仿宋" w:cs="仿宋"/>
                <w:color w:val="auto"/>
                <w:szCs w:val="21"/>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5BE03CF5">
            <w:pPr>
              <w:spacing w:line="500" w:lineRule="exact"/>
              <w:jc w:val="center"/>
              <w:rPr>
                <w:rFonts w:ascii="仿宋" w:hAnsi="仿宋" w:eastAsia="仿宋" w:cs="仿宋"/>
                <w:color w:val="auto"/>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14:paraId="2A91F53C">
            <w:pPr>
              <w:spacing w:line="500" w:lineRule="exact"/>
              <w:jc w:val="center"/>
              <w:rPr>
                <w:rFonts w:ascii="仿宋" w:hAnsi="仿宋" w:eastAsia="仿宋" w:cs="仿宋"/>
                <w:color w:val="auto"/>
                <w:szCs w:val="21"/>
                <w:highlight w:val="none"/>
              </w:rPr>
            </w:pPr>
          </w:p>
        </w:tc>
      </w:tr>
      <w:tr w14:paraId="19043E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6C6E354">
            <w:pPr>
              <w:spacing w:line="500" w:lineRule="exact"/>
              <w:jc w:val="center"/>
              <w:rPr>
                <w:rFonts w:ascii="仿宋" w:hAnsi="仿宋" w:eastAsia="仿宋" w:cs="仿宋"/>
                <w:color w:val="auto"/>
                <w:szCs w:val="21"/>
                <w:highlight w:val="none"/>
              </w:rPr>
            </w:pPr>
          </w:p>
        </w:tc>
        <w:tc>
          <w:tcPr>
            <w:tcW w:w="878" w:type="dxa"/>
            <w:gridSpan w:val="2"/>
            <w:tcBorders>
              <w:top w:val="single" w:color="auto" w:sz="4" w:space="0"/>
              <w:left w:val="single" w:color="auto" w:sz="4" w:space="0"/>
              <w:bottom w:val="single" w:color="auto" w:sz="4" w:space="0"/>
              <w:right w:val="single" w:color="auto" w:sz="4" w:space="0"/>
            </w:tcBorders>
            <w:vAlign w:val="center"/>
          </w:tcPr>
          <w:p w14:paraId="289EEAE3">
            <w:pPr>
              <w:spacing w:line="500" w:lineRule="exact"/>
              <w:jc w:val="center"/>
              <w:rPr>
                <w:rFonts w:ascii="仿宋" w:hAnsi="仿宋" w:eastAsia="仿宋" w:cs="仿宋"/>
                <w:color w:val="auto"/>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79311062">
            <w:pPr>
              <w:spacing w:line="500" w:lineRule="exact"/>
              <w:jc w:val="center"/>
              <w:rPr>
                <w:rFonts w:ascii="仿宋" w:hAnsi="仿宋" w:eastAsia="仿宋" w:cs="仿宋"/>
                <w:color w:val="auto"/>
                <w:szCs w:val="21"/>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74B318F9">
            <w:pPr>
              <w:spacing w:line="500" w:lineRule="exact"/>
              <w:jc w:val="center"/>
              <w:rPr>
                <w:rFonts w:ascii="仿宋" w:hAnsi="仿宋" w:eastAsia="仿宋" w:cs="仿宋"/>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72A2AD46">
            <w:pPr>
              <w:spacing w:line="500" w:lineRule="exact"/>
              <w:jc w:val="center"/>
              <w:rPr>
                <w:rFonts w:ascii="仿宋" w:hAnsi="仿宋" w:eastAsia="仿宋" w:cs="仿宋"/>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4610115A">
            <w:pPr>
              <w:spacing w:line="500" w:lineRule="exact"/>
              <w:jc w:val="center"/>
              <w:rPr>
                <w:rFonts w:ascii="仿宋" w:hAnsi="仿宋" w:eastAsia="仿宋" w:cs="仿宋"/>
                <w:color w:val="auto"/>
                <w:szCs w:val="21"/>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609C988F">
            <w:pPr>
              <w:spacing w:line="500" w:lineRule="exact"/>
              <w:jc w:val="center"/>
              <w:rPr>
                <w:rFonts w:ascii="仿宋" w:hAnsi="仿宋" w:eastAsia="仿宋" w:cs="仿宋"/>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14:paraId="65D6B2A5">
            <w:pPr>
              <w:spacing w:line="500" w:lineRule="exact"/>
              <w:jc w:val="center"/>
              <w:rPr>
                <w:rFonts w:ascii="仿宋" w:hAnsi="仿宋" w:eastAsia="仿宋" w:cs="仿宋"/>
                <w:color w:val="auto"/>
                <w:szCs w:val="21"/>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3A08D27F">
            <w:pPr>
              <w:spacing w:line="500" w:lineRule="exact"/>
              <w:jc w:val="center"/>
              <w:rPr>
                <w:rFonts w:ascii="仿宋" w:hAnsi="仿宋" w:eastAsia="仿宋" w:cs="仿宋"/>
                <w:color w:val="auto"/>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14:paraId="3700F07D">
            <w:pPr>
              <w:spacing w:line="500" w:lineRule="exact"/>
              <w:jc w:val="center"/>
              <w:rPr>
                <w:rFonts w:ascii="仿宋" w:hAnsi="仿宋" w:eastAsia="仿宋" w:cs="仿宋"/>
                <w:color w:val="auto"/>
                <w:szCs w:val="21"/>
                <w:highlight w:val="none"/>
              </w:rPr>
            </w:pPr>
          </w:p>
        </w:tc>
      </w:tr>
      <w:tr w14:paraId="330EDB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EC40014">
            <w:pPr>
              <w:spacing w:line="500" w:lineRule="exact"/>
              <w:jc w:val="center"/>
              <w:rPr>
                <w:rFonts w:ascii="仿宋" w:hAnsi="仿宋" w:eastAsia="仿宋" w:cs="仿宋"/>
                <w:color w:val="auto"/>
                <w:szCs w:val="21"/>
                <w:highlight w:val="none"/>
              </w:rPr>
            </w:pPr>
          </w:p>
        </w:tc>
        <w:tc>
          <w:tcPr>
            <w:tcW w:w="878" w:type="dxa"/>
            <w:gridSpan w:val="2"/>
            <w:tcBorders>
              <w:top w:val="single" w:color="auto" w:sz="4" w:space="0"/>
              <w:left w:val="single" w:color="auto" w:sz="4" w:space="0"/>
              <w:bottom w:val="single" w:color="auto" w:sz="4" w:space="0"/>
              <w:right w:val="single" w:color="auto" w:sz="4" w:space="0"/>
            </w:tcBorders>
            <w:vAlign w:val="center"/>
          </w:tcPr>
          <w:p w14:paraId="20D68F95">
            <w:pPr>
              <w:spacing w:line="500" w:lineRule="exact"/>
              <w:jc w:val="center"/>
              <w:rPr>
                <w:rFonts w:ascii="仿宋" w:hAnsi="仿宋" w:eastAsia="仿宋" w:cs="仿宋"/>
                <w:color w:val="auto"/>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2C27A0B9">
            <w:pPr>
              <w:spacing w:line="500" w:lineRule="exact"/>
              <w:jc w:val="center"/>
              <w:rPr>
                <w:rFonts w:ascii="仿宋" w:hAnsi="仿宋" w:eastAsia="仿宋" w:cs="仿宋"/>
                <w:color w:val="auto"/>
                <w:szCs w:val="21"/>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7C275CDE">
            <w:pPr>
              <w:spacing w:line="500" w:lineRule="exact"/>
              <w:jc w:val="center"/>
              <w:rPr>
                <w:rFonts w:ascii="仿宋" w:hAnsi="仿宋" w:eastAsia="仿宋" w:cs="仿宋"/>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00FCD53F">
            <w:pPr>
              <w:spacing w:line="500" w:lineRule="exact"/>
              <w:jc w:val="center"/>
              <w:rPr>
                <w:rFonts w:ascii="仿宋" w:hAnsi="仿宋" w:eastAsia="仿宋" w:cs="仿宋"/>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1B2A8975">
            <w:pPr>
              <w:spacing w:line="500" w:lineRule="exact"/>
              <w:jc w:val="center"/>
              <w:rPr>
                <w:rFonts w:ascii="仿宋" w:hAnsi="仿宋" w:eastAsia="仿宋" w:cs="仿宋"/>
                <w:color w:val="auto"/>
                <w:szCs w:val="21"/>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71AE7C86">
            <w:pPr>
              <w:spacing w:line="500" w:lineRule="exact"/>
              <w:jc w:val="center"/>
              <w:rPr>
                <w:rFonts w:ascii="仿宋" w:hAnsi="仿宋" w:eastAsia="仿宋" w:cs="仿宋"/>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14:paraId="27281822">
            <w:pPr>
              <w:spacing w:line="500" w:lineRule="exact"/>
              <w:jc w:val="center"/>
              <w:rPr>
                <w:rFonts w:ascii="仿宋" w:hAnsi="仿宋" w:eastAsia="仿宋" w:cs="仿宋"/>
                <w:color w:val="auto"/>
                <w:szCs w:val="21"/>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0BF21816">
            <w:pPr>
              <w:spacing w:line="500" w:lineRule="exact"/>
              <w:jc w:val="center"/>
              <w:rPr>
                <w:rFonts w:ascii="仿宋" w:hAnsi="仿宋" w:eastAsia="仿宋" w:cs="仿宋"/>
                <w:color w:val="auto"/>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14:paraId="7AB31967">
            <w:pPr>
              <w:spacing w:line="500" w:lineRule="exact"/>
              <w:jc w:val="center"/>
              <w:rPr>
                <w:rFonts w:ascii="仿宋" w:hAnsi="仿宋" w:eastAsia="仿宋" w:cs="仿宋"/>
                <w:color w:val="auto"/>
                <w:szCs w:val="21"/>
                <w:highlight w:val="none"/>
              </w:rPr>
            </w:pPr>
          </w:p>
        </w:tc>
      </w:tr>
      <w:tr w14:paraId="271DE9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165CB9C">
            <w:pPr>
              <w:spacing w:line="500" w:lineRule="exact"/>
              <w:jc w:val="center"/>
              <w:rPr>
                <w:rFonts w:ascii="仿宋" w:hAnsi="仿宋" w:eastAsia="仿宋" w:cs="仿宋"/>
                <w:color w:val="auto"/>
                <w:szCs w:val="21"/>
                <w:highlight w:val="none"/>
              </w:rPr>
            </w:pPr>
          </w:p>
        </w:tc>
        <w:tc>
          <w:tcPr>
            <w:tcW w:w="878" w:type="dxa"/>
            <w:gridSpan w:val="2"/>
            <w:tcBorders>
              <w:top w:val="single" w:color="auto" w:sz="4" w:space="0"/>
              <w:left w:val="single" w:color="auto" w:sz="4" w:space="0"/>
              <w:bottom w:val="single" w:color="auto" w:sz="4" w:space="0"/>
              <w:right w:val="single" w:color="auto" w:sz="4" w:space="0"/>
            </w:tcBorders>
            <w:vAlign w:val="center"/>
          </w:tcPr>
          <w:p w14:paraId="45FA225A">
            <w:pPr>
              <w:spacing w:line="500" w:lineRule="exact"/>
              <w:jc w:val="center"/>
              <w:rPr>
                <w:rFonts w:ascii="仿宋" w:hAnsi="仿宋" w:eastAsia="仿宋" w:cs="仿宋"/>
                <w:color w:val="auto"/>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414552E3">
            <w:pPr>
              <w:spacing w:line="500" w:lineRule="exact"/>
              <w:jc w:val="center"/>
              <w:rPr>
                <w:rFonts w:ascii="仿宋" w:hAnsi="仿宋" w:eastAsia="仿宋" w:cs="仿宋"/>
                <w:color w:val="auto"/>
                <w:szCs w:val="21"/>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11D8D5D8">
            <w:pPr>
              <w:spacing w:line="500" w:lineRule="exact"/>
              <w:jc w:val="center"/>
              <w:rPr>
                <w:rFonts w:ascii="仿宋" w:hAnsi="仿宋" w:eastAsia="仿宋" w:cs="仿宋"/>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044F4766">
            <w:pPr>
              <w:spacing w:line="500" w:lineRule="exact"/>
              <w:jc w:val="center"/>
              <w:rPr>
                <w:rFonts w:ascii="仿宋" w:hAnsi="仿宋" w:eastAsia="仿宋" w:cs="仿宋"/>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5A1BE17B">
            <w:pPr>
              <w:spacing w:line="500" w:lineRule="exact"/>
              <w:jc w:val="center"/>
              <w:rPr>
                <w:rFonts w:ascii="仿宋" w:hAnsi="仿宋" w:eastAsia="仿宋" w:cs="仿宋"/>
                <w:color w:val="auto"/>
                <w:szCs w:val="21"/>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39C5F0CF">
            <w:pPr>
              <w:spacing w:line="500" w:lineRule="exact"/>
              <w:jc w:val="center"/>
              <w:rPr>
                <w:rFonts w:ascii="仿宋" w:hAnsi="仿宋" w:eastAsia="仿宋" w:cs="仿宋"/>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14:paraId="0DA1ADFC">
            <w:pPr>
              <w:spacing w:line="500" w:lineRule="exact"/>
              <w:jc w:val="center"/>
              <w:rPr>
                <w:rFonts w:ascii="仿宋" w:hAnsi="仿宋" w:eastAsia="仿宋" w:cs="仿宋"/>
                <w:color w:val="auto"/>
                <w:szCs w:val="21"/>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5203842F">
            <w:pPr>
              <w:spacing w:line="500" w:lineRule="exact"/>
              <w:jc w:val="center"/>
              <w:rPr>
                <w:rFonts w:ascii="仿宋" w:hAnsi="仿宋" w:eastAsia="仿宋" w:cs="仿宋"/>
                <w:color w:val="auto"/>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14:paraId="194E8234">
            <w:pPr>
              <w:spacing w:line="500" w:lineRule="exact"/>
              <w:jc w:val="center"/>
              <w:rPr>
                <w:rFonts w:ascii="仿宋" w:hAnsi="仿宋" w:eastAsia="仿宋" w:cs="仿宋"/>
                <w:color w:val="auto"/>
                <w:szCs w:val="21"/>
                <w:highlight w:val="none"/>
              </w:rPr>
            </w:pPr>
          </w:p>
        </w:tc>
      </w:tr>
      <w:tr w14:paraId="6ADA1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29A4C93">
            <w:pPr>
              <w:spacing w:line="500" w:lineRule="exact"/>
              <w:jc w:val="center"/>
              <w:rPr>
                <w:rFonts w:ascii="仿宋" w:hAnsi="仿宋" w:eastAsia="仿宋" w:cs="仿宋"/>
                <w:color w:val="auto"/>
                <w:szCs w:val="21"/>
                <w:highlight w:val="none"/>
              </w:rPr>
            </w:pPr>
          </w:p>
        </w:tc>
        <w:tc>
          <w:tcPr>
            <w:tcW w:w="878" w:type="dxa"/>
            <w:gridSpan w:val="2"/>
            <w:tcBorders>
              <w:top w:val="single" w:color="auto" w:sz="4" w:space="0"/>
              <w:left w:val="single" w:color="auto" w:sz="4" w:space="0"/>
              <w:bottom w:val="single" w:color="auto" w:sz="4" w:space="0"/>
              <w:right w:val="single" w:color="auto" w:sz="4" w:space="0"/>
            </w:tcBorders>
            <w:vAlign w:val="center"/>
          </w:tcPr>
          <w:p w14:paraId="0E67B3E8">
            <w:pPr>
              <w:spacing w:line="500" w:lineRule="exact"/>
              <w:jc w:val="center"/>
              <w:rPr>
                <w:rFonts w:ascii="仿宋" w:hAnsi="仿宋" w:eastAsia="仿宋" w:cs="仿宋"/>
                <w:color w:val="auto"/>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4716D5FF">
            <w:pPr>
              <w:spacing w:line="500" w:lineRule="exact"/>
              <w:jc w:val="center"/>
              <w:rPr>
                <w:rFonts w:ascii="仿宋" w:hAnsi="仿宋" w:eastAsia="仿宋" w:cs="仿宋"/>
                <w:color w:val="auto"/>
                <w:szCs w:val="21"/>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3371946C">
            <w:pPr>
              <w:spacing w:line="500" w:lineRule="exact"/>
              <w:jc w:val="center"/>
              <w:rPr>
                <w:rFonts w:ascii="仿宋" w:hAnsi="仿宋" w:eastAsia="仿宋" w:cs="仿宋"/>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7C11B7BE">
            <w:pPr>
              <w:spacing w:line="500" w:lineRule="exact"/>
              <w:jc w:val="center"/>
              <w:rPr>
                <w:rFonts w:ascii="仿宋" w:hAnsi="仿宋" w:eastAsia="仿宋" w:cs="仿宋"/>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1E9C7079">
            <w:pPr>
              <w:spacing w:line="500" w:lineRule="exact"/>
              <w:jc w:val="center"/>
              <w:rPr>
                <w:rFonts w:ascii="仿宋" w:hAnsi="仿宋" w:eastAsia="仿宋" w:cs="仿宋"/>
                <w:color w:val="auto"/>
                <w:szCs w:val="21"/>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17C8FCF6">
            <w:pPr>
              <w:spacing w:line="500" w:lineRule="exact"/>
              <w:jc w:val="center"/>
              <w:rPr>
                <w:rFonts w:ascii="仿宋" w:hAnsi="仿宋" w:eastAsia="仿宋" w:cs="仿宋"/>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14:paraId="2E725990">
            <w:pPr>
              <w:spacing w:line="500" w:lineRule="exact"/>
              <w:jc w:val="center"/>
              <w:rPr>
                <w:rFonts w:ascii="仿宋" w:hAnsi="仿宋" w:eastAsia="仿宋" w:cs="仿宋"/>
                <w:color w:val="auto"/>
                <w:szCs w:val="21"/>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29D2A836">
            <w:pPr>
              <w:spacing w:line="500" w:lineRule="exact"/>
              <w:jc w:val="center"/>
              <w:rPr>
                <w:rFonts w:ascii="仿宋" w:hAnsi="仿宋" w:eastAsia="仿宋" w:cs="仿宋"/>
                <w:color w:val="auto"/>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14:paraId="050E3CB3">
            <w:pPr>
              <w:spacing w:line="500" w:lineRule="exact"/>
              <w:jc w:val="center"/>
              <w:rPr>
                <w:rFonts w:ascii="仿宋" w:hAnsi="仿宋" w:eastAsia="仿宋" w:cs="仿宋"/>
                <w:color w:val="auto"/>
                <w:szCs w:val="21"/>
                <w:highlight w:val="none"/>
              </w:rPr>
            </w:pPr>
          </w:p>
        </w:tc>
      </w:tr>
      <w:tr w14:paraId="1B4DD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FBF8026">
            <w:pPr>
              <w:spacing w:line="500" w:lineRule="exact"/>
              <w:jc w:val="center"/>
              <w:rPr>
                <w:rFonts w:ascii="仿宋" w:hAnsi="仿宋" w:eastAsia="仿宋" w:cs="仿宋"/>
                <w:color w:val="auto"/>
                <w:szCs w:val="21"/>
                <w:highlight w:val="none"/>
              </w:rPr>
            </w:pPr>
          </w:p>
        </w:tc>
        <w:tc>
          <w:tcPr>
            <w:tcW w:w="878" w:type="dxa"/>
            <w:gridSpan w:val="2"/>
            <w:tcBorders>
              <w:top w:val="single" w:color="auto" w:sz="4" w:space="0"/>
              <w:left w:val="single" w:color="auto" w:sz="4" w:space="0"/>
              <w:bottom w:val="single" w:color="auto" w:sz="4" w:space="0"/>
              <w:right w:val="single" w:color="auto" w:sz="4" w:space="0"/>
            </w:tcBorders>
            <w:vAlign w:val="center"/>
          </w:tcPr>
          <w:p w14:paraId="6DA08DCA">
            <w:pPr>
              <w:spacing w:line="500" w:lineRule="exact"/>
              <w:jc w:val="center"/>
              <w:rPr>
                <w:rFonts w:ascii="仿宋" w:hAnsi="仿宋" w:eastAsia="仿宋" w:cs="仿宋"/>
                <w:color w:val="auto"/>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46369E59">
            <w:pPr>
              <w:spacing w:line="500" w:lineRule="exact"/>
              <w:jc w:val="center"/>
              <w:rPr>
                <w:rFonts w:ascii="仿宋" w:hAnsi="仿宋" w:eastAsia="仿宋" w:cs="仿宋"/>
                <w:color w:val="auto"/>
                <w:szCs w:val="21"/>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7DF72B26">
            <w:pPr>
              <w:spacing w:line="500" w:lineRule="exact"/>
              <w:jc w:val="center"/>
              <w:rPr>
                <w:rFonts w:ascii="仿宋" w:hAnsi="仿宋" w:eastAsia="仿宋" w:cs="仿宋"/>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33DF5C72">
            <w:pPr>
              <w:spacing w:line="500" w:lineRule="exact"/>
              <w:jc w:val="center"/>
              <w:rPr>
                <w:rFonts w:ascii="仿宋" w:hAnsi="仿宋" w:eastAsia="仿宋" w:cs="仿宋"/>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4C43F15D">
            <w:pPr>
              <w:spacing w:line="500" w:lineRule="exact"/>
              <w:jc w:val="center"/>
              <w:rPr>
                <w:rFonts w:ascii="仿宋" w:hAnsi="仿宋" w:eastAsia="仿宋" w:cs="仿宋"/>
                <w:color w:val="auto"/>
                <w:szCs w:val="21"/>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1C575F59">
            <w:pPr>
              <w:spacing w:line="500" w:lineRule="exact"/>
              <w:jc w:val="center"/>
              <w:rPr>
                <w:rFonts w:ascii="仿宋" w:hAnsi="仿宋" w:eastAsia="仿宋" w:cs="仿宋"/>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14:paraId="6828E850">
            <w:pPr>
              <w:spacing w:line="500" w:lineRule="exact"/>
              <w:jc w:val="center"/>
              <w:rPr>
                <w:rFonts w:ascii="仿宋" w:hAnsi="仿宋" w:eastAsia="仿宋" w:cs="仿宋"/>
                <w:color w:val="auto"/>
                <w:szCs w:val="21"/>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46797627">
            <w:pPr>
              <w:spacing w:line="500" w:lineRule="exact"/>
              <w:jc w:val="center"/>
              <w:rPr>
                <w:rFonts w:ascii="仿宋" w:hAnsi="仿宋" w:eastAsia="仿宋" w:cs="仿宋"/>
                <w:color w:val="auto"/>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14:paraId="033D013A">
            <w:pPr>
              <w:spacing w:line="500" w:lineRule="exact"/>
              <w:jc w:val="center"/>
              <w:rPr>
                <w:rFonts w:ascii="仿宋" w:hAnsi="仿宋" w:eastAsia="仿宋" w:cs="仿宋"/>
                <w:color w:val="auto"/>
                <w:szCs w:val="21"/>
                <w:highlight w:val="none"/>
              </w:rPr>
            </w:pPr>
          </w:p>
        </w:tc>
      </w:tr>
      <w:tr w14:paraId="667DC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083" w:type="dxa"/>
            <w:gridSpan w:val="2"/>
            <w:tcBorders>
              <w:top w:val="single" w:color="auto" w:sz="4" w:space="0"/>
              <w:left w:val="single" w:color="auto" w:sz="4" w:space="0"/>
              <w:bottom w:val="single" w:color="auto" w:sz="4" w:space="0"/>
              <w:right w:val="single" w:color="auto" w:sz="4" w:space="0"/>
            </w:tcBorders>
            <w:vAlign w:val="center"/>
          </w:tcPr>
          <w:p w14:paraId="17445675">
            <w:pPr>
              <w:spacing w:line="500" w:lineRule="exact"/>
              <w:jc w:val="center"/>
              <w:rPr>
                <w:rFonts w:hint="eastAsia" w:ascii="仿宋" w:hAnsi="仿宋" w:eastAsia="仿宋" w:cs="仿宋"/>
                <w:color w:val="auto"/>
                <w:szCs w:val="21"/>
                <w:highlight w:val="none"/>
              </w:rPr>
            </w:pPr>
          </w:p>
        </w:tc>
        <w:tc>
          <w:tcPr>
            <w:tcW w:w="7294" w:type="dxa"/>
            <w:gridSpan w:val="7"/>
            <w:tcBorders>
              <w:top w:val="single" w:color="auto" w:sz="4" w:space="0"/>
              <w:left w:val="single" w:color="auto" w:sz="4" w:space="0"/>
              <w:bottom w:val="single" w:color="auto" w:sz="4" w:space="0"/>
              <w:right w:val="single" w:color="auto" w:sz="4" w:space="0"/>
            </w:tcBorders>
            <w:vAlign w:val="center"/>
          </w:tcPr>
          <w:p w14:paraId="5634292D">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总价：</w:t>
            </w:r>
          </w:p>
        </w:tc>
        <w:tc>
          <w:tcPr>
            <w:tcW w:w="827" w:type="dxa"/>
            <w:tcBorders>
              <w:top w:val="single" w:color="auto" w:sz="4" w:space="0"/>
              <w:left w:val="single" w:color="auto" w:sz="4" w:space="0"/>
              <w:bottom w:val="single" w:color="auto" w:sz="4" w:space="0"/>
              <w:right w:val="single" w:color="auto" w:sz="4" w:space="0"/>
            </w:tcBorders>
            <w:vAlign w:val="center"/>
          </w:tcPr>
          <w:p w14:paraId="41FDE849">
            <w:pPr>
              <w:spacing w:line="500" w:lineRule="exact"/>
              <w:jc w:val="center"/>
              <w:rPr>
                <w:rFonts w:ascii="仿宋" w:hAnsi="仿宋" w:eastAsia="仿宋" w:cs="仿宋"/>
                <w:color w:val="auto"/>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14:paraId="76F165CF">
            <w:pPr>
              <w:spacing w:line="500" w:lineRule="exact"/>
              <w:jc w:val="center"/>
              <w:rPr>
                <w:rFonts w:ascii="仿宋" w:hAnsi="仿宋" w:eastAsia="仿宋" w:cs="仿宋"/>
                <w:color w:val="auto"/>
                <w:szCs w:val="21"/>
                <w:highlight w:val="none"/>
              </w:rPr>
            </w:pPr>
          </w:p>
        </w:tc>
      </w:tr>
    </w:tbl>
    <w:p w14:paraId="428D6176">
      <w:pPr>
        <w:pStyle w:val="41"/>
        <w:spacing w:line="317"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所有价格均用人民币表示，单位为元。</w:t>
      </w:r>
    </w:p>
    <w:p w14:paraId="54B80C01">
      <w:pPr>
        <w:pStyle w:val="41"/>
        <w:tabs>
          <w:tab w:val="left" w:pos="378"/>
        </w:tabs>
        <w:spacing w:line="317"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报价总计价格须与《</w:t>
      </w:r>
      <w:r>
        <w:rPr>
          <w:rFonts w:hint="eastAsia" w:ascii="仿宋" w:hAnsi="仿宋" w:eastAsia="仿宋" w:cs="仿宋"/>
          <w:color w:val="auto"/>
          <w:sz w:val="24"/>
          <w:szCs w:val="24"/>
          <w:highlight w:val="none"/>
          <w:lang w:eastAsia="zh-CN"/>
        </w:rPr>
        <w:t>投标一览表</w:t>
      </w:r>
      <w:r>
        <w:rPr>
          <w:rFonts w:hint="eastAsia" w:ascii="仿宋" w:hAnsi="仿宋" w:eastAsia="仿宋" w:cs="仿宋"/>
          <w:color w:val="auto"/>
          <w:sz w:val="24"/>
          <w:szCs w:val="24"/>
          <w:highlight w:val="none"/>
        </w:rPr>
        <w:t>》报价一致。</w:t>
      </w:r>
    </w:p>
    <w:p w14:paraId="0B89FB08">
      <w:pPr>
        <w:pStyle w:val="41"/>
        <w:tabs>
          <w:tab w:val="left" w:pos="493"/>
        </w:tabs>
        <w:spacing w:line="317" w:lineRule="exact"/>
        <w:ind w:left="240" w:leftChars="10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供应商必须按此表格式中的对应栏目内容填写，若需增加栏目，请在栏目</w:t>
      </w:r>
      <w:r>
        <w:rPr>
          <w:rFonts w:hint="eastAsia" w:ascii="仿宋" w:hAnsi="仿宋" w:eastAsia="仿宋" w:cs="仿宋"/>
          <w:color w:val="auto"/>
          <w:sz w:val="24"/>
          <w:szCs w:val="24"/>
          <w:highlight w:val="none"/>
          <w:lang w:val="zh-CN" w:eastAsia="zh-CN" w:bidi="zh-CN"/>
        </w:rPr>
        <w:t>“其</w:t>
      </w:r>
      <w:r>
        <w:rPr>
          <w:rFonts w:hint="eastAsia" w:ascii="仿宋" w:hAnsi="仿宋" w:eastAsia="仿宋" w:cs="仿宋"/>
          <w:color w:val="auto"/>
          <w:sz w:val="24"/>
          <w:szCs w:val="24"/>
          <w:highlight w:val="none"/>
        </w:rPr>
        <w:t>它”中填写，并作详细说明。</w:t>
      </w:r>
    </w:p>
    <w:p w14:paraId="63173FD3">
      <w:pPr>
        <w:pStyle w:val="41"/>
        <w:tabs>
          <w:tab w:val="left" w:pos="493"/>
        </w:tabs>
        <w:spacing w:line="317" w:lineRule="exact"/>
        <w:ind w:left="176"/>
        <w:rPr>
          <w:rFonts w:ascii="仿宋" w:hAnsi="仿宋" w:eastAsia="仿宋" w:cs="仿宋"/>
          <w:color w:val="auto"/>
          <w:sz w:val="20"/>
          <w:szCs w:val="20"/>
          <w:highlight w:val="none"/>
        </w:rPr>
      </w:pPr>
    </w:p>
    <w:p w14:paraId="3D311385">
      <w:pPr>
        <w:pStyle w:val="41"/>
        <w:tabs>
          <w:tab w:val="left" w:pos="493"/>
        </w:tabs>
        <w:spacing w:line="317" w:lineRule="exact"/>
        <w:ind w:left="176"/>
        <w:rPr>
          <w:rFonts w:ascii="仿宋" w:hAnsi="仿宋" w:eastAsia="仿宋" w:cs="仿宋"/>
          <w:color w:val="auto"/>
          <w:sz w:val="20"/>
          <w:szCs w:val="20"/>
          <w:highlight w:val="none"/>
        </w:rPr>
      </w:pPr>
    </w:p>
    <w:p w14:paraId="7AEC4E2A">
      <w:pPr>
        <w:pStyle w:val="10"/>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 xml:space="preserve"> </w:t>
      </w:r>
    </w:p>
    <w:p w14:paraId="318F5BC1">
      <w:pPr>
        <w:pStyle w:val="10"/>
        <w:numPr>
          <w:ilvl w:val="0"/>
          <w:numId w:val="0"/>
        </w:numPr>
        <w:tabs>
          <w:tab w:val="left" w:pos="8227"/>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（签章）</w:t>
      </w:r>
    </w:p>
    <w:p w14:paraId="14549292">
      <w:pPr>
        <w:pStyle w:val="10"/>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日</w:t>
      </w:r>
    </w:p>
    <w:p w14:paraId="571D6A0A">
      <w:pPr>
        <w:pStyle w:val="10"/>
        <w:numPr>
          <w:ilvl w:val="0"/>
          <w:numId w:val="0"/>
        </w:numPr>
        <w:kinsoku w:val="0"/>
        <w:overflowPunct w:val="0"/>
        <w:spacing w:before="34" w:line="357" w:lineRule="auto"/>
        <w:ind w:left="480" w:right="126"/>
        <w:jc w:val="center"/>
        <w:rPr>
          <w:rFonts w:ascii="仿宋" w:hAnsi="仿宋" w:eastAsia="仿宋" w:cs="仿宋"/>
          <w:b/>
          <w:bCs/>
          <w:color w:val="auto"/>
          <w:sz w:val="36"/>
          <w:szCs w:val="36"/>
          <w:highlight w:val="none"/>
          <w:lang w:eastAsia="zh-CN"/>
        </w:rPr>
      </w:pPr>
    </w:p>
    <w:p w14:paraId="731F8272">
      <w:pPr>
        <w:spacing w:line="360" w:lineRule="auto"/>
        <w:jc w:val="center"/>
        <w:rPr>
          <w:rFonts w:ascii="仿宋" w:hAnsi="仿宋" w:eastAsia="仿宋" w:cs="仿宋"/>
          <w:b/>
          <w:color w:val="auto"/>
          <w:sz w:val="36"/>
          <w:szCs w:val="36"/>
          <w:highlight w:val="none"/>
          <w:lang w:eastAsia="zh-CN"/>
        </w:rPr>
      </w:pPr>
    </w:p>
    <w:p w14:paraId="76889E4F">
      <w:pPr>
        <w:spacing w:line="360" w:lineRule="auto"/>
        <w:jc w:val="center"/>
        <w:rPr>
          <w:rFonts w:ascii="仿宋" w:hAnsi="仿宋" w:eastAsia="仿宋" w:cs="仿宋"/>
          <w:b/>
          <w:bCs/>
          <w:color w:val="auto"/>
          <w:sz w:val="32"/>
          <w:szCs w:val="32"/>
          <w:highlight w:val="none"/>
          <w:lang w:eastAsia="zh-CN"/>
        </w:rPr>
      </w:pPr>
      <w:r>
        <w:rPr>
          <w:rFonts w:hint="eastAsia" w:ascii="仿宋" w:hAnsi="仿宋" w:eastAsia="仿宋" w:cs="仿宋"/>
          <w:b/>
          <w:color w:val="auto"/>
          <w:sz w:val="36"/>
          <w:szCs w:val="36"/>
          <w:highlight w:val="none"/>
          <w:lang w:eastAsia="zh-CN"/>
        </w:rPr>
        <w:t>5、</w:t>
      </w:r>
      <w:r>
        <w:rPr>
          <w:rFonts w:hint="eastAsia" w:ascii="仿宋" w:hAnsi="仿宋" w:eastAsia="仿宋" w:cs="仿宋"/>
          <w:b/>
          <w:bCs/>
          <w:color w:val="auto"/>
          <w:sz w:val="32"/>
          <w:szCs w:val="32"/>
          <w:highlight w:val="none"/>
          <w:lang w:eastAsia="zh-CN"/>
        </w:rPr>
        <w:t>技术规格偏离表</w:t>
      </w:r>
    </w:p>
    <w:tbl>
      <w:tblPr>
        <w:tblStyle w:val="25"/>
        <w:tblpPr w:leftFromText="180" w:rightFromText="180" w:vertAnchor="text" w:horzAnchor="page" w:tblpX="2272" w:tblpY="894"/>
        <w:tblOverlap w:val="never"/>
        <w:tblW w:w="75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7"/>
        <w:gridCol w:w="1327"/>
      </w:tblGrid>
      <w:tr w14:paraId="01392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5" w:type="dxa"/>
            <w:vAlign w:val="center"/>
          </w:tcPr>
          <w:p w14:paraId="7E188355">
            <w:pPr>
              <w:jc w:val="center"/>
              <w:rPr>
                <w:rFonts w:ascii="仿宋" w:hAnsi="仿宋" w:eastAsia="仿宋" w:cs="仿宋"/>
                <w:bCs/>
                <w:color w:val="auto"/>
                <w:highlight w:val="none"/>
              </w:rPr>
            </w:pPr>
            <w:r>
              <w:rPr>
                <w:rFonts w:hint="eastAsia" w:ascii="仿宋" w:hAnsi="仿宋" w:eastAsia="仿宋" w:cs="仿宋"/>
                <w:bCs/>
                <w:color w:val="auto"/>
                <w:highlight w:val="none"/>
              </w:rPr>
              <w:t>序号</w:t>
            </w:r>
          </w:p>
        </w:tc>
        <w:tc>
          <w:tcPr>
            <w:tcW w:w="1357" w:type="dxa"/>
            <w:vAlign w:val="center"/>
          </w:tcPr>
          <w:p w14:paraId="75D9A1C9">
            <w:pPr>
              <w:jc w:val="center"/>
              <w:rPr>
                <w:rFonts w:ascii="仿宋" w:hAnsi="仿宋" w:eastAsia="仿宋" w:cs="仿宋"/>
                <w:bCs/>
                <w:color w:val="auto"/>
                <w:highlight w:val="none"/>
              </w:rPr>
            </w:pPr>
            <w:r>
              <w:rPr>
                <w:rFonts w:hint="eastAsia" w:ascii="仿宋" w:hAnsi="仿宋" w:eastAsia="仿宋" w:cs="仿宋"/>
                <w:bCs/>
                <w:color w:val="auto"/>
                <w:highlight w:val="none"/>
              </w:rPr>
              <w:t>货物名称</w:t>
            </w:r>
          </w:p>
        </w:tc>
        <w:tc>
          <w:tcPr>
            <w:tcW w:w="1326" w:type="dxa"/>
            <w:vAlign w:val="center"/>
          </w:tcPr>
          <w:p w14:paraId="0688E7C7">
            <w:pPr>
              <w:jc w:val="center"/>
              <w:rPr>
                <w:rFonts w:ascii="仿宋" w:hAnsi="仿宋" w:eastAsia="仿宋" w:cs="仿宋"/>
                <w:bCs/>
                <w:color w:val="auto"/>
                <w:highlight w:val="none"/>
              </w:rPr>
            </w:pPr>
            <w:r>
              <w:rPr>
                <w:rFonts w:hint="eastAsia" w:ascii="仿宋" w:hAnsi="仿宋" w:eastAsia="仿宋" w:cs="仿宋"/>
                <w:bCs/>
                <w:color w:val="auto"/>
                <w:highlight w:val="none"/>
              </w:rPr>
              <w:t>招标规格</w:t>
            </w:r>
          </w:p>
        </w:tc>
        <w:tc>
          <w:tcPr>
            <w:tcW w:w="1326" w:type="dxa"/>
            <w:vAlign w:val="center"/>
          </w:tcPr>
          <w:p w14:paraId="3FC146B5">
            <w:pPr>
              <w:jc w:val="center"/>
              <w:rPr>
                <w:rFonts w:ascii="仿宋" w:hAnsi="仿宋" w:eastAsia="仿宋" w:cs="仿宋"/>
                <w:bCs/>
                <w:color w:val="auto"/>
                <w:highlight w:val="none"/>
              </w:rPr>
            </w:pPr>
            <w:r>
              <w:rPr>
                <w:rFonts w:hint="eastAsia" w:ascii="仿宋" w:hAnsi="仿宋" w:eastAsia="仿宋" w:cs="仿宋"/>
                <w:bCs/>
                <w:color w:val="auto"/>
                <w:highlight w:val="none"/>
              </w:rPr>
              <w:t>投标规格</w:t>
            </w:r>
          </w:p>
        </w:tc>
        <w:tc>
          <w:tcPr>
            <w:tcW w:w="1327" w:type="dxa"/>
            <w:vAlign w:val="center"/>
          </w:tcPr>
          <w:p w14:paraId="3A2C352C">
            <w:pPr>
              <w:jc w:val="center"/>
              <w:rPr>
                <w:rFonts w:ascii="仿宋" w:hAnsi="仿宋" w:eastAsia="仿宋" w:cs="仿宋"/>
                <w:bCs/>
                <w:color w:val="auto"/>
                <w:highlight w:val="none"/>
              </w:rPr>
            </w:pPr>
            <w:r>
              <w:rPr>
                <w:rFonts w:hint="eastAsia" w:ascii="仿宋" w:hAnsi="仿宋" w:eastAsia="仿宋" w:cs="仿宋"/>
                <w:bCs/>
                <w:color w:val="auto"/>
                <w:highlight w:val="none"/>
              </w:rPr>
              <w:t>偏离</w:t>
            </w:r>
          </w:p>
        </w:tc>
        <w:tc>
          <w:tcPr>
            <w:tcW w:w="1327" w:type="dxa"/>
            <w:vAlign w:val="center"/>
          </w:tcPr>
          <w:p w14:paraId="325E5749">
            <w:pPr>
              <w:jc w:val="center"/>
              <w:rPr>
                <w:rFonts w:ascii="仿宋" w:hAnsi="仿宋" w:eastAsia="仿宋" w:cs="仿宋"/>
                <w:bCs/>
                <w:color w:val="auto"/>
                <w:highlight w:val="none"/>
              </w:rPr>
            </w:pPr>
            <w:r>
              <w:rPr>
                <w:rFonts w:hint="eastAsia" w:ascii="仿宋" w:hAnsi="仿宋" w:eastAsia="仿宋" w:cs="仿宋"/>
                <w:bCs/>
                <w:color w:val="auto"/>
                <w:highlight w:val="none"/>
              </w:rPr>
              <w:t>说明</w:t>
            </w:r>
          </w:p>
        </w:tc>
      </w:tr>
      <w:tr w14:paraId="2E542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5" w:type="dxa"/>
          </w:tcPr>
          <w:p w14:paraId="0A1C4C13">
            <w:pPr>
              <w:jc w:val="center"/>
              <w:rPr>
                <w:rFonts w:ascii="仿宋" w:hAnsi="仿宋" w:eastAsia="仿宋" w:cs="仿宋"/>
                <w:b/>
                <w:bCs/>
                <w:color w:val="auto"/>
                <w:highlight w:val="none"/>
              </w:rPr>
            </w:pPr>
          </w:p>
        </w:tc>
        <w:tc>
          <w:tcPr>
            <w:tcW w:w="1357" w:type="dxa"/>
          </w:tcPr>
          <w:p w14:paraId="301F7C3C">
            <w:pPr>
              <w:jc w:val="center"/>
              <w:rPr>
                <w:rFonts w:ascii="仿宋" w:hAnsi="仿宋" w:eastAsia="仿宋" w:cs="仿宋"/>
                <w:b/>
                <w:bCs/>
                <w:color w:val="auto"/>
                <w:highlight w:val="none"/>
              </w:rPr>
            </w:pPr>
          </w:p>
        </w:tc>
        <w:tc>
          <w:tcPr>
            <w:tcW w:w="1326" w:type="dxa"/>
          </w:tcPr>
          <w:p w14:paraId="0820E013">
            <w:pPr>
              <w:jc w:val="center"/>
              <w:rPr>
                <w:rFonts w:ascii="仿宋" w:hAnsi="仿宋" w:eastAsia="仿宋" w:cs="仿宋"/>
                <w:b/>
                <w:bCs/>
                <w:color w:val="auto"/>
                <w:highlight w:val="none"/>
              </w:rPr>
            </w:pPr>
          </w:p>
        </w:tc>
        <w:tc>
          <w:tcPr>
            <w:tcW w:w="1326" w:type="dxa"/>
          </w:tcPr>
          <w:p w14:paraId="3D90F9A9">
            <w:pPr>
              <w:jc w:val="center"/>
              <w:rPr>
                <w:rFonts w:ascii="仿宋" w:hAnsi="仿宋" w:eastAsia="仿宋" w:cs="仿宋"/>
                <w:b/>
                <w:bCs/>
                <w:color w:val="auto"/>
                <w:highlight w:val="none"/>
              </w:rPr>
            </w:pPr>
          </w:p>
        </w:tc>
        <w:tc>
          <w:tcPr>
            <w:tcW w:w="1327" w:type="dxa"/>
          </w:tcPr>
          <w:p w14:paraId="6E35B42B">
            <w:pPr>
              <w:jc w:val="center"/>
              <w:rPr>
                <w:rFonts w:ascii="仿宋" w:hAnsi="仿宋" w:eastAsia="仿宋" w:cs="仿宋"/>
                <w:b/>
                <w:bCs/>
                <w:color w:val="auto"/>
                <w:highlight w:val="none"/>
                <w:lang w:eastAsia="zh-CN"/>
              </w:rPr>
            </w:pPr>
          </w:p>
        </w:tc>
        <w:tc>
          <w:tcPr>
            <w:tcW w:w="1327" w:type="dxa"/>
          </w:tcPr>
          <w:p w14:paraId="7B51D3B4">
            <w:pPr>
              <w:jc w:val="center"/>
              <w:rPr>
                <w:rFonts w:ascii="仿宋" w:hAnsi="仿宋" w:eastAsia="仿宋" w:cs="仿宋"/>
                <w:b/>
                <w:bCs/>
                <w:color w:val="auto"/>
                <w:highlight w:val="none"/>
                <w:lang w:eastAsia="zh-CN"/>
              </w:rPr>
            </w:pPr>
          </w:p>
        </w:tc>
      </w:tr>
      <w:tr w14:paraId="0FF90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5" w:type="dxa"/>
          </w:tcPr>
          <w:p w14:paraId="569BC314">
            <w:pPr>
              <w:jc w:val="center"/>
              <w:rPr>
                <w:rFonts w:ascii="仿宋" w:hAnsi="仿宋" w:eastAsia="仿宋" w:cs="仿宋"/>
                <w:b/>
                <w:bCs/>
                <w:color w:val="auto"/>
                <w:highlight w:val="none"/>
                <w:lang w:eastAsia="zh-CN"/>
              </w:rPr>
            </w:pPr>
          </w:p>
        </w:tc>
        <w:tc>
          <w:tcPr>
            <w:tcW w:w="1357" w:type="dxa"/>
          </w:tcPr>
          <w:p w14:paraId="580BEA59">
            <w:pPr>
              <w:jc w:val="center"/>
              <w:rPr>
                <w:rFonts w:ascii="仿宋" w:hAnsi="仿宋" w:eastAsia="仿宋" w:cs="仿宋"/>
                <w:b/>
                <w:bCs/>
                <w:color w:val="auto"/>
                <w:highlight w:val="none"/>
                <w:lang w:eastAsia="zh-CN"/>
              </w:rPr>
            </w:pPr>
          </w:p>
        </w:tc>
        <w:tc>
          <w:tcPr>
            <w:tcW w:w="1326" w:type="dxa"/>
          </w:tcPr>
          <w:p w14:paraId="5367F3F8">
            <w:pPr>
              <w:jc w:val="center"/>
              <w:rPr>
                <w:rFonts w:ascii="仿宋" w:hAnsi="仿宋" w:eastAsia="仿宋" w:cs="仿宋"/>
                <w:b/>
                <w:bCs/>
                <w:color w:val="auto"/>
                <w:highlight w:val="none"/>
                <w:lang w:eastAsia="zh-CN"/>
              </w:rPr>
            </w:pPr>
          </w:p>
        </w:tc>
        <w:tc>
          <w:tcPr>
            <w:tcW w:w="1326" w:type="dxa"/>
          </w:tcPr>
          <w:p w14:paraId="2D31B0E8">
            <w:pPr>
              <w:jc w:val="center"/>
              <w:rPr>
                <w:rFonts w:ascii="仿宋" w:hAnsi="仿宋" w:eastAsia="仿宋" w:cs="仿宋"/>
                <w:b/>
                <w:bCs/>
                <w:color w:val="auto"/>
                <w:highlight w:val="none"/>
                <w:lang w:eastAsia="zh-CN"/>
              </w:rPr>
            </w:pPr>
          </w:p>
        </w:tc>
        <w:tc>
          <w:tcPr>
            <w:tcW w:w="1327" w:type="dxa"/>
          </w:tcPr>
          <w:p w14:paraId="1A97A5DF">
            <w:pPr>
              <w:jc w:val="center"/>
              <w:rPr>
                <w:rFonts w:ascii="仿宋" w:hAnsi="仿宋" w:eastAsia="仿宋" w:cs="仿宋"/>
                <w:b/>
                <w:bCs/>
                <w:color w:val="auto"/>
                <w:highlight w:val="none"/>
                <w:lang w:eastAsia="zh-CN"/>
              </w:rPr>
            </w:pPr>
          </w:p>
        </w:tc>
        <w:tc>
          <w:tcPr>
            <w:tcW w:w="1327" w:type="dxa"/>
          </w:tcPr>
          <w:p w14:paraId="14C5B669">
            <w:pPr>
              <w:jc w:val="center"/>
              <w:rPr>
                <w:rFonts w:ascii="仿宋" w:hAnsi="仿宋" w:eastAsia="仿宋" w:cs="仿宋"/>
                <w:b/>
                <w:bCs/>
                <w:color w:val="auto"/>
                <w:highlight w:val="none"/>
                <w:lang w:eastAsia="zh-CN"/>
              </w:rPr>
            </w:pPr>
          </w:p>
        </w:tc>
      </w:tr>
      <w:tr w14:paraId="19A18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5" w:type="dxa"/>
          </w:tcPr>
          <w:p w14:paraId="450DE326">
            <w:pPr>
              <w:jc w:val="center"/>
              <w:rPr>
                <w:rFonts w:ascii="仿宋" w:hAnsi="仿宋" w:eastAsia="仿宋" w:cs="仿宋"/>
                <w:b/>
                <w:bCs/>
                <w:color w:val="auto"/>
                <w:highlight w:val="none"/>
                <w:lang w:eastAsia="zh-CN"/>
              </w:rPr>
            </w:pPr>
          </w:p>
        </w:tc>
        <w:tc>
          <w:tcPr>
            <w:tcW w:w="1357" w:type="dxa"/>
          </w:tcPr>
          <w:p w14:paraId="721C1AC7">
            <w:pPr>
              <w:jc w:val="center"/>
              <w:rPr>
                <w:rFonts w:ascii="仿宋" w:hAnsi="仿宋" w:eastAsia="仿宋" w:cs="仿宋"/>
                <w:b/>
                <w:bCs/>
                <w:color w:val="auto"/>
                <w:highlight w:val="none"/>
                <w:lang w:eastAsia="zh-CN"/>
              </w:rPr>
            </w:pPr>
          </w:p>
        </w:tc>
        <w:tc>
          <w:tcPr>
            <w:tcW w:w="1326" w:type="dxa"/>
          </w:tcPr>
          <w:p w14:paraId="28BA0C6E">
            <w:pPr>
              <w:jc w:val="center"/>
              <w:rPr>
                <w:rFonts w:ascii="仿宋" w:hAnsi="仿宋" w:eastAsia="仿宋" w:cs="仿宋"/>
                <w:b/>
                <w:bCs/>
                <w:color w:val="auto"/>
                <w:highlight w:val="none"/>
                <w:lang w:eastAsia="zh-CN"/>
              </w:rPr>
            </w:pPr>
          </w:p>
        </w:tc>
        <w:tc>
          <w:tcPr>
            <w:tcW w:w="1326" w:type="dxa"/>
          </w:tcPr>
          <w:p w14:paraId="6D804A33">
            <w:pPr>
              <w:jc w:val="center"/>
              <w:rPr>
                <w:rFonts w:ascii="仿宋" w:hAnsi="仿宋" w:eastAsia="仿宋" w:cs="仿宋"/>
                <w:b/>
                <w:bCs/>
                <w:color w:val="auto"/>
                <w:highlight w:val="none"/>
                <w:lang w:eastAsia="zh-CN"/>
              </w:rPr>
            </w:pPr>
          </w:p>
        </w:tc>
        <w:tc>
          <w:tcPr>
            <w:tcW w:w="1327" w:type="dxa"/>
          </w:tcPr>
          <w:p w14:paraId="76C39354">
            <w:pPr>
              <w:jc w:val="center"/>
              <w:rPr>
                <w:rFonts w:ascii="仿宋" w:hAnsi="仿宋" w:eastAsia="仿宋" w:cs="仿宋"/>
                <w:b/>
                <w:bCs/>
                <w:color w:val="auto"/>
                <w:highlight w:val="none"/>
                <w:lang w:eastAsia="zh-CN"/>
              </w:rPr>
            </w:pPr>
          </w:p>
        </w:tc>
        <w:tc>
          <w:tcPr>
            <w:tcW w:w="1327" w:type="dxa"/>
          </w:tcPr>
          <w:p w14:paraId="3050357F">
            <w:pPr>
              <w:jc w:val="center"/>
              <w:rPr>
                <w:rFonts w:ascii="仿宋" w:hAnsi="仿宋" w:eastAsia="仿宋" w:cs="仿宋"/>
                <w:b/>
                <w:bCs/>
                <w:color w:val="auto"/>
                <w:highlight w:val="none"/>
                <w:lang w:eastAsia="zh-CN"/>
              </w:rPr>
            </w:pPr>
          </w:p>
        </w:tc>
      </w:tr>
      <w:tr w14:paraId="5F4DF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5" w:type="dxa"/>
          </w:tcPr>
          <w:p w14:paraId="6BE4D132">
            <w:pPr>
              <w:jc w:val="center"/>
              <w:rPr>
                <w:rFonts w:ascii="仿宋" w:hAnsi="仿宋" w:eastAsia="仿宋" w:cs="仿宋"/>
                <w:b/>
                <w:bCs/>
                <w:color w:val="auto"/>
                <w:highlight w:val="none"/>
                <w:lang w:eastAsia="zh-CN"/>
              </w:rPr>
            </w:pPr>
          </w:p>
        </w:tc>
        <w:tc>
          <w:tcPr>
            <w:tcW w:w="1357" w:type="dxa"/>
          </w:tcPr>
          <w:p w14:paraId="17A6F092">
            <w:pPr>
              <w:jc w:val="center"/>
              <w:rPr>
                <w:rFonts w:ascii="仿宋" w:hAnsi="仿宋" w:eastAsia="仿宋" w:cs="仿宋"/>
                <w:b/>
                <w:bCs/>
                <w:color w:val="auto"/>
                <w:highlight w:val="none"/>
                <w:lang w:eastAsia="zh-CN"/>
              </w:rPr>
            </w:pPr>
          </w:p>
        </w:tc>
        <w:tc>
          <w:tcPr>
            <w:tcW w:w="1326" w:type="dxa"/>
          </w:tcPr>
          <w:p w14:paraId="4E7C7D1D">
            <w:pPr>
              <w:jc w:val="center"/>
              <w:rPr>
                <w:rFonts w:ascii="仿宋" w:hAnsi="仿宋" w:eastAsia="仿宋" w:cs="仿宋"/>
                <w:b/>
                <w:bCs/>
                <w:color w:val="auto"/>
                <w:highlight w:val="none"/>
                <w:lang w:eastAsia="zh-CN"/>
              </w:rPr>
            </w:pPr>
          </w:p>
        </w:tc>
        <w:tc>
          <w:tcPr>
            <w:tcW w:w="1326" w:type="dxa"/>
          </w:tcPr>
          <w:p w14:paraId="5EC97A71">
            <w:pPr>
              <w:jc w:val="center"/>
              <w:rPr>
                <w:rFonts w:ascii="仿宋" w:hAnsi="仿宋" w:eastAsia="仿宋" w:cs="仿宋"/>
                <w:b/>
                <w:bCs/>
                <w:color w:val="auto"/>
                <w:highlight w:val="none"/>
                <w:lang w:eastAsia="zh-CN"/>
              </w:rPr>
            </w:pPr>
          </w:p>
        </w:tc>
        <w:tc>
          <w:tcPr>
            <w:tcW w:w="1327" w:type="dxa"/>
          </w:tcPr>
          <w:p w14:paraId="03B1C133">
            <w:pPr>
              <w:jc w:val="center"/>
              <w:rPr>
                <w:rFonts w:ascii="仿宋" w:hAnsi="仿宋" w:eastAsia="仿宋" w:cs="仿宋"/>
                <w:b/>
                <w:bCs/>
                <w:color w:val="auto"/>
                <w:highlight w:val="none"/>
                <w:lang w:eastAsia="zh-CN"/>
              </w:rPr>
            </w:pPr>
          </w:p>
        </w:tc>
        <w:tc>
          <w:tcPr>
            <w:tcW w:w="1327" w:type="dxa"/>
          </w:tcPr>
          <w:p w14:paraId="1D377F44">
            <w:pPr>
              <w:jc w:val="center"/>
              <w:rPr>
                <w:rFonts w:ascii="仿宋" w:hAnsi="仿宋" w:eastAsia="仿宋" w:cs="仿宋"/>
                <w:b/>
                <w:bCs/>
                <w:color w:val="auto"/>
                <w:highlight w:val="none"/>
                <w:lang w:eastAsia="zh-CN"/>
              </w:rPr>
            </w:pPr>
          </w:p>
        </w:tc>
      </w:tr>
      <w:tr w14:paraId="7F048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5" w:type="dxa"/>
          </w:tcPr>
          <w:p w14:paraId="7E348C43">
            <w:pPr>
              <w:jc w:val="center"/>
              <w:rPr>
                <w:rFonts w:ascii="仿宋" w:hAnsi="仿宋" w:eastAsia="仿宋" w:cs="仿宋"/>
                <w:b/>
                <w:bCs/>
                <w:color w:val="auto"/>
                <w:highlight w:val="none"/>
                <w:lang w:eastAsia="zh-CN"/>
              </w:rPr>
            </w:pPr>
          </w:p>
        </w:tc>
        <w:tc>
          <w:tcPr>
            <w:tcW w:w="1357" w:type="dxa"/>
          </w:tcPr>
          <w:p w14:paraId="46494FB3">
            <w:pPr>
              <w:jc w:val="center"/>
              <w:rPr>
                <w:rFonts w:ascii="仿宋" w:hAnsi="仿宋" w:eastAsia="仿宋" w:cs="仿宋"/>
                <w:b/>
                <w:bCs/>
                <w:color w:val="auto"/>
                <w:highlight w:val="none"/>
                <w:lang w:eastAsia="zh-CN"/>
              </w:rPr>
            </w:pPr>
          </w:p>
        </w:tc>
        <w:tc>
          <w:tcPr>
            <w:tcW w:w="1326" w:type="dxa"/>
          </w:tcPr>
          <w:p w14:paraId="0D8ACC0F">
            <w:pPr>
              <w:jc w:val="center"/>
              <w:rPr>
                <w:rFonts w:ascii="仿宋" w:hAnsi="仿宋" w:eastAsia="仿宋" w:cs="仿宋"/>
                <w:b/>
                <w:bCs/>
                <w:color w:val="auto"/>
                <w:highlight w:val="none"/>
                <w:lang w:eastAsia="zh-CN"/>
              </w:rPr>
            </w:pPr>
          </w:p>
        </w:tc>
        <w:tc>
          <w:tcPr>
            <w:tcW w:w="1326" w:type="dxa"/>
          </w:tcPr>
          <w:p w14:paraId="0F3C1199">
            <w:pPr>
              <w:jc w:val="center"/>
              <w:rPr>
                <w:rFonts w:ascii="仿宋" w:hAnsi="仿宋" w:eastAsia="仿宋" w:cs="仿宋"/>
                <w:b/>
                <w:bCs/>
                <w:color w:val="auto"/>
                <w:highlight w:val="none"/>
                <w:lang w:eastAsia="zh-CN"/>
              </w:rPr>
            </w:pPr>
          </w:p>
        </w:tc>
        <w:tc>
          <w:tcPr>
            <w:tcW w:w="1327" w:type="dxa"/>
          </w:tcPr>
          <w:p w14:paraId="557AD0C5">
            <w:pPr>
              <w:jc w:val="center"/>
              <w:rPr>
                <w:rFonts w:ascii="仿宋" w:hAnsi="仿宋" w:eastAsia="仿宋" w:cs="仿宋"/>
                <w:b/>
                <w:bCs/>
                <w:color w:val="auto"/>
                <w:highlight w:val="none"/>
                <w:lang w:eastAsia="zh-CN"/>
              </w:rPr>
            </w:pPr>
          </w:p>
        </w:tc>
        <w:tc>
          <w:tcPr>
            <w:tcW w:w="1327" w:type="dxa"/>
          </w:tcPr>
          <w:p w14:paraId="2EE0FD92">
            <w:pPr>
              <w:jc w:val="center"/>
              <w:rPr>
                <w:rFonts w:ascii="仿宋" w:hAnsi="仿宋" w:eastAsia="仿宋" w:cs="仿宋"/>
                <w:b/>
                <w:bCs/>
                <w:color w:val="auto"/>
                <w:highlight w:val="none"/>
                <w:lang w:eastAsia="zh-CN"/>
              </w:rPr>
            </w:pPr>
          </w:p>
        </w:tc>
      </w:tr>
    </w:tbl>
    <w:p w14:paraId="7613DDFD">
      <w:pPr>
        <w:spacing w:line="360" w:lineRule="auto"/>
        <w:ind w:firstLine="475" w:firstLineChars="198"/>
        <w:rPr>
          <w:rFonts w:hint="eastAsia" w:ascii="仿宋" w:hAnsi="仿宋" w:eastAsia="仿宋" w:cs="仿宋"/>
          <w:color w:val="auto"/>
          <w:highlight w:val="none"/>
          <w:lang w:eastAsia="zh-CN"/>
        </w:rPr>
      </w:pPr>
    </w:p>
    <w:p w14:paraId="0BC3967F">
      <w:pPr>
        <w:spacing w:line="360" w:lineRule="auto"/>
        <w:ind w:firstLine="475" w:firstLineChars="198"/>
        <w:rPr>
          <w:rFonts w:hint="eastAsia" w:ascii="仿宋" w:hAnsi="仿宋" w:eastAsia="仿宋" w:cs="仿宋"/>
          <w:color w:val="auto"/>
          <w:highlight w:val="none"/>
          <w:lang w:eastAsia="zh-CN"/>
        </w:rPr>
      </w:pPr>
    </w:p>
    <w:p w14:paraId="497BD570">
      <w:pPr>
        <w:spacing w:line="360" w:lineRule="auto"/>
        <w:ind w:firstLine="475" w:firstLineChars="198"/>
        <w:rPr>
          <w:rFonts w:ascii="仿宋" w:hAnsi="仿宋" w:eastAsia="仿宋" w:cs="仿宋"/>
          <w:color w:val="auto"/>
          <w:highlight w:val="none"/>
          <w:lang w:eastAsia="zh-CN"/>
        </w:rPr>
      </w:pPr>
      <w:r>
        <w:rPr>
          <w:rFonts w:hint="eastAsia" w:ascii="仿宋" w:hAnsi="仿宋" w:eastAsia="仿宋" w:cs="仿宋"/>
          <w:color w:val="auto"/>
          <w:highlight w:val="none"/>
          <w:lang w:eastAsia="zh-CN"/>
        </w:rPr>
        <w:t>备注：供应商应根据其提供的货物，对照招标文件第四</w:t>
      </w:r>
      <w:r>
        <w:rPr>
          <w:rFonts w:hint="eastAsia" w:ascii="仿宋" w:hAnsi="仿宋" w:eastAsia="仿宋" w:cs="仿宋"/>
          <w:color w:val="auto"/>
          <w:highlight w:val="none"/>
          <w:lang w:val="en-US" w:eastAsia="zh-CN"/>
        </w:rPr>
        <w:t>章</w:t>
      </w:r>
      <w:r>
        <w:rPr>
          <w:rFonts w:hint="eastAsia" w:ascii="仿宋" w:hAnsi="仿宋" w:eastAsia="仿宋" w:cs="仿宋"/>
          <w:color w:val="auto"/>
          <w:highlight w:val="none"/>
          <w:lang w:eastAsia="zh-CN"/>
        </w:rPr>
        <w:t>“ 技术规格、数量及质量要求”中的要求，有差异的，则在此表中列明实际响应的内容提要并加以说明，以便查对。本表包括所有的技术响应及差异。无差异说明表示完全响应。</w:t>
      </w:r>
    </w:p>
    <w:p w14:paraId="6ED07E95">
      <w:pPr>
        <w:pStyle w:val="13"/>
        <w:tabs>
          <w:tab w:val="left" w:pos="5580"/>
        </w:tabs>
        <w:spacing w:line="360" w:lineRule="auto"/>
        <w:ind w:firstLine="3120" w:firstLineChars="1300"/>
        <w:rPr>
          <w:rFonts w:ascii="仿宋" w:hAnsi="仿宋" w:eastAsia="仿宋" w:cs="仿宋"/>
          <w:color w:val="auto"/>
          <w:highlight w:val="none"/>
          <w:lang w:eastAsia="zh-CN"/>
        </w:rPr>
      </w:pPr>
    </w:p>
    <w:p w14:paraId="3223F965">
      <w:pPr>
        <w:pStyle w:val="13"/>
        <w:tabs>
          <w:tab w:val="left" w:pos="5580"/>
        </w:tabs>
        <w:spacing w:line="360" w:lineRule="auto"/>
        <w:ind w:firstLine="3120" w:firstLineChars="1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供应商（盖章）：</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0B684712">
      <w:pPr>
        <w:pStyle w:val="13"/>
        <w:tabs>
          <w:tab w:val="left" w:pos="5580"/>
        </w:tabs>
        <w:spacing w:line="360" w:lineRule="auto"/>
        <w:ind w:firstLine="3120" w:firstLineChars="1300"/>
        <w:rPr>
          <w:rFonts w:ascii="仿宋" w:hAnsi="仿宋" w:eastAsia="仿宋" w:cs="仿宋"/>
          <w:color w:val="auto"/>
          <w:szCs w:val="24"/>
          <w:highlight w:val="none"/>
          <w:u w:val="single"/>
          <w:lang w:eastAsia="zh-CN"/>
        </w:rPr>
      </w:pPr>
      <w:r>
        <w:rPr>
          <w:rFonts w:hint="eastAsia" w:ascii="仿宋" w:hAnsi="仿宋" w:eastAsia="仿宋" w:cs="仿宋"/>
          <w:color w:val="auto"/>
          <w:highlight w:val="none"/>
          <w:lang w:eastAsia="zh-CN"/>
        </w:rPr>
        <w:t>法定代表人或</w:t>
      </w:r>
      <w:r>
        <w:rPr>
          <w:rFonts w:hint="eastAsia" w:ascii="仿宋" w:hAnsi="仿宋" w:eastAsia="仿宋" w:cs="仿宋"/>
          <w:color w:val="auto"/>
          <w:szCs w:val="24"/>
          <w:highlight w:val="none"/>
          <w:lang w:eastAsia="zh-CN"/>
        </w:rPr>
        <w:t>委托代理人</w:t>
      </w:r>
      <w:r>
        <w:rPr>
          <w:rFonts w:hint="eastAsia" w:ascii="仿宋" w:hAnsi="仿宋" w:eastAsia="仿宋" w:cs="仿宋"/>
          <w:color w:val="auto"/>
          <w:highlight w:val="none"/>
          <w:lang w:eastAsia="zh-CN"/>
        </w:rPr>
        <w:t>（签章）</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u w:val="single"/>
          <w:lang w:eastAsia="zh-CN"/>
        </w:rPr>
        <w:t xml:space="preserve">             </w:t>
      </w:r>
    </w:p>
    <w:p w14:paraId="5D7E8EB4">
      <w:pPr>
        <w:spacing w:line="360" w:lineRule="auto"/>
        <w:ind w:firstLine="3120" w:firstLineChars="1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日期：       年   月   日</w:t>
      </w:r>
    </w:p>
    <w:p w14:paraId="3A878F66">
      <w:pPr>
        <w:pStyle w:val="4"/>
        <w:rPr>
          <w:rFonts w:ascii="仿宋" w:hAnsi="仿宋" w:eastAsia="仿宋" w:cs="仿宋"/>
          <w:color w:val="auto"/>
          <w:sz w:val="36"/>
          <w:szCs w:val="36"/>
          <w:highlight w:val="none"/>
          <w:lang w:eastAsia="zh-CN"/>
        </w:rPr>
      </w:pPr>
    </w:p>
    <w:p w14:paraId="7EF01F43">
      <w:pPr>
        <w:rPr>
          <w:rFonts w:ascii="仿宋" w:hAnsi="仿宋" w:eastAsia="仿宋" w:cs="仿宋"/>
          <w:color w:val="auto"/>
          <w:highlight w:val="none"/>
          <w:lang w:eastAsia="zh-CN"/>
        </w:rPr>
      </w:pPr>
    </w:p>
    <w:p w14:paraId="5757ECA9">
      <w:pPr>
        <w:pStyle w:val="38"/>
        <w:spacing w:after="0"/>
        <w:ind w:firstLine="420"/>
        <w:jc w:val="center"/>
        <w:rPr>
          <w:rFonts w:ascii="仿宋" w:hAnsi="仿宋" w:eastAsia="仿宋" w:cs="仿宋"/>
          <w:color w:val="auto"/>
          <w:sz w:val="36"/>
          <w:szCs w:val="36"/>
          <w:highlight w:val="none"/>
          <w:lang w:eastAsia="zh-CN"/>
        </w:rPr>
      </w:pPr>
    </w:p>
    <w:p w14:paraId="23CEF138">
      <w:pPr>
        <w:pStyle w:val="38"/>
        <w:spacing w:after="0"/>
        <w:ind w:firstLine="420"/>
        <w:jc w:val="center"/>
        <w:rPr>
          <w:rFonts w:ascii="仿宋" w:hAnsi="仿宋" w:eastAsia="仿宋" w:cs="仿宋"/>
          <w:color w:val="auto"/>
          <w:sz w:val="36"/>
          <w:szCs w:val="36"/>
          <w:highlight w:val="none"/>
          <w:lang w:eastAsia="zh-CN"/>
        </w:rPr>
      </w:pPr>
    </w:p>
    <w:p w14:paraId="75730955">
      <w:pPr>
        <w:pStyle w:val="38"/>
        <w:spacing w:after="0"/>
        <w:ind w:firstLine="420"/>
        <w:jc w:val="center"/>
        <w:rPr>
          <w:rFonts w:ascii="仿宋" w:hAnsi="仿宋" w:eastAsia="仿宋" w:cs="仿宋"/>
          <w:color w:val="auto"/>
          <w:sz w:val="36"/>
          <w:szCs w:val="36"/>
          <w:highlight w:val="none"/>
          <w:lang w:eastAsia="zh-CN"/>
        </w:rPr>
      </w:pPr>
    </w:p>
    <w:p w14:paraId="766624BD">
      <w:pPr>
        <w:jc w:val="both"/>
        <w:rPr>
          <w:rFonts w:hint="eastAsia" w:ascii="仿宋" w:hAnsi="仿宋" w:eastAsia="仿宋" w:cs="仿宋"/>
          <w:b/>
          <w:bCs/>
          <w:color w:val="auto"/>
          <w:sz w:val="30"/>
          <w:szCs w:val="30"/>
          <w:highlight w:val="none"/>
          <w:lang w:eastAsia="zh-CN"/>
        </w:rPr>
      </w:pPr>
    </w:p>
    <w:p w14:paraId="5D4DA011">
      <w:pPr>
        <w:jc w:val="both"/>
        <w:rPr>
          <w:rFonts w:hint="eastAsia" w:ascii="仿宋" w:hAnsi="仿宋" w:eastAsia="仿宋" w:cs="仿宋"/>
          <w:b/>
          <w:bCs/>
          <w:color w:val="auto"/>
          <w:sz w:val="30"/>
          <w:szCs w:val="30"/>
          <w:highlight w:val="none"/>
          <w:lang w:eastAsia="zh-CN"/>
        </w:rPr>
      </w:pPr>
    </w:p>
    <w:p w14:paraId="4D43A56A">
      <w:pPr>
        <w:jc w:val="center"/>
        <w:rPr>
          <w:rFonts w:hint="eastAsia" w:ascii="仿宋" w:hAnsi="仿宋" w:eastAsia="仿宋" w:cs="仿宋"/>
          <w:b/>
          <w:bCs/>
          <w:color w:val="auto"/>
          <w:sz w:val="30"/>
          <w:szCs w:val="30"/>
          <w:highlight w:val="none"/>
          <w:lang w:eastAsia="zh-CN"/>
        </w:rPr>
      </w:pPr>
    </w:p>
    <w:p w14:paraId="3700E379">
      <w:pPr>
        <w:jc w:val="center"/>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6、商务条款偏离表</w:t>
      </w:r>
    </w:p>
    <w:p w14:paraId="4A01F6F3">
      <w:pPr>
        <w:rPr>
          <w:rFonts w:hint="eastAsia" w:ascii="仿宋" w:hAnsi="仿宋" w:eastAsia="仿宋" w:cs="仿宋"/>
          <w:color w:val="auto"/>
          <w:spacing w:val="-1"/>
          <w:highlight w:val="none"/>
          <w:lang w:eastAsia="zh-CN"/>
        </w:rPr>
      </w:pPr>
    </w:p>
    <w:tbl>
      <w:tblPr>
        <w:tblStyle w:val="25"/>
        <w:tblpPr w:leftFromText="180" w:rightFromText="180" w:vertAnchor="text" w:horzAnchor="page" w:tblpX="2377" w:tblpY="78"/>
        <w:tblOverlap w:val="never"/>
        <w:tblW w:w="7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477"/>
        <w:gridCol w:w="2454"/>
        <w:gridCol w:w="1686"/>
      </w:tblGrid>
      <w:tr w14:paraId="738C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4523C10C">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序号</w:t>
            </w:r>
          </w:p>
        </w:tc>
        <w:tc>
          <w:tcPr>
            <w:tcW w:w="2477" w:type="dxa"/>
            <w:vAlign w:val="center"/>
          </w:tcPr>
          <w:p w14:paraId="31CF1B33">
            <w:pPr>
              <w:pStyle w:val="13"/>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招标文件的商务条款</w:t>
            </w:r>
          </w:p>
        </w:tc>
        <w:tc>
          <w:tcPr>
            <w:tcW w:w="2454" w:type="dxa"/>
            <w:vAlign w:val="center"/>
          </w:tcPr>
          <w:p w14:paraId="1F5650D3">
            <w:pPr>
              <w:pStyle w:val="13"/>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投标文件的商务条款</w:t>
            </w:r>
          </w:p>
        </w:tc>
        <w:tc>
          <w:tcPr>
            <w:tcW w:w="1686" w:type="dxa"/>
            <w:vAlign w:val="center"/>
          </w:tcPr>
          <w:p w14:paraId="29E3DC4A">
            <w:pPr>
              <w:pStyle w:val="13"/>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说明</w:t>
            </w:r>
          </w:p>
        </w:tc>
      </w:tr>
      <w:tr w14:paraId="6648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0848A0DE">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1</w:t>
            </w:r>
          </w:p>
        </w:tc>
        <w:tc>
          <w:tcPr>
            <w:tcW w:w="2477" w:type="dxa"/>
            <w:vAlign w:val="center"/>
          </w:tcPr>
          <w:p w14:paraId="5C1670D2">
            <w:pPr>
              <w:jc w:val="center"/>
              <w:rPr>
                <w:rFonts w:ascii="仿宋" w:hAnsi="仿宋" w:eastAsia="仿宋" w:cs="仿宋"/>
                <w:color w:val="auto"/>
                <w:spacing w:val="-1"/>
                <w:highlight w:val="none"/>
              </w:rPr>
            </w:pPr>
          </w:p>
        </w:tc>
        <w:tc>
          <w:tcPr>
            <w:tcW w:w="2454" w:type="dxa"/>
            <w:vAlign w:val="center"/>
          </w:tcPr>
          <w:p w14:paraId="55D24B05">
            <w:pPr>
              <w:jc w:val="center"/>
              <w:rPr>
                <w:rFonts w:ascii="仿宋" w:hAnsi="仿宋" w:eastAsia="仿宋" w:cs="仿宋"/>
                <w:color w:val="auto"/>
                <w:spacing w:val="-1"/>
                <w:highlight w:val="none"/>
              </w:rPr>
            </w:pPr>
          </w:p>
        </w:tc>
        <w:tc>
          <w:tcPr>
            <w:tcW w:w="1686" w:type="dxa"/>
            <w:vAlign w:val="center"/>
          </w:tcPr>
          <w:p w14:paraId="4326588E">
            <w:pPr>
              <w:jc w:val="center"/>
              <w:rPr>
                <w:rFonts w:ascii="仿宋" w:hAnsi="仿宋" w:eastAsia="仿宋" w:cs="仿宋"/>
                <w:color w:val="auto"/>
                <w:spacing w:val="-1"/>
                <w:highlight w:val="none"/>
              </w:rPr>
            </w:pPr>
          </w:p>
        </w:tc>
      </w:tr>
      <w:tr w14:paraId="41AC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5612CFB4">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2</w:t>
            </w:r>
          </w:p>
        </w:tc>
        <w:tc>
          <w:tcPr>
            <w:tcW w:w="2477" w:type="dxa"/>
            <w:vAlign w:val="center"/>
          </w:tcPr>
          <w:p w14:paraId="19FD3F28">
            <w:pPr>
              <w:jc w:val="center"/>
              <w:rPr>
                <w:rFonts w:ascii="仿宋" w:hAnsi="仿宋" w:eastAsia="仿宋" w:cs="仿宋"/>
                <w:color w:val="auto"/>
                <w:spacing w:val="-1"/>
                <w:highlight w:val="none"/>
              </w:rPr>
            </w:pPr>
          </w:p>
        </w:tc>
        <w:tc>
          <w:tcPr>
            <w:tcW w:w="2454" w:type="dxa"/>
            <w:vAlign w:val="center"/>
          </w:tcPr>
          <w:p w14:paraId="28F64E87">
            <w:pPr>
              <w:jc w:val="center"/>
              <w:rPr>
                <w:rFonts w:ascii="仿宋" w:hAnsi="仿宋" w:eastAsia="仿宋" w:cs="仿宋"/>
                <w:color w:val="auto"/>
                <w:spacing w:val="-1"/>
                <w:highlight w:val="none"/>
              </w:rPr>
            </w:pPr>
          </w:p>
        </w:tc>
        <w:tc>
          <w:tcPr>
            <w:tcW w:w="1686" w:type="dxa"/>
            <w:vAlign w:val="center"/>
          </w:tcPr>
          <w:p w14:paraId="26BA10D2">
            <w:pPr>
              <w:jc w:val="center"/>
              <w:rPr>
                <w:rFonts w:ascii="仿宋" w:hAnsi="仿宋" w:eastAsia="仿宋" w:cs="仿宋"/>
                <w:color w:val="auto"/>
                <w:spacing w:val="-1"/>
                <w:highlight w:val="none"/>
              </w:rPr>
            </w:pPr>
          </w:p>
        </w:tc>
      </w:tr>
      <w:tr w14:paraId="7EBF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3614E554">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3</w:t>
            </w:r>
          </w:p>
        </w:tc>
        <w:tc>
          <w:tcPr>
            <w:tcW w:w="2477" w:type="dxa"/>
            <w:vAlign w:val="center"/>
          </w:tcPr>
          <w:p w14:paraId="5206298B">
            <w:pPr>
              <w:jc w:val="center"/>
              <w:rPr>
                <w:rFonts w:ascii="仿宋" w:hAnsi="仿宋" w:eastAsia="仿宋" w:cs="仿宋"/>
                <w:color w:val="auto"/>
                <w:spacing w:val="-1"/>
                <w:highlight w:val="none"/>
              </w:rPr>
            </w:pPr>
          </w:p>
        </w:tc>
        <w:tc>
          <w:tcPr>
            <w:tcW w:w="2454" w:type="dxa"/>
            <w:vAlign w:val="center"/>
          </w:tcPr>
          <w:p w14:paraId="54D9FA45">
            <w:pPr>
              <w:jc w:val="center"/>
              <w:rPr>
                <w:rFonts w:ascii="仿宋" w:hAnsi="仿宋" w:eastAsia="仿宋" w:cs="仿宋"/>
                <w:color w:val="auto"/>
                <w:spacing w:val="-1"/>
                <w:highlight w:val="none"/>
              </w:rPr>
            </w:pPr>
          </w:p>
        </w:tc>
        <w:tc>
          <w:tcPr>
            <w:tcW w:w="1686" w:type="dxa"/>
            <w:vAlign w:val="center"/>
          </w:tcPr>
          <w:p w14:paraId="7BD66F5C">
            <w:pPr>
              <w:jc w:val="center"/>
              <w:rPr>
                <w:rFonts w:ascii="仿宋" w:hAnsi="仿宋" w:eastAsia="仿宋" w:cs="仿宋"/>
                <w:color w:val="auto"/>
                <w:spacing w:val="-1"/>
                <w:highlight w:val="none"/>
              </w:rPr>
            </w:pPr>
          </w:p>
        </w:tc>
      </w:tr>
      <w:tr w14:paraId="340E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4C0374C0">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4</w:t>
            </w:r>
          </w:p>
        </w:tc>
        <w:tc>
          <w:tcPr>
            <w:tcW w:w="2477" w:type="dxa"/>
            <w:vAlign w:val="center"/>
          </w:tcPr>
          <w:p w14:paraId="4BB07F87">
            <w:pPr>
              <w:jc w:val="center"/>
              <w:rPr>
                <w:rFonts w:ascii="仿宋" w:hAnsi="仿宋" w:eastAsia="仿宋" w:cs="仿宋"/>
                <w:color w:val="auto"/>
                <w:spacing w:val="-1"/>
                <w:highlight w:val="none"/>
              </w:rPr>
            </w:pPr>
          </w:p>
        </w:tc>
        <w:tc>
          <w:tcPr>
            <w:tcW w:w="2454" w:type="dxa"/>
            <w:vAlign w:val="center"/>
          </w:tcPr>
          <w:p w14:paraId="59A71AC5">
            <w:pPr>
              <w:jc w:val="center"/>
              <w:rPr>
                <w:rFonts w:ascii="仿宋" w:hAnsi="仿宋" w:eastAsia="仿宋" w:cs="仿宋"/>
                <w:color w:val="auto"/>
                <w:spacing w:val="-1"/>
                <w:highlight w:val="none"/>
              </w:rPr>
            </w:pPr>
          </w:p>
        </w:tc>
        <w:tc>
          <w:tcPr>
            <w:tcW w:w="1686" w:type="dxa"/>
            <w:vAlign w:val="center"/>
          </w:tcPr>
          <w:p w14:paraId="519A80C2">
            <w:pPr>
              <w:jc w:val="center"/>
              <w:rPr>
                <w:rFonts w:ascii="仿宋" w:hAnsi="仿宋" w:eastAsia="仿宋" w:cs="仿宋"/>
                <w:color w:val="auto"/>
                <w:spacing w:val="-1"/>
                <w:highlight w:val="none"/>
              </w:rPr>
            </w:pPr>
          </w:p>
        </w:tc>
      </w:tr>
      <w:tr w14:paraId="47E9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7BDA52CB">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5</w:t>
            </w:r>
          </w:p>
        </w:tc>
        <w:tc>
          <w:tcPr>
            <w:tcW w:w="2477" w:type="dxa"/>
            <w:vAlign w:val="center"/>
          </w:tcPr>
          <w:p w14:paraId="6B72825D">
            <w:pPr>
              <w:jc w:val="center"/>
              <w:rPr>
                <w:rFonts w:ascii="仿宋" w:hAnsi="仿宋" w:eastAsia="仿宋" w:cs="仿宋"/>
                <w:color w:val="auto"/>
                <w:spacing w:val="-1"/>
                <w:highlight w:val="none"/>
              </w:rPr>
            </w:pPr>
          </w:p>
        </w:tc>
        <w:tc>
          <w:tcPr>
            <w:tcW w:w="2454" w:type="dxa"/>
            <w:vAlign w:val="center"/>
          </w:tcPr>
          <w:p w14:paraId="7BF45C97">
            <w:pPr>
              <w:jc w:val="center"/>
              <w:rPr>
                <w:rFonts w:ascii="仿宋" w:hAnsi="仿宋" w:eastAsia="仿宋" w:cs="仿宋"/>
                <w:color w:val="auto"/>
                <w:spacing w:val="-1"/>
                <w:highlight w:val="none"/>
              </w:rPr>
            </w:pPr>
          </w:p>
        </w:tc>
        <w:tc>
          <w:tcPr>
            <w:tcW w:w="1686" w:type="dxa"/>
            <w:vAlign w:val="center"/>
          </w:tcPr>
          <w:p w14:paraId="5B7D0ACB">
            <w:pPr>
              <w:jc w:val="center"/>
              <w:rPr>
                <w:rFonts w:ascii="仿宋" w:hAnsi="仿宋" w:eastAsia="仿宋" w:cs="仿宋"/>
                <w:color w:val="auto"/>
                <w:spacing w:val="-1"/>
                <w:highlight w:val="none"/>
              </w:rPr>
            </w:pPr>
          </w:p>
        </w:tc>
      </w:tr>
      <w:tr w14:paraId="2419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02C2873D">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6</w:t>
            </w:r>
          </w:p>
        </w:tc>
        <w:tc>
          <w:tcPr>
            <w:tcW w:w="2477" w:type="dxa"/>
            <w:vAlign w:val="center"/>
          </w:tcPr>
          <w:p w14:paraId="61B8BBCC">
            <w:pPr>
              <w:jc w:val="center"/>
              <w:rPr>
                <w:rFonts w:ascii="仿宋" w:hAnsi="仿宋" w:eastAsia="仿宋" w:cs="仿宋"/>
                <w:color w:val="auto"/>
                <w:spacing w:val="-1"/>
                <w:highlight w:val="none"/>
              </w:rPr>
            </w:pPr>
          </w:p>
        </w:tc>
        <w:tc>
          <w:tcPr>
            <w:tcW w:w="2454" w:type="dxa"/>
            <w:vAlign w:val="center"/>
          </w:tcPr>
          <w:p w14:paraId="350D85B5">
            <w:pPr>
              <w:jc w:val="center"/>
              <w:rPr>
                <w:rFonts w:ascii="仿宋" w:hAnsi="仿宋" w:eastAsia="仿宋" w:cs="仿宋"/>
                <w:color w:val="auto"/>
                <w:spacing w:val="-1"/>
                <w:highlight w:val="none"/>
              </w:rPr>
            </w:pPr>
          </w:p>
        </w:tc>
        <w:tc>
          <w:tcPr>
            <w:tcW w:w="1686" w:type="dxa"/>
            <w:vAlign w:val="center"/>
          </w:tcPr>
          <w:p w14:paraId="62463DCC">
            <w:pPr>
              <w:jc w:val="center"/>
              <w:rPr>
                <w:rFonts w:ascii="仿宋" w:hAnsi="仿宋" w:eastAsia="仿宋" w:cs="仿宋"/>
                <w:color w:val="auto"/>
                <w:spacing w:val="-1"/>
                <w:highlight w:val="none"/>
              </w:rPr>
            </w:pPr>
          </w:p>
        </w:tc>
      </w:tr>
      <w:tr w14:paraId="19B0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1E076650">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7</w:t>
            </w:r>
          </w:p>
        </w:tc>
        <w:tc>
          <w:tcPr>
            <w:tcW w:w="2477" w:type="dxa"/>
            <w:vAlign w:val="center"/>
          </w:tcPr>
          <w:p w14:paraId="06CFE853">
            <w:pPr>
              <w:jc w:val="center"/>
              <w:rPr>
                <w:rFonts w:ascii="仿宋" w:hAnsi="仿宋" w:eastAsia="仿宋" w:cs="仿宋"/>
                <w:color w:val="auto"/>
                <w:spacing w:val="-1"/>
                <w:highlight w:val="none"/>
              </w:rPr>
            </w:pPr>
          </w:p>
        </w:tc>
        <w:tc>
          <w:tcPr>
            <w:tcW w:w="2454" w:type="dxa"/>
            <w:vAlign w:val="center"/>
          </w:tcPr>
          <w:p w14:paraId="0CA12498">
            <w:pPr>
              <w:jc w:val="center"/>
              <w:rPr>
                <w:rFonts w:ascii="仿宋" w:hAnsi="仿宋" w:eastAsia="仿宋" w:cs="仿宋"/>
                <w:color w:val="auto"/>
                <w:spacing w:val="-1"/>
                <w:highlight w:val="none"/>
              </w:rPr>
            </w:pPr>
          </w:p>
        </w:tc>
        <w:tc>
          <w:tcPr>
            <w:tcW w:w="1686" w:type="dxa"/>
            <w:vAlign w:val="center"/>
          </w:tcPr>
          <w:p w14:paraId="250401A6">
            <w:pPr>
              <w:jc w:val="center"/>
              <w:rPr>
                <w:rFonts w:ascii="仿宋" w:hAnsi="仿宋" w:eastAsia="仿宋" w:cs="仿宋"/>
                <w:color w:val="auto"/>
                <w:spacing w:val="-1"/>
                <w:highlight w:val="none"/>
              </w:rPr>
            </w:pPr>
          </w:p>
        </w:tc>
      </w:tr>
      <w:tr w14:paraId="7CD3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6BDFB5D7">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8</w:t>
            </w:r>
          </w:p>
        </w:tc>
        <w:tc>
          <w:tcPr>
            <w:tcW w:w="2477" w:type="dxa"/>
            <w:vAlign w:val="center"/>
          </w:tcPr>
          <w:p w14:paraId="2E58BCA4">
            <w:pPr>
              <w:jc w:val="center"/>
              <w:rPr>
                <w:rFonts w:ascii="仿宋" w:hAnsi="仿宋" w:eastAsia="仿宋" w:cs="仿宋"/>
                <w:color w:val="auto"/>
                <w:spacing w:val="-1"/>
                <w:highlight w:val="none"/>
              </w:rPr>
            </w:pPr>
          </w:p>
        </w:tc>
        <w:tc>
          <w:tcPr>
            <w:tcW w:w="2454" w:type="dxa"/>
            <w:vAlign w:val="center"/>
          </w:tcPr>
          <w:p w14:paraId="3B13A0EB">
            <w:pPr>
              <w:jc w:val="center"/>
              <w:rPr>
                <w:rFonts w:ascii="仿宋" w:hAnsi="仿宋" w:eastAsia="仿宋" w:cs="仿宋"/>
                <w:color w:val="auto"/>
                <w:spacing w:val="-1"/>
                <w:highlight w:val="none"/>
              </w:rPr>
            </w:pPr>
          </w:p>
        </w:tc>
        <w:tc>
          <w:tcPr>
            <w:tcW w:w="1686" w:type="dxa"/>
            <w:vAlign w:val="center"/>
          </w:tcPr>
          <w:p w14:paraId="39DE2CEF">
            <w:pPr>
              <w:jc w:val="center"/>
              <w:rPr>
                <w:rFonts w:ascii="仿宋" w:hAnsi="仿宋" w:eastAsia="仿宋" w:cs="仿宋"/>
                <w:color w:val="auto"/>
                <w:spacing w:val="-1"/>
                <w:highlight w:val="none"/>
              </w:rPr>
            </w:pPr>
          </w:p>
        </w:tc>
      </w:tr>
      <w:tr w14:paraId="6F2B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39CA970B">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9</w:t>
            </w:r>
          </w:p>
        </w:tc>
        <w:tc>
          <w:tcPr>
            <w:tcW w:w="2477" w:type="dxa"/>
            <w:vAlign w:val="center"/>
          </w:tcPr>
          <w:p w14:paraId="19955366">
            <w:pPr>
              <w:jc w:val="center"/>
              <w:rPr>
                <w:rFonts w:ascii="仿宋" w:hAnsi="仿宋" w:eastAsia="仿宋" w:cs="仿宋"/>
                <w:color w:val="auto"/>
                <w:spacing w:val="-1"/>
                <w:highlight w:val="none"/>
              </w:rPr>
            </w:pPr>
          </w:p>
        </w:tc>
        <w:tc>
          <w:tcPr>
            <w:tcW w:w="2454" w:type="dxa"/>
            <w:vAlign w:val="center"/>
          </w:tcPr>
          <w:p w14:paraId="7ECE8F31">
            <w:pPr>
              <w:jc w:val="center"/>
              <w:rPr>
                <w:rFonts w:ascii="仿宋" w:hAnsi="仿宋" w:eastAsia="仿宋" w:cs="仿宋"/>
                <w:color w:val="auto"/>
                <w:spacing w:val="-1"/>
                <w:highlight w:val="none"/>
              </w:rPr>
            </w:pPr>
          </w:p>
        </w:tc>
        <w:tc>
          <w:tcPr>
            <w:tcW w:w="1686" w:type="dxa"/>
            <w:vAlign w:val="center"/>
          </w:tcPr>
          <w:p w14:paraId="259C3FF0">
            <w:pPr>
              <w:jc w:val="center"/>
              <w:rPr>
                <w:rFonts w:ascii="仿宋" w:hAnsi="仿宋" w:eastAsia="仿宋" w:cs="仿宋"/>
                <w:color w:val="auto"/>
                <w:spacing w:val="-1"/>
                <w:highlight w:val="none"/>
              </w:rPr>
            </w:pPr>
          </w:p>
        </w:tc>
      </w:tr>
      <w:tr w14:paraId="6DD2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48B3E0EF">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10</w:t>
            </w:r>
          </w:p>
        </w:tc>
        <w:tc>
          <w:tcPr>
            <w:tcW w:w="2477" w:type="dxa"/>
            <w:vAlign w:val="center"/>
          </w:tcPr>
          <w:p w14:paraId="40D3C9A0">
            <w:pPr>
              <w:jc w:val="center"/>
              <w:rPr>
                <w:rFonts w:ascii="仿宋" w:hAnsi="仿宋" w:eastAsia="仿宋" w:cs="仿宋"/>
                <w:color w:val="auto"/>
                <w:spacing w:val="-1"/>
                <w:highlight w:val="none"/>
              </w:rPr>
            </w:pPr>
          </w:p>
        </w:tc>
        <w:tc>
          <w:tcPr>
            <w:tcW w:w="2454" w:type="dxa"/>
            <w:vAlign w:val="center"/>
          </w:tcPr>
          <w:p w14:paraId="73A97359">
            <w:pPr>
              <w:jc w:val="center"/>
              <w:rPr>
                <w:rFonts w:ascii="仿宋" w:hAnsi="仿宋" w:eastAsia="仿宋" w:cs="仿宋"/>
                <w:color w:val="auto"/>
                <w:spacing w:val="-1"/>
                <w:highlight w:val="none"/>
              </w:rPr>
            </w:pPr>
          </w:p>
        </w:tc>
        <w:tc>
          <w:tcPr>
            <w:tcW w:w="1686" w:type="dxa"/>
            <w:vAlign w:val="center"/>
          </w:tcPr>
          <w:p w14:paraId="6C7370B3">
            <w:pPr>
              <w:jc w:val="center"/>
              <w:rPr>
                <w:rFonts w:ascii="仿宋" w:hAnsi="仿宋" w:eastAsia="仿宋" w:cs="仿宋"/>
                <w:color w:val="auto"/>
                <w:spacing w:val="-1"/>
                <w:highlight w:val="none"/>
              </w:rPr>
            </w:pPr>
          </w:p>
        </w:tc>
      </w:tr>
    </w:tbl>
    <w:p w14:paraId="62F11B35">
      <w:pPr>
        <w:ind w:firstLine="476" w:firstLineChars="200"/>
        <w:rPr>
          <w:rFonts w:hint="eastAsia" w:ascii="仿宋" w:hAnsi="仿宋" w:eastAsia="仿宋" w:cs="仿宋"/>
          <w:color w:val="auto"/>
          <w:spacing w:val="-1"/>
          <w:kern w:val="0"/>
          <w:sz w:val="24"/>
        </w:rPr>
      </w:pPr>
      <w:r>
        <w:rPr>
          <w:rFonts w:hint="eastAsia" w:ascii="仿宋" w:hAnsi="仿宋" w:eastAsia="仿宋" w:cs="仿宋"/>
          <w:color w:val="auto"/>
          <w:spacing w:val="-1"/>
          <w:highlight w:val="none"/>
          <w:lang w:eastAsia="zh-CN"/>
        </w:rPr>
        <w:t>注：</w:t>
      </w:r>
      <w:r>
        <w:rPr>
          <w:rFonts w:hint="eastAsia" w:ascii="仿宋" w:hAnsi="仿宋" w:eastAsia="仿宋" w:cs="仿宋"/>
          <w:color w:val="auto"/>
          <w:spacing w:val="-1"/>
          <w:kern w:val="0"/>
          <w:sz w:val="24"/>
        </w:rPr>
        <w:t>凡投标文件中商务条款（包括供货期、付款</w:t>
      </w:r>
      <w:r>
        <w:rPr>
          <w:rFonts w:hint="eastAsia" w:ascii="仿宋" w:hAnsi="仿宋" w:eastAsia="仿宋" w:cs="仿宋"/>
          <w:color w:val="auto"/>
          <w:spacing w:val="-1"/>
          <w:kern w:val="0"/>
          <w:sz w:val="24"/>
          <w:lang w:eastAsia="zh-CN"/>
        </w:rPr>
        <w:t>方式</w:t>
      </w:r>
      <w:r>
        <w:rPr>
          <w:rFonts w:hint="eastAsia" w:ascii="仿宋" w:hAnsi="仿宋" w:eastAsia="仿宋" w:cs="仿宋"/>
          <w:color w:val="auto"/>
          <w:spacing w:val="-1"/>
          <w:kern w:val="0"/>
          <w:sz w:val="24"/>
        </w:rPr>
        <w:t>、</w:t>
      </w:r>
      <w:r>
        <w:rPr>
          <w:rFonts w:hint="eastAsia" w:ascii="仿宋" w:hAnsi="仿宋" w:eastAsia="仿宋" w:cs="仿宋"/>
          <w:color w:val="auto"/>
          <w:spacing w:val="-1"/>
          <w:kern w:val="0"/>
          <w:sz w:val="24"/>
          <w:lang w:eastAsia="zh-CN"/>
        </w:rPr>
        <w:t>投标保证金、</w:t>
      </w:r>
      <w:r>
        <w:rPr>
          <w:rFonts w:hint="eastAsia" w:ascii="仿宋" w:hAnsi="仿宋" w:eastAsia="仿宋" w:cs="仿宋"/>
          <w:color w:val="auto"/>
          <w:spacing w:val="-1"/>
          <w:kern w:val="0"/>
          <w:sz w:val="24"/>
        </w:rPr>
        <w:t>合同条款以及其它所有商务内容）与</w:t>
      </w:r>
      <w:r>
        <w:rPr>
          <w:rFonts w:hint="eastAsia" w:ascii="仿宋" w:hAnsi="仿宋" w:eastAsia="仿宋" w:cs="仿宋"/>
          <w:color w:val="auto"/>
          <w:spacing w:val="-1"/>
          <w:kern w:val="0"/>
          <w:sz w:val="24"/>
          <w:lang w:eastAsia="zh-CN"/>
        </w:rPr>
        <w:t>招标</w:t>
      </w:r>
      <w:r>
        <w:rPr>
          <w:rFonts w:hint="eastAsia" w:ascii="仿宋" w:hAnsi="仿宋" w:eastAsia="仿宋" w:cs="仿宋"/>
          <w:color w:val="auto"/>
          <w:spacing w:val="-1"/>
          <w:kern w:val="0"/>
          <w:sz w:val="24"/>
        </w:rPr>
        <w:t>文件存在正偏差的，均应在此表中列出（不允许存在负偏离），未在此表中列出的视同完全满足</w:t>
      </w:r>
      <w:r>
        <w:rPr>
          <w:rFonts w:hint="eastAsia" w:ascii="仿宋" w:hAnsi="仿宋" w:eastAsia="仿宋" w:cs="仿宋"/>
          <w:color w:val="auto"/>
          <w:spacing w:val="-1"/>
          <w:kern w:val="0"/>
          <w:sz w:val="24"/>
          <w:lang w:eastAsia="zh-CN"/>
        </w:rPr>
        <w:t>招标文件</w:t>
      </w:r>
      <w:r>
        <w:rPr>
          <w:rFonts w:hint="eastAsia" w:ascii="仿宋" w:hAnsi="仿宋" w:eastAsia="仿宋" w:cs="仿宋"/>
          <w:color w:val="auto"/>
          <w:spacing w:val="-1"/>
          <w:kern w:val="0"/>
          <w:sz w:val="24"/>
        </w:rPr>
        <w:t>要求。</w:t>
      </w:r>
    </w:p>
    <w:p w14:paraId="09E862BC">
      <w:pPr>
        <w:ind w:firstLine="476" w:firstLineChars="200"/>
        <w:rPr>
          <w:rFonts w:ascii="仿宋" w:hAnsi="仿宋" w:eastAsia="仿宋" w:cs="仿宋"/>
          <w:color w:val="auto"/>
          <w:spacing w:val="-1"/>
          <w:highlight w:val="none"/>
          <w:lang w:eastAsia="zh-CN"/>
        </w:rPr>
      </w:pPr>
    </w:p>
    <w:p w14:paraId="3B801BD8">
      <w:pPr>
        <w:pStyle w:val="10"/>
        <w:numPr>
          <w:ilvl w:val="0"/>
          <w:numId w:val="0"/>
        </w:numPr>
        <w:tabs>
          <w:tab w:val="left" w:pos="8227"/>
        </w:tabs>
        <w:kinsoku w:val="0"/>
        <w:overflowPunct w:val="0"/>
        <w:spacing w:line="381" w:lineRule="auto"/>
        <w:ind w:left="1680" w:right="118"/>
        <w:rPr>
          <w:rFonts w:ascii="仿宋" w:hAnsi="仿宋" w:eastAsia="仿宋" w:cs="仿宋"/>
          <w:color w:val="auto"/>
          <w:highlight w:val="none"/>
          <w:lang w:eastAsia="zh-CN"/>
        </w:rPr>
      </w:pPr>
    </w:p>
    <w:p w14:paraId="7BB30698">
      <w:pPr>
        <w:pStyle w:val="10"/>
        <w:numPr>
          <w:ilvl w:val="0"/>
          <w:numId w:val="0"/>
        </w:numPr>
        <w:tabs>
          <w:tab w:val="left" w:pos="8227"/>
        </w:tabs>
        <w:kinsoku w:val="0"/>
        <w:overflowPunct w:val="0"/>
        <w:spacing w:line="381" w:lineRule="auto"/>
        <w:ind w:left="1680" w:right="118"/>
        <w:rPr>
          <w:rFonts w:ascii="仿宋" w:hAnsi="仿宋" w:eastAsia="仿宋" w:cs="仿宋"/>
          <w:color w:val="auto"/>
          <w:highlight w:val="none"/>
          <w:lang w:eastAsia="zh-CN"/>
        </w:rPr>
      </w:pPr>
    </w:p>
    <w:p w14:paraId="4F4AE99E">
      <w:pPr>
        <w:pStyle w:val="10"/>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p>
    <w:p w14:paraId="32D21284">
      <w:pPr>
        <w:pStyle w:val="10"/>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highlight w:val="none"/>
          <w:lang w:eastAsia="zh-CN"/>
        </w:rPr>
        <w:t xml:space="preserve"> </w:t>
      </w:r>
    </w:p>
    <w:p w14:paraId="06F87ABB">
      <w:pPr>
        <w:pStyle w:val="10"/>
        <w:numPr>
          <w:ilvl w:val="0"/>
          <w:numId w:val="0"/>
        </w:numPr>
        <w:tabs>
          <w:tab w:val="left" w:pos="8227"/>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w w:val="95"/>
          <w:sz w:val="24"/>
          <w:highlight w:val="none"/>
          <w:lang w:eastAsia="zh-CN"/>
        </w:rPr>
        <w:t>（签章）：</w:t>
      </w:r>
      <w:r>
        <w:rPr>
          <w:rFonts w:hint="eastAsia" w:ascii="仿宋" w:hAnsi="仿宋" w:eastAsia="仿宋" w:cs="仿宋"/>
          <w:color w:val="auto"/>
          <w:sz w:val="24"/>
          <w:szCs w:val="24"/>
          <w:highlight w:val="none"/>
          <w:u w:val="single"/>
        </w:rPr>
        <w:tab/>
      </w:r>
    </w:p>
    <w:p w14:paraId="754874FF">
      <w:pPr>
        <w:pStyle w:val="38"/>
        <w:spacing w:after="0"/>
        <w:ind w:firstLine="420"/>
        <w:jc w:val="center"/>
        <w:rPr>
          <w:rFonts w:hint="eastAsia" w:ascii="仿宋" w:hAnsi="仿宋" w:eastAsia="仿宋" w:cs="仿宋"/>
          <w:color w:val="auto"/>
          <w:sz w:val="24"/>
          <w:szCs w:val="24"/>
          <w:highlight w:val="none"/>
        </w:rPr>
      </w:pPr>
    </w:p>
    <w:p w14:paraId="03B1494A">
      <w:pPr>
        <w:pStyle w:val="38"/>
        <w:spacing w:after="0"/>
        <w:ind w:firstLine="420"/>
        <w:jc w:val="center"/>
        <w:rPr>
          <w:rFonts w:ascii="仿宋" w:hAnsi="仿宋" w:eastAsia="仿宋" w:cs="仿宋"/>
          <w:color w:val="auto"/>
          <w:sz w:val="36"/>
          <w:szCs w:val="36"/>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7E8825BC">
      <w:pPr>
        <w:pStyle w:val="38"/>
        <w:spacing w:after="0"/>
        <w:ind w:firstLine="420"/>
        <w:jc w:val="center"/>
        <w:rPr>
          <w:rFonts w:ascii="仿宋" w:hAnsi="仿宋" w:eastAsia="仿宋" w:cs="仿宋"/>
          <w:color w:val="auto"/>
          <w:sz w:val="36"/>
          <w:szCs w:val="36"/>
          <w:highlight w:val="none"/>
        </w:rPr>
      </w:pPr>
    </w:p>
    <w:p w14:paraId="4E8A5791">
      <w:pPr>
        <w:pStyle w:val="39"/>
        <w:tabs>
          <w:tab w:val="left" w:pos="826"/>
        </w:tabs>
        <w:spacing w:line="470" w:lineRule="exact"/>
        <w:ind w:firstLine="0"/>
        <w:jc w:val="center"/>
        <w:rPr>
          <w:rFonts w:ascii="仿宋" w:hAnsi="仿宋" w:eastAsia="仿宋" w:cs="仿宋"/>
          <w:color w:val="auto"/>
          <w:sz w:val="21"/>
          <w:szCs w:val="21"/>
          <w:highlight w:val="none"/>
        </w:rPr>
      </w:pPr>
    </w:p>
    <w:p w14:paraId="7E813F1A">
      <w:pPr>
        <w:pStyle w:val="39"/>
        <w:tabs>
          <w:tab w:val="left" w:pos="826"/>
        </w:tabs>
        <w:spacing w:line="470" w:lineRule="exact"/>
        <w:ind w:firstLine="0"/>
        <w:jc w:val="center"/>
        <w:rPr>
          <w:rFonts w:ascii="仿宋" w:hAnsi="仿宋" w:eastAsia="仿宋" w:cs="仿宋"/>
          <w:color w:val="auto"/>
          <w:sz w:val="21"/>
          <w:szCs w:val="21"/>
          <w:highlight w:val="none"/>
        </w:rPr>
      </w:pPr>
    </w:p>
    <w:p w14:paraId="54EAC7A8">
      <w:pPr>
        <w:pStyle w:val="39"/>
        <w:tabs>
          <w:tab w:val="left" w:pos="826"/>
        </w:tabs>
        <w:spacing w:line="470" w:lineRule="exact"/>
        <w:ind w:firstLine="0"/>
        <w:jc w:val="center"/>
        <w:rPr>
          <w:rFonts w:ascii="仿宋" w:hAnsi="仿宋" w:eastAsia="仿宋" w:cs="仿宋"/>
          <w:color w:val="auto"/>
          <w:sz w:val="21"/>
          <w:szCs w:val="21"/>
          <w:highlight w:val="none"/>
        </w:rPr>
      </w:pPr>
    </w:p>
    <w:p w14:paraId="002EB333">
      <w:pPr>
        <w:jc w:val="both"/>
        <w:rPr>
          <w:rFonts w:hint="eastAsia" w:ascii="仿宋" w:hAnsi="仿宋" w:eastAsia="仿宋" w:cs="仿宋"/>
          <w:b/>
          <w:bCs/>
          <w:color w:val="auto"/>
          <w:sz w:val="30"/>
          <w:szCs w:val="30"/>
          <w:highlight w:val="none"/>
          <w:lang w:eastAsia="zh-CN"/>
        </w:rPr>
      </w:pPr>
    </w:p>
    <w:p w14:paraId="1E620D9E">
      <w:pPr>
        <w:jc w:val="center"/>
        <w:rPr>
          <w:rFonts w:ascii="仿宋" w:hAnsi="仿宋" w:eastAsia="仿宋" w:cs="仿宋"/>
          <w:color w:val="auto"/>
          <w:sz w:val="30"/>
          <w:szCs w:val="30"/>
          <w:highlight w:val="none"/>
          <w:lang w:eastAsia="zh-CN"/>
        </w:rPr>
      </w:pPr>
      <w:r>
        <w:rPr>
          <w:rFonts w:hint="eastAsia" w:ascii="仿宋" w:hAnsi="仿宋" w:eastAsia="仿宋" w:cs="仿宋"/>
          <w:b/>
          <w:bCs/>
          <w:color w:val="auto"/>
          <w:sz w:val="30"/>
          <w:szCs w:val="30"/>
          <w:highlight w:val="none"/>
          <w:lang w:eastAsia="zh-CN"/>
        </w:rPr>
        <w:t>7、供应商基本情况表</w:t>
      </w:r>
    </w:p>
    <w:p w14:paraId="7911E312">
      <w:pPr>
        <w:pStyle w:val="10"/>
        <w:numPr>
          <w:ilvl w:val="0"/>
          <w:numId w:val="0"/>
        </w:numPr>
        <w:kinsoku w:val="0"/>
        <w:overflowPunct w:val="0"/>
        <w:spacing w:before="5"/>
        <w:rPr>
          <w:rFonts w:ascii="仿宋" w:hAnsi="仿宋" w:eastAsia="仿宋" w:cs="仿宋"/>
          <w:b/>
          <w:bCs/>
          <w:color w:val="auto"/>
          <w:sz w:val="6"/>
          <w:szCs w:val="6"/>
          <w:highlight w:val="none"/>
          <w:lang w:eastAsia="zh-CN"/>
        </w:rPr>
      </w:pPr>
    </w:p>
    <w:tbl>
      <w:tblPr>
        <w:tblStyle w:val="25"/>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1E6870AD">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E41F432">
            <w:pPr>
              <w:pStyle w:val="42"/>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560F4691">
            <w:pPr>
              <w:rPr>
                <w:rFonts w:ascii="仿宋" w:hAnsi="仿宋" w:eastAsia="仿宋" w:cs="仿宋"/>
                <w:color w:val="auto"/>
                <w:highlight w:val="none"/>
              </w:rPr>
            </w:pPr>
          </w:p>
        </w:tc>
      </w:tr>
      <w:tr w14:paraId="4BBF3CDF">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34D72F92">
            <w:pPr>
              <w:pStyle w:val="42"/>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5F4B7221">
            <w:pPr>
              <w:rPr>
                <w:rFonts w:ascii="仿宋" w:hAnsi="仿宋" w:eastAsia="仿宋" w:cs="仿宋"/>
                <w:color w:val="auto"/>
                <w:highlight w:val="none"/>
              </w:rPr>
            </w:pPr>
          </w:p>
        </w:tc>
      </w:tr>
      <w:tr w14:paraId="3E4AD609">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C373115">
            <w:pPr>
              <w:pStyle w:val="42"/>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06378F7D">
            <w:pPr>
              <w:rPr>
                <w:rFonts w:ascii="仿宋" w:hAnsi="仿宋" w:eastAsia="仿宋" w:cs="仿宋"/>
                <w:color w:val="auto"/>
                <w:highlight w:val="none"/>
              </w:rPr>
            </w:pPr>
          </w:p>
        </w:tc>
      </w:tr>
      <w:tr w14:paraId="7C1D2DCB">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FE7FFDE">
            <w:pPr>
              <w:pStyle w:val="42"/>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2BFEF32A">
            <w:pPr>
              <w:rPr>
                <w:rFonts w:ascii="仿宋" w:hAnsi="仿宋" w:eastAsia="仿宋" w:cs="仿宋"/>
                <w:color w:val="auto"/>
                <w:highlight w:val="none"/>
              </w:rPr>
            </w:pPr>
          </w:p>
        </w:tc>
        <w:tc>
          <w:tcPr>
            <w:tcW w:w="2294" w:type="dxa"/>
            <w:gridSpan w:val="4"/>
            <w:tcBorders>
              <w:top w:val="single" w:color="000000" w:sz="4" w:space="0"/>
              <w:left w:val="single" w:color="000000" w:sz="4" w:space="0"/>
              <w:bottom w:val="single" w:color="000000" w:sz="4" w:space="0"/>
              <w:right w:val="single" w:color="000000" w:sz="4" w:space="0"/>
            </w:tcBorders>
          </w:tcPr>
          <w:p w14:paraId="53C2C011">
            <w:pPr>
              <w:pStyle w:val="42"/>
              <w:kinsoku w:val="0"/>
              <w:overflowPunct w:val="0"/>
              <w:spacing w:before="145"/>
              <w:ind w:left="181"/>
              <w:rPr>
                <w:rFonts w:ascii="仿宋" w:hAnsi="仿宋" w:eastAsia="仿宋" w:cs="仿宋"/>
                <w:color w:val="auto"/>
                <w:highlight w:val="none"/>
              </w:rPr>
            </w:pPr>
            <w:r>
              <w:rPr>
                <w:rFonts w:hint="eastAsia" w:ascii="仿宋" w:hAnsi="仿宋" w:eastAsia="仿宋" w:cs="仿宋"/>
                <w:color w:val="auto"/>
                <w:highlight w:val="none"/>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7285265A">
            <w:pPr>
              <w:rPr>
                <w:rFonts w:ascii="仿宋" w:hAnsi="仿宋" w:eastAsia="仿宋" w:cs="仿宋"/>
                <w:color w:val="auto"/>
                <w:highlight w:val="none"/>
              </w:rPr>
            </w:pPr>
          </w:p>
        </w:tc>
      </w:tr>
      <w:tr w14:paraId="0D83ACC7">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B1B4148">
            <w:pPr>
              <w:pStyle w:val="42"/>
              <w:kinsoku w:val="0"/>
              <w:overflowPunct w:val="0"/>
              <w:spacing w:before="146"/>
              <w:ind w:left="137"/>
              <w:rPr>
                <w:rFonts w:ascii="仿宋" w:hAnsi="仿宋" w:eastAsia="仿宋" w:cs="仿宋"/>
                <w:color w:val="auto"/>
                <w:highlight w:val="none"/>
              </w:rPr>
            </w:pPr>
            <w:r>
              <w:rPr>
                <w:rFonts w:hint="eastAsia" w:ascii="仿宋" w:hAnsi="仿宋" w:eastAsia="仿宋" w:cs="仿宋"/>
                <w:color w:val="auto"/>
                <w:highlight w:val="none"/>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47A5200D">
            <w:pPr>
              <w:rPr>
                <w:rFonts w:ascii="仿宋" w:hAnsi="仿宋" w:eastAsia="仿宋" w:cs="仿宋"/>
                <w:color w:val="auto"/>
                <w:highlight w:val="none"/>
              </w:rPr>
            </w:pPr>
          </w:p>
        </w:tc>
      </w:tr>
      <w:tr w14:paraId="69CEE192">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403EA08">
            <w:pPr>
              <w:pStyle w:val="42"/>
              <w:kinsoku w:val="0"/>
              <w:overflowPunct w:val="0"/>
              <w:spacing w:before="141" w:line="312" w:lineRule="exact"/>
              <w:ind w:left="257" w:right="133" w:hanging="120"/>
              <w:rPr>
                <w:rFonts w:ascii="仿宋" w:hAnsi="仿宋" w:eastAsia="仿宋" w:cs="仿宋"/>
                <w:color w:val="auto"/>
                <w:highlight w:val="none"/>
              </w:rPr>
            </w:pPr>
            <w:r>
              <w:rPr>
                <w:rFonts w:hint="eastAsia" w:ascii="仿宋" w:hAnsi="仿宋" w:eastAsia="仿宋" w:cs="仿宋"/>
                <w:color w:val="auto"/>
                <w:highlight w:val="none"/>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76FFB53D">
            <w:pPr>
              <w:rPr>
                <w:rFonts w:ascii="仿宋" w:hAnsi="仿宋" w:eastAsia="仿宋" w:cs="仿宋"/>
                <w:color w:val="auto"/>
                <w:highlight w:val="none"/>
              </w:rPr>
            </w:pPr>
          </w:p>
        </w:tc>
        <w:tc>
          <w:tcPr>
            <w:tcW w:w="1342" w:type="dxa"/>
            <w:gridSpan w:val="2"/>
            <w:tcBorders>
              <w:top w:val="single" w:color="000000" w:sz="4" w:space="0"/>
              <w:left w:val="single" w:color="000000" w:sz="4" w:space="0"/>
              <w:bottom w:val="single" w:color="000000" w:sz="4" w:space="0"/>
              <w:right w:val="single" w:color="000000" w:sz="4" w:space="0"/>
            </w:tcBorders>
          </w:tcPr>
          <w:p w14:paraId="1209F9D4">
            <w:pPr>
              <w:pStyle w:val="42"/>
              <w:kinsoku w:val="0"/>
              <w:overflowPunct w:val="0"/>
              <w:spacing w:before="4"/>
              <w:rPr>
                <w:rFonts w:ascii="仿宋" w:hAnsi="仿宋" w:eastAsia="仿宋" w:cs="仿宋"/>
                <w:b/>
                <w:bCs/>
                <w:color w:val="auto"/>
                <w:sz w:val="20"/>
                <w:szCs w:val="20"/>
                <w:highlight w:val="none"/>
              </w:rPr>
            </w:pPr>
          </w:p>
          <w:p w14:paraId="51A63671">
            <w:pPr>
              <w:pStyle w:val="42"/>
              <w:kinsoku w:val="0"/>
              <w:overflowPunct w:val="0"/>
              <w:ind w:left="366"/>
              <w:rPr>
                <w:rFonts w:ascii="仿宋" w:hAnsi="仿宋" w:eastAsia="仿宋" w:cs="仿宋"/>
                <w:color w:val="auto"/>
                <w:highlight w:val="none"/>
              </w:rPr>
            </w:pPr>
            <w:r>
              <w:rPr>
                <w:rFonts w:hint="eastAsia" w:ascii="仿宋" w:hAnsi="仿宋" w:eastAsia="仿宋" w:cs="仿宋"/>
                <w:color w:val="auto"/>
                <w:highlight w:val="none"/>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58AB80B4">
            <w:pPr>
              <w:rPr>
                <w:rFonts w:ascii="仿宋" w:hAnsi="仿宋" w:eastAsia="仿宋" w:cs="仿宋"/>
                <w:color w:val="auto"/>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tcPr>
          <w:p w14:paraId="1721B0FF">
            <w:pPr>
              <w:pStyle w:val="42"/>
              <w:kinsoku w:val="0"/>
              <w:overflowPunct w:val="0"/>
              <w:spacing w:before="4"/>
              <w:rPr>
                <w:rFonts w:ascii="仿宋" w:hAnsi="仿宋" w:eastAsia="仿宋" w:cs="仿宋"/>
                <w:b/>
                <w:bCs/>
                <w:color w:val="auto"/>
                <w:sz w:val="20"/>
                <w:szCs w:val="20"/>
                <w:highlight w:val="none"/>
              </w:rPr>
            </w:pPr>
          </w:p>
          <w:p w14:paraId="5E571383">
            <w:pPr>
              <w:pStyle w:val="42"/>
              <w:kinsoku w:val="0"/>
              <w:overflowPunct w:val="0"/>
              <w:ind w:left="383"/>
              <w:rPr>
                <w:rFonts w:ascii="仿宋" w:hAnsi="仿宋" w:eastAsia="仿宋" w:cs="仿宋"/>
                <w:color w:val="auto"/>
                <w:highlight w:val="none"/>
              </w:rPr>
            </w:pPr>
            <w:r>
              <w:rPr>
                <w:rFonts w:hint="eastAsia" w:ascii="仿宋" w:hAnsi="仿宋" w:eastAsia="仿宋" w:cs="仿宋"/>
                <w:color w:val="auto"/>
                <w:highlight w:val="none"/>
              </w:rPr>
              <w:t>传 真</w:t>
            </w:r>
          </w:p>
        </w:tc>
        <w:tc>
          <w:tcPr>
            <w:tcW w:w="1965" w:type="dxa"/>
            <w:tcBorders>
              <w:top w:val="single" w:color="000000" w:sz="4" w:space="0"/>
              <w:left w:val="single" w:color="000000" w:sz="4" w:space="0"/>
              <w:bottom w:val="single" w:color="000000" w:sz="4" w:space="0"/>
              <w:right w:val="single" w:color="000000" w:sz="4" w:space="0"/>
            </w:tcBorders>
          </w:tcPr>
          <w:p w14:paraId="2CA4175E">
            <w:pPr>
              <w:rPr>
                <w:rFonts w:ascii="仿宋" w:hAnsi="仿宋" w:eastAsia="仿宋" w:cs="仿宋"/>
                <w:color w:val="auto"/>
                <w:highlight w:val="none"/>
              </w:rPr>
            </w:pPr>
          </w:p>
        </w:tc>
      </w:tr>
      <w:tr w14:paraId="67EFE0CC">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7889318C">
            <w:pPr>
              <w:pStyle w:val="42"/>
              <w:kinsoku w:val="0"/>
              <w:overflowPunct w:val="0"/>
              <w:rPr>
                <w:rFonts w:ascii="仿宋" w:hAnsi="仿宋" w:eastAsia="仿宋" w:cs="仿宋"/>
                <w:b/>
                <w:bCs/>
                <w:color w:val="auto"/>
                <w:highlight w:val="none"/>
              </w:rPr>
            </w:pPr>
          </w:p>
          <w:p w14:paraId="0C8B0608">
            <w:pPr>
              <w:pStyle w:val="42"/>
              <w:kinsoku w:val="0"/>
              <w:overflowPunct w:val="0"/>
              <w:rPr>
                <w:rFonts w:ascii="仿宋" w:hAnsi="仿宋" w:eastAsia="仿宋" w:cs="仿宋"/>
                <w:b/>
                <w:bCs/>
                <w:color w:val="auto"/>
                <w:highlight w:val="none"/>
              </w:rPr>
            </w:pPr>
          </w:p>
          <w:p w14:paraId="28A1C555">
            <w:pPr>
              <w:pStyle w:val="42"/>
              <w:kinsoku w:val="0"/>
              <w:overflowPunct w:val="0"/>
              <w:rPr>
                <w:rFonts w:ascii="仿宋" w:hAnsi="仿宋" w:eastAsia="仿宋" w:cs="仿宋"/>
                <w:b/>
                <w:bCs/>
                <w:color w:val="auto"/>
                <w:highlight w:val="none"/>
              </w:rPr>
            </w:pPr>
          </w:p>
          <w:p w14:paraId="02DB084F">
            <w:pPr>
              <w:pStyle w:val="42"/>
              <w:kinsoku w:val="0"/>
              <w:overflowPunct w:val="0"/>
              <w:spacing w:line="475" w:lineRule="auto"/>
              <w:ind w:left="497" w:right="493"/>
              <w:jc w:val="both"/>
              <w:rPr>
                <w:rFonts w:ascii="仿宋" w:hAnsi="仿宋" w:eastAsia="仿宋" w:cs="仿宋"/>
                <w:color w:val="auto"/>
                <w:highlight w:val="none"/>
              </w:rPr>
            </w:pPr>
            <w:r>
              <w:rPr>
                <w:rFonts w:hint="eastAsia" w:ascii="仿宋" w:hAnsi="仿宋" w:eastAsia="仿宋" w:cs="仿宋"/>
                <w:color w:val="auto"/>
                <w:highlight w:val="none"/>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41575501">
            <w:pPr>
              <w:pStyle w:val="42"/>
              <w:kinsoku w:val="0"/>
              <w:overflowPunct w:val="0"/>
              <w:spacing w:before="144"/>
              <w:ind w:left="236"/>
              <w:rPr>
                <w:rFonts w:ascii="仿宋" w:hAnsi="仿宋" w:eastAsia="仿宋" w:cs="仿宋"/>
                <w:color w:val="auto"/>
                <w:highlight w:val="none"/>
              </w:rPr>
            </w:pPr>
            <w:r>
              <w:rPr>
                <w:rFonts w:hint="eastAsia" w:ascii="仿宋" w:hAnsi="仿宋" w:eastAsia="仿宋" w:cs="仿宋"/>
                <w:color w:val="auto"/>
                <w:highlight w:val="none"/>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548C552E">
            <w:pPr>
              <w:rPr>
                <w:rFonts w:ascii="仿宋" w:hAnsi="仿宋" w:eastAsia="仿宋" w:cs="仿宋"/>
                <w:color w:val="auto"/>
                <w:highlight w:val="none"/>
              </w:rPr>
            </w:pPr>
          </w:p>
        </w:tc>
        <w:tc>
          <w:tcPr>
            <w:tcW w:w="2168" w:type="dxa"/>
            <w:gridSpan w:val="4"/>
            <w:tcBorders>
              <w:top w:val="single" w:color="000000" w:sz="4" w:space="0"/>
              <w:left w:val="single" w:color="000000" w:sz="4" w:space="0"/>
              <w:bottom w:val="single" w:color="000000" w:sz="4" w:space="0"/>
              <w:right w:val="single" w:color="000000" w:sz="4" w:space="0"/>
            </w:tcBorders>
          </w:tcPr>
          <w:p w14:paraId="2AAA852F">
            <w:pPr>
              <w:pStyle w:val="42"/>
              <w:kinsoku w:val="0"/>
              <w:overflowPunct w:val="0"/>
              <w:spacing w:before="144"/>
              <w:ind w:left="118"/>
              <w:rPr>
                <w:rFonts w:ascii="仿宋" w:hAnsi="仿宋" w:eastAsia="仿宋" w:cs="仿宋"/>
                <w:color w:val="auto"/>
                <w:highlight w:val="none"/>
              </w:rPr>
            </w:pPr>
            <w:r>
              <w:rPr>
                <w:rFonts w:hint="eastAsia" w:ascii="仿宋" w:hAnsi="仿宋" w:eastAsia="仿宋" w:cs="仿宋"/>
                <w:color w:val="auto"/>
                <w:highlight w:val="none"/>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7CE46D48">
            <w:pPr>
              <w:rPr>
                <w:rFonts w:ascii="仿宋" w:hAnsi="仿宋" w:eastAsia="仿宋" w:cs="仿宋"/>
                <w:color w:val="auto"/>
                <w:highlight w:val="none"/>
              </w:rPr>
            </w:pPr>
          </w:p>
        </w:tc>
      </w:tr>
      <w:tr w14:paraId="41C18FA8">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6252438">
            <w:pPr>
              <w:rPr>
                <w:rFonts w:ascii="仿宋" w:hAnsi="仿宋" w:eastAsia="仿宋" w:cs="仿宋"/>
                <w:color w:val="auto"/>
                <w:highlight w:val="none"/>
              </w:rPr>
            </w:pPr>
          </w:p>
        </w:tc>
        <w:tc>
          <w:tcPr>
            <w:tcW w:w="7472" w:type="dxa"/>
            <w:gridSpan w:val="9"/>
            <w:tcBorders>
              <w:top w:val="single" w:color="000000" w:sz="4" w:space="0"/>
              <w:left w:val="single" w:color="000000" w:sz="4" w:space="0"/>
              <w:bottom w:val="single" w:color="000000" w:sz="4" w:space="0"/>
              <w:right w:val="single" w:color="000000" w:sz="4" w:space="0"/>
            </w:tcBorders>
          </w:tcPr>
          <w:p w14:paraId="0D234CD4">
            <w:pPr>
              <w:pStyle w:val="42"/>
              <w:kinsoku w:val="0"/>
              <w:overflowPunct w:val="0"/>
              <w:spacing w:before="145"/>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单位行政和技术负责人</w:t>
            </w:r>
          </w:p>
        </w:tc>
      </w:tr>
      <w:tr w14:paraId="46051410">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29160785">
            <w:pPr>
              <w:pStyle w:val="42"/>
              <w:kinsoku w:val="0"/>
              <w:overflowPunct w:val="0"/>
              <w:spacing w:before="145"/>
              <w:jc w:val="center"/>
              <w:rPr>
                <w:rFonts w:ascii="仿宋" w:hAnsi="仿宋" w:eastAsia="仿宋" w:cs="仿宋"/>
                <w:color w:val="auto"/>
                <w:highlight w:val="none"/>
                <w:lang w:eastAsia="zh-CN"/>
              </w:rPr>
            </w:pPr>
          </w:p>
        </w:tc>
        <w:tc>
          <w:tcPr>
            <w:tcW w:w="1445" w:type="dxa"/>
            <w:tcBorders>
              <w:top w:val="single" w:color="000000" w:sz="4" w:space="0"/>
              <w:left w:val="single" w:color="000000" w:sz="4" w:space="0"/>
              <w:bottom w:val="single" w:color="000000" w:sz="4" w:space="0"/>
              <w:right w:val="single" w:color="000000" w:sz="4" w:space="0"/>
            </w:tcBorders>
          </w:tcPr>
          <w:p w14:paraId="30FC9AC5">
            <w:pPr>
              <w:pStyle w:val="42"/>
              <w:kinsoku w:val="0"/>
              <w:overflowPunct w:val="0"/>
              <w:spacing w:before="145"/>
              <w:ind w:left="416"/>
              <w:rPr>
                <w:rFonts w:ascii="仿宋" w:hAnsi="仿宋" w:eastAsia="仿宋" w:cs="仿宋"/>
                <w:color w:val="auto"/>
                <w:highlight w:val="none"/>
              </w:rPr>
            </w:pPr>
            <w:r>
              <w:rPr>
                <w:rFonts w:hint="eastAsia" w:ascii="仿宋" w:hAnsi="仿宋" w:eastAsia="仿宋" w:cs="仿宋"/>
                <w:color w:val="auto"/>
                <w:highlight w:val="none"/>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42972F9A">
            <w:pPr>
              <w:pStyle w:val="42"/>
              <w:kinsoku w:val="0"/>
              <w:overflowPunct w:val="0"/>
              <w:spacing w:before="145"/>
              <w:ind w:left="452"/>
              <w:rPr>
                <w:rFonts w:ascii="仿宋" w:hAnsi="仿宋" w:eastAsia="仿宋" w:cs="仿宋"/>
                <w:color w:val="auto"/>
                <w:highlight w:val="none"/>
              </w:rPr>
            </w:pPr>
            <w:r>
              <w:rPr>
                <w:rFonts w:hint="eastAsia" w:ascii="仿宋" w:hAnsi="仿宋" w:eastAsia="仿宋" w:cs="仿宋"/>
                <w:color w:val="auto"/>
                <w:highlight w:val="none"/>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069ABFBE">
            <w:pPr>
              <w:pStyle w:val="42"/>
              <w:kinsoku w:val="0"/>
              <w:overflowPunct w:val="0"/>
              <w:spacing w:before="145"/>
              <w:ind w:left="450"/>
              <w:rPr>
                <w:rFonts w:ascii="仿宋" w:hAnsi="仿宋" w:eastAsia="仿宋" w:cs="仿宋"/>
                <w:color w:val="auto"/>
                <w:highlight w:val="none"/>
              </w:rPr>
            </w:pPr>
            <w:r>
              <w:rPr>
                <w:rFonts w:hint="eastAsia" w:ascii="仿宋" w:hAnsi="仿宋" w:eastAsia="仿宋" w:cs="仿宋"/>
                <w:color w:val="auto"/>
                <w:highlight w:val="none"/>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65CC8EFE">
            <w:pPr>
              <w:pStyle w:val="42"/>
              <w:tabs>
                <w:tab w:val="left" w:pos="479"/>
              </w:tabs>
              <w:kinsoku w:val="0"/>
              <w:overflowPunct w:val="0"/>
              <w:spacing w:before="145"/>
              <w:ind w:right="1"/>
              <w:jc w:val="center"/>
              <w:rPr>
                <w:rFonts w:ascii="仿宋" w:hAnsi="仿宋" w:eastAsia="仿宋" w:cs="仿宋"/>
                <w:color w:val="auto"/>
                <w:highlight w:val="none"/>
              </w:rPr>
            </w:pPr>
            <w:r>
              <w:rPr>
                <w:rFonts w:hint="eastAsia" w:ascii="仿宋" w:hAnsi="仿宋" w:eastAsia="仿宋" w:cs="仿宋"/>
                <w:color w:val="auto"/>
                <w:highlight w:val="none"/>
              </w:rPr>
              <w:t>专</w:t>
            </w:r>
            <w:r>
              <w:rPr>
                <w:rFonts w:hint="eastAsia" w:ascii="仿宋" w:hAnsi="仿宋" w:eastAsia="仿宋" w:cs="仿宋"/>
                <w:color w:val="auto"/>
                <w:highlight w:val="none"/>
              </w:rPr>
              <w:tab/>
            </w:r>
            <w:r>
              <w:rPr>
                <w:rFonts w:hint="eastAsia" w:ascii="仿宋" w:hAnsi="仿宋" w:eastAsia="仿宋" w:cs="仿宋"/>
                <w:color w:val="auto"/>
                <w:highlight w:val="none"/>
              </w:rPr>
              <w:t>业</w:t>
            </w:r>
          </w:p>
        </w:tc>
      </w:tr>
      <w:tr w14:paraId="71E9099E">
        <w:tblPrEx>
          <w:tblCellMar>
            <w:top w:w="0" w:type="dxa"/>
            <w:left w:w="0" w:type="dxa"/>
            <w:bottom w:w="0" w:type="dxa"/>
            <w:right w:w="0" w:type="dxa"/>
          </w:tblCellMar>
        </w:tblPrEx>
        <w:trPr>
          <w:trHeight w:val="58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E5B1523">
            <w:pPr>
              <w:pStyle w:val="42"/>
              <w:tabs>
                <w:tab w:val="left" w:pos="479"/>
              </w:tabs>
              <w:kinsoku w:val="0"/>
              <w:overflowPunct w:val="0"/>
              <w:spacing w:before="145"/>
              <w:ind w:right="1"/>
              <w:jc w:val="cente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30F8B3DD">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0DAED9E3">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2833B9EF">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0AC2E892">
            <w:pPr>
              <w:rPr>
                <w:rFonts w:ascii="仿宋" w:hAnsi="仿宋" w:eastAsia="仿宋" w:cs="仿宋"/>
                <w:color w:val="auto"/>
                <w:highlight w:val="none"/>
              </w:rPr>
            </w:pPr>
          </w:p>
        </w:tc>
      </w:tr>
      <w:tr w14:paraId="674D427B">
        <w:tblPrEx>
          <w:tblCellMar>
            <w:top w:w="0" w:type="dxa"/>
            <w:left w:w="0" w:type="dxa"/>
            <w:bottom w:w="0" w:type="dxa"/>
            <w:right w:w="0" w:type="dxa"/>
          </w:tblCellMar>
        </w:tblPrEx>
        <w:trPr>
          <w:trHeight w:val="546"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DD8B48C">
            <w:pP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08159F98">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5C6C3938">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33A3DEFE">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527D3D03">
            <w:pPr>
              <w:rPr>
                <w:rFonts w:ascii="仿宋" w:hAnsi="仿宋" w:eastAsia="仿宋" w:cs="仿宋"/>
                <w:color w:val="auto"/>
                <w:highlight w:val="none"/>
              </w:rPr>
            </w:pPr>
          </w:p>
        </w:tc>
      </w:tr>
      <w:tr w14:paraId="54BE7552">
        <w:tblPrEx>
          <w:tblCellMar>
            <w:top w:w="0" w:type="dxa"/>
            <w:left w:w="0" w:type="dxa"/>
            <w:bottom w:w="0" w:type="dxa"/>
            <w:right w:w="0" w:type="dxa"/>
          </w:tblCellMar>
        </w:tblPrEx>
        <w:trPr>
          <w:trHeight w:val="5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45F8954E">
            <w:pP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08965E50">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76EB741F">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13786D58">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4AFFC9B7">
            <w:pPr>
              <w:rPr>
                <w:rFonts w:ascii="仿宋" w:hAnsi="仿宋" w:eastAsia="仿宋" w:cs="仿宋"/>
                <w:color w:val="auto"/>
                <w:highlight w:val="none"/>
              </w:rPr>
            </w:pPr>
          </w:p>
        </w:tc>
      </w:tr>
      <w:tr w14:paraId="0F3BB57D">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B2374E7">
            <w:pPr>
              <w:pStyle w:val="42"/>
              <w:kinsoku w:val="0"/>
              <w:overflowPunct w:val="0"/>
              <w:spacing w:before="1"/>
              <w:rPr>
                <w:rFonts w:ascii="仿宋" w:hAnsi="仿宋" w:eastAsia="仿宋" w:cs="仿宋"/>
                <w:b/>
                <w:bCs/>
                <w:color w:val="auto"/>
                <w:sz w:val="23"/>
                <w:szCs w:val="23"/>
                <w:highlight w:val="none"/>
              </w:rPr>
            </w:pPr>
          </w:p>
          <w:p w14:paraId="4F1F872B">
            <w:pPr>
              <w:pStyle w:val="42"/>
              <w:kinsoku w:val="0"/>
              <w:overflowPunct w:val="0"/>
              <w:spacing w:line="237" w:lineRule="auto"/>
              <w:ind w:left="497" w:right="493"/>
              <w:jc w:val="both"/>
              <w:rPr>
                <w:rFonts w:ascii="仿宋" w:hAnsi="仿宋" w:eastAsia="仿宋" w:cs="仿宋"/>
                <w:color w:val="auto"/>
                <w:highlight w:val="none"/>
              </w:rPr>
            </w:pPr>
            <w:r>
              <w:rPr>
                <w:rFonts w:hint="eastAsia" w:ascii="仿宋" w:hAnsi="仿宋" w:eastAsia="仿宋" w:cs="仿宋"/>
                <w:color w:val="auto"/>
                <w:highlight w:val="none"/>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7146C0E5">
            <w:pPr>
              <w:rPr>
                <w:rFonts w:ascii="仿宋" w:hAnsi="仿宋" w:eastAsia="仿宋" w:cs="仿宋"/>
                <w:color w:val="auto"/>
                <w:highlight w:val="none"/>
              </w:rPr>
            </w:pPr>
          </w:p>
        </w:tc>
      </w:tr>
    </w:tbl>
    <w:p w14:paraId="074551C6">
      <w:pPr>
        <w:pStyle w:val="39"/>
        <w:spacing w:line="440" w:lineRule="exact"/>
        <w:ind w:firstLine="0"/>
        <w:jc w:val="both"/>
        <w:rPr>
          <w:rFonts w:ascii="仿宋" w:hAnsi="仿宋" w:eastAsia="仿宋" w:cs="仿宋"/>
          <w:b/>
          <w:color w:val="auto"/>
          <w:sz w:val="30"/>
          <w:szCs w:val="30"/>
          <w:highlight w:val="none"/>
        </w:rPr>
      </w:pPr>
    </w:p>
    <w:p w14:paraId="2E0DDFF3">
      <w:pPr>
        <w:pStyle w:val="39"/>
        <w:spacing w:line="440" w:lineRule="exact"/>
        <w:ind w:firstLine="0"/>
        <w:jc w:val="both"/>
        <w:rPr>
          <w:rFonts w:ascii="仿宋" w:hAnsi="仿宋" w:eastAsia="仿宋" w:cs="仿宋"/>
          <w:b/>
          <w:color w:val="auto"/>
          <w:sz w:val="30"/>
          <w:szCs w:val="30"/>
          <w:highlight w:val="none"/>
        </w:rPr>
      </w:pPr>
    </w:p>
    <w:p w14:paraId="16957B43">
      <w:pPr>
        <w:pStyle w:val="39"/>
        <w:spacing w:line="440" w:lineRule="exact"/>
        <w:ind w:firstLine="0"/>
        <w:jc w:val="both"/>
        <w:rPr>
          <w:rFonts w:ascii="仿宋" w:hAnsi="仿宋" w:eastAsia="仿宋" w:cs="仿宋"/>
          <w:b/>
          <w:color w:val="auto"/>
          <w:sz w:val="30"/>
          <w:szCs w:val="30"/>
          <w:highlight w:val="none"/>
        </w:rPr>
      </w:pPr>
    </w:p>
    <w:p w14:paraId="5BED29E0">
      <w:pPr>
        <w:pStyle w:val="39"/>
        <w:spacing w:line="440" w:lineRule="exact"/>
        <w:ind w:firstLine="0"/>
        <w:jc w:val="both"/>
        <w:rPr>
          <w:rFonts w:ascii="仿宋" w:hAnsi="仿宋" w:eastAsia="仿宋" w:cs="仿宋"/>
          <w:b/>
          <w:color w:val="auto"/>
          <w:sz w:val="30"/>
          <w:szCs w:val="30"/>
          <w:highlight w:val="none"/>
        </w:rPr>
      </w:pPr>
    </w:p>
    <w:p w14:paraId="3140D9BE">
      <w:pPr>
        <w:pStyle w:val="10"/>
        <w:numPr>
          <w:ilvl w:val="0"/>
          <w:numId w:val="0"/>
        </w:numPr>
        <w:kinsoku w:val="0"/>
        <w:overflowPunct w:val="0"/>
        <w:spacing w:before="34" w:line="357" w:lineRule="auto"/>
        <w:ind w:left="480" w:right="126"/>
        <w:jc w:val="center"/>
        <w:rPr>
          <w:rFonts w:ascii="仿宋" w:hAnsi="仿宋" w:eastAsia="仿宋" w:cs="仿宋"/>
          <w:bCs/>
          <w:color w:val="auto"/>
          <w:sz w:val="36"/>
          <w:szCs w:val="36"/>
          <w:highlight w:val="none"/>
          <w:lang w:eastAsia="zh-CN"/>
        </w:rPr>
      </w:pPr>
    </w:p>
    <w:p w14:paraId="5C5334B7">
      <w:pPr>
        <w:jc w:val="center"/>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8、中标服务费支付承诺书</w:t>
      </w:r>
    </w:p>
    <w:p w14:paraId="06A84731">
      <w:pPr>
        <w:adjustRightInd w:val="0"/>
        <w:snapToGrid w:val="0"/>
        <w:spacing w:before="240" w:beforeLines="100" w:after="240" w:afterLines="10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致： </w:t>
      </w:r>
    </w:p>
    <w:p w14:paraId="64450FAA">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i/>
          <w:color w:val="auto"/>
          <w:kern w:val="0"/>
          <w:sz w:val="24"/>
          <w:szCs w:val="24"/>
          <w:highlight w:val="none"/>
          <w:u w:val="single"/>
        </w:rPr>
        <w:t xml:space="preserve"> (投标人名称)</w:t>
      </w:r>
      <w:r>
        <w:rPr>
          <w:rFonts w:hint="eastAsia" w:ascii="仿宋" w:hAnsi="仿宋" w:eastAsia="仿宋" w:cs="仿宋"/>
          <w:i/>
          <w:color w:val="auto"/>
          <w:kern w:val="0"/>
          <w:sz w:val="24"/>
          <w:szCs w:val="24"/>
          <w:highlight w:val="none"/>
          <w:u w:val="single"/>
          <w:lang w:val="en-US" w:eastAsia="zh-CN"/>
        </w:rPr>
        <w:t xml:space="preserve">  </w:t>
      </w:r>
      <w:r>
        <w:rPr>
          <w:rFonts w:hint="eastAsia" w:ascii="仿宋" w:hAnsi="仿宋" w:eastAsia="仿宋" w:cs="仿宋"/>
          <w:i/>
          <w:color w:val="auto"/>
          <w:kern w:val="0"/>
          <w:sz w:val="24"/>
          <w:szCs w:val="24"/>
          <w:highlight w:val="none"/>
          <w:u w:val="single"/>
        </w:rPr>
        <w:t xml:space="preserve"> </w:t>
      </w:r>
      <w:r>
        <w:rPr>
          <w:rFonts w:hint="eastAsia" w:ascii="仿宋" w:hAnsi="仿宋" w:eastAsia="仿宋" w:cs="仿宋"/>
          <w:color w:val="auto"/>
          <w:sz w:val="24"/>
          <w:szCs w:val="24"/>
          <w:highlight w:val="none"/>
        </w:rPr>
        <w:t>在参加贵公司举行的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】招标中如获</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,保证在收到贵公司发出的《</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之前</w:t>
      </w:r>
      <w:r>
        <w:rPr>
          <w:rFonts w:hint="eastAsia" w:ascii="仿宋" w:hAnsi="仿宋" w:eastAsia="仿宋" w:cs="仿宋"/>
          <w:color w:val="auto"/>
          <w:sz w:val="24"/>
          <w:szCs w:val="24"/>
          <w:highlight w:val="none"/>
        </w:rPr>
        <w:t>向贵公司交纳招标文件规定的</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服务费。</w:t>
      </w:r>
    </w:p>
    <w:p w14:paraId="0A194DD7">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如我公司违约,愿承担全部法律责任。</w:t>
      </w:r>
    </w:p>
    <w:p w14:paraId="053198C3">
      <w:pPr>
        <w:spacing w:line="440" w:lineRule="exact"/>
        <w:ind w:firstLine="960" w:firstLineChars="400"/>
        <w:rPr>
          <w:rFonts w:hint="eastAsia" w:ascii="仿宋" w:hAnsi="仿宋" w:eastAsia="仿宋" w:cs="仿宋"/>
          <w:color w:val="auto"/>
          <w:sz w:val="24"/>
          <w:szCs w:val="24"/>
          <w:highlight w:val="none"/>
        </w:rPr>
      </w:pPr>
    </w:p>
    <w:p w14:paraId="13AEFF30">
      <w:pPr>
        <w:spacing w:line="44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特此承诺!</w:t>
      </w:r>
    </w:p>
    <w:p w14:paraId="16019CE0">
      <w:pPr>
        <w:autoSpaceDE w:val="0"/>
        <w:autoSpaceDN w:val="0"/>
        <w:adjustRightInd w:val="0"/>
        <w:spacing w:line="440" w:lineRule="exact"/>
        <w:jc w:val="left"/>
        <w:rPr>
          <w:rFonts w:hint="eastAsia" w:ascii="仿宋" w:hAnsi="仿宋" w:eastAsia="仿宋" w:cs="仿宋"/>
          <w:color w:val="auto"/>
          <w:kern w:val="0"/>
          <w:sz w:val="24"/>
          <w:szCs w:val="24"/>
          <w:highlight w:val="none"/>
        </w:rPr>
      </w:pPr>
    </w:p>
    <w:p w14:paraId="2143C384">
      <w:pPr>
        <w:adjustRightInd w:val="0"/>
        <w:snapToGrid w:val="0"/>
        <w:spacing w:line="440" w:lineRule="exact"/>
        <w:rPr>
          <w:rFonts w:hint="eastAsia" w:ascii="仿宋" w:hAnsi="仿宋" w:eastAsia="仿宋" w:cs="仿宋"/>
          <w:color w:val="auto"/>
          <w:sz w:val="24"/>
          <w:szCs w:val="24"/>
          <w:highlight w:val="none"/>
        </w:rPr>
      </w:pPr>
    </w:p>
    <w:p w14:paraId="1C4ECF89">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none"/>
        </w:rPr>
        <w:t>（公章）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14:paraId="7F63788B">
      <w:pPr>
        <w:adjustRightInd w:val="0"/>
        <w:snapToGrid w:val="0"/>
        <w:spacing w:line="440" w:lineRule="exact"/>
        <w:rPr>
          <w:rFonts w:hint="eastAsia" w:ascii="仿宋" w:hAnsi="仿宋" w:eastAsia="仿宋" w:cs="仿宋"/>
          <w:color w:val="auto"/>
          <w:sz w:val="24"/>
          <w:szCs w:val="24"/>
          <w:highlight w:val="none"/>
        </w:rPr>
      </w:pPr>
    </w:p>
    <w:p w14:paraId="6B0D756E">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649A6C44">
      <w:pPr>
        <w:adjustRightInd w:val="0"/>
        <w:snapToGrid w:val="0"/>
        <w:spacing w:line="440" w:lineRule="exact"/>
        <w:rPr>
          <w:rFonts w:hint="eastAsia" w:ascii="仿宋" w:hAnsi="仿宋" w:eastAsia="仿宋" w:cs="仿宋"/>
          <w:color w:val="auto"/>
          <w:sz w:val="24"/>
          <w:szCs w:val="24"/>
          <w:highlight w:val="none"/>
        </w:rPr>
      </w:pPr>
    </w:p>
    <w:p w14:paraId="73CEB9C7">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614125A8">
      <w:pPr>
        <w:pStyle w:val="10"/>
        <w:numPr>
          <w:ilvl w:val="0"/>
          <w:numId w:val="0"/>
        </w:numPr>
        <w:kinsoku w:val="0"/>
        <w:overflowPunct w:val="0"/>
        <w:spacing w:before="34" w:line="357" w:lineRule="auto"/>
        <w:ind w:left="480" w:right="126"/>
        <w:jc w:val="center"/>
        <w:rPr>
          <w:rFonts w:ascii="仿宋" w:hAnsi="仿宋" w:eastAsia="仿宋" w:cs="仿宋"/>
          <w:bCs/>
          <w:color w:val="auto"/>
          <w:sz w:val="36"/>
          <w:szCs w:val="36"/>
          <w:highlight w:val="none"/>
          <w:lang w:eastAsia="zh-CN"/>
        </w:rPr>
      </w:pPr>
    </w:p>
    <w:p w14:paraId="2D28BA68">
      <w:pPr>
        <w:spacing w:line="360" w:lineRule="auto"/>
        <w:jc w:val="center"/>
        <w:rPr>
          <w:rFonts w:hint="eastAsia" w:ascii="仿宋" w:hAnsi="仿宋" w:eastAsia="仿宋" w:cs="仿宋"/>
          <w:b w:val="0"/>
          <w:bCs/>
          <w:color w:val="auto"/>
          <w:sz w:val="36"/>
          <w:szCs w:val="36"/>
          <w:highlight w:val="none"/>
          <w:lang w:eastAsia="zh-CN"/>
        </w:rPr>
      </w:pPr>
    </w:p>
    <w:p w14:paraId="3FCB9274">
      <w:pPr>
        <w:spacing w:line="360" w:lineRule="auto"/>
        <w:jc w:val="center"/>
        <w:rPr>
          <w:rFonts w:hint="eastAsia" w:ascii="仿宋" w:hAnsi="仿宋" w:eastAsia="仿宋" w:cs="仿宋"/>
          <w:b/>
          <w:color w:val="auto"/>
          <w:sz w:val="36"/>
          <w:szCs w:val="36"/>
          <w:highlight w:val="none"/>
          <w:lang w:eastAsia="zh-CN"/>
        </w:rPr>
      </w:pPr>
    </w:p>
    <w:p w14:paraId="0A049E9B">
      <w:pPr>
        <w:spacing w:line="360" w:lineRule="auto"/>
        <w:jc w:val="center"/>
        <w:rPr>
          <w:rFonts w:hint="eastAsia" w:ascii="仿宋" w:hAnsi="仿宋" w:eastAsia="仿宋" w:cs="仿宋"/>
          <w:b/>
          <w:color w:val="auto"/>
          <w:sz w:val="36"/>
          <w:szCs w:val="36"/>
          <w:highlight w:val="none"/>
          <w:lang w:eastAsia="zh-CN"/>
        </w:rPr>
      </w:pPr>
    </w:p>
    <w:p w14:paraId="33474600">
      <w:pPr>
        <w:spacing w:line="360" w:lineRule="auto"/>
        <w:jc w:val="center"/>
        <w:rPr>
          <w:rFonts w:hint="eastAsia" w:ascii="仿宋" w:hAnsi="仿宋" w:eastAsia="仿宋" w:cs="仿宋"/>
          <w:b/>
          <w:color w:val="auto"/>
          <w:sz w:val="36"/>
          <w:szCs w:val="36"/>
          <w:highlight w:val="none"/>
          <w:lang w:eastAsia="zh-CN"/>
        </w:rPr>
      </w:pPr>
    </w:p>
    <w:p w14:paraId="59F6ECE6">
      <w:pPr>
        <w:spacing w:line="360" w:lineRule="auto"/>
        <w:jc w:val="center"/>
        <w:rPr>
          <w:rFonts w:hint="eastAsia" w:ascii="仿宋" w:hAnsi="仿宋" w:eastAsia="仿宋" w:cs="仿宋"/>
          <w:b/>
          <w:color w:val="auto"/>
          <w:sz w:val="36"/>
          <w:szCs w:val="36"/>
          <w:highlight w:val="none"/>
          <w:lang w:eastAsia="zh-CN"/>
        </w:rPr>
      </w:pPr>
    </w:p>
    <w:p w14:paraId="0F5EC685">
      <w:pPr>
        <w:spacing w:line="360" w:lineRule="auto"/>
        <w:jc w:val="center"/>
        <w:rPr>
          <w:rFonts w:hint="eastAsia" w:ascii="仿宋" w:hAnsi="仿宋" w:eastAsia="仿宋" w:cs="仿宋"/>
          <w:b/>
          <w:color w:val="auto"/>
          <w:sz w:val="36"/>
          <w:szCs w:val="36"/>
          <w:highlight w:val="none"/>
          <w:lang w:eastAsia="zh-CN"/>
        </w:rPr>
      </w:pPr>
    </w:p>
    <w:p w14:paraId="576CCC2B">
      <w:pPr>
        <w:spacing w:line="360" w:lineRule="auto"/>
        <w:jc w:val="center"/>
        <w:rPr>
          <w:rFonts w:hint="eastAsia" w:ascii="仿宋" w:hAnsi="仿宋" w:eastAsia="仿宋" w:cs="仿宋"/>
          <w:b/>
          <w:color w:val="auto"/>
          <w:sz w:val="36"/>
          <w:szCs w:val="36"/>
          <w:highlight w:val="none"/>
          <w:lang w:eastAsia="zh-CN"/>
        </w:rPr>
      </w:pPr>
    </w:p>
    <w:p w14:paraId="0C33DB27">
      <w:pPr>
        <w:spacing w:line="360" w:lineRule="auto"/>
        <w:jc w:val="center"/>
        <w:rPr>
          <w:rFonts w:hint="eastAsia" w:ascii="仿宋" w:hAnsi="仿宋" w:eastAsia="仿宋" w:cs="仿宋"/>
          <w:b/>
          <w:color w:val="auto"/>
          <w:sz w:val="36"/>
          <w:szCs w:val="36"/>
          <w:highlight w:val="none"/>
          <w:lang w:eastAsia="zh-CN"/>
        </w:rPr>
      </w:pPr>
    </w:p>
    <w:p w14:paraId="5D292C76">
      <w:pPr>
        <w:spacing w:line="360" w:lineRule="auto"/>
        <w:jc w:val="both"/>
        <w:rPr>
          <w:rFonts w:hint="eastAsia" w:ascii="仿宋" w:hAnsi="仿宋" w:eastAsia="仿宋" w:cs="仿宋"/>
          <w:b/>
          <w:color w:val="auto"/>
          <w:sz w:val="36"/>
          <w:szCs w:val="36"/>
          <w:highlight w:val="none"/>
          <w:lang w:eastAsia="zh-CN"/>
        </w:rPr>
      </w:pPr>
    </w:p>
    <w:p w14:paraId="18D671C6">
      <w:pPr>
        <w:spacing w:line="360" w:lineRule="auto"/>
        <w:jc w:val="center"/>
        <w:rPr>
          <w:rFonts w:ascii="仿宋" w:hAnsi="仿宋" w:eastAsia="仿宋" w:cs="仿宋"/>
          <w:b/>
          <w:color w:val="auto"/>
          <w:sz w:val="32"/>
          <w:szCs w:val="32"/>
          <w:highlight w:val="none"/>
          <w:lang w:eastAsia="zh-CN"/>
        </w:rPr>
      </w:pPr>
      <w:r>
        <w:rPr>
          <w:rFonts w:hint="eastAsia" w:ascii="仿宋" w:hAnsi="仿宋" w:eastAsia="仿宋" w:cs="仿宋"/>
          <w:b/>
          <w:color w:val="auto"/>
          <w:sz w:val="36"/>
          <w:szCs w:val="36"/>
          <w:highlight w:val="none"/>
          <w:lang w:val="en-US" w:eastAsia="zh-CN"/>
        </w:rPr>
        <w:t>9</w:t>
      </w:r>
      <w:r>
        <w:rPr>
          <w:rFonts w:hint="eastAsia" w:ascii="仿宋" w:hAnsi="仿宋" w:eastAsia="仿宋" w:cs="仿宋"/>
          <w:b/>
          <w:color w:val="auto"/>
          <w:sz w:val="36"/>
          <w:szCs w:val="36"/>
          <w:highlight w:val="none"/>
          <w:lang w:eastAsia="zh-CN"/>
        </w:rPr>
        <w:t>、中小企业声明函(货物)</w:t>
      </w:r>
    </w:p>
    <w:p w14:paraId="3A5F934A">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本公司（联合体）郑重声明，根据《政府采购促进中小企业发展管理办法》（财库[2020]46号）的规定，本公司（联合体）参加</w:t>
      </w:r>
      <w:r>
        <w:rPr>
          <w:rFonts w:hint="eastAsia" w:ascii="仿宋" w:hAnsi="仿宋" w:eastAsia="仿宋" w:cs="仿宋"/>
          <w:color w:val="auto"/>
          <w:highlight w:val="none"/>
          <w:u w:val="single"/>
          <w:lang w:eastAsia="zh-CN"/>
        </w:rPr>
        <w:t>（单位名称）</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采购活动，提供的货物全部由符合政策要求的中小企业制造。相关企业（含联合体中的中小企业、签订分包意向协议的中小企业）的具体情况如下：</w:t>
      </w:r>
    </w:p>
    <w:p w14:paraId="7CEB65BE">
      <w:pPr>
        <w:numPr>
          <w:ilvl w:val="0"/>
          <w:numId w:val="9"/>
        </w:num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eastAsia="zh-CN"/>
        </w:rPr>
        <w:t>（采购文件中明确的所属行业）</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 xml:space="preserve"> （企业名称）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2B5B4A4D">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r>
        <w:rPr>
          <w:rFonts w:hint="eastAsia" w:ascii="仿宋" w:hAnsi="仿宋" w:eastAsia="仿宋" w:cs="仿宋"/>
          <w:color w:val="auto"/>
          <w:highlight w:val="none"/>
          <w:u w:val="single"/>
          <w:lang w:eastAsia="zh-CN"/>
        </w:rPr>
        <w:t xml:space="preserve"> （标的名称）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eastAsia="zh-CN"/>
        </w:rPr>
        <w:t>（采购文件明中确的所属行业）</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 xml:space="preserve"> （企业名称）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7623A117">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226690B4">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以上企业，不属于大企业的分支机构，不存在控股股东为大企业的情形，也不存在与大企业的负责人为同一人的情形。</w:t>
      </w:r>
    </w:p>
    <w:p w14:paraId="175FBD39">
      <w:pPr>
        <w:spacing w:line="360" w:lineRule="auto"/>
        <w:ind w:firstLine="480" w:firstLineChars="200"/>
        <w:rPr>
          <w:rFonts w:ascii="仿宋" w:hAnsi="仿宋" w:eastAsia="仿宋" w:cs="仿宋"/>
          <w:color w:val="auto"/>
          <w:highlight w:val="none"/>
          <w:lang w:eastAsia="zh-CN"/>
        </w:rPr>
      </w:pPr>
    </w:p>
    <w:p w14:paraId="2383F3DE">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本企业对上述声明内容的真实性负责。如有虚假，将依法承担相应责任。</w:t>
      </w:r>
    </w:p>
    <w:p w14:paraId="356E3F7A">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1D08B129">
      <w:pPr>
        <w:spacing w:line="360" w:lineRule="auto"/>
        <w:ind w:firstLine="480" w:firstLineChars="200"/>
        <w:rPr>
          <w:rFonts w:ascii="仿宋" w:hAnsi="仿宋" w:eastAsia="仿宋" w:cs="仿宋"/>
          <w:color w:val="auto"/>
          <w:highlight w:val="none"/>
          <w:lang w:eastAsia="zh-CN"/>
        </w:rPr>
      </w:pPr>
    </w:p>
    <w:p w14:paraId="4DB00AEA">
      <w:pPr>
        <w:spacing w:line="360" w:lineRule="auto"/>
        <w:ind w:firstLine="4560" w:firstLineChars="19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企业名称（盖章）：</w:t>
      </w:r>
    </w:p>
    <w:p w14:paraId="1939DE6D">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日期：</w:t>
      </w:r>
    </w:p>
    <w:p w14:paraId="0B59DCC2">
      <w:pPr>
        <w:pStyle w:val="19"/>
        <w:rPr>
          <w:rFonts w:ascii="仿宋" w:hAnsi="仿宋" w:eastAsia="仿宋" w:cs="仿宋"/>
          <w:color w:val="auto"/>
          <w:highlight w:val="none"/>
          <w:lang w:eastAsia="zh-CN"/>
        </w:rPr>
      </w:pPr>
    </w:p>
    <w:p w14:paraId="711585F9">
      <w:pPr>
        <w:pStyle w:val="19"/>
        <w:rPr>
          <w:rFonts w:ascii="仿宋" w:hAnsi="仿宋" w:eastAsia="仿宋" w:cs="仿宋"/>
          <w:color w:val="auto"/>
          <w:highlight w:val="none"/>
          <w:lang w:eastAsia="zh-CN"/>
        </w:rPr>
      </w:pPr>
    </w:p>
    <w:p w14:paraId="61A9720B">
      <w:pPr>
        <w:pStyle w:val="19"/>
        <w:rPr>
          <w:rFonts w:ascii="仿宋" w:hAnsi="仿宋" w:eastAsia="仿宋" w:cs="仿宋"/>
          <w:color w:val="auto"/>
          <w:highlight w:val="none"/>
          <w:lang w:eastAsia="zh-CN"/>
        </w:rPr>
      </w:pPr>
    </w:p>
    <w:p w14:paraId="131745AA">
      <w:pPr>
        <w:pStyle w:val="19"/>
        <w:rPr>
          <w:rFonts w:ascii="仿宋" w:hAnsi="仿宋" w:eastAsia="仿宋" w:cs="仿宋"/>
          <w:color w:val="auto"/>
          <w:highlight w:val="none"/>
          <w:lang w:eastAsia="zh-CN"/>
        </w:rPr>
      </w:pPr>
    </w:p>
    <w:p w14:paraId="1248A82E">
      <w:pPr>
        <w:pStyle w:val="19"/>
        <w:rPr>
          <w:rFonts w:ascii="仿宋" w:hAnsi="仿宋" w:eastAsia="仿宋" w:cs="仿宋"/>
          <w:color w:val="auto"/>
          <w:highlight w:val="none"/>
          <w:lang w:eastAsia="zh-CN"/>
        </w:rPr>
      </w:pPr>
    </w:p>
    <w:p w14:paraId="762B8E76">
      <w:pPr>
        <w:pStyle w:val="19"/>
        <w:rPr>
          <w:rFonts w:ascii="仿宋" w:hAnsi="仿宋" w:eastAsia="仿宋" w:cs="仿宋"/>
          <w:color w:val="auto"/>
          <w:highlight w:val="none"/>
          <w:lang w:eastAsia="zh-CN"/>
        </w:rPr>
      </w:pPr>
    </w:p>
    <w:p w14:paraId="130B4429">
      <w:pPr>
        <w:pStyle w:val="19"/>
        <w:rPr>
          <w:rFonts w:ascii="仿宋" w:hAnsi="仿宋" w:eastAsia="仿宋" w:cs="仿宋"/>
          <w:color w:val="auto"/>
          <w:highlight w:val="none"/>
          <w:lang w:eastAsia="zh-CN"/>
        </w:rPr>
      </w:pPr>
    </w:p>
    <w:p w14:paraId="564AE749">
      <w:pPr>
        <w:pStyle w:val="19"/>
        <w:rPr>
          <w:rFonts w:ascii="仿宋" w:hAnsi="仿宋" w:eastAsia="仿宋" w:cs="仿宋"/>
          <w:color w:val="auto"/>
          <w:highlight w:val="none"/>
          <w:lang w:eastAsia="zh-CN"/>
        </w:rPr>
      </w:pPr>
    </w:p>
    <w:p w14:paraId="1D8D8265">
      <w:pPr>
        <w:pStyle w:val="19"/>
        <w:rPr>
          <w:rFonts w:ascii="仿宋" w:hAnsi="仿宋" w:eastAsia="仿宋" w:cs="仿宋"/>
          <w:color w:val="auto"/>
          <w:highlight w:val="none"/>
          <w:lang w:eastAsia="zh-CN"/>
        </w:rPr>
      </w:pPr>
    </w:p>
    <w:p w14:paraId="3991F70C">
      <w:pPr>
        <w:pStyle w:val="19"/>
        <w:rPr>
          <w:rFonts w:ascii="仿宋" w:hAnsi="仿宋" w:eastAsia="仿宋" w:cs="仿宋"/>
          <w:color w:val="auto"/>
          <w:highlight w:val="none"/>
          <w:lang w:eastAsia="zh-CN"/>
        </w:rPr>
      </w:pPr>
    </w:p>
    <w:p w14:paraId="197476CB">
      <w:pPr>
        <w:pStyle w:val="19"/>
        <w:rPr>
          <w:rFonts w:ascii="仿宋" w:hAnsi="仿宋" w:eastAsia="仿宋" w:cs="仿宋"/>
          <w:color w:val="auto"/>
          <w:highlight w:val="none"/>
          <w:lang w:eastAsia="zh-CN"/>
        </w:rPr>
      </w:pPr>
    </w:p>
    <w:p w14:paraId="4E18380F">
      <w:pPr>
        <w:tabs>
          <w:tab w:val="left" w:pos="3600"/>
        </w:tabs>
        <w:adjustRightInd w:val="0"/>
        <w:snapToGrid w:val="0"/>
        <w:spacing w:line="440" w:lineRule="exact"/>
        <w:jc w:val="center"/>
        <w:rPr>
          <w:rFonts w:ascii="仿宋" w:hAnsi="仿宋" w:eastAsia="仿宋" w:cs="仿宋"/>
          <w:color w:val="auto"/>
          <w:sz w:val="36"/>
          <w:szCs w:val="36"/>
          <w:highlight w:val="none"/>
          <w:lang w:eastAsia="zh-CN"/>
        </w:rPr>
      </w:pPr>
    </w:p>
    <w:p w14:paraId="0E20A920">
      <w:pPr>
        <w:pStyle w:val="34"/>
        <w:rPr>
          <w:color w:val="auto"/>
          <w:highlight w:val="none"/>
          <w:lang w:eastAsia="zh-CN"/>
        </w:rPr>
      </w:pPr>
    </w:p>
    <w:p w14:paraId="04A84236">
      <w:pPr>
        <w:pStyle w:val="34"/>
        <w:rPr>
          <w:color w:val="auto"/>
          <w:highlight w:val="none"/>
          <w:lang w:eastAsia="zh-CN"/>
        </w:rPr>
      </w:pPr>
    </w:p>
    <w:p w14:paraId="3F422C2F">
      <w:pPr>
        <w:tabs>
          <w:tab w:val="left" w:pos="3600"/>
        </w:tabs>
        <w:adjustRightInd w:val="0"/>
        <w:snapToGrid w:val="0"/>
        <w:spacing w:line="440" w:lineRule="exact"/>
        <w:jc w:val="center"/>
        <w:rPr>
          <w:rFonts w:hint="eastAsia" w:ascii="仿宋" w:hAnsi="仿宋" w:eastAsia="仿宋" w:cs="仿宋"/>
          <w:color w:val="auto"/>
          <w:sz w:val="36"/>
          <w:szCs w:val="36"/>
          <w:highlight w:val="none"/>
          <w:lang w:eastAsia="zh-CN"/>
        </w:rPr>
      </w:pPr>
    </w:p>
    <w:p w14:paraId="4479652E">
      <w:pPr>
        <w:tabs>
          <w:tab w:val="left" w:pos="3600"/>
        </w:tabs>
        <w:adjustRightInd w:val="0"/>
        <w:snapToGrid w:val="0"/>
        <w:spacing w:line="440" w:lineRule="exact"/>
        <w:jc w:val="center"/>
        <w:rPr>
          <w:rFonts w:ascii="仿宋" w:hAnsi="仿宋" w:eastAsia="仿宋" w:cs="仿宋"/>
          <w:b/>
          <w:bCs/>
          <w:color w:val="auto"/>
          <w:spacing w:val="6"/>
          <w:sz w:val="36"/>
          <w:szCs w:val="36"/>
          <w:highlight w:val="none"/>
          <w:lang w:eastAsia="zh-CN"/>
        </w:rPr>
      </w:pPr>
      <w:r>
        <w:rPr>
          <w:rFonts w:hint="eastAsia" w:ascii="仿宋" w:hAnsi="仿宋" w:eastAsia="仿宋" w:cs="仿宋"/>
          <w:color w:val="auto"/>
          <w:sz w:val="36"/>
          <w:szCs w:val="36"/>
          <w:highlight w:val="none"/>
          <w:lang w:val="en-US" w:eastAsia="zh-CN"/>
        </w:rPr>
        <w:t>10</w:t>
      </w:r>
      <w:r>
        <w:rPr>
          <w:rFonts w:hint="eastAsia" w:ascii="仿宋" w:hAnsi="仿宋" w:eastAsia="仿宋" w:cs="仿宋"/>
          <w:color w:val="auto"/>
          <w:sz w:val="36"/>
          <w:szCs w:val="36"/>
          <w:highlight w:val="none"/>
          <w:lang w:eastAsia="zh-CN"/>
        </w:rPr>
        <w:t>、</w:t>
      </w:r>
      <w:r>
        <w:rPr>
          <w:rFonts w:hint="eastAsia" w:ascii="仿宋" w:hAnsi="仿宋" w:eastAsia="仿宋" w:cs="仿宋"/>
          <w:b/>
          <w:bCs/>
          <w:color w:val="auto"/>
          <w:spacing w:val="6"/>
          <w:sz w:val="36"/>
          <w:szCs w:val="36"/>
          <w:highlight w:val="none"/>
          <w:lang w:eastAsia="zh-CN"/>
        </w:rPr>
        <w:t>残疾人福利性单位声明函</w:t>
      </w:r>
    </w:p>
    <w:p w14:paraId="710070EB">
      <w:pPr>
        <w:widowControl/>
        <w:adjustRightInd w:val="0"/>
        <w:snapToGrid w:val="0"/>
        <w:spacing w:line="440" w:lineRule="exact"/>
        <w:ind w:firstLine="504" w:firstLineChars="200"/>
        <w:rPr>
          <w:rFonts w:ascii="仿宋" w:hAnsi="仿宋" w:eastAsia="仿宋" w:cs="仿宋"/>
          <w:color w:val="auto"/>
          <w:spacing w:val="6"/>
          <w:highlight w:val="none"/>
          <w:lang w:eastAsia="zh-CN"/>
        </w:rPr>
      </w:pPr>
    </w:p>
    <w:p w14:paraId="29736BD5">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pacing w:val="6"/>
          <w:highlight w:val="none"/>
          <w:u w:val="single"/>
          <w:lang w:eastAsia="zh-CN"/>
        </w:rPr>
        <w:t xml:space="preserve">     </w:t>
      </w:r>
      <w:r>
        <w:rPr>
          <w:rFonts w:hint="eastAsia" w:ascii="仿宋" w:hAnsi="仿宋" w:eastAsia="仿宋" w:cs="仿宋"/>
          <w:color w:val="auto"/>
          <w:spacing w:val="6"/>
          <w:highlight w:val="none"/>
          <w:lang w:eastAsia="zh-CN"/>
        </w:rPr>
        <w:t>单位的</w:t>
      </w:r>
      <w:r>
        <w:rPr>
          <w:rFonts w:hint="eastAsia" w:ascii="仿宋" w:hAnsi="仿宋" w:eastAsia="仿宋" w:cs="仿宋"/>
          <w:color w:val="auto"/>
          <w:spacing w:val="6"/>
          <w:highlight w:val="none"/>
          <w:u w:val="single"/>
          <w:lang w:eastAsia="zh-CN"/>
        </w:rPr>
        <w:t xml:space="preserve">     </w:t>
      </w:r>
      <w:r>
        <w:rPr>
          <w:rFonts w:hint="eastAsia" w:ascii="仿宋" w:hAnsi="仿宋" w:eastAsia="仿宋" w:cs="仿宋"/>
          <w:color w:val="auto"/>
          <w:spacing w:val="6"/>
          <w:highlight w:val="none"/>
          <w:lang w:eastAsia="zh-CN"/>
        </w:rPr>
        <w:t>项目采购活动提供本单位制造的货物（由本单位承担工程/提供服务），或者提供其他残疾人福利性单位制造的货物（不包括使用非残疾人福利性单位注册商标的货物）。</w:t>
      </w:r>
    </w:p>
    <w:p w14:paraId="771D4F72">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本单位对上述声明的真实性负责。如有虚假，将依法承担相应责任。</w:t>
      </w:r>
    </w:p>
    <w:p w14:paraId="791084A3">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 xml:space="preserve">                                     </w:t>
      </w:r>
    </w:p>
    <w:p w14:paraId="037B6B8D">
      <w:pPr>
        <w:widowControl/>
        <w:adjustRightInd w:val="0"/>
        <w:snapToGrid w:val="0"/>
        <w:spacing w:line="440" w:lineRule="exact"/>
        <w:ind w:firstLine="5544" w:firstLineChars="2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单位名称（盖章）：</w:t>
      </w:r>
    </w:p>
    <w:p w14:paraId="21F3CE9C">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 xml:space="preserve">                                      日  期：</w:t>
      </w:r>
    </w:p>
    <w:p w14:paraId="686B0F18">
      <w:pPr>
        <w:pStyle w:val="3"/>
        <w:numPr>
          <w:ilvl w:val="1"/>
          <w:numId w:val="0"/>
        </w:numPr>
        <w:spacing w:line="240" w:lineRule="atLeast"/>
        <w:jc w:val="left"/>
        <w:rPr>
          <w:rFonts w:ascii="仿宋" w:hAnsi="仿宋" w:eastAsia="仿宋" w:cs="仿宋"/>
          <w:bCs/>
          <w:color w:val="auto"/>
          <w:sz w:val="24"/>
          <w:highlight w:val="none"/>
          <w:lang w:eastAsia="zh-CN"/>
        </w:rPr>
      </w:pPr>
    </w:p>
    <w:p w14:paraId="6E1B065C">
      <w:pPr>
        <w:pStyle w:val="3"/>
        <w:numPr>
          <w:ilvl w:val="1"/>
          <w:numId w:val="0"/>
        </w:numPr>
        <w:spacing w:line="240" w:lineRule="atLeast"/>
        <w:jc w:val="left"/>
        <w:rPr>
          <w:rFonts w:ascii="仿宋" w:hAnsi="仿宋" w:eastAsia="仿宋" w:cs="仿宋"/>
          <w:bCs/>
          <w:color w:val="auto"/>
          <w:sz w:val="24"/>
          <w:highlight w:val="none"/>
          <w:lang w:eastAsia="zh-CN"/>
        </w:rPr>
      </w:pPr>
    </w:p>
    <w:p w14:paraId="4AB09B34">
      <w:pPr>
        <w:pStyle w:val="3"/>
        <w:numPr>
          <w:ilvl w:val="1"/>
          <w:numId w:val="0"/>
        </w:numPr>
        <w:spacing w:line="240" w:lineRule="atLeast"/>
        <w:jc w:val="left"/>
        <w:rPr>
          <w:rFonts w:ascii="仿宋" w:hAnsi="仿宋" w:eastAsia="仿宋" w:cs="仿宋"/>
          <w:bCs/>
          <w:color w:val="auto"/>
          <w:sz w:val="24"/>
          <w:highlight w:val="none"/>
          <w:lang w:eastAsia="zh-CN"/>
        </w:rPr>
      </w:pPr>
    </w:p>
    <w:p w14:paraId="315F3993">
      <w:pPr>
        <w:rPr>
          <w:rFonts w:ascii="仿宋" w:hAnsi="仿宋" w:eastAsia="仿宋" w:cs="仿宋"/>
          <w:b/>
          <w:bCs/>
          <w:color w:val="auto"/>
          <w:highlight w:val="none"/>
          <w:lang w:eastAsia="zh-CN"/>
        </w:rPr>
      </w:pPr>
    </w:p>
    <w:p w14:paraId="0BB4D11A">
      <w:pPr>
        <w:pStyle w:val="34"/>
        <w:rPr>
          <w:rFonts w:ascii="仿宋" w:hAnsi="仿宋" w:eastAsia="仿宋" w:cs="仿宋"/>
          <w:b/>
          <w:bCs/>
          <w:color w:val="auto"/>
          <w:highlight w:val="none"/>
          <w:lang w:eastAsia="zh-CN"/>
        </w:rPr>
      </w:pPr>
    </w:p>
    <w:p w14:paraId="5C2F4114">
      <w:pPr>
        <w:pStyle w:val="34"/>
        <w:rPr>
          <w:rFonts w:ascii="仿宋" w:hAnsi="仿宋" w:eastAsia="仿宋" w:cs="仿宋"/>
          <w:b/>
          <w:bCs/>
          <w:color w:val="auto"/>
          <w:highlight w:val="none"/>
          <w:lang w:eastAsia="zh-CN"/>
        </w:rPr>
      </w:pPr>
    </w:p>
    <w:p w14:paraId="1C88C80D">
      <w:pPr>
        <w:pStyle w:val="34"/>
        <w:rPr>
          <w:rFonts w:ascii="仿宋" w:hAnsi="仿宋" w:eastAsia="仿宋" w:cs="仿宋"/>
          <w:b/>
          <w:bCs/>
          <w:color w:val="auto"/>
          <w:highlight w:val="none"/>
          <w:lang w:eastAsia="zh-CN"/>
        </w:rPr>
      </w:pPr>
    </w:p>
    <w:p w14:paraId="66420A14">
      <w:pPr>
        <w:pStyle w:val="34"/>
        <w:rPr>
          <w:rFonts w:ascii="仿宋" w:hAnsi="仿宋" w:eastAsia="仿宋" w:cs="仿宋"/>
          <w:b/>
          <w:bCs/>
          <w:color w:val="auto"/>
          <w:highlight w:val="none"/>
          <w:lang w:eastAsia="zh-CN"/>
        </w:rPr>
      </w:pPr>
    </w:p>
    <w:p w14:paraId="2D91DAEB">
      <w:pPr>
        <w:pStyle w:val="34"/>
        <w:rPr>
          <w:rFonts w:ascii="仿宋" w:hAnsi="仿宋" w:eastAsia="仿宋" w:cs="仿宋"/>
          <w:b/>
          <w:bCs/>
          <w:color w:val="auto"/>
          <w:highlight w:val="none"/>
          <w:lang w:eastAsia="zh-CN"/>
        </w:rPr>
      </w:pPr>
    </w:p>
    <w:p w14:paraId="244F8767">
      <w:pPr>
        <w:pStyle w:val="34"/>
        <w:rPr>
          <w:rFonts w:ascii="仿宋" w:hAnsi="仿宋" w:eastAsia="仿宋" w:cs="仿宋"/>
          <w:b/>
          <w:bCs/>
          <w:color w:val="auto"/>
          <w:highlight w:val="none"/>
          <w:lang w:eastAsia="zh-CN"/>
        </w:rPr>
      </w:pPr>
    </w:p>
    <w:p w14:paraId="1020AD3C">
      <w:pPr>
        <w:pStyle w:val="34"/>
        <w:rPr>
          <w:rFonts w:ascii="仿宋" w:hAnsi="仿宋" w:eastAsia="仿宋" w:cs="仿宋"/>
          <w:b/>
          <w:bCs/>
          <w:color w:val="auto"/>
          <w:highlight w:val="none"/>
          <w:lang w:eastAsia="zh-CN"/>
        </w:rPr>
      </w:pPr>
    </w:p>
    <w:p w14:paraId="24A5BF05">
      <w:pPr>
        <w:pStyle w:val="34"/>
        <w:rPr>
          <w:rFonts w:ascii="仿宋" w:hAnsi="仿宋" w:eastAsia="仿宋" w:cs="仿宋"/>
          <w:b/>
          <w:bCs/>
          <w:color w:val="auto"/>
          <w:highlight w:val="none"/>
          <w:lang w:eastAsia="zh-CN"/>
        </w:rPr>
      </w:pPr>
    </w:p>
    <w:p w14:paraId="6B3D8DA6">
      <w:pPr>
        <w:pStyle w:val="34"/>
        <w:rPr>
          <w:rFonts w:ascii="仿宋" w:hAnsi="仿宋" w:eastAsia="仿宋" w:cs="仿宋"/>
          <w:b/>
          <w:bCs/>
          <w:color w:val="auto"/>
          <w:highlight w:val="none"/>
          <w:lang w:eastAsia="zh-CN"/>
        </w:rPr>
      </w:pPr>
    </w:p>
    <w:p w14:paraId="53ADA522">
      <w:pPr>
        <w:pStyle w:val="34"/>
        <w:rPr>
          <w:rFonts w:ascii="仿宋" w:hAnsi="仿宋" w:eastAsia="仿宋" w:cs="仿宋"/>
          <w:b/>
          <w:bCs/>
          <w:color w:val="auto"/>
          <w:highlight w:val="none"/>
          <w:lang w:eastAsia="zh-CN"/>
        </w:rPr>
      </w:pPr>
    </w:p>
    <w:p w14:paraId="50135EDE">
      <w:pPr>
        <w:pStyle w:val="34"/>
        <w:rPr>
          <w:rFonts w:ascii="仿宋" w:hAnsi="仿宋" w:eastAsia="仿宋" w:cs="仿宋"/>
          <w:b/>
          <w:bCs/>
          <w:color w:val="auto"/>
          <w:highlight w:val="none"/>
          <w:lang w:eastAsia="zh-CN"/>
        </w:rPr>
      </w:pPr>
    </w:p>
    <w:p w14:paraId="671A5178">
      <w:pPr>
        <w:pStyle w:val="34"/>
        <w:rPr>
          <w:rFonts w:ascii="仿宋" w:hAnsi="仿宋" w:eastAsia="仿宋" w:cs="仿宋"/>
          <w:b/>
          <w:bCs/>
          <w:color w:val="auto"/>
          <w:highlight w:val="none"/>
          <w:lang w:eastAsia="zh-CN"/>
        </w:rPr>
      </w:pPr>
    </w:p>
    <w:p w14:paraId="4FB77649">
      <w:pPr>
        <w:pStyle w:val="34"/>
        <w:rPr>
          <w:rFonts w:ascii="仿宋" w:hAnsi="仿宋" w:eastAsia="仿宋" w:cs="仿宋"/>
          <w:b/>
          <w:bCs/>
          <w:color w:val="auto"/>
          <w:highlight w:val="none"/>
          <w:lang w:eastAsia="zh-CN"/>
        </w:rPr>
      </w:pPr>
    </w:p>
    <w:p w14:paraId="72E4B91E">
      <w:pPr>
        <w:pStyle w:val="34"/>
        <w:rPr>
          <w:rFonts w:ascii="仿宋" w:hAnsi="仿宋" w:eastAsia="仿宋" w:cs="仿宋"/>
          <w:b/>
          <w:bCs/>
          <w:color w:val="auto"/>
          <w:highlight w:val="none"/>
          <w:lang w:eastAsia="zh-CN"/>
        </w:rPr>
      </w:pPr>
    </w:p>
    <w:p w14:paraId="22B4C961">
      <w:pPr>
        <w:pStyle w:val="34"/>
        <w:rPr>
          <w:rFonts w:ascii="仿宋" w:hAnsi="仿宋" w:eastAsia="仿宋" w:cs="仿宋"/>
          <w:b/>
          <w:bCs/>
          <w:color w:val="auto"/>
          <w:highlight w:val="none"/>
          <w:lang w:eastAsia="zh-CN"/>
        </w:rPr>
      </w:pPr>
    </w:p>
    <w:p w14:paraId="630FCC02">
      <w:pPr>
        <w:pStyle w:val="34"/>
        <w:rPr>
          <w:rFonts w:ascii="仿宋" w:hAnsi="仿宋" w:eastAsia="仿宋" w:cs="仿宋"/>
          <w:b/>
          <w:bCs/>
          <w:color w:val="auto"/>
          <w:highlight w:val="none"/>
          <w:lang w:eastAsia="zh-CN"/>
        </w:rPr>
      </w:pPr>
    </w:p>
    <w:p w14:paraId="21C62AF1">
      <w:pPr>
        <w:pStyle w:val="34"/>
        <w:rPr>
          <w:rFonts w:ascii="仿宋" w:hAnsi="仿宋" w:eastAsia="仿宋" w:cs="仿宋"/>
          <w:b/>
          <w:bCs/>
          <w:color w:val="auto"/>
          <w:highlight w:val="none"/>
          <w:lang w:eastAsia="zh-CN"/>
        </w:rPr>
      </w:pPr>
    </w:p>
    <w:p w14:paraId="6D95417F">
      <w:pPr>
        <w:pStyle w:val="34"/>
        <w:rPr>
          <w:rFonts w:ascii="仿宋" w:hAnsi="仿宋" w:eastAsia="仿宋" w:cs="仿宋"/>
          <w:b/>
          <w:bCs/>
          <w:color w:val="auto"/>
          <w:highlight w:val="none"/>
          <w:lang w:eastAsia="zh-CN"/>
        </w:rPr>
      </w:pPr>
    </w:p>
    <w:p w14:paraId="2D6350AF">
      <w:pPr>
        <w:pStyle w:val="3"/>
        <w:numPr>
          <w:ilvl w:val="1"/>
          <w:numId w:val="0"/>
        </w:numPr>
        <w:spacing w:line="240" w:lineRule="atLeast"/>
        <w:jc w:val="left"/>
        <w:rPr>
          <w:rFonts w:ascii="仿宋" w:hAnsi="仿宋" w:eastAsia="仿宋" w:cs="仿宋"/>
          <w:bCs/>
          <w:color w:val="auto"/>
          <w:sz w:val="24"/>
          <w:highlight w:val="none"/>
          <w:lang w:eastAsia="zh-CN"/>
        </w:rPr>
      </w:pPr>
    </w:p>
    <w:p w14:paraId="1B2F0078">
      <w:pPr>
        <w:tabs>
          <w:tab w:val="left" w:pos="3600"/>
        </w:tabs>
        <w:adjustRightInd w:val="0"/>
        <w:snapToGrid w:val="0"/>
        <w:spacing w:line="440" w:lineRule="exact"/>
        <w:jc w:val="center"/>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val="en-US" w:eastAsia="zh-CN"/>
        </w:rPr>
        <w:t>11</w:t>
      </w:r>
      <w:r>
        <w:rPr>
          <w:rFonts w:hint="eastAsia" w:ascii="仿宋" w:hAnsi="仿宋" w:eastAsia="仿宋" w:cs="仿宋"/>
          <w:b/>
          <w:bCs/>
          <w:color w:val="auto"/>
          <w:sz w:val="32"/>
          <w:szCs w:val="32"/>
          <w:highlight w:val="none"/>
          <w:lang w:eastAsia="zh-CN"/>
        </w:rPr>
        <w:t>、评分标准和细则中技术、</w:t>
      </w:r>
      <w:r>
        <w:rPr>
          <w:rFonts w:hint="eastAsia" w:ascii="仿宋" w:hAnsi="仿宋" w:eastAsia="仿宋" w:cs="仿宋"/>
          <w:b/>
          <w:bCs/>
          <w:color w:val="auto"/>
          <w:sz w:val="32"/>
          <w:szCs w:val="32"/>
          <w:highlight w:val="none"/>
          <w:lang w:val="en-US" w:eastAsia="zh-CN"/>
        </w:rPr>
        <w:t>商务</w:t>
      </w:r>
      <w:r>
        <w:rPr>
          <w:rFonts w:hint="eastAsia" w:ascii="仿宋" w:hAnsi="仿宋" w:eastAsia="仿宋" w:cs="仿宋"/>
          <w:b/>
          <w:bCs/>
          <w:color w:val="auto"/>
          <w:sz w:val="32"/>
          <w:szCs w:val="32"/>
          <w:highlight w:val="none"/>
          <w:lang w:eastAsia="zh-CN"/>
        </w:rPr>
        <w:t>部分证明材料（格式自拟</w:t>
      </w:r>
      <w:r>
        <w:rPr>
          <w:rFonts w:hint="eastAsia" w:ascii="仿宋" w:hAnsi="仿宋" w:eastAsia="仿宋" w:cs="仿宋"/>
          <w:color w:val="auto"/>
          <w:sz w:val="32"/>
          <w:szCs w:val="32"/>
          <w:highlight w:val="none"/>
          <w:lang w:eastAsia="zh-CN"/>
        </w:rPr>
        <w:t>）</w:t>
      </w:r>
    </w:p>
    <w:p w14:paraId="30DA0506">
      <w:pPr>
        <w:pStyle w:val="3"/>
        <w:numPr>
          <w:ilvl w:val="1"/>
          <w:numId w:val="0"/>
        </w:numPr>
        <w:spacing w:line="240" w:lineRule="atLeast"/>
        <w:ind w:left="617" w:leftChars="257"/>
        <w:rPr>
          <w:rFonts w:ascii="仿宋" w:hAnsi="仿宋" w:eastAsia="仿宋" w:cs="仿宋"/>
          <w:color w:val="auto"/>
          <w:sz w:val="24"/>
          <w:highlight w:val="none"/>
          <w:lang w:eastAsia="zh-CN"/>
        </w:rPr>
      </w:pPr>
    </w:p>
    <w:p w14:paraId="58A45C5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评分标准和细则中技术部分</w:t>
      </w:r>
      <w:r>
        <w:rPr>
          <w:rFonts w:hint="eastAsia" w:ascii="仿宋" w:hAnsi="仿宋" w:eastAsia="仿宋" w:cs="仿宋"/>
          <w:color w:val="auto"/>
          <w:highlight w:val="none"/>
          <w:lang w:eastAsia="zh-CN"/>
        </w:rPr>
        <w:t>要求的其他资格证明文件（主要包括：技术指标参数</w:t>
      </w:r>
      <w:r>
        <w:rPr>
          <w:rFonts w:hint="eastAsia" w:ascii="仿宋" w:hAnsi="仿宋" w:eastAsia="仿宋" w:cs="仿宋"/>
          <w:color w:val="auto"/>
          <w:highlight w:val="none"/>
          <w:lang w:val="en-US" w:eastAsia="zh-CN"/>
        </w:rPr>
        <w:t>响应情况</w:t>
      </w:r>
      <w:r>
        <w:rPr>
          <w:rFonts w:hint="eastAsia" w:ascii="仿宋" w:hAnsi="仿宋" w:eastAsia="仿宋" w:cs="仿宋"/>
          <w:color w:val="auto"/>
          <w:szCs w:val="21"/>
          <w:highlight w:val="none"/>
          <w:lang w:eastAsia="zh-CN" w:bidi="ar-SA"/>
        </w:rPr>
        <w:t>等</w:t>
      </w:r>
      <w:r>
        <w:rPr>
          <w:rFonts w:hint="eastAsia" w:ascii="仿宋" w:hAnsi="仿宋" w:eastAsia="仿宋" w:cs="仿宋"/>
          <w:color w:val="auto"/>
          <w:highlight w:val="none"/>
          <w:lang w:eastAsia="zh-CN"/>
        </w:rPr>
        <w:t>）。</w:t>
      </w:r>
    </w:p>
    <w:p w14:paraId="080F43B7">
      <w:pPr>
        <w:pStyle w:val="13"/>
        <w:tabs>
          <w:tab w:val="left" w:pos="5580"/>
        </w:tabs>
        <w:spacing w:line="240" w:lineRule="atLeas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2.复印件上应加盖本单位章（自然人投标的无需盖章，需要签字）。</w:t>
      </w:r>
    </w:p>
    <w:p w14:paraId="4D6B9A59">
      <w:pPr>
        <w:pStyle w:val="4"/>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w:t>
      </w:r>
    </w:p>
    <w:p w14:paraId="460624E9">
      <w:pPr>
        <w:rPr>
          <w:rFonts w:ascii="仿宋" w:hAnsi="仿宋" w:eastAsia="仿宋" w:cs="仿宋"/>
          <w:color w:val="auto"/>
          <w:highlight w:val="none"/>
          <w:lang w:eastAsia="zh-CN"/>
        </w:rPr>
      </w:pPr>
    </w:p>
    <w:p w14:paraId="45EC6827">
      <w:pPr>
        <w:pStyle w:val="3"/>
        <w:numPr>
          <w:ilvl w:val="1"/>
          <w:numId w:val="0"/>
        </w:numPr>
        <w:spacing w:line="240" w:lineRule="atLeast"/>
        <w:ind w:left="617" w:leftChars="257"/>
        <w:rPr>
          <w:rFonts w:ascii="仿宋" w:hAnsi="仿宋" w:eastAsia="仿宋" w:cs="仿宋"/>
          <w:color w:val="auto"/>
          <w:sz w:val="24"/>
          <w:highlight w:val="none"/>
          <w:lang w:eastAsia="zh-CN"/>
        </w:rPr>
      </w:pPr>
    </w:p>
    <w:p w14:paraId="6AF56020">
      <w:pPr>
        <w:tabs>
          <w:tab w:val="left" w:pos="3600"/>
        </w:tabs>
        <w:adjustRightInd w:val="0"/>
        <w:snapToGrid w:val="0"/>
        <w:spacing w:line="440" w:lineRule="exact"/>
        <w:jc w:val="center"/>
        <w:rPr>
          <w:rFonts w:ascii="仿宋" w:hAnsi="仿宋" w:eastAsia="仿宋" w:cs="仿宋"/>
          <w:b/>
          <w:bCs/>
          <w:color w:val="auto"/>
          <w:w w:val="90"/>
          <w:sz w:val="36"/>
          <w:szCs w:val="36"/>
          <w:highlight w:val="none"/>
          <w:lang w:eastAsia="zh-CN"/>
        </w:rPr>
      </w:pPr>
      <w:r>
        <w:rPr>
          <w:rFonts w:hint="eastAsia" w:ascii="仿宋" w:hAnsi="仿宋" w:eastAsia="仿宋" w:cs="仿宋"/>
          <w:b/>
          <w:bCs/>
          <w:color w:val="auto"/>
          <w:sz w:val="36"/>
          <w:szCs w:val="36"/>
          <w:highlight w:val="none"/>
          <w:lang w:val="en-US" w:eastAsia="zh-CN"/>
        </w:rPr>
        <w:t>12</w:t>
      </w:r>
      <w:r>
        <w:rPr>
          <w:rFonts w:hint="eastAsia" w:ascii="仿宋" w:hAnsi="仿宋" w:eastAsia="仿宋" w:cs="仿宋"/>
          <w:b/>
          <w:bCs/>
          <w:color w:val="auto"/>
          <w:sz w:val="36"/>
          <w:szCs w:val="36"/>
          <w:highlight w:val="none"/>
          <w:lang w:eastAsia="zh-CN"/>
        </w:rPr>
        <w:t>、</w:t>
      </w:r>
      <w:r>
        <w:rPr>
          <w:rFonts w:hint="eastAsia" w:ascii="仿宋" w:hAnsi="仿宋" w:eastAsia="仿宋" w:cs="仿宋"/>
          <w:b/>
          <w:bCs/>
          <w:color w:val="auto"/>
          <w:w w:val="90"/>
          <w:sz w:val="36"/>
          <w:szCs w:val="36"/>
          <w:highlight w:val="none"/>
          <w:lang w:eastAsia="zh-CN"/>
        </w:rPr>
        <w:t>供应商认为有必要提供的其他证明材料（格式自拟）</w:t>
      </w:r>
    </w:p>
    <w:p w14:paraId="6C537709">
      <w:pPr>
        <w:pStyle w:val="13"/>
        <w:tabs>
          <w:tab w:val="left" w:pos="5580"/>
        </w:tabs>
        <w:spacing w:line="240" w:lineRule="atLeast"/>
        <w:ind w:firstLine="480" w:firstLineChars="200"/>
        <w:rPr>
          <w:rFonts w:ascii="仿宋" w:hAnsi="仿宋" w:eastAsia="仿宋" w:cs="仿宋"/>
          <w:color w:val="auto"/>
          <w:highlight w:val="none"/>
          <w:lang w:eastAsia="zh-CN"/>
        </w:rPr>
      </w:pPr>
    </w:p>
    <w:p w14:paraId="4BBA3503">
      <w:pPr>
        <w:pStyle w:val="13"/>
        <w:tabs>
          <w:tab w:val="left" w:pos="5580"/>
        </w:tabs>
        <w:spacing w:line="240" w:lineRule="atLeas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说明：装修改造部分如有转包，双方均须提供承诺书。</w:t>
      </w:r>
    </w:p>
    <w:p w14:paraId="225FB08E">
      <w:pPr>
        <w:pStyle w:val="20"/>
        <w:ind w:left="2880"/>
        <w:rPr>
          <w:color w:val="auto"/>
          <w:highlight w:val="none"/>
          <w:lang w:eastAsia="zh-CN"/>
        </w:rPr>
      </w:pPr>
    </w:p>
    <w:p w14:paraId="1FFC103A">
      <w:pPr>
        <w:rPr>
          <w:color w:val="auto"/>
          <w:highlight w:val="none"/>
          <w:lang w:eastAsia="zh-CN"/>
        </w:rPr>
      </w:pPr>
    </w:p>
    <w:p w14:paraId="7A772C28">
      <w:pPr>
        <w:rPr>
          <w:color w:val="auto"/>
          <w:highlight w:val="none"/>
          <w:lang w:eastAsia="zh-CN"/>
        </w:rPr>
      </w:pPr>
    </w:p>
    <w:p w14:paraId="6822531B">
      <w:pPr>
        <w:rPr>
          <w:color w:val="auto"/>
          <w:highlight w:val="none"/>
          <w:lang w:eastAsia="zh-CN"/>
        </w:rPr>
      </w:pPr>
    </w:p>
    <w:p w14:paraId="4236D355">
      <w:pPr>
        <w:rPr>
          <w:color w:val="auto"/>
          <w:highlight w:val="none"/>
          <w:lang w:eastAsia="zh-CN"/>
        </w:rPr>
      </w:pPr>
    </w:p>
    <w:p w14:paraId="37D07EFF">
      <w:pPr>
        <w:rPr>
          <w:color w:val="auto"/>
          <w:highlight w:val="none"/>
          <w:lang w:eastAsia="zh-CN"/>
        </w:rPr>
      </w:pPr>
    </w:p>
    <w:p w14:paraId="6459433D">
      <w:pPr>
        <w:rPr>
          <w:color w:val="auto"/>
          <w:highlight w:val="none"/>
          <w:lang w:eastAsia="zh-CN"/>
        </w:rPr>
      </w:pPr>
    </w:p>
    <w:p w14:paraId="56F622CA">
      <w:pPr>
        <w:rPr>
          <w:color w:val="auto"/>
          <w:highlight w:val="none"/>
          <w:lang w:eastAsia="zh-CN"/>
        </w:rPr>
      </w:pPr>
    </w:p>
    <w:p w14:paraId="6C08F5CD">
      <w:pPr>
        <w:rPr>
          <w:color w:val="auto"/>
          <w:highlight w:val="none"/>
          <w:lang w:eastAsia="zh-CN"/>
        </w:rPr>
      </w:pPr>
    </w:p>
    <w:p w14:paraId="5A76C464">
      <w:pPr>
        <w:rPr>
          <w:color w:val="auto"/>
          <w:highlight w:val="none"/>
          <w:lang w:eastAsia="zh-CN"/>
        </w:rPr>
      </w:pPr>
    </w:p>
    <w:p w14:paraId="050D584F">
      <w:pPr>
        <w:rPr>
          <w:color w:val="auto"/>
          <w:highlight w:val="none"/>
          <w:lang w:eastAsia="zh-CN"/>
        </w:rPr>
      </w:pPr>
    </w:p>
    <w:p w14:paraId="6BC597FD">
      <w:pPr>
        <w:rPr>
          <w:color w:val="auto"/>
          <w:highlight w:val="none"/>
          <w:lang w:eastAsia="zh-CN"/>
        </w:rPr>
      </w:pPr>
    </w:p>
    <w:p w14:paraId="085EC00D">
      <w:pPr>
        <w:rPr>
          <w:color w:val="auto"/>
          <w:highlight w:val="none"/>
          <w:lang w:eastAsia="zh-CN"/>
        </w:rPr>
      </w:pPr>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_x000B__x000C_">
    <w:altName w:val="Courier New"/>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ingLiU">
    <w:panose1 w:val="02020509000000000000"/>
    <w:charset w:val="88"/>
    <w:family w:val="auto"/>
    <w:pitch w:val="default"/>
    <w:sig w:usb0="A00002FF" w:usb1="28CFFCFA" w:usb2="00000016" w:usb3="00000000" w:csb0="0010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浠垮畫">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Kingsoft UE">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3C29A">
    <w:pPr>
      <w:pStyle w:val="17"/>
      <w:ind w:right="360"/>
      <w:jc w:val="both"/>
    </w:pPr>
    <w:r>
      <w:rPr>
        <w:sz w:val="16"/>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FC175EF"/>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UHjVccBAACdAwAADgAAAAAAAAABACAAAAAeAQAAZHJzL2Uyb0RvYy54&#10;bWxQSwUGAAAAAAYABgBZAQAAVwUAAAAA&#10;">
              <v:fill on="f" focussize="0,0"/>
              <v:stroke on="f"/>
              <v:imagedata o:title=""/>
              <o:lock v:ext="edit" aspectratio="f"/>
              <v:textbox inset="0mm,0mm,0mm,0mm" style="mso-fit-shape-to-text:t;">
                <w:txbxContent>
                  <w:p w14:paraId="2FC175EF"/>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BF081">
    <w:pPr>
      <w:pStyle w:val="17"/>
      <w:ind w:right="360"/>
      <w:jc w:val="both"/>
    </w:pPr>
    <w:r>
      <w:rPr>
        <w:sz w:val="16"/>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D18E609">
                          <w:pPr>
                            <w:pStyle w:val="17"/>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E3McgBAACd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ss3nDlh6cXPP3+cfz2eH74z&#10;ipFAvceK6u48VcbhPQy0NnMcKZh4D22w6UuMGOVJ3tNFXjVEJtOl1XK1KiklKTc7hF88XfcB4wcF&#10;liWj5oHeL8sqjp8wjqVzSerm4FYbk9/QuL8ChDlGVF6C6XZiMk6crDjshoneDpoTsetpEWruaO85&#10;Mx8d6Zx2ZjbCbOwmI3VE/+4QaYw8XUIdoYhVcujVMr9pw9Ja/Onnqqe/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bBNzHIAQAAnQMAAA4AAAAAAAAAAQAgAAAAHgEAAGRycy9lMm9Eb2Mu&#10;eG1sUEsFBgAAAAAGAAYAWQEAAFgFAAAAAA==&#10;">
              <v:fill on="f" focussize="0,0"/>
              <v:stroke on="f"/>
              <v:imagedata o:title=""/>
              <o:lock v:ext="edit" aspectratio="f"/>
              <v:textbox inset="0mm,0mm,0mm,0mm" style="mso-fit-shape-to-text:t;">
                <w:txbxContent>
                  <w:p w14:paraId="2D18E609">
                    <w:pPr>
                      <w:pStyle w:val="17"/>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6D367">
    <w:pPr>
      <w:pStyle w:val="17"/>
      <w:ind w:right="360"/>
      <w:jc w:val="both"/>
    </w:pPr>
    <w:r>
      <w:rPr>
        <w:sz w:val="13"/>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41D3E2">
                          <w:pPr>
                            <w:pStyle w:val="1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HpxMyAgAAY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bG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QenEzICAABjBAAADgAAAAAAAAABACAAAAAfAQAAZHJzL2Uyb0RvYy54bWxQSwUG&#10;AAAAAAYABgBZAQAAwwUAAAAA&#10;">
              <v:fill on="f" focussize="0,0"/>
              <v:stroke on="f" weight="0.5pt"/>
              <v:imagedata o:title=""/>
              <o:lock v:ext="edit" aspectratio="f"/>
              <v:textbox inset="0mm,0mm,0mm,0mm" style="mso-fit-shape-to-text:t;">
                <w:txbxContent>
                  <w:p w14:paraId="2041D3E2">
                    <w:pPr>
                      <w:pStyle w:val="17"/>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sz w:val="13"/>
        <w:szCs w:val="13"/>
      </w:rPr>
      <w:t xml:space="preserve"> </w:t>
    </w:r>
    <w:r>
      <w:rPr>
        <w:rFonts w:hint="eastAsia"/>
      </w:rPr>
      <w:t xml:space="preserve">  </w:t>
    </w:r>
  </w:p>
  <w:p w14:paraId="40D3DAAB">
    <w:pPr>
      <w:pStyle w:val="17"/>
      <w:tabs>
        <w:tab w:val="center" w:pos="4320"/>
        <w:tab w:val="right" w:pos="8640"/>
        <w:tab w:val="clear" w:pos="4153"/>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62C56">
    <w:pPr>
      <w:pStyle w:val="17"/>
      <w:ind w:right="360"/>
      <w:jc w:val="both"/>
    </w:pPr>
    <w:r>
      <w:rPr>
        <w:sz w:val="24"/>
        <w:lang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D214003">
                          <w:pPr>
                            <w:pStyle w:val="17"/>
                          </w:pPr>
                          <w:r>
                            <w:fldChar w:fldCharType="begin"/>
                          </w:r>
                          <w:r>
                            <w:instrText xml:space="preserve"> PAGE  \* MERGEFORMAT </w:instrText>
                          </w:r>
                          <w:r>
                            <w:fldChar w:fldCharType="separate"/>
                          </w:r>
                          <w:r>
                            <w:t>74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aG58cBAACd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6yVnVhh68cv3b5cfvy4/vzKK&#10;kUC9x4rqHjxVxuHODbQ2cxwpmHgPbTDpS4wY5Une81VeGCKT6dJ6tV6XlJKUmx3CLx6v+4DxLTjD&#10;klHzQO+XZRWn9xjH0rkkdbPuXmmd31DbvwKEOUYgL8F0OzEZJ05WHPbDRG/vmjOx62kRam5p7znT&#10;7yzpnHZmNsJs7CcjdUR/e4w0Rp4uoY5QxCo59GqZ37RhaS3+9HPV41+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5aG58cBAACdAwAADgAAAAAAAAABACAAAAAeAQAAZHJzL2Uyb0RvYy54&#10;bWxQSwUGAAAAAAYABgBZAQAAVwUAAAAA&#10;">
              <v:fill on="f" focussize="0,0"/>
              <v:stroke on="f"/>
              <v:imagedata o:title=""/>
              <o:lock v:ext="edit" aspectratio="f"/>
              <v:textbox inset="0mm,0mm,0mm,0mm" style="mso-fit-shape-to-text:t;">
                <w:txbxContent>
                  <w:p w14:paraId="5D214003">
                    <w:pPr>
                      <w:pStyle w:val="17"/>
                    </w:pPr>
                    <w:r>
                      <w:fldChar w:fldCharType="begin"/>
                    </w:r>
                    <w:r>
                      <w:instrText xml:space="preserve"> PAGE  \* MERGEFORMAT </w:instrText>
                    </w:r>
                    <w:r>
                      <w:fldChar w:fldCharType="separate"/>
                    </w:r>
                    <w:r>
                      <w:t>74</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3EF108E1">
    <w:pPr>
      <w:pStyle w:val="17"/>
      <w:autoSpaceDE w:val="0"/>
      <w:autoSpaceDN w:val="0"/>
      <w:adjustRightInd w:val="0"/>
      <w:ind w:left="7200" w:hanging="7200" w:hangingChars="4000"/>
      <w:jc w:val="both"/>
    </w:pPr>
  </w:p>
  <w:p w14:paraId="4AB507FD">
    <w:pPr>
      <w:pStyle w:val="17"/>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10B89">
    <w:pPr>
      <w:pStyle w:val="17"/>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27D040">
                          <w:pPr>
                            <w:pStyle w:val="17"/>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3927D040">
                    <w:pPr>
                      <w:pStyle w:val="17"/>
                    </w:pPr>
                    <w:r>
                      <w:fldChar w:fldCharType="begin"/>
                    </w:r>
                    <w:r>
                      <w:instrText xml:space="preserve"> PAGE  \* MERGEFORMAT </w:instrText>
                    </w:r>
                    <w:r>
                      <w:fldChar w:fldCharType="separate"/>
                    </w:r>
                    <w:r>
                      <w:t>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FE194">
    <w:pPr>
      <w:pStyle w:val="18"/>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9DD78">
    <w:pPr>
      <w:pStyle w:val="18"/>
      <w:rPr>
        <w:rFonts w:ascii="宋体" w:hAnsi="宋体" w:eastAsia="宋体" w:cs="宋体"/>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EC9A7">
    <w:pPr>
      <w:pStyle w:val="18"/>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DAD01"/>
    <w:multiLevelType w:val="singleLevel"/>
    <w:tmpl w:val="CF0DAD01"/>
    <w:lvl w:ilvl="0" w:tentative="0">
      <w:start w:val="1"/>
      <w:numFmt w:val="decimal"/>
      <w:suff w:val="space"/>
      <w:lvlText w:val="%1."/>
      <w:lvlJc w:val="left"/>
    </w:lvl>
  </w:abstractNum>
  <w:abstractNum w:abstractNumId="1">
    <w:nsid w:val="DC1872A4"/>
    <w:multiLevelType w:val="singleLevel"/>
    <w:tmpl w:val="DC1872A4"/>
    <w:lvl w:ilvl="0" w:tentative="0">
      <w:start w:val="8"/>
      <w:numFmt w:val="decimal"/>
      <w:suff w:val="nothing"/>
      <w:lvlText w:val="（%1）"/>
      <w:lvlJc w:val="left"/>
    </w:lvl>
  </w:abstractNum>
  <w:abstractNum w:abstractNumId="2">
    <w:nsid w:val="E643E0BB"/>
    <w:multiLevelType w:val="singleLevel"/>
    <w:tmpl w:val="E643E0BB"/>
    <w:lvl w:ilvl="0" w:tentative="0">
      <w:start w:val="6"/>
      <w:numFmt w:val="chineseCounting"/>
      <w:suff w:val="nothing"/>
      <w:lvlText w:val="%1、"/>
      <w:lvlJc w:val="left"/>
      <w:rPr>
        <w:rFonts w:hint="eastAsia"/>
      </w:rPr>
    </w:lvl>
  </w:abstractNum>
  <w:abstractNum w:abstractNumId="3">
    <w:nsid w:val="0000000D"/>
    <w:multiLevelType w:val="multilevel"/>
    <w:tmpl w:val="0000000D"/>
    <w:lvl w:ilvl="0" w:tentative="0">
      <w:start w:val="1"/>
      <w:numFmt w:val="decimal"/>
      <w:pStyle w:val="10"/>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4">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6">
    <w:nsid w:val="3EAC29FF"/>
    <w:multiLevelType w:val="singleLevel"/>
    <w:tmpl w:val="3EAC29FF"/>
    <w:lvl w:ilvl="0" w:tentative="0">
      <w:start w:val="1"/>
      <w:numFmt w:val="decimal"/>
      <w:pStyle w:val="14"/>
      <w:lvlText w:val="%1."/>
      <w:lvlJc w:val="left"/>
      <w:pPr>
        <w:tabs>
          <w:tab w:val="left" w:pos="2040"/>
        </w:tabs>
        <w:ind w:left="2040" w:hanging="360"/>
      </w:pPr>
    </w:lvl>
  </w:abstractNum>
  <w:abstractNum w:abstractNumId="7">
    <w:nsid w:val="55CD4C99"/>
    <w:multiLevelType w:val="singleLevel"/>
    <w:tmpl w:val="55CD4C99"/>
    <w:lvl w:ilvl="0" w:tentative="0">
      <w:start w:val="1"/>
      <w:numFmt w:val="chineseCounting"/>
      <w:suff w:val="nothing"/>
      <w:lvlText w:val="%1、"/>
      <w:lvlJc w:val="left"/>
    </w:lvl>
  </w:abstractNum>
  <w:abstractNum w:abstractNumId="8">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3"/>
  </w:num>
  <w:num w:numId="2">
    <w:abstractNumId w:val="6"/>
  </w:num>
  <w:num w:numId="3">
    <w:abstractNumId w:val="2"/>
  </w:num>
  <w:num w:numId="4">
    <w:abstractNumId w:val="7"/>
  </w:num>
  <w:num w:numId="5">
    <w:abstractNumId w:val="5"/>
  </w:num>
  <w:num w:numId="6">
    <w:abstractNumId w:val="8"/>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ODcxMTkxNmEwYzAzYTA5NzZlOTM1ZGVkNTE1NjQifQ=="/>
  </w:docVars>
  <w:rsids>
    <w:rsidRoot w:val="430832B2"/>
    <w:rsid w:val="00000A04"/>
    <w:rsid w:val="00036274"/>
    <w:rsid w:val="000942B7"/>
    <w:rsid w:val="000E7277"/>
    <w:rsid w:val="00153D08"/>
    <w:rsid w:val="001909B2"/>
    <w:rsid w:val="00232113"/>
    <w:rsid w:val="00232484"/>
    <w:rsid w:val="00270BE1"/>
    <w:rsid w:val="004259D8"/>
    <w:rsid w:val="00461E17"/>
    <w:rsid w:val="00471CA4"/>
    <w:rsid w:val="00562077"/>
    <w:rsid w:val="00597163"/>
    <w:rsid w:val="005D4E0B"/>
    <w:rsid w:val="00643BE3"/>
    <w:rsid w:val="006761BB"/>
    <w:rsid w:val="006D00E3"/>
    <w:rsid w:val="0076445C"/>
    <w:rsid w:val="008276FA"/>
    <w:rsid w:val="008849F7"/>
    <w:rsid w:val="008D1783"/>
    <w:rsid w:val="008D4A14"/>
    <w:rsid w:val="008E4551"/>
    <w:rsid w:val="009143D6"/>
    <w:rsid w:val="00A329DF"/>
    <w:rsid w:val="00A75CA8"/>
    <w:rsid w:val="00AA277B"/>
    <w:rsid w:val="00AB0B74"/>
    <w:rsid w:val="00AF420A"/>
    <w:rsid w:val="00B50D57"/>
    <w:rsid w:val="00BA4013"/>
    <w:rsid w:val="00C00EF7"/>
    <w:rsid w:val="00C26A7F"/>
    <w:rsid w:val="00C377E4"/>
    <w:rsid w:val="00C53164"/>
    <w:rsid w:val="00C57AF5"/>
    <w:rsid w:val="00C74FD6"/>
    <w:rsid w:val="00D00791"/>
    <w:rsid w:val="00D00D67"/>
    <w:rsid w:val="00D03DFD"/>
    <w:rsid w:val="00D0403D"/>
    <w:rsid w:val="00D84377"/>
    <w:rsid w:val="00DA3EA5"/>
    <w:rsid w:val="00DE0124"/>
    <w:rsid w:val="00E46AD2"/>
    <w:rsid w:val="00E56748"/>
    <w:rsid w:val="00EB29FB"/>
    <w:rsid w:val="00ED05CA"/>
    <w:rsid w:val="00F050C2"/>
    <w:rsid w:val="00F5767A"/>
    <w:rsid w:val="00F70359"/>
    <w:rsid w:val="00FB6C7A"/>
    <w:rsid w:val="01100FAB"/>
    <w:rsid w:val="0123584C"/>
    <w:rsid w:val="014631E4"/>
    <w:rsid w:val="014F6266"/>
    <w:rsid w:val="015E0ED4"/>
    <w:rsid w:val="016F1F36"/>
    <w:rsid w:val="018A1427"/>
    <w:rsid w:val="019F0F2F"/>
    <w:rsid w:val="01AF0E8E"/>
    <w:rsid w:val="01BA3FA8"/>
    <w:rsid w:val="01E44B68"/>
    <w:rsid w:val="01EF3980"/>
    <w:rsid w:val="02145195"/>
    <w:rsid w:val="02147DFC"/>
    <w:rsid w:val="02315CB3"/>
    <w:rsid w:val="024C492F"/>
    <w:rsid w:val="02557C87"/>
    <w:rsid w:val="02614ACA"/>
    <w:rsid w:val="02747EEB"/>
    <w:rsid w:val="027D687D"/>
    <w:rsid w:val="028642E4"/>
    <w:rsid w:val="028F7AA8"/>
    <w:rsid w:val="02931780"/>
    <w:rsid w:val="02BF340E"/>
    <w:rsid w:val="02E7054D"/>
    <w:rsid w:val="02ED0A5A"/>
    <w:rsid w:val="02F96864"/>
    <w:rsid w:val="03120DC1"/>
    <w:rsid w:val="03152839"/>
    <w:rsid w:val="034354ED"/>
    <w:rsid w:val="03531E23"/>
    <w:rsid w:val="035508BA"/>
    <w:rsid w:val="03634626"/>
    <w:rsid w:val="03AA005B"/>
    <w:rsid w:val="03D270B5"/>
    <w:rsid w:val="03DF7ECE"/>
    <w:rsid w:val="04027F4A"/>
    <w:rsid w:val="041C2283"/>
    <w:rsid w:val="042A106A"/>
    <w:rsid w:val="04700DA8"/>
    <w:rsid w:val="04770389"/>
    <w:rsid w:val="04C64537"/>
    <w:rsid w:val="04D51446"/>
    <w:rsid w:val="04DD5188"/>
    <w:rsid w:val="04E11CA6"/>
    <w:rsid w:val="050F221F"/>
    <w:rsid w:val="051E7B81"/>
    <w:rsid w:val="052B11CF"/>
    <w:rsid w:val="054054C9"/>
    <w:rsid w:val="056F1060"/>
    <w:rsid w:val="0591547A"/>
    <w:rsid w:val="05A364E5"/>
    <w:rsid w:val="05CC1363"/>
    <w:rsid w:val="05CE725F"/>
    <w:rsid w:val="05D26519"/>
    <w:rsid w:val="05E43238"/>
    <w:rsid w:val="05F81344"/>
    <w:rsid w:val="06141E47"/>
    <w:rsid w:val="061E4834"/>
    <w:rsid w:val="062E44A1"/>
    <w:rsid w:val="062F2BDC"/>
    <w:rsid w:val="06385AA9"/>
    <w:rsid w:val="063B7194"/>
    <w:rsid w:val="064A23F4"/>
    <w:rsid w:val="06542070"/>
    <w:rsid w:val="067376C2"/>
    <w:rsid w:val="067D155B"/>
    <w:rsid w:val="068A122F"/>
    <w:rsid w:val="068F23C3"/>
    <w:rsid w:val="06A20D46"/>
    <w:rsid w:val="0712765B"/>
    <w:rsid w:val="07286AF1"/>
    <w:rsid w:val="072C60C0"/>
    <w:rsid w:val="073826E5"/>
    <w:rsid w:val="074F6B51"/>
    <w:rsid w:val="07A35E4B"/>
    <w:rsid w:val="07F25E8F"/>
    <w:rsid w:val="08253C96"/>
    <w:rsid w:val="08323FEC"/>
    <w:rsid w:val="0849203C"/>
    <w:rsid w:val="08515F3C"/>
    <w:rsid w:val="085D5AE7"/>
    <w:rsid w:val="086504F8"/>
    <w:rsid w:val="088C7521"/>
    <w:rsid w:val="08AE54C3"/>
    <w:rsid w:val="08F304D5"/>
    <w:rsid w:val="091D420B"/>
    <w:rsid w:val="09231976"/>
    <w:rsid w:val="093F2ABC"/>
    <w:rsid w:val="095073FA"/>
    <w:rsid w:val="096F4CEE"/>
    <w:rsid w:val="09881342"/>
    <w:rsid w:val="099723FA"/>
    <w:rsid w:val="09B17236"/>
    <w:rsid w:val="09B44D67"/>
    <w:rsid w:val="09BB7723"/>
    <w:rsid w:val="09CC5721"/>
    <w:rsid w:val="09DC47EA"/>
    <w:rsid w:val="09E92566"/>
    <w:rsid w:val="0A007485"/>
    <w:rsid w:val="0A226110"/>
    <w:rsid w:val="0A271261"/>
    <w:rsid w:val="0A622E54"/>
    <w:rsid w:val="0A8E01DA"/>
    <w:rsid w:val="0A982D0F"/>
    <w:rsid w:val="0AC17FB0"/>
    <w:rsid w:val="0AEC1713"/>
    <w:rsid w:val="0AFE7394"/>
    <w:rsid w:val="0B213EE8"/>
    <w:rsid w:val="0B2F3756"/>
    <w:rsid w:val="0B3D750A"/>
    <w:rsid w:val="0B416FFB"/>
    <w:rsid w:val="0B4660A3"/>
    <w:rsid w:val="0B472137"/>
    <w:rsid w:val="0B641CFB"/>
    <w:rsid w:val="0B6F7B86"/>
    <w:rsid w:val="0B81389B"/>
    <w:rsid w:val="0B941400"/>
    <w:rsid w:val="0B9E39F1"/>
    <w:rsid w:val="0BB54396"/>
    <w:rsid w:val="0BD7795F"/>
    <w:rsid w:val="0BE36304"/>
    <w:rsid w:val="0BF26C44"/>
    <w:rsid w:val="0C1429D4"/>
    <w:rsid w:val="0C6C454B"/>
    <w:rsid w:val="0CBB2DA5"/>
    <w:rsid w:val="0CC0289C"/>
    <w:rsid w:val="0CE57E5A"/>
    <w:rsid w:val="0CF0387C"/>
    <w:rsid w:val="0CFD51A3"/>
    <w:rsid w:val="0D533015"/>
    <w:rsid w:val="0D625AD8"/>
    <w:rsid w:val="0D9030DE"/>
    <w:rsid w:val="0D9378B6"/>
    <w:rsid w:val="0DB6446C"/>
    <w:rsid w:val="0DC43F13"/>
    <w:rsid w:val="0DCC6BCA"/>
    <w:rsid w:val="0E0A2470"/>
    <w:rsid w:val="0E3E1813"/>
    <w:rsid w:val="0E4111B5"/>
    <w:rsid w:val="0E455CF9"/>
    <w:rsid w:val="0E4D5CB6"/>
    <w:rsid w:val="0E5704C1"/>
    <w:rsid w:val="0E8C1181"/>
    <w:rsid w:val="0E9B44CA"/>
    <w:rsid w:val="0EA0672E"/>
    <w:rsid w:val="0F152C78"/>
    <w:rsid w:val="0F192190"/>
    <w:rsid w:val="0F356E0A"/>
    <w:rsid w:val="0F962B0C"/>
    <w:rsid w:val="0F9C5147"/>
    <w:rsid w:val="0FA22205"/>
    <w:rsid w:val="0FA76597"/>
    <w:rsid w:val="0FB767C5"/>
    <w:rsid w:val="0FF57A05"/>
    <w:rsid w:val="0FFE0D46"/>
    <w:rsid w:val="0FFF7484"/>
    <w:rsid w:val="10015291"/>
    <w:rsid w:val="102110DF"/>
    <w:rsid w:val="104457BF"/>
    <w:rsid w:val="105A4EBB"/>
    <w:rsid w:val="105F7F23"/>
    <w:rsid w:val="10685029"/>
    <w:rsid w:val="10AC1C76"/>
    <w:rsid w:val="10B262A5"/>
    <w:rsid w:val="10B353ED"/>
    <w:rsid w:val="10C20BDE"/>
    <w:rsid w:val="10ED552F"/>
    <w:rsid w:val="10F67137"/>
    <w:rsid w:val="1105728B"/>
    <w:rsid w:val="111A0A98"/>
    <w:rsid w:val="11352510"/>
    <w:rsid w:val="114227C7"/>
    <w:rsid w:val="114535BD"/>
    <w:rsid w:val="11496C09"/>
    <w:rsid w:val="116457F1"/>
    <w:rsid w:val="11A43746"/>
    <w:rsid w:val="11AF5FA7"/>
    <w:rsid w:val="11B26E86"/>
    <w:rsid w:val="11E12A09"/>
    <w:rsid w:val="11FE2343"/>
    <w:rsid w:val="12326DC2"/>
    <w:rsid w:val="125F2024"/>
    <w:rsid w:val="128630FD"/>
    <w:rsid w:val="12891287"/>
    <w:rsid w:val="128A5956"/>
    <w:rsid w:val="1291653A"/>
    <w:rsid w:val="129526FC"/>
    <w:rsid w:val="12E23A01"/>
    <w:rsid w:val="12FB3C5D"/>
    <w:rsid w:val="13015F66"/>
    <w:rsid w:val="130308CA"/>
    <w:rsid w:val="1305093D"/>
    <w:rsid w:val="1312560D"/>
    <w:rsid w:val="1326612C"/>
    <w:rsid w:val="132C218A"/>
    <w:rsid w:val="13651CF4"/>
    <w:rsid w:val="138A175B"/>
    <w:rsid w:val="13B158DD"/>
    <w:rsid w:val="13D55805"/>
    <w:rsid w:val="13D82A74"/>
    <w:rsid w:val="13F84D28"/>
    <w:rsid w:val="13F87796"/>
    <w:rsid w:val="140A55A9"/>
    <w:rsid w:val="140E5EE8"/>
    <w:rsid w:val="142B46CE"/>
    <w:rsid w:val="143C794A"/>
    <w:rsid w:val="14602089"/>
    <w:rsid w:val="1468384A"/>
    <w:rsid w:val="14841E5F"/>
    <w:rsid w:val="14953EB8"/>
    <w:rsid w:val="14A52C86"/>
    <w:rsid w:val="14AA2FD3"/>
    <w:rsid w:val="14B46A8F"/>
    <w:rsid w:val="14CD6092"/>
    <w:rsid w:val="14DF08DB"/>
    <w:rsid w:val="14EF7AC7"/>
    <w:rsid w:val="1518225F"/>
    <w:rsid w:val="15200D24"/>
    <w:rsid w:val="1525173B"/>
    <w:rsid w:val="153C6A85"/>
    <w:rsid w:val="156959EB"/>
    <w:rsid w:val="156D1711"/>
    <w:rsid w:val="159F732A"/>
    <w:rsid w:val="15A00DC2"/>
    <w:rsid w:val="15C31338"/>
    <w:rsid w:val="15E839EB"/>
    <w:rsid w:val="16010E59"/>
    <w:rsid w:val="16105F47"/>
    <w:rsid w:val="161F618A"/>
    <w:rsid w:val="16305236"/>
    <w:rsid w:val="16533BFB"/>
    <w:rsid w:val="166C5148"/>
    <w:rsid w:val="167B61DA"/>
    <w:rsid w:val="16995913"/>
    <w:rsid w:val="16C61301"/>
    <w:rsid w:val="16DB47A7"/>
    <w:rsid w:val="16DD57C1"/>
    <w:rsid w:val="16EA2C3C"/>
    <w:rsid w:val="16F2389F"/>
    <w:rsid w:val="17021392"/>
    <w:rsid w:val="17061260"/>
    <w:rsid w:val="171F0B4E"/>
    <w:rsid w:val="17232F68"/>
    <w:rsid w:val="172577D0"/>
    <w:rsid w:val="172A7766"/>
    <w:rsid w:val="173C4B1A"/>
    <w:rsid w:val="1756362C"/>
    <w:rsid w:val="175E2CE2"/>
    <w:rsid w:val="178644DD"/>
    <w:rsid w:val="17881C02"/>
    <w:rsid w:val="178E694D"/>
    <w:rsid w:val="17A0779F"/>
    <w:rsid w:val="17A34B99"/>
    <w:rsid w:val="17CB09B6"/>
    <w:rsid w:val="17EB3771"/>
    <w:rsid w:val="18251A52"/>
    <w:rsid w:val="18414ADE"/>
    <w:rsid w:val="18480584"/>
    <w:rsid w:val="1890511D"/>
    <w:rsid w:val="18CC2463"/>
    <w:rsid w:val="18DC4807"/>
    <w:rsid w:val="18DF7E53"/>
    <w:rsid w:val="18FE29CF"/>
    <w:rsid w:val="190B6E9A"/>
    <w:rsid w:val="1910625E"/>
    <w:rsid w:val="193C3B09"/>
    <w:rsid w:val="19445F08"/>
    <w:rsid w:val="1956601D"/>
    <w:rsid w:val="19791440"/>
    <w:rsid w:val="198D3D53"/>
    <w:rsid w:val="19C5529B"/>
    <w:rsid w:val="19CA28B1"/>
    <w:rsid w:val="19CA4189"/>
    <w:rsid w:val="19CC487B"/>
    <w:rsid w:val="19D24BCD"/>
    <w:rsid w:val="19DD1937"/>
    <w:rsid w:val="19F56A9C"/>
    <w:rsid w:val="19F91D19"/>
    <w:rsid w:val="19F93196"/>
    <w:rsid w:val="1A6819D6"/>
    <w:rsid w:val="1A6A7BF0"/>
    <w:rsid w:val="1A6C043C"/>
    <w:rsid w:val="1A7B0363"/>
    <w:rsid w:val="1A900251"/>
    <w:rsid w:val="1A9D7751"/>
    <w:rsid w:val="1A9E141F"/>
    <w:rsid w:val="1AA14F3E"/>
    <w:rsid w:val="1ABB2559"/>
    <w:rsid w:val="1ACD57BB"/>
    <w:rsid w:val="1AE300CE"/>
    <w:rsid w:val="1AFE6CB6"/>
    <w:rsid w:val="1B097409"/>
    <w:rsid w:val="1B2938B4"/>
    <w:rsid w:val="1B3867B7"/>
    <w:rsid w:val="1B3917D2"/>
    <w:rsid w:val="1B526E30"/>
    <w:rsid w:val="1B5A42F2"/>
    <w:rsid w:val="1B715D56"/>
    <w:rsid w:val="1B79633D"/>
    <w:rsid w:val="1B7D31F9"/>
    <w:rsid w:val="1B8F4956"/>
    <w:rsid w:val="1BA23AE5"/>
    <w:rsid w:val="1BA46EB4"/>
    <w:rsid w:val="1BB91CAC"/>
    <w:rsid w:val="1BE65325"/>
    <w:rsid w:val="1BEA2D97"/>
    <w:rsid w:val="1BF54431"/>
    <w:rsid w:val="1BF81957"/>
    <w:rsid w:val="1C5F19D6"/>
    <w:rsid w:val="1C770BAC"/>
    <w:rsid w:val="1C8812E8"/>
    <w:rsid w:val="1CA401E2"/>
    <w:rsid w:val="1CBF4223"/>
    <w:rsid w:val="1CC048D1"/>
    <w:rsid w:val="1CC41839"/>
    <w:rsid w:val="1CC47A8B"/>
    <w:rsid w:val="1CF405EB"/>
    <w:rsid w:val="1CFA02BD"/>
    <w:rsid w:val="1CFF3DC8"/>
    <w:rsid w:val="1D086E56"/>
    <w:rsid w:val="1D087E57"/>
    <w:rsid w:val="1D28001A"/>
    <w:rsid w:val="1D4A4435"/>
    <w:rsid w:val="1D6F5759"/>
    <w:rsid w:val="1D8E3BF5"/>
    <w:rsid w:val="1DDE4B7D"/>
    <w:rsid w:val="1DF24C3B"/>
    <w:rsid w:val="1E122A78"/>
    <w:rsid w:val="1E210753"/>
    <w:rsid w:val="1E435DE1"/>
    <w:rsid w:val="1E4F61D8"/>
    <w:rsid w:val="1E6813A9"/>
    <w:rsid w:val="1E6D1634"/>
    <w:rsid w:val="1EAF658B"/>
    <w:rsid w:val="1ECE4F82"/>
    <w:rsid w:val="1EE5064C"/>
    <w:rsid w:val="1F000FFE"/>
    <w:rsid w:val="1F0321C6"/>
    <w:rsid w:val="1F0664F1"/>
    <w:rsid w:val="1F0E3240"/>
    <w:rsid w:val="1F1D3483"/>
    <w:rsid w:val="1F5B26D6"/>
    <w:rsid w:val="1F6007D8"/>
    <w:rsid w:val="1F6410B2"/>
    <w:rsid w:val="1F6C3F34"/>
    <w:rsid w:val="1F7624BD"/>
    <w:rsid w:val="1F9C4CF0"/>
    <w:rsid w:val="1FB35455"/>
    <w:rsid w:val="1FB748C5"/>
    <w:rsid w:val="203828DD"/>
    <w:rsid w:val="20497A92"/>
    <w:rsid w:val="205D4216"/>
    <w:rsid w:val="20746CEC"/>
    <w:rsid w:val="207D13AB"/>
    <w:rsid w:val="209D4381"/>
    <w:rsid w:val="20C20786"/>
    <w:rsid w:val="20E00C0C"/>
    <w:rsid w:val="20F678CF"/>
    <w:rsid w:val="20FF5536"/>
    <w:rsid w:val="211A31D2"/>
    <w:rsid w:val="21725D08"/>
    <w:rsid w:val="218454A5"/>
    <w:rsid w:val="21857BEB"/>
    <w:rsid w:val="21B61B70"/>
    <w:rsid w:val="21F7470F"/>
    <w:rsid w:val="21FE11B6"/>
    <w:rsid w:val="21FF0FBD"/>
    <w:rsid w:val="22086693"/>
    <w:rsid w:val="221E0370"/>
    <w:rsid w:val="223905D4"/>
    <w:rsid w:val="22561186"/>
    <w:rsid w:val="226F70E5"/>
    <w:rsid w:val="228C7DBD"/>
    <w:rsid w:val="22965E6B"/>
    <w:rsid w:val="22AE28BF"/>
    <w:rsid w:val="22B21BEA"/>
    <w:rsid w:val="22B23533"/>
    <w:rsid w:val="22C578FC"/>
    <w:rsid w:val="22C81C07"/>
    <w:rsid w:val="22D64075"/>
    <w:rsid w:val="22D700DE"/>
    <w:rsid w:val="22DB168B"/>
    <w:rsid w:val="22F917C9"/>
    <w:rsid w:val="23164DB9"/>
    <w:rsid w:val="23226B91"/>
    <w:rsid w:val="23463622"/>
    <w:rsid w:val="234C07FD"/>
    <w:rsid w:val="23503E27"/>
    <w:rsid w:val="235B1AD6"/>
    <w:rsid w:val="235B27CC"/>
    <w:rsid w:val="236C00BB"/>
    <w:rsid w:val="236D35CF"/>
    <w:rsid w:val="23762D4E"/>
    <w:rsid w:val="2379737D"/>
    <w:rsid w:val="23874BA3"/>
    <w:rsid w:val="238D7E59"/>
    <w:rsid w:val="23A64B10"/>
    <w:rsid w:val="23D74548"/>
    <w:rsid w:val="23E07E45"/>
    <w:rsid w:val="2426102C"/>
    <w:rsid w:val="2426737F"/>
    <w:rsid w:val="242C7FB7"/>
    <w:rsid w:val="24376D95"/>
    <w:rsid w:val="245B2E54"/>
    <w:rsid w:val="2461297E"/>
    <w:rsid w:val="24621D41"/>
    <w:rsid w:val="248D22F7"/>
    <w:rsid w:val="249661B1"/>
    <w:rsid w:val="249E6E14"/>
    <w:rsid w:val="24BE1C18"/>
    <w:rsid w:val="24D64800"/>
    <w:rsid w:val="24F5112A"/>
    <w:rsid w:val="24F609FE"/>
    <w:rsid w:val="25002F8D"/>
    <w:rsid w:val="254D79CF"/>
    <w:rsid w:val="254F617F"/>
    <w:rsid w:val="25546BA5"/>
    <w:rsid w:val="25550156"/>
    <w:rsid w:val="25555909"/>
    <w:rsid w:val="256D43FD"/>
    <w:rsid w:val="25724461"/>
    <w:rsid w:val="257A33DD"/>
    <w:rsid w:val="257B7624"/>
    <w:rsid w:val="25851C68"/>
    <w:rsid w:val="258D4BC1"/>
    <w:rsid w:val="25A24EBE"/>
    <w:rsid w:val="25D23219"/>
    <w:rsid w:val="25E167D1"/>
    <w:rsid w:val="25FB512C"/>
    <w:rsid w:val="262B2929"/>
    <w:rsid w:val="266939BE"/>
    <w:rsid w:val="267D2FA7"/>
    <w:rsid w:val="268B6833"/>
    <w:rsid w:val="26AF4526"/>
    <w:rsid w:val="26B733C2"/>
    <w:rsid w:val="26D37563"/>
    <w:rsid w:val="26DC54DA"/>
    <w:rsid w:val="27427FEE"/>
    <w:rsid w:val="274B4345"/>
    <w:rsid w:val="2759752E"/>
    <w:rsid w:val="27641FEC"/>
    <w:rsid w:val="27655BA5"/>
    <w:rsid w:val="27870033"/>
    <w:rsid w:val="27882E57"/>
    <w:rsid w:val="2789562D"/>
    <w:rsid w:val="280276BA"/>
    <w:rsid w:val="280B656E"/>
    <w:rsid w:val="281F2614"/>
    <w:rsid w:val="283D072F"/>
    <w:rsid w:val="286536CA"/>
    <w:rsid w:val="286B44D3"/>
    <w:rsid w:val="28BD5E37"/>
    <w:rsid w:val="28D412E8"/>
    <w:rsid w:val="290938FB"/>
    <w:rsid w:val="290F6532"/>
    <w:rsid w:val="29114FDA"/>
    <w:rsid w:val="291C049E"/>
    <w:rsid w:val="291F0973"/>
    <w:rsid w:val="29384AB9"/>
    <w:rsid w:val="293D4896"/>
    <w:rsid w:val="294E1863"/>
    <w:rsid w:val="299B171F"/>
    <w:rsid w:val="29A45F2A"/>
    <w:rsid w:val="29BB3FC4"/>
    <w:rsid w:val="29E20226"/>
    <w:rsid w:val="29EC3DAC"/>
    <w:rsid w:val="29EF5342"/>
    <w:rsid w:val="29F20F87"/>
    <w:rsid w:val="29F85218"/>
    <w:rsid w:val="2A015314"/>
    <w:rsid w:val="2A2644A5"/>
    <w:rsid w:val="2A2953D2"/>
    <w:rsid w:val="2A324336"/>
    <w:rsid w:val="2A433F21"/>
    <w:rsid w:val="2A5E151F"/>
    <w:rsid w:val="2A6F2C28"/>
    <w:rsid w:val="2A8F257B"/>
    <w:rsid w:val="2A996DDB"/>
    <w:rsid w:val="2AB303AA"/>
    <w:rsid w:val="2ADC5AFD"/>
    <w:rsid w:val="2AE56C24"/>
    <w:rsid w:val="2AF23A16"/>
    <w:rsid w:val="2AF552B4"/>
    <w:rsid w:val="2AF9470D"/>
    <w:rsid w:val="2B2A724C"/>
    <w:rsid w:val="2B3330A0"/>
    <w:rsid w:val="2B3D4576"/>
    <w:rsid w:val="2B4125B5"/>
    <w:rsid w:val="2B4A3852"/>
    <w:rsid w:val="2B533179"/>
    <w:rsid w:val="2B762634"/>
    <w:rsid w:val="2B8925CC"/>
    <w:rsid w:val="2B97636B"/>
    <w:rsid w:val="2BA56D2B"/>
    <w:rsid w:val="2BC97F64"/>
    <w:rsid w:val="2BCE4483"/>
    <w:rsid w:val="2BFF288E"/>
    <w:rsid w:val="2C155C0E"/>
    <w:rsid w:val="2C2D1618"/>
    <w:rsid w:val="2C302A48"/>
    <w:rsid w:val="2C7538F6"/>
    <w:rsid w:val="2CA8692F"/>
    <w:rsid w:val="2CB17636"/>
    <w:rsid w:val="2CB21DCF"/>
    <w:rsid w:val="2CCD238C"/>
    <w:rsid w:val="2CD70408"/>
    <w:rsid w:val="2CFB5024"/>
    <w:rsid w:val="2D0D130F"/>
    <w:rsid w:val="2D1B0C53"/>
    <w:rsid w:val="2D261D28"/>
    <w:rsid w:val="2D380A40"/>
    <w:rsid w:val="2D7E66F1"/>
    <w:rsid w:val="2D8F42CD"/>
    <w:rsid w:val="2D95546D"/>
    <w:rsid w:val="2DA570F4"/>
    <w:rsid w:val="2DB43A1E"/>
    <w:rsid w:val="2DB85DC1"/>
    <w:rsid w:val="2DC9254F"/>
    <w:rsid w:val="2DCA4758"/>
    <w:rsid w:val="2DDB2F86"/>
    <w:rsid w:val="2DF1140A"/>
    <w:rsid w:val="2DF53F49"/>
    <w:rsid w:val="2DFE26D1"/>
    <w:rsid w:val="2E022C3F"/>
    <w:rsid w:val="2E1B0C2F"/>
    <w:rsid w:val="2E2D19AE"/>
    <w:rsid w:val="2E2E33B6"/>
    <w:rsid w:val="2E3662A3"/>
    <w:rsid w:val="2E717347"/>
    <w:rsid w:val="2E764B34"/>
    <w:rsid w:val="2EA4771D"/>
    <w:rsid w:val="2EB85F02"/>
    <w:rsid w:val="2EBF6305"/>
    <w:rsid w:val="2ECB148D"/>
    <w:rsid w:val="2ED0014B"/>
    <w:rsid w:val="2ED161A3"/>
    <w:rsid w:val="2F0F103A"/>
    <w:rsid w:val="2F132CBF"/>
    <w:rsid w:val="2F141663"/>
    <w:rsid w:val="2F265E4E"/>
    <w:rsid w:val="2F4B5DEA"/>
    <w:rsid w:val="2F815AF6"/>
    <w:rsid w:val="2FA112D9"/>
    <w:rsid w:val="2FA50B1C"/>
    <w:rsid w:val="2FAD33C2"/>
    <w:rsid w:val="2FBD3431"/>
    <w:rsid w:val="2FCA4F61"/>
    <w:rsid w:val="2FD247AA"/>
    <w:rsid w:val="2FD815CC"/>
    <w:rsid w:val="2FDD2EE6"/>
    <w:rsid w:val="2FED31AB"/>
    <w:rsid w:val="300113DD"/>
    <w:rsid w:val="301A16BC"/>
    <w:rsid w:val="301B400C"/>
    <w:rsid w:val="30486A4B"/>
    <w:rsid w:val="305022CF"/>
    <w:rsid w:val="305F1B4D"/>
    <w:rsid w:val="307B5F9A"/>
    <w:rsid w:val="3094000D"/>
    <w:rsid w:val="31052F53"/>
    <w:rsid w:val="310E0297"/>
    <w:rsid w:val="313A1B8F"/>
    <w:rsid w:val="31432160"/>
    <w:rsid w:val="31433DC9"/>
    <w:rsid w:val="31467379"/>
    <w:rsid w:val="314D5E4A"/>
    <w:rsid w:val="318A7633"/>
    <w:rsid w:val="318C385D"/>
    <w:rsid w:val="31AF60BD"/>
    <w:rsid w:val="31C54436"/>
    <w:rsid w:val="31DE4CF4"/>
    <w:rsid w:val="32081D71"/>
    <w:rsid w:val="32387E25"/>
    <w:rsid w:val="325141C6"/>
    <w:rsid w:val="327E788B"/>
    <w:rsid w:val="328E4D5E"/>
    <w:rsid w:val="32AD108D"/>
    <w:rsid w:val="32B435BE"/>
    <w:rsid w:val="32C20171"/>
    <w:rsid w:val="32DB0F7C"/>
    <w:rsid w:val="32ED1692"/>
    <w:rsid w:val="32F15448"/>
    <w:rsid w:val="32F27011"/>
    <w:rsid w:val="32F67E2E"/>
    <w:rsid w:val="33204505"/>
    <w:rsid w:val="33380434"/>
    <w:rsid w:val="333B5ECC"/>
    <w:rsid w:val="33462B51"/>
    <w:rsid w:val="335B1D88"/>
    <w:rsid w:val="335C76C1"/>
    <w:rsid w:val="33711F29"/>
    <w:rsid w:val="337B3536"/>
    <w:rsid w:val="33877982"/>
    <w:rsid w:val="33B67BD3"/>
    <w:rsid w:val="33C33A4B"/>
    <w:rsid w:val="34180984"/>
    <w:rsid w:val="341C44FF"/>
    <w:rsid w:val="34476B80"/>
    <w:rsid w:val="3464452F"/>
    <w:rsid w:val="346930B3"/>
    <w:rsid w:val="3475240B"/>
    <w:rsid w:val="34976726"/>
    <w:rsid w:val="34A15DE7"/>
    <w:rsid w:val="34AC63E7"/>
    <w:rsid w:val="34C401D1"/>
    <w:rsid w:val="34F63E6E"/>
    <w:rsid w:val="34F903B8"/>
    <w:rsid w:val="35031BD3"/>
    <w:rsid w:val="35192EC2"/>
    <w:rsid w:val="351A6043"/>
    <w:rsid w:val="35234BCB"/>
    <w:rsid w:val="3528436A"/>
    <w:rsid w:val="35427B0F"/>
    <w:rsid w:val="35561742"/>
    <w:rsid w:val="355F4D80"/>
    <w:rsid w:val="356A1FBE"/>
    <w:rsid w:val="356B5D1D"/>
    <w:rsid w:val="357F49FA"/>
    <w:rsid w:val="35890A18"/>
    <w:rsid w:val="358945DD"/>
    <w:rsid w:val="359758E5"/>
    <w:rsid w:val="35BE752A"/>
    <w:rsid w:val="35C37C51"/>
    <w:rsid w:val="35DC154A"/>
    <w:rsid w:val="362C0CE4"/>
    <w:rsid w:val="36394B26"/>
    <w:rsid w:val="36561560"/>
    <w:rsid w:val="36657792"/>
    <w:rsid w:val="36982718"/>
    <w:rsid w:val="36A4475E"/>
    <w:rsid w:val="36A45B26"/>
    <w:rsid w:val="36AA5E0A"/>
    <w:rsid w:val="36CA0C5E"/>
    <w:rsid w:val="36CF3A58"/>
    <w:rsid w:val="36D05553"/>
    <w:rsid w:val="36E45212"/>
    <w:rsid w:val="37066C5A"/>
    <w:rsid w:val="371C74DF"/>
    <w:rsid w:val="37217B5C"/>
    <w:rsid w:val="372E04CB"/>
    <w:rsid w:val="37323758"/>
    <w:rsid w:val="37491867"/>
    <w:rsid w:val="374E6478"/>
    <w:rsid w:val="37520F41"/>
    <w:rsid w:val="37560361"/>
    <w:rsid w:val="375D3AFF"/>
    <w:rsid w:val="3762161D"/>
    <w:rsid w:val="378679C0"/>
    <w:rsid w:val="37873738"/>
    <w:rsid w:val="378F65A8"/>
    <w:rsid w:val="379963C7"/>
    <w:rsid w:val="37A05DB8"/>
    <w:rsid w:val="37A12630"/>
    <w:rsid w:val="37A44F56"/>
    <w:rsid w:val="37A83DDA"/>
    <w:rsid w:val="37AC319E"/>
    <w:rsid w:val="37D44BCF"/>
    <w:rsid w:val="37D92C68"/>
    <w:rsid w:val="37DB4E09"/>
    <w:rsid w:val="37DE58F5"/>
    <w:rsid w:val="38083993"/>
    <w:rsid w:val="38715716"/>
    <w:rsid w:val="388760E5"/>
    <w:rsid w:val="38895400"/>
    <w:rsid w:val="38BA63FF"/>
    <w:rsid w:val="38BD4DB8"/>
    <w:rsid w:val="38C13A06"/>
    <w:rsid w:val="38C56C0D"/>
    <w:rsid w:val="38CC4411"/>
    <w:rsid w:val="38DD7AB3"/>
    <w:rsid w:val="38DE52AC"/>
    <w:rsid w:val="38ED70B3"/>
    <w:rsid w:val="393042D6"/>
    <w:rsid w:val="39733A7E"/>
    <w:rsid w:val="397F2B73"/>
    <w:rsid w:val="3995213C"/>
    <w:rsid w:val="399636F5"/>
    <w:rsid w:val="39A66F77"/>
    <w:rsid w:val="39A77BA6"/>
    <w:rsid w:val="39AB7BB1"/>
    <w:rsid w:val="39AF5DC9"/>
    <w:rsid w:val="39C07B4A"/>
    <w:rsid w:val="39D30AD0"/>
    <w:rsid w:val="39E76710"/>
    <w:rsid w:val="39EF4699"/>
    <w:rsid w:val="39F71049"/>
    <w:rsid w:val="3A0B4EF8"/>
    <w:rsid w:val="3A1273C6"/>
    <w:rsid w:val="3A1A05AE"/>
    <w:rsid w:val="3A231E3E"/>
    <w:rsid w:val="3A463D87"/>
    <w:rsid w:val="3A5E1F81"/>
    <w:rsid w:val="3A5E2E76"/>
    <w:rsid w:val="3A6D6A80"/>
    <w:rsid w:val="3AAF547F"/>
    <w:rsid w:val="3AE06945"/>
    <w:rsid w:val="3AFA401D"/>
    <w:rsid w:val="3B1339F6"/>
    <w:rsid w:val="3B1A3241"/>
    <w:rsid w:val="3B1B7C70"/>
    <w:rsid w:val="3B2A146C"/>
    <w:rsid w:val="3B2C07B3"/>
    <w:rsid w:val="3B2C231C"/>
    <w:rsid w:val="3B324D05"/>
    <w:rsid w:val="3B5B1163"/>
    <w:rsid w:val="3B7F7C46"/>
    <w:rsid w:val="3B941E1F"/>
    <w:rsid w:val="3BBC7C18"/>
    <w:rsid w:val="3BCC2061"/>
    <w:rsid w:val="3BDE19D1"/>
    <w:rsid w:val="3BEE1CB6"/>
    <w:rsid w:val="3BF53366"/>
    <w:rsid w:val="3C21415B"/>
    <w:rsid w:val="3C3D0988"/>
    <w:rsid w:val="3C851CFB"/>
    <w:rsid w:val="3C872340"/>
    <w:rsid w:val="3C893FAF"/>
    <w:rsid w:val="3C946E63"/>
    <w:rsid w:val="3CA827C1"/>
    <w:rsid w:val="3CAD59EE"/>
    <w:rsid w:val="3CB72D11"/>
    <w:rsid w:val="3CDA4418"/>
    <w:rsid w:val="3D344362"/>
    <w:rsid w:val="3D38095E"/>
    <w:rsid w:val="3D421E06"/>
    <w:rsid w:val="3D6132CC"/>
    <w:rsid w:val="3D643600"/>
    <w:rsid w:val="3D7031B1"/>
    <w:rsid w:val="3D723DD3"/>
    <w:rsid w:val="3D751F42"/>
    <w:rsid w:val="3DA87F4F"/>
    <w:rsid w:val="3DBA0CBB"/>
    <w:rsid w:val="3DC2196D"/>
    <w:rsid w:val="3DE47B36"/>
    <w:rsid w:val="3DE96EFA"/>
    <w:rsid w:val="3E0E754A"/>
    <w:rsid w:val="3E282B0C"/>
    <w:rsid w:val="3E2D3353"/>
    <w:rsid w:val="3E703177"/>
    <w:rsid w:val="3E7C7D6E"/>
    <w:rsid w:val="3EA112F9"/>
    <w:rsid w:val="3F163D1F"/>
    <w:rsid w:val="3F373C95"/>
    <w:rsid w:val="3F385E8A"/>
    <w:rsid w:val="3F520BAD"/>
    <w:rsid w:val="3F5605BF"/>
    <w:rsid w:val="3F6A3151"/>
    <w:rsid w:val="3F874C1D"/>
    <w:rsid w:val="3F973103"/>
    <w:rsid w:val="3F9B1EFB"/>
    <w:rsid w:val="3FAB36A5"/>
    <w:rsid w:val="3FAE028E"/>
    <w:rsid w:val="3FD31C10"/>
    <w:rsid w:val="40131504"/>
    <w:rsid w:val="402B1A4C"/>
    <w:rsid w:val="403F2E01"/>
    <w:rsid w:val="4044666A"/>
    <w:rsid w:val="405014B2"/>
    <w:rsid w:val="40532DDA"/>
    <w:rsid w:val="40671A09"/>
    <w:rsid w:val="40814B23"/>
    <w:rsid w:val="408E72C3"/>
    <w:rsid w:val="408E7BCF"/>
    <w:rsid w:val="40A06D4D"/>
    <w:rsid w:val="40AB15B8"/>
    <w:rsid w:val="40B26236"/>
    <w:rsid w:val="40B51316"/>
    <w:rsid w:val="40BC6B48"/>
    <w:rsid w:val="40C14C05"/>
    <w:rsid w:val="40C764D4"/>
    <w:rsid w:val="40F462E2"/>
    <w:rsid w:val="41022FFD"/>
    <w:rsid w:val="41042A54"/>
    <w:rsid w:val="41067DC3"/>
    <w:rsid w:val="41126768"/>
    <w:rsid w:val="41320BB8"/>
    <w:rsid w:val="413B181B"/>
    <w:rsid w:val="4142704D"/>
    <w:rsid w:val="415005AE"/>
    <w:rsid w:val="416359C8"/>
    <w:rsid w:val="41681350"/>
    <w:rsid w:val="416F668A"/>
    <w:rsid w:val="419378A9"/>
    <w:rsid w:val="419F6662"/>
    <w:rsid w:val="41A72D03"/>
    <w:rsid w:val="41BC55E0"/>
    <w:rsid w:val="41BF069E"/>
    <w:rsid w:val="41D23693"/>
    <w:rsid w:val="420B7389"/>
    <w:rsid w:val="42132798"/>
    <w:rsid w:val="421901A8"/>
    <w:rsid w:val="42260A83"/>
    <w:rsid w:val="423563C7"/>
    <w:rsid w:val="426F39D2"/>
    <w:rsid w:val="42925DB2"/>
    <w:rsid w:val="42C57370"/>
    <w:rsid w:val="42D8263E"/>
    <w:rsid w:val="42DD6902"/>
    <w:rsid w:val="42DF6B1E"/>
    <w:rsid w:val="42FF450A"/>
    <w:rsid w:val="430832B2"/>
    <w:rsid w:val="43144276"/>
    <w:rsid w:val="43264088"/>
    <w:rsid w:val="43333AFF"/>
    <w:rsid w:val="434966C0"/>
    <w:rsid w:val="43603D96"/>
    <w:rsid w:val="43660ED1"/>
    <w:rsid w:val="437C4518"/>
    <w:rsid w:val="4383063C"/>
    <w:rsid w:val="43900453"/>
    <w:rsid w:val="43AA4B1B"/>
    <w:rsid w:val="43C42B78"/>
    <w:rsid w:val="43CB7C06"/>
    <w:rsid w:val="43CC2BFE"/>
    <w:rsid w:val="43CE514A"/>
    <w:rsid w:val="43D2785E"/>
    <w:rsid w:val="43EB0B8A"/>
    <w:rsid w:val="43F26816"/>
    <w:rsid w:val="4409050C"/>
    <w:rsid w:val="441E0010"/>
    <w:rsid w:val="44352E99"/>
    <w:rsid w:val="443F1516"/>
    <w:rsid w:val="445769C9"/>
    <w:rsid w:val="446247CB"/>
    <w:rsid w:val="44637696"/>
    <w:rsid w:val="4467501D"/>
    <w:rsid w:val="446B7D9B"/>
    <w:rsid w:val="44740DA7"/>
    <w:rsid w:val="44881E95"/>
    <w:rsid w:val="44B34E84"/>
    <w:rsid w:val="44C7578F"/>
    <w:rsid w:val="44CB55AC"/>
    <w:rsid w:val="44D31AB8"/>
    <w:rsid w:val="450F36EA"/>
    <w:rsid w:val="45111167"/>
    <w:rsid w:val="4517597F"/>
    <w:rsid w:val="4519374E"/>
    <w:rsid w:val="45442C68"/>
    <w:rsid w:val="454815E5"/>
    <w:rsid w:val="455D72FE"/>
    <w:rsid w:val="457C2033"/>
    <w:rsid w:val="45C6139C"/>
    <w:rsid w:val="45F70027"/>
    <w:rsid w:val="4609638B"/>
    <w:rsid w:val="461004EE"/>
    <w:rsid w:val="461D3BE5"/>
    <w:rsid w:val="46293840"/>
    <w:rsid w:val="462B6600"/>
    <w:rsid w:val="465C55EF"/>
    <w:rsid w:val="466A125B"/>
    <w:rsid w:val="46994235"/>
    <w:rsid w:val="46A2549B"/>
    <w:rsid w:val="46A95479"/>
    <w:rsid w:val="46AC4F69"/>
    <w:rsid w:val="46B856BC"/>
    <w:rsid w:val="46BB5222"/>
    <w:rsid w:val="46F77B89"/>
    <w:rsid w:val="4743767B"/>
    <w:rsid w:val="47443EE7"/>
    <w:rsid w:val="47480CE9"/>
    <w:rsid w:val="4757256C"/>
    <w:rsid w:val="47633658"/>
    <w:rsid w:val="478A4765"/>
    <w:rsid w:val="47A4404E"/>
    <w:rsid w:val="47BA56E1"/>
    <w:rsid w:val="47E50732"/>
    <w:rsid w:val="47E90CDF"/>
    <w:rsid w:val="47F15329"/>
    <w:rsid w:val="481728B6"/>
    <w:rsid w:val="482657E1"/>
    <w:rsid w:val="482A2A62"/>
    <w:rsid w:val="484E44B0"/>
    <w:rsid w:val="48622294"/>
    <w:rsid w:val="487A5402"/>
    <w:rsid w:val="487B3318"/>
    <w:rsid w:val="487D4E0F"/>
    <w:rsid w:val="48872BF8"/>
    <w:rsid w:val="48887BC9"/>
    <w:rsid w:val="48B93029"/>
    <w:rsid w:val="48BF1EE5"/>
    <w:rsid w:val="48BF3D66"/>
    <w:rsid w:val="48DA400F"/>
    <w:rsid w:val="49317174"/>
    <w:rsid w:val="493E151D"/>
    <w:rsid w:val="4972249A"/>
    <w:rsid w:val="49726A4B"/>
    <w:rsid w:val="498868D5"/>
    <w:rsid w:val="49984EFD"/>
    <w:rsid w:val="49B00468"/>
    <w:rsid w:val="49B0569C"/>
    <w:rsid w:val="49E14F29"/>
    <w:rsid w:val="49F25ED2"/>
    <w:rsid w:val="4A076C56"/>
    <w:rsid w:val="4A08384B"/>
    <w:rsid w:val="4A431F7F"/>
    <w:rsid w:val="4A711501"/>
    <w:rsid w:val="4A937164"/>
    <w:rsid w:val="4AAF0341"/>
    <w:rsid w:val="4AB2113C"/>
    <w:rsid w:val="4ADB07DF"/>
    <w:rsid w:val="4ADE5F63"/>
    <w:rsid w:val="4AE253FD"/>
    <w:rsid w:val="4AFB1B32"/>
    <w:rsid w:val="4B097E96"/>
    <w:rsid w:val="4B105AC6"/>
    <w:rsid w:val="4B140ACE"/>
    <w:rsid w:val="4B54430C"/>
    <w:rsid w:val="4B667F8E"/>
    <w:rsid w:val="4B742573"/>
    <w:rsid w:val="4B7B64DF"/>
    <w:rsid w:val="4B91290A"/>
    <w:rsid w:val="4BA10E14"/>
    <w:rsid w:val="4BB73B85"/>
    <w:rsid w:val="4BF478AD"/>
    <w:rsid w:val="4C17384D"/>
    <w:rsid w:val="4C251A45"/>
    <w:rsid w:val="4C257A37"/>
    <w:rsid w:val="4C375436"/>
    <w:rsid w:val="4C395894"/>
    <w:rsid w:val="4C552A37"/>
    <w:rsid w:val="4C64712B"/>
    <w:rsid w:val="4C700EF1"/>
    <w:rsid w:val="4C760354"/>
    <w:rsid w:val="4C891B35"/>
    <w:rsid w:val="4C916103"/>
    <w:rsid w:val="4CBE3C31"/>
    <w:rsid w:val="4CE216E4"/>
    <w:rsid w:val="4CF75DCA"/>
    <w:rsid w:val="4D1878AA"/>
    <w:rsid w:val="4D1B24FA"/>
    <w:rsid w:val="4D34459C"/>
    <w:rsid w:val="4D48432B"/>
    <w:rsid w:val="4D7F6F33"/>
    <w:rsid w:val="4DA62A1D"/>
    <w:rsid w:val="4DA7388B"/>
    <w:rsid w:val="4DDE31B9"/>
    <w:rsid w:val="4DED20EF"/>
    <w:rsid w:val="4DF50B78"/>
    <w:rsid w:val="4E370904"/>
    <w:rsid w:val="4E4B5067"/>
    <w:rsid w:val="4E4F614D"/>
    <w:rsid w:val="4E6938E7"/>
    <w:rsid w:val="4E6A5759"/>
    <w:rsid w:val="4E6F0D56"/>
    <w:rsid w:val="4E701DC0"/>
    <w:rsid w:val="4E7E543D"/>
    <w:rsid w:val="4E93713A"/>
    <w:rsid w:val="4EB02E06"/>
    <w:rsid w:val="4EB74A9E"/>
    <w:rsid w:val="4EBB21ED"/>
    <w:rsid w:val="4ECA741E"/>
    <w:rsid w:val="4ECE7859"/>
    <w:rsid w:val="4EDE7C89"/>
    <w:rsid w:val="4EEF00E8"/>
    <w:rsid w:val="4F006719"/>
    <w:rsid w:val="4F2E489B"/>
    <w:rsid w:val="4F4246BC"/>
    <w:rsid w:val="4F4A049A"/>
    <w:rsid w:val="4F4C72E9"/>
    <w:rsid w:val="4F5166AD"/>
    <w:rsid w:val="4F57739B"/>
    <w:rsid w:val="4F5D25FD"/>
    <w:rsid w:val="4F5F0A3F"/>
    <w:rsid w:val="4F643265"/>
    <w:rsid w:val="4F691748"/>
    <w:rsid w:val="4F741231"/>
    <w:rsid w:val="4FB41D44"/>
    <w:rsid w:val="4FB93303"/>
    <w:rsid w:val="4FBC32D6"/>
    <w:rsid w:val="4FC60E49"/>
    <w:rsid w:val="4FE23058"/>
    <w:rsid w:val="5003209D"/>
    <w:rsid w:val="50105D76"/>
    <w:rsid w:val="501778F7"/>
    <w:rsid w:val="50203C86"/>
    <w:rsid w:val="502618E8"/>
    <w:rsid w:val="50300C5A"/>
    <w:rsid w:val="503A35E5"/>
    <w:rsid w:val="50A86B66"/>
    <w:rsid w:val="50AA2798"/>
    <w:rsid w:val="50B8067E"/>
    <w:rsid w:val="50BF6E81"/>
    <w:rsid w:val="50FF0870"/>
    <w:rsid w:val="511C3DE5"/>
    <w:rsid w:val="51204589"/>
    <w:rsid w:val="513D513B"/>
    <w:rsid w:val="513F080C"/>
    <w:rsid w:val="51471001"/>
    <w:rsid w:val="514A5E28"/>
    <w:rsid w:val="5177467C"/>
    <w:rsid w:val="518E2B89"/>
    <w:rsid w:val="51A206CC"/>
    <w:rsid w:val="51A86022"/>
    <w:rsid w:val="51CE4B40"/>
    <w:rsid w:val="51D535C6"/>
    <w:rsid w:val="51FE3FDB"/>
    <w:rsid w:val="52654DCD"/>
    <w:rsid w:val="5268268C"/>
    <w:rsid w:val="526E4B08"/>
    <w:rsid w:val="5272350A"/>
    <w:rsid w:val="528A0854"/>
    <w:rsid w:val="528B1ED6"/>
    <w:rsid w:val="52993685"/>
    <w:rsid w:val="52B93254"/>
    <w:rsid w:val="52D719EE"/>
    <w:rsid w:val="52DA541F"/>
    <w:rsid w:val="52E91548"/>
    <w:rsid w:val="5306542C"/>
    <w:rsid w:val="530869B1"/>
    <w:rsid w:val="530A15C8"/>
    <w:rsid w:val="533662E6"/>
    <w:rsid w:val="53390376"/>
    <w:rsid w:val="533C1C56"/>
    <w:rsid w:val="53491EBD"/>
    <w:rsid w:val="53762D13"/>
    <w:rsid w:val="53796D79"/>
    <w:rsid w:val="53842532"/>
    <w:rsid w:val="53914B2C"/>
    <w:rsid w:val="53990623"/>
    <w:rsid w:val="53DC38BE"/>
    <w:rsid w:val="53E01E88"/>
    <w:rsid w:val="540A24A6"/>
    <w:rsid w:val="541D6439"/>
    <w:rsid w:val="543640EE"/>
    <w:rsid w:val="54461AA9"/>
    <w:rsid w:val="546A09A4"/>
    <w:rsid w:val="549359D8"/>
    <w:rsid w:val="549E4143"/>
    <w:rsid w:val="54A77BD0"/>
    <w:rsid w:val="54DE52B7"/>
    <w:rsid w:val="54E87AB4"/>
    <w:rsid w:val="54EC75A4"/>
    <w:rsid w:val="551E5284"/>
    <w:rsid w:val="552535BC"/>
    <w:rsid w:val="553813F1"/>
    <w:rsid w:val="554A7ADE"/>
    <w:rsid w:val="55583B90"/>
    <w:rsid w:val="557E3F74"/>
    <w:rsid w:val="55821076"/>
    <w:rsid w:val="55AA0117"/>
    <w:rsid w:val="55B654BC"/>
    <w:rsid w:val="560262E9"/>
    <w:rsid w:val="56033425"/>
    <w:rsid w:val="5609381B"/>
    <w:rsid w:val="56140811"/>
    <w:rsid w:val="56292132"/>
    <w:rsid w:val="56315528"/>
    <w:rsid w:val="56493792"/>
    <w:rsid w:val="564D4072"/>
    <w:rsid w:val="56562A21"/>
    <w:rsid w:val="565A053D"/>
    <w:rsid w:val="565A22EB"/>
    <w:rsid w:val="56706AE7"/>
    <w:rsid w:val="56777341"/>
    <w:rsid w:val="567E247E"/>
    <w:rsid w:val="56A9300A"/>
    <w:rsid w:val="56D402F0"/>
    <w:rsid w:val="570F757A"/>
    <w:rsid w:val="572F4B71"/>
    <w:rsid w:val="575329D5"/>
    <w:rsid w:val="5767596D"/>
    <w:rsid w:val="576E139F"/>
    <w:rsid w:val="57790E97"/>
    <w:rsid w:val="578A4E52"/>
    <w:rsid w:val="578C77B9"/>
    <w:rsid w:val="57B4461F"/>
    <w:rsid w:val="57D32355"/>
    <w:rsid w:val="57FF1107"/>
    <w:rsid w:val="582C4398"/>
    <w:rsid w:val="5837687D"/>
    <w:rsid w:val="583F5C3D"/>
    <w:rsid w:val="5849381E"/>
    <w:rsid w:val="589A5311"/>
    <w:rsid w:val="589F66DB"/>
    <w:rsid w:val="58A5065D"/>
    <w:rsid w:val="590855A4"/>
    <w:rsid w:val="5918680C"/>
    <w:rsid w:val="59202CB9"/>
    <w:rsid w:val="594015B1"/>
    <w:rsid w:val="59464DA9"/>
    <w:rsid w:val="5951436D"/>
    <w:rsid w:val="59554FEC"/>
    <w:rsid w:val="595A0DC1"/>
    <w:rsid w:val="596D4A2C"/>
    <w:rsid w:val="5976568E"/>
    <w:rsid w:val="599B0EFC"/>
    <w:rsid w:val="599C2C1B"/>
    <w:rsid w:val="599C7120"/>
    <w:rsid w:val="59B85CA7"/>
    <w:rsid w:val="59B87DFF"/>
    <w:rsid w:val="59BD150F"/>
    <w:rsid w:val="59BD511F"/>
    <w:rsid w:val="59F2174F"/>
    <w:rsid w:val="59FC0431"/>
    <w:rsid w:val="5A130C2C"/>
    <w:rsid w:val="5A137381"/>
    <w:rsid w:val="5A392A01"/>
    <w:rsid w:val="5A39563D"/>
    <w:rsid w:val="5A3A2B60"/>
    <w:rsid w:val="5A427C66"/>
    <w:rsid w:val="5A5A0B0C"/>
    <w:rsid w:val="5A6377F9"/>
    <w:rsid w:val="5AD52586"/>
    <w:rsid w:val="5AE0581C"/>
    <w:rsid w:val="5AE96334"/>
    <w:rsid w:val="5B073D10"/>
    <w:rsid w:val="5B27041B"/>
    <w:rsid w:val="5B2F3729"/>
    <w:rsid w:val="5B31213F"/>
    <w:rsid w:val="5B4672E2"/>
    <w:rsid w:val="5B5F738D"/>
    <w:rsid w:val="5B977B3E"/>
    <w:rsid w:val="5BA54009"/>
    <w:rsid w:val="5BDB3ECE"/>
    <w:rsid w:val="5BE43388"/>
    <w:rsid w:val="5C142F3C"/>
    <w:rsid w:val="5C166CB5"/>
    <w:rsid w:val="5C1D460C"/>
    <w:rsid w:val="5C200247"/>
    <w:rsid w:val="5C38389A"/>
    <w:rsid w:val="5C643EC4"/>
    <w:rsid w:val="5C857737"/>
    <w:rsid w:val="5CA16EC6"/>
    <w:rsid w:val="5CCF1148"/>
    <w:rsid w:val="5CD53D28"/>
    <w:rsid w:val="5CE9389A"/>
    <w:rsid w:val="5CF718B7"/>
    <w:rsid w:val="5D0460DC"/>
    <w:rsid w:val="5D2366CB"/>
    <w:rsid w:val="5D3331A6"/>
    <w:rsid w:val="5D8834D9"/>
    <w:rsid w:val="5D8A153C"/>
    <w:rsid w:val="5D8F31C2"/>
    <w:rsid w:val="5DC305C3"/>
    <w:rsid w:val="5DCA25D8"/>
    <w:rsid w:val="5DE1497B"/>
    <w:rsid w:val="5DFF6148"/>
    <w:rsid w:val="5E084D24"/>
    <w:rsid w:val="5E135BA1"/>
    <w:rsid w:val="5E1D1079"/>
    <w:rsid w:val="5E211941"/>
    <w:rsid w:val="5E486E92"/>
    <w:rsid w:val="5E565A8E"/>
    <w:rsid w:val="5E6D59C3"/>
    <w:rsid w:val="5E8537C2"/>
    <w:rsid w:val="5E9341CF"/>
    <w:rsid w:val="5E9C0CBE"/>
    <w:rsid w:val="5EAC1B52"/>
    <w:rsid w:val="5EDA6373"/>
    <w:rsid w:val="5EF46D8B"/>
    <w:rsid w:val="5F0453BF"/>
    <w:rsid w:val="5F182D44"/>
    <w:rsid w:val="5F1A6ABC"/>
    <w:rsid w:val="5F593A88"/>
    <w:rsid w:val="5F5A15AE"/>
    <w:rsid w:val="5F8F4324"/>
    <w:rsid w:val="5F9C1BC7"/>
    <w:rsid w:val="5FA34D03"/>
    <w:rsid w:val="5FA86D63"/>
    <w:rsid w:val="5FBD0C6B"/>
    <w:rsid w:val="5FC4513D"/>
    <w:rsid w:val="5FE62E42"/>
    <w:rsid w:val="5FFB68ED"/>
    <w:rsid w:val="600A2FD4"/>
    <w:rsid w:val="601F4136"/>
    <w:rsid w:val="6022031E"/>
    <w:rsid w:val="606118B1"/>
    <w:rsid w:val="60703196"/>
    <w:rsid w:val="60956AF1"/>
    <w:rsid w:val="609B022F"/>
    <w:rsid w:val="60AA69DE"/>
    <w:rsid w:val="60C369A4"/>
    <w:rsid w:val="60D820D0"/>
    <w:rsid w:val="6102075D"/>
    <w:rsid w:val="61071F6F"/>
    <w:rsid w:val="61183C2B"/>
    <w:rsid w:val="611B6FAC"/>
    <w:rsid w:val="613C540F"/>
    <w:rsid w:val="614150DB"/>
    <w:rsid w:val="61483DB4"/>
    <w:rsid w:val="6151078F"/>
    <w:rsid w:val="61695AD8"/>
    <w:rsid w:val="617D1400"/>
    <w:rsid w:val="61903A3C"/>
    <w:rsid w:val="619A3EE4"/>
    <w:rsid w:val="61C24BFD"/>
    <w:rsid w:val="61C471B3"/>
    <w:rsid w:val="61D560FA"/>
    <w:rsid w:val="61D76EE6"/>
    <w:rsid w:val="61DA0784"/>
    <w:rsid w:val="61E3018A"/>
    <w:rsid w:val="61F32904"/>
    <w:rsid w:val="620C34E0"/>
    <w:rsid w:val="620D46B6"/>
    <w:rsid w:val="62145A44"/>
    <w:rsid w:val="624A3B5C"/>
    <w:rsid w:val="626004E0"/>
    <w:rsid w:val="62823AA8"/>
    <w:rsid w:val="62C17915"/>
    <w:rsid w:val="62DD16B7"/>
    <w:rsid w:val="62E742D1"/>
    <w:rsid w:val="631B72A6"/>
    <w:rsid w:val="6323480F"/>
    <w:rsid w:val="634A483E"/>
    <w:rsid w:val="63576530"/>
    <w:rsid w:val="635D166D"/>
    <w:rsid w:val="637A3FCD"/>
    <w:rsid w:val="637B26BA"/>
    <w:rsid w:val="6386335A"/>
    <w:rsid w:val="63C51B85"/>
    <w:rsid w:val="63D21A5B"/>
    <w:rsid w:val="640A5D61"/>
    <w:rsid w:val="642B45E0"/>
    <w:rsid w:val="64366989"/>
    <w:rsid w:val="64393FE9"/>
    <w:rsid w:val="64540CC2"/>
    <w:rsid w:val="64604EAC"/>
    <w:rsid w:val="64740A1C"/>
    <w:rsid w:val="64805FF8"/>
    <w:rsid w:val="648F5856"/>
    <w:rsid w:val="64BE1A06"/>
    <w:rsid w:val="64C86FBA"/>
    <w:rsid w:val="64D7429C"/>
    <w:rsid w:val="64E4761A"/>
    <w:rsid w:val="64F37EDB"/>
    <w:rsid w:val="64F47DAF"/>
    <w:rsid w:val="65167D25"/>
    <w:rsid w:val="651C1AC7"/>
    <w:rsid w:val="653D443F"/>
    <w:rsid w:val="65434447"/>
    <w:rsid w:val="65515F6B"/>
    <w:rsid w:val="65677A9C"/>
    <w:rsid w:val="656F7113"/>
    <w:rsid w:val="65B0445B"/>
    <w:rsid w:val="65D200F0"/>
    <w:rsid w:val="65E85248"/>
    <w:rsid w:val="65EC7142"/>
    <w:rsid w:val="65F73581"/>
    <w:rsid w:val="65FA31A3"/>
    <w:rsid w:val="663168CC"/>
    <w:rsid w:val="66457796"/>
    <w:rsid w:val="664B1C51"/>
    <w:rsid w:val="664F6E0C"/>
    <w:rsid w:val="66A5387A"/>
    <w:rsid w:val="66AD290B"/>
    <w:rsid w:val="66B3590E"/>
    <w:rsid w:val="66C2621A"/>
    <w:rsid w:val="66C44767"/>
    <w:rsid w:val="66FE060F"/>
    <w:rsid w:val="67086645"/>
    <w:rsid w:val="67573E7B"/>
    <w:rsid w:val="6764746E"/>
    <w:rsid w:val="67656B1B"/>
    <w:rsid w:val="679542C8"/>
    <w:rsid w:val="67AE419D"/>
    <w:rsid w:val="67AF209E"/>
    <w:rsid w:val="67B22635"/>
    <w:rsid w:val="67B60664"/>
    <w:rsid w:val="67BE74C9"/>
    <w:rsid w:val="681C5653"/>
    <w:rsid w:val="683769EB"/>
    <w:rsid w:val="683C6122"/>
    <w:rsid w:val="683F0DF2"/>
    <w:rsid w:val="684F37DE"/>
    <w:rsid w:val="686A1914"/>
    <w:rsid w:val="68783716"/>
    <w:rsid w:val="68A1024E"/>
    <w:rsid w:val="68AE714D"/>
    <w:rsid w:val="68B2669E"/>
    <w:rsid w:val="68CB6160"/>
    <w:rsid w:val="68CD1043"/>
    <w:rsid w:val="68CD337D"/>
    <w:rsid w:val="68E22B52"/>
    <w:rsid w:val="68E87C2B"/>
    <w:rsid w:val="68EB131E"/>
    <w:rsid w:val="68F3373D"/>
    <w:rsid w:val="69182A19"/>
    <w:rsid w:val="691F0B40"/>
    <w:rsid w:val="69277887"/>
    <w:rsid w:val="694F1A58"/>
    <w:rsid w:val="695637FD"/>
    <w:rsid w:val="69680924"/>
    <w:rsid w:val="69764EE6"/>
    <w:rsid w:val="698C50B9"/>
    <w:rsid w:val="698E1753"/>
    <w:rsid w:val="69B40A30"/>
    <w:rsid w:val="69B642C0"/>
    <w:rsid w:val="69C75A92"/>
    <w:rsid w:val="69D47128"/>
    <w:rsid w:val="69F07ED0"/>
    <w:rsid w:val="69FE3890"/>
    <w:rsid w:val="6A026A5C"/>
    <w:rsid w:val="6A10379F"/>
    <w:rsid w:val="6A2B1653"/>
    <w:rsid w:val="6A3273AF"/>
    <w:rsid w:val="6A4F72AA"/>
    <w:rsid w:val="6A636242"/>
    <w:rsid w:val="6A7A0A2B"/>
    <w:rsid w:val="6A7F636D"/>
    <w:rsid w:val="6A953A7B"/>
    <w:rsid w:val="6AB161D5"/>
    <w:rsid w:val="6AB75B07"/>
    <w:rsid w:val="6ABF0B52"/>
    <w:rsid w:val="6AC67AF8"/>
    <w:rsid w:val="6AC87D14"/>
    <w:rsid w:val="6ADE7537"/>
    <w:rsid w:val="6AF26B3F"/>
    <w:rsid w:val="6B133F99"/>
    <w:rsid w:val="6B221B0E"/>
    <w:rsid w:val="6B2E14D6"/>
    <w:rsid w:val="6B3E1D26"/>
    <w:rsid w:val="6B426B13"/>
    <w:rsid w:val="6B9419A4"/>
    <w:rsid w:val="6B976B14"/>
    <w:rsid w:val="6BA20565"/>
    <w:rsid w:val="6BBE4C73"/>
    <w:rsid w:val="6BC4672D"/>
    <w:rsid w:val="6BFB7C75"/>
    <w:rsid w:val="6C1F1BB5"/>
    <w:rsid w:val="6C2D7C28"/>
    <w:rsid w:val="6C364F34"/>
    <w:rsid w:val="6C3A4520"/>
    <w:rsid w:val="6C6204DD"/>
    <w:rsid w:val="6C7543E1"/>
    <w:rsid w:val="6C787517"/>
    <w:rsid w:val="6C7D42B4"/>
    <w:rsid w:val="6C8A3E98"/>
    <w:rsid w:val="6C963B87"/>
    <w:rsid w:val="6CA96079"/>
    <w:rsid w:val="6CAC1F8A"/>
    <w:rsid w:val="6CAD0F6F"/>
    <w:rsid w:val="6CB95D72"/>
    <w:rsid w:val="6CC81EA4"/>
    <w:rsid w:val="6D262AD0"/>
    <w:rsid w:val="6D2D5C52"/>
    <w:rsid w:val="6D37776E"/>
    <w:rsid w:val="6D69517B"/>
    <w:rsid w:val="6D895E36"/>
    <w:rsid w:val="6D8B46C2"/>
    <w:rsid w:val="6D936877"/>
    <w:rsid w:val="6DBC51E2"/>
    <w:rsid w:val="6DD644F6"/>
    <w:rsid w:val="6DDE3347"/>
    <w:rsid w:val="6E91791A"/>
    <w:rsid w:val="6EC6456A"/>
    <w:rsid w:val="6EC8214A"/>
    <w:rsid w:val="6EDE784E"/>
    <w:rsid w:val="6EDF73DA"/>
    <w:rsid w:val="6F1976C8"/>
    <w:rsid w:val="6F1D055D"/>
    <w:rsid w:val="6F4A0A27"/>
    <w:rsid w:val="6F634051"/>
    <w:rsid w:val="6F7264A0"/>
    <w:rsid w:val="6F926779"/>
    <w:rsid w:val="6F99134C"/>
    <w:rsid w:val="6F9D691F"/>
    <w:rsid w:val="6FAF4FFE"/>
    <w:rsid w:val="6FFC5967"/>
    <w:rsid w:val="70021CEB"/>
    <w:rsid w:val="700B3298"/>
    <w:rsid w:val="701B3BD3"/>
    <w:rsid w:val="703412AA"/>
    <w:rsid w:val="704838FD"/>
    <w:rsid w:val="7066454C"/>
    <w:rsid w:val="7070428E"/>
    <w:rsid w:val="707F6878"/>
    <w:rsid w:val="709119F6"/>
    <w:rsid w:val="70AF7F0C"/>
    <w:rsid w:val="70B23642"/>
    <w:rsid w:val="70BC644D"/>
    <w:rsid w:val="70C42D2B"/>
    <w:rsid w:val="70CB230C"/>
    <w:rsid w:val="70D16063"/>
    <w:rsid w:val="70F562D7"/>
    <w:rsid w:val="711A294B"/>
    <w:rsid w:val="713D64DC"/>
    <w:rsid w:val="714A1292"/>
    <w:rsid w:val="717767B4"/>
    <w:rsid w:val="718720E0"/>
    <w:rsid w:val="71941D4C"/>
    <w:rsid w:val="71A3596F"/>
    <w:rsid w:val="71AA3CCF"/>
    <w:rsid w:val="71CE02A6"/>
    <w:rsid w:val="71E722EB"/>
    <w:rsid w:val="71F040F8"/>
    <w:rsid w:val="71F7318A"/>
    <w:rsid w:val="720634E7"/>
    <w:rsid w:val="72094B9E"/>
    <w:rsid w:val="721A3870"/>
    <w:rsid w:val="722367F3"/>
    <w:rsid w:val="724F3AC4"/>
    <w:rsid w:val="72516F11"/>
    <w:rsid w:val="72587BCF"/>
    <w:rsid w:val="726475CA"/>
    <w:rsid w:val="726B27E7"/>
    <w:rsid w:val="72842F53"/>
    <w:rsid w:val="72873F22"/>
    <w:rsid w:val="728E35F1"/>
    <w:rsid w:val="72B575E3"/>
    <w:rsid w:val="72DB435C"/>
    <w:rsid w:val="72E7797E"/>
    <w:rsid w:val="72F31DD0"/>
    <w:rsid w:val="731750C1"/>
    <w:rsid w:val="7318110C"/>
    <w:rsid w:val="73261A7B"/>
    <w:rsid w:val="734C75A6"/>
    <w:rsid w:val="737C6513"/>
    <w:rsid w:val="739641CD"/>
    <w:rsid w:val="73D23F34"/>
    <w:rsid w:val="73F76C73"/>
    <w:rsid w:val="740C0054"/>
    <w:rsid w:val="746135D3"/>
    <w:rsid w:val="74825670"/>
    <w:rsid w:val="748A7DE8"/>
    <w:rsid w:val="74C104FD"/>
    <w:rsid w:val="750E0A19"/>
    <w:rsid w:val="751A73BE"/>
    <w:rsid w:val="753541F8"/>
    <w:rsid w:val="755443BE"/>
    <w:rsid w:val="755B467D"/>
    <w:rsid w:val="75781DD0"/>
    <w:rsid w:val="757F5473"/>
    <w:rsid w:val="75824D9D"/>
    <w:rsid w:val="75AB1C93"/>
    <w:rsid w:val="75BE211F"/>
    <w:rsid w:val="761B163F"/>
    <w:rsid w:val="761F3505"/>
    <w:rsid w:val="76486327"/>
    <w:rsid w:val="76695DFA"/>
    <w:rsid w:val="766C1E9B"/>
    <w:rsid w:val="76810114"/>
    <w:rsid w:val="76941E85"/>
    <w:rsid w:val="76C23869"/>
    <w:rsid w:val="76E25292"/>
    <w:rsid w:val="76E41762"/>
    <w:rsid w:val="76E46ECE"/>
    <w:rsid w:val="76E630A5"/>
    <w:rsid w:val="76F00AAF"/>
    <w:rsid w:val="77106DE5"/>
    <w:rsid w:val="7717316E"/>
    <w:rsid w:val="773F4EBA"/>
    <w:rsid w:val="77603777"/>
    <w:rsid w:val="77786406"/>
    <w:rsid w:val="77901BB9"/>
    <w:rsid w:val="779B3C6B"/>
    <w:rsid w:val="77A40D34"/>
    <w:rsid w:val="77A71EF6"/>
    <w:rsid w:val="77AB5706"/>
    <w:rsid w:val="77BD3D54"/>
    <w:rsid w:val="77C7479C"/>
    <w:rsid w:val="77D411E4"/>
    <w:rsid w:val="77DE0ADE"/>
    <w:rsid w:val="77F71C38"/>
    <w:rsid w:val="78232A2D"/>
    <w:rsid w:val="7846722E"/>
    <w:rsid w:val="78760DAF"/>
    <w:rsid w:val="787B3EF7"/>
    <w:rsid w:val="787D26D8"/>
    <w:rsid w:val="788E3223"/>
    <w:rsid w:val="78E06AB0"/>
    <w:rsid w:val="79112886"/>
    <w:rsid w:val="795805F1"/>
    <w:rsid w:val="795B1D53"/>
    <w:rsid w:val="798E0318"/>
    <w:rsid w:val="79930097"/>
    <w:rsid w:val="79AF62F8"/>
    <w:rsid w:val="79B16116"/>
    <w:rsid w:val="79F01427"/>
    <w:rsid w:val="7A0D2DBC"/>
    <w:rsid w:val="7A1D7E45"/>
    <w:rsid w:val="7A1F0FD2"/>
    <w:rsid w:val="7A326EC1"/>
    <w:rsid w:val="7A556F82"/>
    <w:rsid w:val="7A721678"/>
    <w:rsid w:val="7A941157"/>
    <w:rsid w:val="7AB11E33"/>
    <w:rsid w:val="7AC415A1"/>
    <w:rsid w:val="7AD93877"/>
    <w:rsid w:val="7ADB3C24"/>
    <w:rsid w:val="7B031C60"/>
    <w:rsid w:val="7B6E3C82"/>
    <w:rsid w:val="7B7B5180"/>
    <w:rsid w:val="7BA64A84"/>
    <w:rsid w:val="7BB65DCF"/>
    <w:rsid w:val="7BCE0F02"/>
    <w:rsid w:val="7BD0314B"/>
    <w:rsid w:val="7BDC584B"/>
    <w:rsid w:val="7BF02535"/>
    <w:rsid w:val="7BF53DED"/>
    <w:rsid w:val="7BFC0690"/>
    <w:rsid w:val="7C10112E"/>
    <w:rsid w:val="7C1D50F5"/>
    <w:rsid w:val="7C52568F"/>
    <w:rsid w:val="7C6106D5"/>
    <w:rsid w:val="7C6151AF"/>
    <w:rsid w:val="7C6A0C2B"/>
    <w:rsid w:val="7C867CD4"/>
    <w:rsid w:val="7C88704D"/>
    <w:rsid w:val="7CB40E04"/>
    <w:rsid w:val="7CBD556F"/>
    <w:rsid w:val="7CC540BD"/>
    <w:rsid w:val="7CC876FF"/>
    <w:rsid w:val="7CCF0A8E"/>
    <w:rsid w:val="7CED360A"/>
    <w:rsid w:val="7D0506AA"/>
    <w:rsid w:val="7D1E37C3"/>
    <w:rsid w:val="7D29419B"/>
    <w:rsid w:val="7D373771"/>
    <w:rsid w:val="7D415E94"/>
    <w:rsid w:val="7D423759"/>
    <w:rsid w:val="7D580A83"/>
    <w:rsid w:val="7D695F1A"/>
    <w:rsid w:val="7D712C70"/>
    <w:rsid w:val="7D816BD7"/>
    <w:rsid w:val="7D935B21"/>
    <w:rsid w:val="7DC13B54"/>
    <w:rsid w:val="7DD956AA"/>
    <w:rsid w:val="7DDE272C"/>
    <w:rsid w:val="7DFA1A32"/>
    <w:rsid w:val="7E2D5B39"/>
    <w:rsid w:val="7E42351F"/>
    <w:rsid w:val="7E7E6C0F"/>
    <w:rsid w:val="7E7F6F09"/>
    <w:rsid w:val="7EC81FBE"/>
    <w:rsid w:val="7ECC1FA8"/>
    <w:rsid w:val="7ED15DB1"/>
    <w:rsid w:val="7ED160D1"/>
    <w:rsid w:val="7EDB5E10"/>
    <w:rsid w:val="7EEE3521"/>
    <w:rsid w:val="7F0A2344"/>
    <w:rsid w:val="7F211349"/>
    <w:rsid w:val="7F2B4D67"/>
    <w:rsid w:val="7F405C73"/>
    <w:rsid w:val="7F5D4081"/>
    <w:rsid w:val="7F6738E7"/>
    <w:rsid w:val="7F7818B1"/>
    <w:rsid w:val="7F8970D0"/>
    <w:rsid w:val="7F9F5AC1"/>
    <w:rsid w:val="7FAC5D5A"/>
    <w:rsid w:val="7FCB7C32"/>
    <w:rsid w:val="7FF50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line="360" w:lineRule="auto"/>
      <w:jc w:val="center"/>
      <w:outlineLvl w:val="0"/>
    </w:pPr>
    <w:rPr>
      <w:b/>
      <w:bCs/>
      <w:kern w:val="44"/>
      <w:sz w:val="44"/>
      <w:szCs w:val="44"/>
    </w:rPr>
  </w:style>
  <w:style w:type="paragraph" w:styleId="3">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5"/>
    <w:basedOn w:val="1"/>
    <w:next w:val="1"/>
    <w:qFormat/>
    <w:uiPriority w:val="0"/>
    <w:pPr>
      <w:widowControl/>
      <w:spacing w:before="100" w:beforeLines="0" w:beforeAutospacing="1" w:after="100" w:afterLines="0" w:afterAutospacing="1"/>
      <w:jc w:val="left"/>
      <w:outlineLvl w:val="4"/>
    </w:pPr>
    <w:rPr>
      <w:rFonts w:ascii="宋体" w:hAnsi="宋体"/>
      <w:b/>
      <w:kern w:val="0"/>
      <w:sz w:val="20"/>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0"/>
    <w:pPr>
      <w:jc w:val="center"/>
    </w:pPr>
    <w:rPr>
      <w:szCs w:val="20"/>
    </w:rPr>
  </w:style>
  <w:style w:type="paragraph" w:styleId="7">
    <w:name w:val="Normal Indent"/>
    <w:basedOn w:val="1"/>
    <w:next w:val="8"/>
    <w:qFormat/>
    <w:uiPriority w:val="0"/>
    <w:pPr>
      <w:autoSpaceDE w:val="0"/>
      <w:autoSpaceDN w:val="0"/>
      <w:adjustRightInd w:val="0"/>
      <w:ind w:firstLine="420"/>
    </w:pPr>
    <w:rPr>
      <w:rFonts w:ascii="宋体"/>
      <w:szCs w:val="20"/>
    </w:rPr>
  </w:style>
  <w:style w:type="paragraph" w:styleId="8">
    <w:name w:val="toa heading"/>
    <w:basedOn w:val="1"/>
    <w:next w:val="1"/>
    <w:qFormat/>
    <w:uiPriority w:val="0"/>
    <w:pPr>
      <w:spacing w:before="120"/>
    </w:pPr>
    <w:rPr>
      <w:rFonts w:ascii="Cambria" w:hAnsi="Cambria"/>
      <w:szCs w:val="20"/>
    </w:rPr>
  </w:style>
  <w:style w:type="paragraph" w:styleId="9">
    <w:name w:val="annotation text"/>
    <w:basedOn w:val="1"/>
    <w:qFormat/>
    <w:uiPriority w:val="0"/>
    <w:pPr>
      <w:jc w:val="left"/>
    </w:pPr>
  </w:style>
  <w:style w:type="paragraph" w:styleId="10">
    <w:name w:val="Body Text"/>
    <w:basedOn w:val="1"/>
    <w:next w:val="1"/>
    <w:qFormat/>
    <w:uiPriority w:val="99"/>
    <w:pPr>
      <w:numPr>
        <w:ilvl w:val="0"/>
        <w:numId w:val="1"/>
      </w:numPr>
      <w:tabs>
        <w:tab w:val="clear" w:pos="780"/>
      </w:tabs>
      <w:ind w:left="0" w:firstLine="0"/>
    </w:pPr>
    <w:rPr>
      <w:rFonts w:ascii="黑体" w:eastAsia="黑体"/>
      <w:sz w:val="22"/>
    </w:rPr>
  </w:style>
  <w:style w:type="paragraph" w:styleId="11">
    <w:name w:val="Body Text Indent"/>
    <w:basedOn w:val="1"/>
    <w:next w:val="12"/>
    <w:qFormat/>
    <w:uiPriority w:val="0"/>
    <w:pPr>
      <w:spacing w:after="120"/>
      <w:ind w:left="200" w:leftChars="200"/>
    </w:pPr>
  </w:style>
  <w:style w:type="paragraph" w:styleId="12">
    <w:name w:val="Body Text First Indent 2"/>
    <w:basedOn w:val="11"/>
    <w:next w:val="1"/>
    <w:qFormat/>
    <w:uiPriority w:val="0"/>
    <w:pPr>
      <w:ind w:firstLine="420" w:firstLineChars="200"/>
    </w:pPr>
  </w:style>
  <w:style w:type="paragraph" w:styleId="13">
    <w:name w:val="Plain Text"/>
    <w:basedOn w:val="1"/>
    <w:next w:val="14"/>
    <w:qFormat/>
    <w:uiPriority w:val="0"/>
    <w:rPr>
      <w:rFonts w:ascii="宋体"/>
      <w:szCs w:val="20"/>
      <w:u w:color="000000"/>
    </w:rPr>
  </w:style>
  <w:style w:type="paragraph" w:styleId="14">
    <w:name w:val="List Number 5"/>
    <w:basedOn w:val="1"/>
    <w:qFormat/>
    <w:uiPriority w:val="0"/>
    <w:pPr>
      <w:numPr>
        <w:ilvl w:val="0"/>
        <w:numId w:val="2"/>
      </w:numPr>
    </w:pPr>
  </w:style>
  <w:style w:type="paragraph" w:styleId="15">
    <w:name w:val="Date"/>
    <w:basedOn w:val="1"/>
    <w:next w:val="1"/>
    <w:qFormat/>
    <w:uiPriority w:val="0"/>
    <w:rPr>
      <w:rFonts w:ascii="Arial" w:hAnsi="Arial" w:eastAsia="仿宋_GB2312"/>
      <w:sz w:val="32"/>
      <w:szCs w:val="20"/>
      <w:u w:color="00000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footnote text"/>
    <w:basedOn w:val="1"/>
    <w:semiHidden/>
    <w:unhideWhenUsed/>
    <w:qFormat/>
    <w:uiPriority w:val="99"/>
    <w:pPr>
      <w:snapToGrid w:val="0"/>
    </w:pPr>
    <w:rPr>
      <w:sz w:val="18"/>
      <w:szCs w:val="18"/>
    </w:rPr>
  </w:style>
  <w:style w:type="paragraph" w:styleId="20">
    <w:name w:val="index 7"/>
    <w:basedOn w:val="1"/>
    <w:next w:val="1"/>
    <w:qFormat/>
    <w:uiPriority w:val="0"/>
    <w:pPr>
      <w:ind w:left="1200" w:leftChars="1200"/>
    </w:pPr>
    <w:rPr>
      <w:color w:val="auto"/>
      <w:kern w:val="2"/>
    </w:rPr>
  </w:style>
  <w:style w:type="paragraph" w:styleId="21">
    <w:name w:val="Body Text 2"/>
    <w:basedOn w:val="1"/>
    <w:qFormat/>
    <w:uiPriority w:val="0"/>
    <w:pPr>
      <w:tabs>
        <w:tab w:val="left" w:pos="0"/>
      </w:tabs>
      <w:spacing w:line="400" w:lineRule="atLeast"/>
    </w:pPr>
    <w:rPr>
      <w:rFonts w:ascii="Arial" w:hAnsi="Arial"/>
    </w:rPr>
  </w:style>
  <w:style w:type="paragraph" w:styleId="22">
    <w:name w:val="Normal (Web)"/>
    <w:basedOn w:val="1"/>
    <w:qFormat/>
    <w:uiPriority w:val="99"/>
    <w:pPr>
      <w:widowControl/>
    </w:pPr>
    <w:rPr>
      <w:rFonts w:ascii="宋体" w:hAnsi="宋体" w:eastAsia="宋体" w:cs="宋体"/>
    </w:rPr>
  </w:style>
  <w:style w:type="paragraph" w:styleId="23">
    <w:name w:val="Title"/>
    <w:basedOn w:val="1"/>
    <w:next w:val="1"/>
    <w:qFormat/>
    <w:uiPriority w:val="0"/>
    <w:pPr>
      <w:spacing w:before="240" w:after="60"/>
      <w:jc w:val="center"/>
      <w:outlineLvl w:val="0"/>
    </w:pPr>
    <w:rPr>
      <w:rFonts w:ascii="Cambria" w:hAnsi="Cambria"/>
      <w:b/>
      <w:bCs/>
      <w:sz w:val="32"/>
      <w:szCs w:val="32"/>
    </w:rPr>
  </w:style>
  <w:style w:type="paragraph" w:styleId="24">
    <w:name w:val="Body Text First Indent"/>
    <w:basedOn w:val="10"/>
    <w:qFormat/>
    <w:uiPriority w:val="0"/>
    <w:pPr>
      <w:tabs>
        <w:tab w:val="left" w:pos="780"/>
      </w:tabs>
      <w:spacing w:after="220" w:afterLines="0" w:line="220" w:lineRule="atLeast"/>
      <w:ind w:firstLine="420"/>
    </w:pPr>
    <w:rPr>
      <w:rFonts w:ascii="Times New Roman" w:hAnsi="Times New Roman" w:eastAsia="宋体" w:cs="Times New Roman"/>
      <w:sz w:val="21"/>
      <w:szCs w:val="20"/>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Hyperlink"/>
    <w:qFormat/>
    <w:uiPriority w:val="99"/>
    <w:rPr>
      <w:color w:val="0000FF"/>
      <w:u w:val="single"/>
    </w:rPr>
  </w:style>
  <w:style w:type="character" w:styleId="30">
    <w:name w:val="footnote reference"/>
    <w:basedOn w:val="27"/>
    <w:semiHidden/>
    <w:unhideWhenUsed/>
    <w:qFormat/>
    <w:uiPriority w:val="99"/>
    <w:rPr>
      <w:vertAlign w:val="superscript"/>
    </w:rPr>
  </w:style>
  <w:style w:type="paragraph" w:customStyle="1" w:styleId="31">
    <w:name w:val="样式 样式 左侧:  2 字符 + 左侧:  0.85 厘米 首行缩进:  2 字符1"/>
    <w:basedOn w:val="1"/>
    <w:qFormat/>
    <w:uiPriority w:val="0"/>
    <w:pPr>
      <w:ind w:left="482" w:firstLine="200" w:firstLineChars="200"/>
    </w:pPr>
    <w:rPr>
      <w:rFonts w:cs="宋体"/>
      <w:szCs w:val="20"/>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样式 首行缩进:  2 字符"/>
    <w:basedOn w:val="1"/>
    <w:qFormat/>
    <w:uiPriority w:val="0"/>
    <w:pPr>
      <w:spacing w:line="360" w:lineRule="auto"/>
      <w:ind w:firstLine="480" w:firstLineChars="200"/>
    </w:pPr>
    <w:rPr>
      <w:rFonts w:ascii="宋体" w:hAnsi="宋体" w:cs="宋体"/>
      <w:szCs w:val="20"/>
    </w:rPr>
  </w:style>
  <w:style w:type="paragraph" w:customStyle="1" w:styleId="34">
    <w:name w:val="正文格式"/>
    <w:basedOn w:val="1"/>
    <w:qFormat/>
    <w:uiPriority w:val="99"/>
    <w:pPr>
      <w:widowControl/>
      <w:adjustRightInd w:val="0"/>
      <w:snapToGrid w:val="0"/>
      <w:spacing w:line="400" w:lineRule="atLeast"/>
      <w:ind w:firstLine="482"/>
      <w:textAlignment w:val="baseline"/>
    </w:pPr>
  </w:style>
  <w:style w:type="paragraph" w:customStyle="1" w:styleId="35">
    <w:name w:val="文档正文"/>
    <w:basedOn w:val="7"/>
    <w:qFormat/>
    <w:uiPriority w:val="0"/>
    <w:pPr>
      <w:spacing w:line="360" w:lineRule="auto"/>
    </w:pPr>
    <w:rPr>
      <w:rFonts w:hAnsi="宋体"/>
      <w:b/>
      <w:bCs/>
    </w:rPr>
  </w:style>
  <w:style w:type="paragraph" w:customStyle="1" w:styleId="36">
    <w:name w:val="_Style 2"/>
    <w:basedOn w:val="2"/>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7">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8">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39">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0">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1">
    <w:name w:val="Table caption|1"/>
    <w:basedOn w:val="1"/>
    <w:qFormat/>
    <w:uiPriority w:val="0"/>
    <w:rPr>
      <w:rFonts w:ascii="宋体" w:hAnsi="宋体" w:eastAsia="宋体" w:cs="宋体"/>
      <w:sz w:val="22"/>
      <w:szCs w:val="22"/>
      <w:lang w:val="zh-TW" w:eastAsia="zh-TW" w:bidi="zh-TW"/>
    </w:rPr>
  </w:style>
  <w:style w:type="paragraph" w:customStyle="1" w:styleId="42">
    <w:name w:val="Table Paragraph"/>
    <w:basedOn w:val="1"/>
    <w:qFormat/>
    <w:uiPriority w:val="1"/>
    <w:pPr>
      <w:autoSpaceDE w:val="0"/>
      <w:autoSpaceDN w:val="0"/>
      <w:adjustRightInd w:val="0"/>
    </w:pPr>
    <w:rPr>
      <w:rFonts w:eastAsia="宋体"/>
    </w:rPr>
  </w:style>
  <w:style w:type="paragraph" w:customStyle="1" w:styleId="43">
    <w:name w:val="black1"/>
    <w:basedOn w:val="1"/>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44">
    <w:name w:val="图例"/>
    <w:basedOn w:val="1"/>
    <w:qFormat/>
    <w:uiPriority w:val="0"/>
    <w:pPr>
      <w:spacing w:before="120" w:after="120" w:line="360" w:lineRule="auto"/>
      <w:jc w:val="center"/>
    </w:pPr>
    <w:rPr>
      <w:rFonts w:eastAsia="仿宋_GB2312"/>
      <w:b/>
    </w:rPr>
  </w:style>
  <w:style w:type="paragraph" w:customStyle="1" w:styleId="45">
    <w:name w:val="WPS Plain"/>
    <w:qFormat/>
    <w:uiPriority w:val="0"/>
    <w:rPr>
      <w:rFonts w:ascii="Times New Roman" w:hAnsi="Times New Roman" w:eastAsia="宋体" w:cs="Times New Roman"/>
      <w:lang w:val="en-US" w:eastAsia="zh-CN" w:bidi="ar-SA"/>
    </w:rPr>
  </w:style>
  <w:style w:type="paragraph" w:customStyle="1" w:styleId="46">
    <w:name w:val="样式 左侧:  0 厘米 悬挂缩进: 2.5 字符"/>
    <w:basedOn w:val="1"/>
    <w:qFormat/>
    <w:uiPriority w:val="0"/>
    <w:pPr>
      <w:ind w:left="525" w:hanging="525" w:hangingChars="250"/>
    </w:pPr>
    <w:rPr>
      <w:szCs w:val="20"/>
    </w:rPr>
  </w:style>
  <w:style w:type="character" w:customStyle="1" w:styleId="47">
    <w:name w:val="font11"/>
    <w:basedOn w:val="27"/>
    <w:qFormat/>
    <w:uiPriority w:val="0"/>
    <w:rPr>
      <w:rFonts w:ascii="Calibri" w:hAnsi="Calibri" w:cs="Calibri"/>
      <w:color w:val="000000"/>
      <w:sz w:val="20"/>
      <w:szCs w:val="20"/>
      <w:u w:val="none"/>
    </w:rPr>
  </w:style>
  <w:style w:type="paragraph" w:styleId="48">
    <w:name w:val="List Paragraph"/>
    <w:basedOn w:val="1"/>
    <w:qFormat/>
    <w:uiPriority w:val="0"/>
    <w:pPr>
      <w:widowControl/>
      <w:ind w:firstLine="420" w:firstLineChars="200"/>
    </w:pPr>
  </w:style>
  <w:style w:type="paragraph" w:customStyle="1" w:styleId="49">
    <w:name w:val="列出段落1"/>
    <w:basedOn w:val="1"/>
    <w:qFormat/>
    <w:uiPriority w:val="34"/>
    <w:pPr>
      <w:ind w:firstLine="420" w:firstLineChars="200"/>
    </w:pPr>
  </w:style>
  <w:style w:type="table" w:customStyle="1" w:styleId="50">
    <w:name w:val="Table Normal"/>
    <w:semiHidden/>
    <w:unhideWhenUsed/>
    <w:qFormat/>
    <w:uiPriority w:val="0"/>
    <w:tblPr>
      <w:tblCellMar>
        <w:top w:w="0" w:type="dxa"/>
        <w:left w:w="0" w:type="dxa"/>
        <w:bottom w:w="0" w:type="dxa"/>
        <w:right w:w="0" w:type="dxa"/>
      </w:tblCellMar>
    </w:tblPr>
  </w:style>
  <w:style w:type="paragraph" w:customStyle="1" w:styleId="51">
    <w:name w:val="p15"/>
    <w:basedOn w:val="1"/>
    <w:qFormat/>
    <w:uiPriority w:val="0"/>
    <w:pPr>
      <w:snapToGrid/>
      <w:spacing w:after="0"/>
    </w:pPr>
    <w:rPr>
      <w:rFonts w:ascii="Arial Unicode MS" w:hAnsi="Arial Unicode MS" w:eastAsia="宋体" w:cs="宋体"/>
      <w:color w:val="000000"/>
      <w:sz w:val="24"/>
      <w:szCs w:val="24"/>
    </w:rPr>
  </w:style>
  <w:style w:type="paragraph" w:customStyle="1" w:styleId="52">
    <w:name w:val="Body text|4"/>
    <w:basedOn w:val="1"/>
    <w:qFormat/>
    <w:uiPriority w:val="0"/>
    <w:pPr>
      <w:spacing w:after="580"/>
    </w:pPr>
    <w:rPr>
      <w:rFonts w:ascii="MingLiU" w:hAnsi="MingLiU" w:eastAsia="MingLiU" w:cs="MingLiU"/>
      <w:color w:val="00005D"/>
      <w:sz w:val="56"/>
      <w:szCs w:val="56"/>
      <w:lang w:val="zh-TW" w:eastAsia="zh-TW" w:bidi="zh-TW"/>
    </w:rPr>
  </w:style>
  <w:style w:type="character" w:customStyle="1" w:styleId="53">
    <w:name w:val="font61"/>
    <w:basedOn w:val="27"/>
    <w:qFormat/>
    <w:uiPriority w:val="0"/>
    <w:rPr>
      <w:rFonts w:hint="default" w:ascii="方正仿宋_GBK" w:hAnsi="方正仿宋_GBK" w:eastAsia="方正仿宋_GBK" w:cs="方正仿宋_GBK"/>
      <w:color w:val="000000"/>
      <w:sz w:val="18"/>
      <w:szCs w:val="18"/>
      <w:u w:val="none"/>
    </w:rPr>
  </w:style>
  <w:style w:type="character" w:customStyle="1" w:styleId="54">
    <w:name w:val="font121"/>
    <w:basedOn w:val="27"/>
    <w:qFormat/>
    <w:uiPriority w:val="0"/>
    <w:rPr>
      <w:rFonts w:hint="eastAsia" w:ascii="宋体" w:hAnsi="宋体" w:eastAsia="宋体" w:cs="宋体"/>
      <w:color w:val="000000"/>
      <w:sz w:val="18"/>
      <w:szCs w:val="18"/>
      <w:u w:val="none"/>
    </w:rPr>
  </w:style>
  <w:style w:type="character" w:customStyle="1" w:styleId="55">
    <w:name w:val="font51"/>
    <w:basedOn w:val="27"/>
    <w:qFormat/>
    <w:uiPriority w:val="0"/>
    <w:rPr>
      <w:rFonts w:hint="default" w:ascii="Arial" w:hAnsi="Arial" w:cs="Arial"/>
      <w:color w:val="000000"/>
      <w:sz w:val="18"/>
      <w:szCs w:val="18"/>
      <w:u w:val="none"/>
    </w:rPr>
  </w:style>
  <w:style w:type="character" w:customStyle="1" w:styleId="56">
    <w:name w:val="font31"/>
    <w:basedOn w:val="27"/>
    <w:qFormat/>
    <w:uiPriority w:val="0"/>
    <w:rPr>
      <w:rFonts w:hint="eastAsia" w:ascii="宋体" w:hAnsi="宋体" w:eastAsia="宋体" w:cs="宋体"/>
      <w:color w:val="000000"/>
      <w:sz w:val="22"/>
      <w:szCs w:val="22"/>
      <w:u w:val="none"/>
    </w:rPr>
  </w:style>
  <w:style w:type="character" w:customStyle="1" w:styleId="57">
    <w:name w:val="font41"/>
    <w:basedOn w:val="27"/>
    <w:qFormat/>
    <w:uiPriority w:val="0"/>
    <w:rPr>
      <w:rFonts w:hint="eastAsia" w:ascii="宋体" w:hAnsi="宋体" w:eastAsia="宋体" w:cs="宋体"/>
      <w:color w:val="000000"/>
      <w:sz w:val="18"/>
      <w:szCs w:val="18"/>
      <w:u w:val="none"/>
    </w:rPr>
  </w:style>
  <w:style w:type="character" w:customStyle="1" w:styleId="58">
    <w:name w:val="font01"/>
    <w:basedOn w:val="27"/>
    <w:qFormat/>
    <w:uiPriority w:val="0"/>
    <w:rPr>
      <w:rFonts w:hint="eastAsia" w:ascii="宋体" w:hAnsi="宋体" w:eastAsia="宋体" w:cs="宋体"/>
      <w:color w:val="000000"/>
      <w:sz w:val="22"/>
      <w:szCs w:val="22"/>
      <w:u w:val="none"/>
    </w:rPr>
  </w:style>
  <w:style w:type="character" w:customStyle="1" w:styleId="59">
    <w:name w:val="font21"/>
    <w:basedOn w:val="27"/>
    <w:qFormat/>
    <w:uiPriority w:val="0"/>
    <w:rPr>
      <w:rFonts w:hint="eastAsia" w:ascii="宋体" w:hAnsi="宋体" w:eastAsia="宋体" w:cs="宋体"/>
      <w:color w:val="00B050"/>
      <w:sz w:val="20"/>
      <w:szCs w:val="20"/>
      <w:u w:val="none"/>
    </w:rPr>
  </w:style>
  <w:style w:type="character" w:customStyle="1" w:styleId="60">
    <w:name w:val="font131"/>
    <w:basedOn w:val="27"/>
    <w:qFormat/>
    <w:uiPriority w:val="0"/>
    <w:rPr>
      <w:rFonts w:hint="eastAsia" w:ascii="宋体" w:hAnsi="宋体" w:eastAsia="宋体" w:cs="宋体"/>
      <w:b/>
      <w:bCs/>
      <w:color w:val="000000"/>
      <w:sz w:val="18"/>
      <w:szCs w:val="18"/>
      <w:u w:val="none"/>
    </w:rPr>
  </w:style>
  <w:style w:type="character" w:customStyle="1" w:styleId="61">
    <w:name w:val="font141"/>
    <w:basedOn w:val="27"/>
    <w:qFormat/>
    <w:uiPriority w:val="0"/>
    <w:rPr>
      <w:rFonts w:hint="eastAsia" w:ascii="宋体" w:hAnsi="宋体" w:eastAsia="宋体" w:cs="宋体"/>
      <w:color w:val="E54C5E"/>
      <w:sz w:val="20"/>
      <w:szCs w:val="20"/>
      <w:u w:val="none"/>
    </w:rPr>
  </w:style>
  <w:style w:type="character" w:customStyle="1" w:styleId="62">
    <w:name w:val="font71"/>
    <w:basedOn w:val="27"/>
    <w:qFormat/>
    <w:uiPriority w:val="0"/>
    <w:rPr>
      <w:rFonts w:hint="eastAsia" w:ascii="宋体" w:hAnsi="宋体" w:eastAsia="宋体" w:cs="宋体"/>
      <w:color w:val="000000"/>
      <w:sz w:val="18"/>
      <w:szCs w:val="18"/>
      <w:u w:val="none"/>
    </w:rPr>
  </w:style>
  <w:style w:type="character" w:customStyle="1" w:styleId="63">
    <w:name w:val="font161"/>
    <w:basedOn w:val="27"/>
    <w:qFormat/>
    <w:uiPriority w:val="0"/>
    <w:rPr>
      <w:rFonts w:hint="eastAsia" w:ascii="宋体" w:hAnsi="宋体" w:eastAsia="宋体" w:cs="宋体"/>
      <w:color w:val="FF0000"/>
      <w:sz w:val="18"/>
      <w:szCs w:val="18"/>
      <w:u w:val="none"/>
    </w:rPr>
  </w:style>
  <w:style w:type="character" w:customStyle="1" w:styleId="64">
    <w:name w:val="font81"/>
    <w:basedOn w:val="27"/>
    <w:qFormat/>
    <w:uiPriority w:val="0"/>
    <w:rPr>
      <w:rFonts w:hint="eastAsia" w:ascii="宋体" w:hAnsi="宋体" w:eastAsia="宋体" w:cs="宋体"/>
      <w:color w:val="000000"/>
      <w:sz w:val="22"/>
      <w:szCs w:val="22"/>
      <w:u w:val="none"/>
    </w:rPr>
  </w:style>
  <w:style w:type="character" w:customStyle="1" w:styleId="65">
    <w:name w:val="font101"/>
    <w:basedOn w:val="27"/>
    <w:qFormat/>
    <w:uiPriority w:val="0"/>
    <w:rPr>
      <w:rFonts w:hint="default" w:ascii="Times New Roman" w:hAnsi="Times New Roman" w:cs="Times New Roman"/>
      <w:color w:val="000000"/>
      <w:sz w:val="20"/>
      <w:szCs w:val="20"/>
      <w:u w:val="none"/>
    </w:rPr>
  </w:style>
  <w:style w:type="character" w:customStyle="1" w:styleId="66">
    <w:name w:val="font112"/>
    <w:basedOn w:val="27"/>
    <w:qFormat/>
    <w:uiPriority w:val="0"/>
    <w:rPr>
      <w:rFonts w:hint="eastAsia" w:ascii="宋体" w:hAnsi="宋体" w:eastAsia="宋体" w:cs="宋体"/>
      <w:color w:val="000000"/>
      <w:sz w:val="20"/>
      <w:szCs w:val="20"/>
      <w:u w:val="none"/>
    </w:rPr>
  </w:style>
  <w:style w:type="character" w:customStyle="1" w:styleId="67">
    <w:name w:val="font181"/>
    <w:basedOn w:val="27"/>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204</Pages>
  <Words>23738</Words>
  <Characters>25469</Characters>
  <Lines>389</Lines>
  <Paragraphs>109</Paragraphs>
  <TotalTime>58</TotalTime>
  <ScaleCrop>false</ScaleCrop>
  <LinksUpToDate>false</LinksUpToDate>
  <CharactersWithSpaces>27045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*^_^*燕儿*^_^*</cp:lastModifiedBy>
  <cp:lastPrinted>2025-07-23T09:19:17Z</cp:lastPrinted>
  <dcterms:modified xsi:type="dcterms:W3CDTF">2025-07-23T09:20:12Z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D7A3399D5C084763B91A81450D919F66_13</vt:lpwstr>
  </property>
  <property fmtid="{D5CDD505-2E9C-101B-9397-08002B2CF9AE}" pid="4" name="KSOTemplateDocerSaveRecord">
    <vt:lpwstr>eyJoZGlkIjoiNTA4ODcxMTkxNmEwYzAzYTA5NzZlOTM1ZGVkNTE1NjQiLCJ1c2VySWQiOiI3NDE1MTI1NzgifQ==</vt:lpwstr>
  </property>
</Properties>
</file>