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rPr>
          <w:rFonts w:hint="eastAsia"/>
          <w:color w:val="auto"/>
        </w:rPr>
      </w:pPr>
    </w:p>
    <w:p>
      <w:pPr>
        <w:pStyle w:val="26"/>
        <w:jc w:val="center"/>
        <w:rPr>
          <w:rFonts w:hint="eastAsia"/>
          <w:color w:val="auto"/>
          <w:sz w:val="20"/>
          <w:szCs w:val="22"/>
          <w:lang w:val="en-US" w:eastAsia="zh-CN"/>
        </w:rPr>
      </w:pPr>
      <w:r>
        <w:rPr>
          <w:rFonts w:hint="eastAsia" w:ascii="宋体" w:hAnsi="宋体" w:cs="宋体"/>
          <w:b/>
          <w:bCs/>
          <w:color w:val="auto"/>
          <w:sz w:val="44"/>
          <w:szCs w:val="44"/>
          <w:lang w:val="en-US" w:eastAsia="zh-CN"/>
        </w:rPr>
        <w:t>2023年教育脱贫攻坚同乡村振兴有效衔接义务教育学校建设项目（设备采购）二包</w:t>
      </w:r>
    </w:p>
    <w:p>
      <w:pPr>
        <w:pStyle w:val="49"/>
        <w:rPr>
          <w:rFonts w:hint="default"/>
          <w:color w:val="auto"/>
          <w:lang w:val="en-US" w:eastAsia="zh-CN"/>
        </w:rPr>
      </w:pPr>
      <w:bookmarkStart w:id="155" w:name="_GoBack"/>
      <w:bookmarkEnd w:id="155"/>
    </w:p>
    <w:p>
      <w:pPr>
        <w:pStyle w:val="49"/>
        <w:rPr>
          <w:rFonts w:hint="default"/>
          <w:color w:val="auto"/>
          <w:lang w:val="en-US" w:eastAsia="zh-CN"/>
        </w:rPr>
      </w:pPr>
    </w:p>
    <w:p>
      <w:pPr>
        <w:tabs>
          <w:tab w:val="center" w:pos="4215"/>
          <w:tab w:val="left" w:pos="6948"/>
        </w:tabs>
        <w:autoSpaceDE w:val="0"/>
        <w:autoSpaceDN w:val="0"/>
        <w:jc w:val="left"/>
        <w:rPr>
          <w:rFonts w:hint="eastAsia" w:ascii="宋体" w:hAnsi="宋体" w:eastAsia="宋体" w:cs="楷体"/>
          <w:b/>
          <w:bCs/>
          <w:color w:val="auto"/>
          <w:sz w:val="72"/>
          <w:szCs w:val="72"/>
          <w:lang w:val="en-US" w:eastAsia="zh-CN"/>
        </w:rPr>
      </w:pPr>
      <w:r>
        <w:rPr>
          <w:rFonts w:hint="eastAsia" w:ascii="宋体" w:hAnsi="宋体" w:cs="楷体"/>
          <w:b/>
          <w:bCs/>
          <w:color w:val="auto"/>
          <w:sz w:val="72"/>
          <w:szCs w:val="72"/>
          <w:lang w:val="en-US" w:eastAsia="zh-CN"/>
        </w:rPr>
        <w:tab/>
      </w:r>
      <w:r>
        <w:rPr>
          <w:rFonts w:hint="eastAsia" w:ascii="宋体" w:hAnsi="宋体" w:eastAsia="宋体" w:cs="楷体"/>
          <w:b/>
          <w:bCs/>
          <w:color w:val="auto"/>
          <w:sz w:val="72"/>
          <w:szCs w:val="72"/>
          <w:lang w:val="en-US" w:eastAsia="zh-CN"/>
        </w:rPr>
        <w:t>招</w:t>
      </w:r>
      <w:r>
        <w:rPr>
          <w:rFonts w:hint="eastAsia" w:ascii="宋体" w:hAnsi="宋体" w:cs="楷体"/>
          <w:b/>
          <w:bCs/>
          <w:color w:val="auto"/>
          <w:sz w:val="72"/>
          <w:szCs w:val="72"/>
          <w:lang w:val="en-US" w:eastAsia="zh-CN"/>
        </w:rPr>
        <w:tab/>
      </w:r>
    </w:p>
    <w:p>
      <w:pPr>
        <w:autoSpaceDE w:val="0"/>
        <w:autoSpaceDN w:val="0"/>
        <w:jc w:val="center"/>
        <w:rPr>
          <w:rFonts w:hint="eastAsia" w:ascii="宋体" w:hAnsi="宋体" w:eastAsia="宋体" w:cs="楷体"/>
          <w:b/>
          <w:bCs/>
          <w:color w:val="auto"/>
          <w:sz w:val="72"/>
          <w:szCs w:val="72"/>
          <w:lang w:val="en-US" w:eastAsia="zh-CN"/>
        </w:rPr>
      </w:pPr>
      <w:r>
        <w:rPr>
          <w:rFonts w:hint="eastAsia" w:ascii="宋体" w:hAnsi="宋体" w:eastAsia="宋体" w:cs="楷体"/>
          <w:b/>
          <w:bCs/>
          <w:color w:val="auto"/>
          <w:sz w:val="72"/>
          <w:szCs w:val="72"/>
          <w:lang w:val="en-US" w:eastAsia="zh-CN"/>
        </w:rPr>
        <w:t>标</w:t>
      </w:r>
    </w:p>
    <w:p>
      <w:pPr>
        <w:autoSpaceDE w:val="0"/>
        <w:autoSpaceDN w:val="0"/>
        <w:jc w:val="center"/>
        <w:rPr>
          <w:rFonts w:hint="eastAsia" w:ascii="宋体" w:hAnsi="宋体" w:eastAsia="宋体" w:cs="楷体"/>
          <w:b/>
          <w:bCs/>
          <w:color w:val="auto"/>
          <w:sz w:val="72"/>
          <w:szCs w:val="72"/>
          <w:lang w:val="en-US" w:eastAsia="zh-CN"/>
        </w:rPr>
      </w:pPr>
      <w:r>
        <w:rPr>
          <w:rFonts w:hint="eastAsia" w:ascii="宋体" w:hAnsi="宋体" w:eastAsia="宋体" w:cs="楷体"/>
          <w:b/>
          <w:bCs/>
          <w:color w:val="auto"/>
          <w:sz w:val="72"/>
          <w:szCs w:val="72"/>
          <w:lang w:val="en-US" w:eastAsia="zh-CN"/>
        </w:rPr>
        <w:t>文</w:t>
      </w:r>
    </w:p>
    <w:p>
      <w:pPr>
        <w:autoSpaceDE w:val="0"/>
        <w:autoSpaceDN w:val="0"/>
        <w:jc w:val="center"/>
        <w:rPr>
          <w:rFonts w:hint="eastAsia" w:ascii="宋体" w:hAnsi="宋体" w:eastAsia="宋体" w:cs="楷体"/>
          <w:b/>
          <w:bCs/>
          <w:color w:val="auto"/>
          <w:sz w:val="72"/>
          <w:szCs w:val="72"/>
          <w:lang w:val="en-US" w:eastAsia="zh-CN"/>
        </w:rPr>
      </w:pPr>
      <w:r>
        <w:rPr>
          <w:rFonts w:hint="eastAsia" w:ascii="宋体" w:hAnsi="宋体" w:eastAsia="宋体" w:cs="楷体"/>
          <w:b/>
          <w:bCs/>
          <w:color w:val="auto"/>
          <w:sz w:val="72"/>
          <w:szCs w:val="72"/>
          <w:lang w:val="en-US" w:eastAsia="zh-CN"/>
        </w:rPr>
        <w:t>件</w:t>
      </w:r>
    </w:p>
    <w:p>
      <w:pPr>
        <w:pStyle w:val="49"/>
        <w:ind w:left="0" w:leftChars="0" w:firstLine="0" w:firstLineChars="0"/>
        <w:rPr>
          <w:rFonts w:hint="eastAsia"/>
          <w:color w:val="auto"/>
          <w:lang w:val="zh-CN"/>
        </w:rPr>
      </w:pPr>
    </w:p>
    <w:p>
      <w:pPr>
        <w:pStyle w:val="49"/>
        <w:ind w:left="0" w:leftChars="0" w:firstLine="0" w:firstLineChars="0"/>
        <w:rPr>
          <w:rFonts w:hint="eastAsia"/>
          <w:color w:val="auto"/>
          <w:lang w:val="zh-CN"/>
        </w:rPr>
      </w:pPr>
    </w:p>
    <w:p>
      <w:pPr>
        <w:widowControl/>
        <w:autoSpaceDE w:val="0"/>
        <w:autoSpaceDN w:val="0"/>
        <w:spacing w:line="600" w:lineRule="auto"/>
        <w:ind w:right="-28" w:firstLine="849" w:firstLineChars="300"/>
        <w:textAlignment w:val="bottom"/>
        <w:rPr>
          <w:rFonts w:hint="eastAsia" w:ascii="宋体" w:hAnsi="宋体" w:cs="宋体"/>
          <w:b/>
          <w:color w:val="auto"/>
          <w:kern w:val="2"/>
          <w:sz w:val="28"/>
          <w:szCs w:val="22"/>
          <w:lang w:val="en-US" w:eastAsia="zh-CN" w:bidi="ar-SA"/>
        </w:rPr>
      </w:pPr>
      <w:r>
        <w:rPr>
          <w:rFonts w:hint="eastAsia" w:ascii="宋体" w:hAnsi="宋体"/>
          <w:b/>
          <w:color w:val="auto"/>
          <w:sz w:val="28"/>
          <w:szCs w:val="22"/>
        </w:rPr>
        <w:t>采 购 人：</w:t>
      </w:r>
      <w:r>
        <w:rPr>
          <w:rFonts w:hint="eastAsia" w:ascii="宋体" w:hAnsi="宋体" w:cs="宋体"/>
          <w:b/>
          <w:color w:val="auto"/>
          <w:kern w:val="2"/>
          <w:sz w:val="28"/>
          <w:szCs w:val="22"/>
          <w:lang w:val="en-US" w:eastAsia="zh-CN" w:bidi="ar-SA"/>
        </w:rPr>
        <w:t>阿图什市教育局（盖章）</w:t>
      </w:r>
    </w:p>
    <w:p>
      <w:pPr>
        <w:pStyle w:val="2"/>
        <w:spacing w:line="600" w:lineRule="auto"/>
        <w:ind w:firstLine="849" w:firstLineChars="300"/>
        <w:rPr>
          <w:rFonts w:hint="default"/>
          <w:color w:val="auto"/>
          <w:lang w:val="en-US" w:eastAsia="zh-CN"/>
        </w:rPr>
      </w:pPr>
      <w:r>
        <w:rPr>
          <w:rFonts w:hint="eastAsia" w:ascii="宋体" w:hAnsi="宋体" w:cs="宋体"/>
          <w:b/>
          <w:color w:val="auto"/>
          <w:kern w:val="2"/>
          <w:sz w:val="28"/>
          <w:szCs w:val="22"/>
          <w:lang w:val="en-US" w:eastAsia="zh-CN" w:bidi="ar-SA"/>
        </w:rPr>
        <w:t xml:space="preserve">法定代表人或授权人： </w:t>
      </w:r>
      <w:r>
        <w:rPr>
          <w:rFonts w:hint="eastAsia" w:ascii="宋体" w:hAnsi="宋体" w:cs="宋体"/>
          <w:b/>
          <w:color w:val="auto"/>
          <w:kern w:val="2"/>
          <w:sz w:val="28"/>
          <w:szCs w:val="22"/>
          <w:u w:val="single"/>
          <w:lang w:val="en-US" w:eastAsia="zh-CN" w:bidi="ar-SA"/>
        </w:rPr>
        <w:t xml:space="preserve">                    </w:t>
      </w:r>
      <w:r>
        <w:rPr>
          <w:rFonts w:hint="eastAsia" w:ascii="宋体" w:hAnsi="宋体" w:cs="宋体"/>
          <w:b/>
          <w:color w:val="auto"/>
          <w:kern w:val="2"/>
          <w:sz w:val="28"/>
          <w:szCs w:val="22"/>
          <w:lang w:val="en-US" w:eastAsia="zh-CN" w:bidi="ar-SA"/>
        </w:rPr>
        <w:t>（签字或盖章）</w:t>
      </w:r>
    </w:p>
    <w:p>
      <w:pPr>
        <w:widowControl/>
        <w:autoSpaceDE w:val="0"/>
        <w:autoSpaceDN w:val="0"/>
        <w:spacing w:line="600" w:lineRule="auto"/>
        <w:ind w:right="-28" w:firstLine="849" w:firstLineChars="300"/>
        <w:textAlignment w:val="bottom"/>
        <w:rPr>
          <w:rFonts w:hint="default" w:ascii="宋体" w:hAnsi="宋体"/>
          <w:b/>
          <w:color w:val="auto"/>
          <w:sz w:val="28"/>
          <w:szCs w:val="22"/>
          <w:lang w:val="en-US" w:eastAsia="zh-CN"/>
        </w:rPr>
      </w:pPr>
      <w:r>
        <w:rPr>
          <w:rFonts w:hint="eastAsia" w:ascii="宋体" w:hAnsi="宋体"/>
          <w:b/>
          <w:color w:val="auto"/>
          <w:sz w:val="28"/>
          <w:szCs w:val="22"/>
        </w:rPr>
        <w:t>联系人</w:t>
      </w:r>
      <w:r>
        <w:rPr>
          <w:rFonts w:hint="eastAsia" w:ascii="宋体" w:hAnsi="宋体"/>
          <w:b/>
          <w:color w:val="auto"/>
          <w:sz w:val="28"/>
          <w:szCs w:val="22"/>
          <w:lang w:eastAsia="zh-CN"/>
        </w:rPr>
        <w:t>：</w:t>
      </w:r>
      <w:r>
        <w:rPr>
          <w:rFonts w:hint="eastAsia" w:ascii="宋体" w:hAnsi="宋体"/>
          <w:b/>
          <w:color w:val="auto"/>
          <w:sz w:val="28"/>
          <w:szCs w:val="22"/>
          <w:lang w:val="en-US" w:eastAsia="zh-CN"/>
        </w:rPr>
        <w:t xml:space="preserve">沙先生            </w:t>
      </w:r>
      <w:r>
        <w:rPr>
          <w:rFonts w:hint="eastAsia" w:ascii="宋体" w:hAnsi="宋体"/>
          <w:b/>
          <w:color w:val="auto"/>
          <w:sz w:val="28"/>
          <w:szCs w:val="22"/>
          <w:lang w:eastAsia="zh-CN"/>
        </w:rPr>
        <w:t>联系电话</w:t>
      </w:r>
      <w:r>
        <w:rPr>
          <w:rFonts w:hint="eastAsia" w:ascii="宋体" w:hAnsi="宋体"/>
          <w:b/>
          <w:color w:val="auto"/>
          <w:sz w:val="28"/>
          <w:szCs w:val="22"/>
        </w:rPr>
        <w:t xml:space="preserve">   </w:t>
      </w:r>
      <w:r>
        <w:rPr>
          <w:rFonts w:hint="eastAsia" w:ascii="宋体" w:hAnsi="宋体"/>
          <w:b/>
          <w:color w:val="auto"/>
          <w:sz w:val="28"/>
          <w:szCs w:val="22"/>
          <w:lang w:val="en-US" w:eastAsia="zh-CN"/>
        </w:rPr>
        <w:t>18199726032</w:t>
      </w:r>
    </w:p>
    <w:p>
      <w:pPr>
        <w:widowControl/>
        <w:autoSpaceDE w:val="0"/>
        <w:autoSpaceDN w:val="0"/>
        <w:spacing w:line="600" w:lineRule="auto"/>
        <w:ind w:right="-28" w:firstLine="849" w:firstLineChars="300"/>
        <w:textAlignment w:val="bottom"/>
        <w:rPr>
          <w:rFonts w:hint="eastAsia" w:ascii="宋体" w:hAnsi="宋体"/>
          <w:b/>
          <w:color w:val="auto"/>
          <w:sz w:val="28"/>
          <w:szCs w:val="22"/>
          <w:lang w:val="en-US" w:eastAsia="zh-CN"/>
        </w:rPr>
      </w:pPr>
      <w:r>
        <w:rPr>
          <w:rFonts w:hint="eastAsia" w:ascii="宋体" w:hAnsi="宋体"/>
          <w:b/>
          <w:color w:val="auto"/>
          <w:sz w:val="28"/>
          <w:szCs w:val="22"/>
        </w:rPr>
        <w:t>代理机构：</w:t>
      </w:r>
      <w:r>
        <w:rPr>
          <w:rFonts w:hint="eastAsia" w:ascii="宋体" w:hAnsi="宋体"/>
          <w:b/>
          <w:color w:val="auto"/>
          <w:sz w:val="28"/>
          <w:szCs w:val="22"/>
          <w:lang w:val="en-US" w:eastAsia="zh-CN"/>
        </w:rPr>
        <w:t>中轩项目管理有限公司（盖章）</w:t>
      </w:r>
    </w:p>
    <w:p>
      <w:pPr>
        <w:pStyle w:val="2"/>
        <w:spacing w:line="600" w:lineRule="auto"/>
        <w:ind w:firstLine="849" w:firstLineChars="300"/>
        <w:rPr>
          <w:rFonts w:hint="eastAsia"/>
          <w:color w:val="auto"/>
          <w:lang w:eastAsia="zh-CN"/>
        </w:rPr>
      </w:pPr>
      <w:r>
        <w:rPr>
          <w:rFonts w:hint="eastAsia" w:ascii="宋体" w:hAnsi="宋体" w:cs="宋体"/>
          <w:b/>
          <w:color w:val="auto"/>
          <w:kern w:val="2"/>
          <w:sz w:val="28"/>
          <w:szCs w:val="22"/>
          <w:lang w:val="en-US" w:eastAsia="zh-CN" w:bidi="ar-SA"/>
        </w:rPr>
        <w:t>法定代表人或授权人：</w:t>
      </w:r>
      <w:r>
        <w:rPr>
          <w:rFonts w:hint="eastAsia" w:ascii="宋体" w:hAnsi="宋体" w:cs="宋体"/>
          <w:b/>
          <w:color w:val="auto"/>
          <w:kern w:val="2"/>
          <w:sz w:val="28"/>
          <w:szCs w:val="22"/>
          <w:u w:val="single"/>
          <w:lang w:val="en-US" w:eastAsia="zh-CN" w:bidi="ar-SA"/>
        </w:rPr>
        <w:t xml:space="preserve">                     </w:t>
      </w:r>
      <w:r>
        <w:rPr>
          <w:rFonts w:hint="eastAsia" w:ascii="宋体" w:hAnsi="宋体" w:cs="宋体"/>
          <w:b/>
          <w:color w:val="auto"/>
          <w:kern w:val="2"/>
          <w:sz w:val="28"/>
          <w:szCs w:val="22"/>
          <w:lang w:val="en-US" w:eastAsia="zh-CN" w:bidi="ar-SA"/>
        </w:rPr>
        <w:t>（签字或盖章）</w:t>
      </w:r>
    </w:p>
    <w:p>
      <w:pPr>
        <w:widowControl/>
        <w:autoSpaceDE w:val="0"/>
        <w:autoSpaceDN w:val="0"/>
        <w:spacing w:line="600" w:lineRule="auto"/>
        <w:ind w:right="-28" w:firstLine="849" w:firstLineChars="300"/>
        <w:textAlignment w:val="bottom"/>
        <w:rPr>
          <w:rFonts w:hint="default" w:ascii="宋体" w:hAnsi="宋体"/>
          <w:b/>
          <w:color w:val="auto"/>
          <w:sz w:val="28"/>
          <w:szCs w:val="22"/>
          <w:lang w:val="en-US" w:eastAsia="zh-CN"/>
        </w:rPr>
      </w:pPr>
      <w:r>
        <w:rPr>
          <w:rFonts w:hint="eastAsia" w:ascii="宋体" w:hAnsi="宋体"/>
          <w:b/>
          <w:color w:val="auto"/>
          <w:sz w:val="28"/>
          <w:szCs w:val="22"/>
        </w:rPr>
        <w:t>联系人：</w:t>
      </w:r>
      <w:r>
        <w:rPr>
          <w:rFonts w:hint="eastAsia" w:ascii="宋体" w:hAnsi="宋体"/>
          <w:b/>
          <w:color w:val="auto"/>
          <w:sz w:val="28"/>
          <w:szCs w:val="22"/>
          <w:lang w:val="en-US" w:eastAsia="zh-CN"/>
        </w:rPr>
        <w:t>莫先生</w:t>
      </w:r>
      <w:r>
        <w:rPr>
          <w:rFonts w:hint="eastAsia" w:ascii="宋体" w:hAnsi="宋体"/>
          <w:b/>
          <w:color w:val="auto"/>
          <w:sz w:val="28"/>
          <w:szCs w:val="22"/>
        </w:rPr>
        <w:t xml:space="preserve">    </w:t>
      </w:r>
      <w:r>
        <w:rPr>
          <w:rFonts w:hint="eastAsia" w:ascii="宋体" w:hAnsi="宋体"/>
          <w:b/>
          <w:color w:val="auto"/>
          <w:sz w:val="28"/>
          <w:szCs w:val="22"/>
          <w:lang w:val="en-US" w:eastAsia="zh-CN"/>
        </w:rPr>
        <w:t xml:space="preserve">     </w:t>
      </w:r>
      <w:r>
        <w:rPr>
          <w:rFonts w:hint="eastAsia" w:ascii="宋体" w:hAnsi="宋体"/>
          <w:b/>
          <w:color w:val="auto"/>
          <w:sz w:val="28"/>
          <w:szCs w:val="22"/>
        </w:rPr>
        <w:t xml:space="preserve"> </w:t>
      </w:r>
      <w:r>
        <w:rPr>
          <w:rFonts w:hint="eastAsia" w:ascii="宋体" w:hAnsi="宋体"/>
          <w:b/>
          <w:color w:val="auto"/>
          <w:sz w:val="28"/>
          <w:szCs w:val="22"/>
          <w:lang w:val="en-US" w:eastAsia="zh-CN"/>
        </w:rPr>
        <w:t xml:space="preserve">  </w:t>
      </w:r>
      <w:r>
        <w:rPr>
          <w:rFonts w:hint="eastAsia" w:ascii="宋体" w:hAnsi="宋体"/>
          <w:b/>
          <w:color w:val="auto"/>
          <w:sz w:val="28"/>
          <w:szCs w:val="22"/>
          <w:lang w:eastAsia="zh-CN"/>
        </w:rPr>
        <w:t>联系电话：</w:t>
      </w:r>
      <w:r>
        <w:rPr>
          <w:rFonts w:hint="eastAsia" w:ascii="宋体" w:hAnsi="宋体"/>
          <w:b/>
          <w:color w:val="auto"/>
          <w:sz w:val="28"/>
          <w:szCs w:val="22"/>
          <w:lang w:val="en-US" w:eastAsia="zh-CN"/>
        </w:rPr>
        <w:t>13809988058</w:t>
      </w:r>
    </w:p>
    <w:p>
      <w:pPr>
        <w:pStyle w:val="26"/>
        <w:rPr>
          <w:rFonts w:hint="default"/>
          <w:color w:val="auto"/>
          <w:lang w:val="en-US" w:eastAsia="zh-CN"/>
        </w:rPr>
      </w:pPr>
    </w:p>
    <w:p>
      <w:pPr>
        <w:pStyle w:val="5"/>
        <w:numPr>
          <w:ilvl w:val="1"/>
          <w:numId w:val="0"/>
        </w:numPr>
        <w:rPr>
          <w:rFonts w:hint="default"/>
          <w:color w:val="auto"/>
          <w:lang w:val="en-US" w:eastAsia="zh-CN"/>
        </w:rPr>
      </w:pPr>
    </w:p>
    <w:p>
      <w:pPr>
        <w:rPr>
          <w:rFonts w:hint="default"/>
          <w:color w:val="auto"/>
          <w:lang w:val="en-US" w:eastAsia="zh-CN"/>
        </w:rPr>
      </w:pPr>
    </w:p>
    <w:p>
      <w:pPr>
        <w:widowControl/>
        <w:autoSpaceDE w:val="0"/>
        <w:autoSpaceDN w:val="0"/>
        <w:spacing w:line="360" w:lineRule="auto"/>
        <w:ind w:right="-26" w:firstLine="1815" w:firstLineChars="500"/>
        <w:jc w:val="both"/>
        <w:textAlignment w:val="bottom"/>
        <w:rPr>
          <w:rFonts w:hint="eastAsia" w:ascii="宋体" w:hAnsi="宋体" w:cs="宋体"/>
          <w:color w:val="auto"/>
          <w:sz w:val="32"/>
          <w:szCs w:val="32"/>
        </w:rPr>
      </w:pPr>
      <w:r>
        <w:rPr>
          <w:rFonts w:hint="eastAsia" w:ascii="宋体" w:hAnsi="宋体" w:cs="宋体"/>
          <w:b/>
          <w:color w:val="auto"/>
          <w:sz w:val="36"/>
          <w:szCs w:val="36"/>
        </w:rPr>
        <w:t>招投标监督管理机构备案登记栏</w:t>
      </w:r>
    </w:p>
    <w:tbl>
      <w:tblPr>
        <w:tblStyle w:val="28"/>
        <w:tblpPr w:leftFromText="180" w:rightFromText="180" w:vertAnchor="text" w:horzAnchor="page" w:tblpXSpec="center" w:tblpY="25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3" w:hRule="atLeast"/>
          <w:jc w:val="center"/>
        </w:trPr>
        <w:tc>
          <w:tcPr>
            <w:tcW w:w="8248" w:type="dxa"/>
            <w:noWrap w:val="0"/>
            <w:vAlign w:val="top"/>
          </w:tcPr>
          <w:p>
            <w:pPr>
              <w:pStyle w:val="5"/>
              <w:numPr>
                <w:ilvl w:val="0"/>
                <w:numId w:val="0"/>
              </w:numPr>
              <w:rPr>
                <w:rFonts w:hint="eastAsia" w:ascii="宋体" w:hAnsi="宋体" w:cs="宋体"/>
                <w:color w:val="auto"/>
              </w:rPr>
            </w:pPr>
            <w:bookmarkStart w:id="0" w:name="_Hlt10524029"/>
            <w:bookmarkEnd w:id="0"/>
            <w:bookmarkStart w:id="1" w:name="_Hlt10519329"/>
            <w:bookmarkEnd w:id="1"/>
            <w:bookmarkStart w:id="2" w:name="_Hlt42956360"/>
            <w:bookmarkEnd w:id="2"/>
            <w:bookmarkStart w:id="3" w:name="_Hlt10567911"/>
            <w:bookmarkEnd w:id="3"/>
            <w:bookmarkStart w:id="4" w:name="_Hlt10524018"/>
            <w:bookmarkEnd w:id="4"/>
            <w:bookmarkStart w:id="5" w:name="_Hlt10462525"/>
            <w:bookmarkEnd w:id="5"/>
            <w:bookmarkStart w:id="6" w:name="_Hlt42956379"/>
            <w:bookmarkEnd w:id="6"/>
            <w:bookmarkStart w:id="7" w:name="_Hlt10523642"/>
            <w:bookmarkEnd w:id="7"/>
            <w:bookmarkStart w:id="8" w:name="_Hlt10524010"/>
            <w:bookmarkEnd w:id="8"/>
            <w:bookmarkStart w:id="9" w:name="_Hlt10529670"/>
            <w:bookmarkEnd w:id="9"/>
          </w:p>
          <w:p>
            <w:pPr>
              <w:rPr>
                <w:rFonts w:hint="eastAsia" w:ascii="宋体" w:hAnsi="宋体" w:cs="宋体"/>
                <w:color w:val="auto"/>
              </w:rPr>
            </w:pPr>
          </w:p>
          <w:p>
            <w:pPr>
              <w:pStyle w:val="49"/>
              <w:rPr>
                <w:rFonts w:hint="eastAsia"/>
                <w:color w:val="auto"/>
              </w:rPr>
            </w:pPr>
          </w:p>
          <w:p>
            <w:pPr>
              <w:widowControl/>
              <w:adjustRightInd w:val="0"/>
              <w:spacing w:before="100" w:after="100" w:line="360" w:lineRule="auto"/>
              <w:jc w:val="left"/>
              <w:rPr>
                <w:rFonts w:hint="eastAsia" w:ascii="宋体" w:hAnsi="宋体" w:cs="宋体"/>
                <w:color w:val="auto"/>
                <w:sz w:val="30"/>
                <w:szCs w:val="30"/>
                <w:lang w:val="zh-CN"/>
              </w:rPr>
            </w:pPr>
            <w:r>
              <w:rPr>
                <w:rFonts w:hint="eastAsia" w:ascii="宋体" w:hAnsi="宋体" w:cs="宋体"/>
                <w:color w:val="auto"/>
                <w:sz w:val="30"/>
                <w:szCs w:val="30"/>
              </w:rPr>
              <w:t>招 标 人:</w:t>
            </w:r>
            <w:r>
              <w:rPr>
                <w:rFonts w:hint="eastAsia" w:ascii="宋体" w:hAnsi="宋体" w:cs="宋体"/>
                <w:color w:val="auto"/>
                <w:sz w:val="30"/>
                <w:szCs w:val="30"/>
                <w:lang w:eastAsia="zh-CN"/>
              </w:rPr>
              <w:t>阿图什市教育局</w:t>
            </w:r>
          </w:p>
          <w:p>
            <w:pPr>
              <w:pStyle w:val="5"/>
              <w:numPr>
                <w:ilvl w:val="0"/>
                <w:numId w:val="0"/>
              </w:numPr>
              <w:rPr>
                <w:rFonts w:hint="eastAsia" w:ascii="宋体" w:hAnsi="宋体" w:cs="宋体"/>
                <w:color w:val="auto"/>
              </w:rPr>
            </w:pPr>
          </w:p>
          <w:p>
            <w:pPr>
              <w:rPr>
                <w:rFonts w:hint="eastAsia" w:ascii="宋体" w:hAnsi="宋体" w:cs="宋体"/>
                <w:color w:val="auto"/>
              </w:rPr>
            </w:pPr>
          </w:p>
          <w:p>
            <w:pPr>
              <w:pStyle w:val="49"/>
              <w:rPr>
                <w:rFonts w:hint="eastAsia"/>
                <w:color w:val="auto"/>
              </w:rPr>
            </w:pPr>
          </w:p>
          <w:p>
            <w:pPr>
              <w:widowControl/>
              <w:adjustRightInd w:val="0"/>
              <w:spacing w:before="100" w:after="100" w:line="360" w:lineRule="auto"/>
              <w:jc w:val="left"/>
              <w:rPr>
                <w:rFonts w:hint="eastAsia" w:ascii="宋体" w:hAnsi="宋体" w:cs="宋体"/>
                <w:b/>
                <w:color w:val="auto"/>
                <w:sz w:val="32"/>
              </w:rPr>
            </w:pPr>
          </w:p>
          <w:p>
            <w:pPr>
              <w:pStyle w:val="26"/>
              <w:ind w:left="0" w:leftChars="0" w:firstLine="0" w:firstLineChars="0"/>
              <w:jc w:val="both"/>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eastAsia="zh-CN"/>
              </w:rPr>
              <w:t>项目名称：</w:t>
            </w:r>
            <w:r>
              <w:rPr>
                <w:rFonts w:hint="eastAsia" w:ascii="宋体" w:hAnsi="宋体" w:eastAsia="宋体" w:cs="宋体"/>
                <w:color w:val="auto"/>
                <w:sz w:val="30"/>
                <w:szCs w:val="30"/>
                <w:lang w:val="en-US" w:eastAsia="zh-CN"/>
              </w:rPr>
              <w:t>2023年教育脱贫攻坚同乡村振兴</w:t>
            </w:r>
            <w:r>
              <w:rPr>
                <w:rFonts w:hint="eastAsia" w:ascii="宋体" w:hAnsi="宋体" w:cs="宋体"/>
                <w:color w:val="auto"/>
                <w:sz w:val="30"/>
                <w:szCs w:val="30"/>
                <w:lang w:val="en-US" w:eastAsia="zh-CN"/>
              </w:rPr>
              <w:t>有效</w:t>
            </w:r>
            <w:r>
              <w:rPr>
                <w:rFonts w:hint="eastAsia" w:ascii="宋体" w:hAnsi="宋体" w:eastAsia="宋体" w:cs="宋体"/>
                <w:color w:val="auto"/>
                <w:sz w:val="30"/>
                <w:szCs w:val="30"/>
                <w:lang w:val="en-US" w:eastAsia="zh-CN"/>
              </w:rPr>
              <w:t>衔接义务教育学校建设项目（设备采购）</w:t>
            </w:r>
            <w:r>
              <w:rPr>
                <w:rFonts w:hint="eastAsia" w:ascii="宋体" w:hAnsi="宋体" w:cs="宋体"/>
                <w:color w:val="auto"/>
                <w:sz w:val="30"/>
                <w:szCs w:val="30"/>
                <w:lang w:val="en-US" w:eastAsia="zh-CN"/>
              </w:rPr>
              <w:t>二包</w:t>
            </w:r>
          </w:p>
          <w:p>
            <w:pPr>
              <w:widowControl/>
              <w:adjustRightInd w:val="0"/>
              <w:spacing w:before="100" w:after="100" w:line="360" w:lineRule="auto"/>
              <w:jc w:val="left"/>
              <w:rPr>
                <w:rFonts w:hint="eastAsia" w:ascii="宋体" w:hAnsi="宋体" w:eastAsia="宋体" w:cs="宋体"/>
                <w:color w:val="auto"/>
                <w:sz w:val="30"/>
                <w:szCs w:val="30"/>
                <w:lang w:eastAsia="zh-CN"/>
              </w:rPr>
            </w:pPr>
          </w:p>
          <w:p>
            <w:pPr>
              <w:pStyle w:val="26"/>
              <w:rPr>
                <w:rFonts w:hint="eastAsia" w:ascii="宋体" w:hAnsi="宋体" w:eastAsia="宋体" w:cs="宋体"/>
                <w:color w:val="auto"/>
                <w:sz w:val="30"/>
                <w:szCs w:val="30"/>
                <w:lang w:eastAsia="zh-CN"/>
              </w:rPr>
            </w:pPr>
          </w:p>
          <w:p>
            <w:pPr>
              <w:rPr>
                <w:rFonts w:hint="eastAsia" w:ascii="宋体" w:hAnsi="宋体" w:eastAsia="宋体" w:cs="宋体"/>
                <w:color w:val="auto"/>
                <w:sz w:val="30"/>
                <w:szCs w:val="30"/>
                <w:lang w:eastAsia="zh-CN"/>
              </w:rPr>
            </w:pPr>
          </w:p>
          <w:p>
            <w:pPr>
              <w:pStyle w:val="26"/>
              <w:rPr>
                <w:rFonts w:hint="eastAsia"/>
                <w:color w:val="auto"/>
                <w:lang w:eastAsia="zh-CN"/>
              </w:rPr>
            </w:pPr>
          </w:p>
          <w:p>
            <w:pPr>
              <w:widowControl/>
              <w:adjustRightInd w:val="0"/>
              <w:spacing w:before="100" w:after="100" w:line="360" w:lineRule="auto"/>
              <w:jc w:val="left"/>
              <w:rPr>
                <w:rFonts w:hint="eastAsia" w:ascii="宋体" w:hAnsi="宋体" w:eastAsia="宋体" w:cs="宋体"/>
                <w:color w:val="auto"/>
                <w:sz w:val="30"/>
                <w:szCs w:val="30"/>
                <w:lang w:eastAsia="zh-CN"/>
              </w:rPr>
            </w:pPr>
          </w:p>
          <w:p>
            <w:pPr>
              <w:widowControl/>
              <w:adjustRightInd w:val="0"/>
              <w:spacing w:before="100" w:after="100" w:line="360" w:lineRule="auto"/>
              <w:jc w:val="left"/>
              <w:rPr>
                <w:rFonts w:hint="eastAsia" w:ascii="宋体" w:hAnsi="宋体" w:eastAsia="宋体" w:cs="宋体"/>
                <w:color w:val="auto"/>
                <w:sz w:val="30"/>
                <w:szCs w:val="30"/>
                <w:lang w:eastAsia="zh-CN"/>
              </w:rPr>
            </w:pPr>
            <w:r>
              <w:rPr>
                <w:rFonts w:hint="eastAsia" w:ascii="宋体" w:hAnsi="宋体" w:eastAsia="宋体" w:cs="宋体"/>
                <w:color w:val="auto"/>
                <w:sz w:val="30"/>
                <w:szCs w:val="30"/>
                <w:lang w:val="en-US" w:eastAsia="zh-CN"/>
              </w:rPr>
              <w:t>招标代理机构：</w:t>
            </w:r>
            <w:r>
              <w:rPr>
                <w:rFonts w:hint="eastAsia" w:ascii="宋体" w:hAnsi="宋体" w:cs="宋体"/>
                <w:color w:val="auto"/>
                <w:sz w:val="30"/>
                <w:szCs w:val="30"/>
                <w:lang w:val="zh-CN" w:eastAsia="zh-CN"/>
              </w:rPr>
              <w:t>中轩项目管理有限公司</w:t>
            </w:r>
          </w:p>
          <w:p>
            <w:pPr>
              <w:pStyle w:val="26"/>
              <w:ind w:left="0" w:leftChars="0" w:firstLine="0" w:firstLineChars="0"/>
              <w:rPr>
                <w:rFonts w:hint="eastAsia" w:ascii="宋体" w:hAnsi="宋体" w:eastAsia="宋体" w:cs="宋体"/>
                <w:color w:val="auto"/>
                <w:sz w:val="30"/>
                <w:szCs w:val="30"/>
                <w:lang w:eastAsia="zh-CN"/>
              </w:rPr>
            </w:pPr>
          </w:p>
          <w:p>
            <w:pPr>
              <w:rPr>
                <w:rFonts w:hint="eastAsia"/>
                <w:color w:val="auto"/>
                <w:lang w:eastAsia="zh-CN"/>
              </w:rPr>
            </w:pPr>
          </w:p>
          <w:p>
            <w:pPr>
              <w:pStyle w:val="26"/>
              <w:rPr>
                <w:rFonts w:hint="eastAsia"/>
                <w:color w:val="auto"/>
                <w:lang w:eastAsia="zh-CN"/>
              </w:rPr>
            </w:pPr>
          </w:p>
          <w:p>
            <w:pPr>
              <w:widowControl/>
              <w:adjustRightInd w:val="0"/>
              <w:spacing w:before="100" w:after="100" w:line="360" w:lineRule="auto"/>
              <w:ind w:firstLine="2121" w:firstLineChars="700"/>
              <w:jc w:val="left"/>
              <w:rPr>
                <w:rFonts w:hint="eastAsia" w:ascii="宋体" w:hAnsi="宋体" w:cs="宋体"/>
                <w:color w:val="auto"/>
                <w:sz w:val="32"/>
                <w:szCs w:val="32"/>
              </w:rPr>
            </w:pPr>
            <w:r>
              <w:rPr>
                <w:rFonts w:hint="eastAsia" w:ascii="宋体" w:hAnsi="宋体" w:eastAsia="宋体" w:cs="宋体"/>
                <w:color w:val="auto"/>
                <w:sz w:val="30"/>
                <w:szCs w:val="30"/>
                <w:lang w:eastAsia="zh-CN"/>
              </w:rPr>
              <w:t>本采购项目招标文件已报备</w:t>
            </w:r>
          </w:p>
        </w:tc>
      </w:tr>
    </w:tbl>
    <w:p>
      <w:pPr>
        <w:pStyle w:val="49"/>
        <w:spacing w:line="240" w:lineRule="auto"/>
        <w:ind w:left="0" w:leftChars="0" w:firstLine="0" w:firstLineChars="0"/>
        <w:rPr>
          <w:rFonts w:hint="eastAsia"/>
          <w:color w:val="auto"/>
        </w:rPr>
      </w:pPr>
    </w:p>
    <w:p>
      <w:pPr>
        <w:pStyle w:val="49"/>
        <w:spacing w:line="240" w:lineRule="auto"/>
        <w:ind w:left="0" w:leftChars="0" w:firstLine="0" w:firstLineChars="0"/>
        <w:rPr>
          <w:rFonts w:hint="eastAsia"/>
          <w:color w:val="auto"/>
        </w:rPr>
      </w:pPr>
    </w:p>
    <w:p>
      <w:pPr>
        <w:pStyle w:val="49"/>
        <w:spacing w:line="240" w:lineRule="auto"/>
        <w:ind w:left="0" w:leftChars="0" w:firstLine="0" w:firstLineChars="0"/>
        <w:rPr>
          <w:rFonts w:hint="eastAsia"/>
          <w:color w:val="auto"/>
        </w:rPr>
      </w:pPr>
    </w:p>
    <w:p>
      <w:pPr>
        <w:shd w:val="clear" w:color="auto" w:fill="auto"/>
        <w:jc w:val="center"/>
        <w:rPr>
          <w:rFonts w:hint="eastAsia"/>
          <w:b/>
          <w:color w:val="auto"/>
          <w:sz w:val="36"/>
          <w:highlight w:val="none"/>
        </w:rPr>
      </w:pPr>
      <w:r>
        <w:rPr>
          <w:rFonts w:hint="eastAsia"/>
          <w:b/>
          <w:color w:val="auto"/>
          <w:sz w:val="36"/>
          <w:highlight w:val="none"/>
        </w:rPr>
        <w:t>目  录</w:t>
      </w:r>
    </w:p>
    <w:p>
      <w:pPr>
        <w:pStyle w:val="19"/>
        <w:keepNext w:val="0"/>
        <w:keepLines w:val="0"/>
        <w:pageBreakBefore w:val="0"/>
        <w:widowControl w:val="0"/>
        <w:shd w:val="clear" w:color="auto" w:fill="auto"/>
        <w:tabs>
          <w:tab w:val="left" w:pos="1050"/>
          <w:tab w:val="right" w:leader="dot" w:pos="8296"/>
        </w:tabs>
        <w:kinsoku/>
        <w:wordWrap/>
        <w:overflowPunct/>
        <w:topLinePunct w:val="0"/>
        <w:autoSpaceDE/>
        <w:autoSpaceDN/>
        <w:bidi w:val="0"/>
        <w:adjustRightInd/>
        <w:snapToGrid/>
        <w:spacing w:line="440" w:lineRule="exact"/>
        <w:ind w:firstLine="486" w:firstLineChars="200"/>
        <w:textAlignment w:val="auto"/>
        <w:rPr>
          <w:rFonts w:ascii="宋体" w:hAnsi="宋体"/>
          <w:color w:val="auto"/>
          <w:szCs w:val="22"/>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TOC \o "1-3" \h \z \u </w:instrText>
      </w:r>
      <w:r>
        <w:rPr>
          <w:rFonts w:hint="eastAsia" w:ascii="宋体" w:hAnsi="宋体" w:cs="宋体"/>
          <w:color w:val="auto"/>
          <w:sz w:val="24"/>
          <w:highlight w:val="none"/>
        </w:rPr>
        <w:fldChar w:fldCharType="separate"/>
      </w: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"_Toc469495720"</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bCs/>
          <w:color w:val="auto"/>
          <w:highlight w:val="none"/>
        </w:rPr>
        <w:t>第一章</w:t>
      </w:r>
      <w:r>
        <w:rPr>
          <w:rStyle w:val="38"/>
          <w:rFonts w:hint="eastAsia" w:ascii="宋体" w:hAnsi="宋体"/>
          <w:bCs/>
          <w:color w:val="auto"/>
          <w:highlight w:val="none"/>
          <w:lang w:val="en-US" w:eastAsia="zh-CN"/>
        </w:rPr>
        <w:t xml:space="preserve"> </w:t>
      </w:r>
      <w:r>
        <w:rPr>
          <w:rStyle w:val="38"/>
          <w:rFonts w:hint="eastAsia" w:ascii="宋体" w:hAnsi="宋体"/>
          <w:bCs/>
          <w:color w:val="auto"/>
          <w:highlight w:val="none"/>
        </w:rPr>
        <w:t>招标公告</w:t>
      </w:r>
      <w:r>
        <w:rPr>
          <w:rFonts w:ascii="宋体" w:hAnsi="宋体"/>
          <w:color w:val="auto"/>
          <w:szCs w:val="22"/>
          <w:highlight w:val="none"/>
        </w:rPr>
        <w:tab/>
      </w:r>
      <w:r>
        <w:rPr>
          <w:rFonts w:hint="eastAsia" w:ascii="宋体" w:hAnsi="宋体"/>
          <w:color w:val="auto"/>
          <w:szCs w:val="22"/>
          <w:highlight w:val="none"/>
          <w:lang w:val="en-US" w:eastAsia="zh-CN"/>
        </w:rPr>
        <w:t>4</w:t>
      </w:r>
      <w:r>
        <w:rPr>
          <w:rFonts w:ascii="宋体" w:hAnsi="宋体"/>
          <w:color w:val="auto"/>
          <w:highlight w:val="none"/>
        </w:rPr>
        <w:fldChar w:fldCharType="end"/>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6" w:firstLineChars="200"/>
        <w:textAlignment w:val="auto"/>
        <w:rPr>
          <w:rFonts w:ascii="宋体" w:hAnsi="宋体"/>
          <w:color w:val="auto"/>
          <w:szCs w:val="22"/>
          <w:highlight w:val="none"/>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"_Toc469495721"</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第二章</w:t>
      </w:r>
      <w:r>
        <w:rPr>
          <w:rStyle w:val="38"/>
          <w:rFonts w:ascii="宋体" w:hAnsi="宋体"/>
          <w:color w:val="auto"/>
          <w:highlight w:val="none"/>
        </w:rPr>
        <w:t xml:space="preserve"> </w:t>
      </w:r>
      <w:r>
        <w:rPr>
          <w:rStyle w:val="38"/>
          <w:rFonts w:hint="eastAsia" w:ascii="宋体" w:hAnsi="宋体"/>
          <w:color w:val="auto"/>
          <w:highlight w:val="none"/>
        </w:rPr>
        <w:t>投标人须知</w:t>
      </w:r>
      <w:r>
        <w:rPr>
          <w:rFonts w:ascii="宋体" w:hAnsi="宋体"/>
          <w:color w:val="auto"/>
          <w:highlight w:val="none"/>
        </w:rPr>
        <w:tab/>
      </w:r>
      <w:r>
        <w:rPr>
          <w:rFonts w:hint="eastAsia" w:ascii="宋体" w:hAnsi="宋体"/>
          <w:color w:val="auto"/>
          <w:highlight w:val="none"/>
          <w:lang w:val="en-US" w:eastAsia="zh-CN"/>
        </w:rPr>
        <w:t>9</w:t>
      </w:r>
      <w:r>
        <w:rPr>
          <w:rFonts w:ascii="宋体" w:hAnsi="宋体"/>
          <w:color w:val="auto"/>
          <w:highlight w:val="none"/>
        </w:rPr>
        <w:fldChar w:fldCharType="end"/>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ascii="宋体" w:hAnsi="宋体"/>
          <w:color w:val="auto"/>
          <w:szCs w:val="22"/>
          <w:highlight w:val="none"/>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"_Toc469495722"</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一、投标人须知前附表</w:t>
      </w:r>
      <w:r>
        <w:rPr>
          <w:rFonts w:ascii="宋体" w:hAnsi="宋体"/>
          <w:color w:val="auto"/>
          <w:highlight w:val="none"/>
        </w:rPr>
        <w:tab/>
      </w:r>
      <w:r>
        <w:rPr>
          <w:rFonts w:hint="eastAsia" w:ascii="宋体" w:hAnsi="宋体"/>
          <w:color w:val="auto"/>
          <w:highlight w:val="none"/>
          <w:lang w:val="en-US" w:eastAsia="zh-CN"/>
        </w:rPr>
        <w:t>9</w:t>
      </w:r>
      <w:r>
        <w:rPr>
          <w:rFonts w:ascii="宋体" w:hAnsi="宋体"/>
          <w:color w:val="auto"/>
          <w:highlight w:val="none"/>
        </w:rPr>
        <w:fldChar w:fldCharType="end"/>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color w:val="auto"/>
          <w:highlight w:val="none"/>
          <w:lang w:val="en-US" w:eastAsia="zh-CN"/>
        </w:rPr>
      </w:pPr>
      <w:r>
        <w:rPr>
          <w:rFonts w:ascii="宋体" w:hAnsi="宋体"/>
          <w:color w:val="auto"/>
          <w:highlight w:val="none"/>
        </w:rPr>
        <w:fldChar w:fldCharType="begin"/>
      </w:r>
      <w:r>
        <w:rPr>
          <w:rFonts w:ascii="宋体" w:hAnsi="宋体"/>
          <w:color w:val="auto"/>
          <w:highlight w:val="none"/>
        </w:rPr>
        <w:instrText xml:space="preserve"> HYPERLINK \l "_Toc469495723" </w:instrText>
      </w:r>
      <w:r>
        <w:rPr>
          <w:rFonts w:ascii="宋体" w:hAnsi="宋体"/>
          <w:color w:val="auto"/>
          <w:highlight w:val="none"/>
        </w:rPr>
        <w:fldChar w:fldCharType="separate"/>
      </w:r>
      <w:r>
        <w:rPr>
          <w:rFonts w:hint="eastAsia" w:ascii="宋体" w:hAnsi="宋体"/>
          <w:color w:val="auto"/>
          <w:highlight w:val="none"/>
        </w:rPr>
        <w:t>二、投标人须知</w:t>
      </w:r>
      <w:r>
        <w:rPr>
          <w:rFonts w:ascii="宋体" w:hAnsi="宋体"/>
          <w:color w:val="auto"/>
          <w:highlight w:val="none"/>
        </w:rPr>
        <w:tab/>
      </w:r>
      <w:r>
        <w:rPr>
          <w:rFonts w:hint="eastAsia" w:ascii="宋体" w:hAnsi="宋体"/>
          <w:color w:val="auto"/>
          <w:highlight w:val="none"/>
          <w:lang w:val="en-US" w:eastAsia="zh-CN"/>
        </w:rPr>
        <w:t>1</w:t>
      </w:r>
      <w:r>
        <w:rPr>
          <w:rFonts w:ascii="宋体" w:hAnsi="宋体"/>
          <w:color w:val="auto"/>
          <w:highlight w:val="none"/>
        </w:rPr>
        <w:fldChar w:fldCharType="end"/>
      </w:r>
      <w:r>
        <w:rPr>
          <w:rFonts w:hint="eastAsia" w:ascii="宋体" w:hAnsi="宋体"/>
          <w:color w:val="auto"/>
          <w:highlight w:val="none"/>
          <w:lang w:val="en-US" w:eastAsia="zh-CN"/>
        </w:rPr>
        <w:t>7</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1.政府采购投诉书(范本、质疑函范本）..................................36</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639" w:firstLineChars="3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政府采购投诉书范本...............................................36</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color w:val="auto"/>
          <w:highlight w:val="none"/>
          <w:lang w:val="en-US" w:eastAsia="zh-CN"/>
        </w:rPr>
      </w:pPr>
      <w:r>
        <w:rPr>
          <w:rFonts w:hint="eastAsia" w:ascii="宋体" w:hAnsi="宋体"/>
          <w:color w:val="auto"/>
          <w:highlight w:val="none"/>
          <w:lang w:val="en-US" w:eastAsia="zh-CN"/>
        </w:rPr>
        <w:t>2.投诉相关说明.....................................................37</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3.质疑函范本.......................................................39</w:t>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6"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"_Toc469495731"</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第三章</w:t>
      </w:r>
      <w:r>
        <w:rPr>
          <w:rStyle w:val="38"/>
          <w:rFonts w:ascii="宋体" w:hAnsi="宋体"/>
          <w:color w:val="auto"/>
          <w:highlight w:val="none"/>
        </w:rPr>
        <w:t xml:space="preserve">  </w:t>
      </w:r>
      <w:r>
        <w:rPr>
          <w:rStyle w:val="38"/>
          <w:rFonts w:hint="eastAsia" w:ascii="宋体" w:hAnsi="宋体"/>
          <w:color w:val="auto"/>
          <w:highlight w:val="none"/>
        </w:rPr>
        <w:t>评标办法</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0</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"_Toc469495732"</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一</w:t>
      </w:r>
      <w:r>
        <w:rPr>
          <w:rStyle w:val="38"/>
          <w:rFonts w:ascii="宋体" w:hAnsi="宋体"/>
          <w:color w:val="auto"/>
          <w:highlight w:val="none"/>
        </w:rPr>
        <w:t xml:space="preserve">  </w:t>
      </w:r>
      <w:r>
        <w:rPr>
          <w:rStyle w:val="38"/>
          <w:rFonts w:hint="eastAsia" w:ascii="宋体" w:hAnsi="宋体"/>
          <w:color w:val="auto"/>
          <w:highlight w:val="none"/>
        </w:rPr>
        <w:t>总则</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0</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"_Toc469495733"</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二</w:t>
      </w:r>
      <w:r>
        <w:rPr>
          <w:rStyle w:val="38"/>
          <w:rFonts w:ascii="宋体" w:hAnsi="宋体"/>
          <w:color w:val="auto"/>
          <w:highlight w:val="none"/>
        </w:rPr>
        <w:t xml:space="preserve">  </w:t>
      </w:r>
      <w:r>
        <w:rPr>
          <w:rStyle w:val="38"/>
          <w:rFonts w:hint="eastAsia" w:ascii="宋体" w:hAnsi="宋体"/>
          <w:color w:val="auto"/>
          <w:highlight w:val="none"/>
        </w:rPr>
        <w:t>投标文件初审</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2</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"_Toc469495734"</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三</w:t>
      </w:r>
      <w:r>
        <w:rPr>
          <w:rStyle w:val="38"/>
          <w:rFonts w:ascii="宋体" w:hAnsi="宋体"/>
          <w:color w:val="auto"/>
          <w:highlight w:val="none"/>
        </w:rPr>
        <w:t xml:space="preserve">  </w:t>
      </w:r>
      <w:r>
        <w:rPr>
          <w:rStyle w:val="38"/>
          <w:rFonts w:hint="eastAsia" w:ascii="宋体" w:hAnsi="宋体"/>
          <w:color w:val="auto"/>
          <w:highlight w:val="none"/>
        </w:rPr>
        <w:t>投标文件的澄清和补正</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3</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"_Toc469495735"</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四</w:t>
      </w:r>
      <w:r>
        <w:rPr>
          <w:rStyle w:val="38"/>
          <w:rFonts w:ascii="宋体" w:hAnsi="宋体"/>
          <w:color w:val="auto"/>
          <w:highlight w:val="none"/>
        </w:rPr>
        <w:t xml:space="preserve"> </w:t>
      </w:r>
      <w:r>
        <w:rPr>
          <w:rStyle w:val="38"/>
          <w:rFonts w:hint="eastAsia" w:ascii="宋体" w:hAnsi="宋体"/>
          <w:color w:val="auto"/>
          <w:highlight w:val="none"/>
          <w:lang w:val="en-US" w:eastAsia="zh-CN"/>
        </w:rPr>
        <w:t xml:space="preserve"> </w:t>
      </w:r>
      <w:r>
        <w:rPr>
          <w:rStyle w:val="38"/>
          <w:rFonts w:hint="eastAsia" w:ascii="宋体" w:hAnsi="宋体"/>
          <w:color w:val="auto"/>
          <w:highlight w:val="none"/>
        </w:rPr>
        <w:t>比较与评价</w:t>
      </w:r>
      <w:r>
        <w:rPr>
          <w:rFonts w:ascii="宋体" w:hAnsi="宋体"/>
          <w:color w:val="auto"/>
          <w:highlight w:val="none"/>
        </w:rPr>
        <w:tab/>
      </w:r>
      <w:r>
        <w:rPr>
          <w:rFonts w:hint="eastAsia" w:ascii="宋体" w:hAnsi="宋体"/>
          <w:color w:val="auto"/>
          <w:highlight w:val="none"/>
          <w:lang w:val="en-US" w:eastAsia="zh-CN"/>
        </w:rPr>
        <w:t>4</w:t>
      </w:r>
      <w:r>
        <w:rPr>
          <w:rFonts w:ascii="宋体" w:hAnsi="宋体"/>
          <w:color w:val="auto"/>
          <w:highlight w:val="none"/>
        </w:rPr>
        <w:fldChar w:fldCharType="end"/>
      </w:r>
      <w:r>
        <w:rPr>
          <w:rFonts w:hint="eastAsia" w:ascii="宋体" w:hAnsi="宋体"/>
          <w:color w:val="auto"/>
          <w:highlight w:val="none"/>
          <w:lang w:val="en-US" w:eastAsia="zh-CN"/>
        </w:rPr>
        <w:t>4</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default" w:ascii="宋体" w:hAnsi="宋体"/>
          <w:color w:val="auto"/>
          <w:highlight w:val="none"/>
          <w:lang w:val="en-US" w:eastAsia="zh-CN"/>
        </w:rPr>
      </w:pPr>
      <w:r>
        <w:rPr>
          <w:rFonts w:ascii="宋体" w:hAnsi="宋体"/>
          <w:color w:val="auto"/>
          <w:highlight w:val="none"/>
        </w:rPr>
        <w:fldChar w:fldCharType="begin"/>
      </w:r>
      <w:r>
        <w:rPr>
          <w:rFonts w:ascii="宋体" w:hAnsi="宋体"/>
          <w:color w:val="auto"/>
          <w:highlight w:val="none"/>
        </w:rPr>
        <w:instrText xml:space="preserve"> HYPERLINK \l "_Toc469495736" </w:instrText>
      </w:r>
      <w:r>
        <w:rPr>
          <w:rFonts w:ascii="宋体" w:hAnsi="宋体"/>
          <w:color w:val="auto"/>
          <w:highlight w:val="none"/>
        </w:rPr>
        <w:fldChar w:fldCharType="separate"/>
      </w:r>
      <w:r>
        <w:rPr>
          <w:rFonts w:hint="eastAsia" w:ascii="宋体" w:hAnsi="宋体"/>
          <w:color w:val="auto"/>
          <w:highlight w:val="none"/>
        </w:rPr>
        <w:t>五</w:t>
      </w:r>
      <w:r>
        <w:rPr>
          <w:rFonts w:ascii="宋体" w:hAnsi="宋体"/>
          <w:color w:val="auto"/>
          <w:highlight w:val="none"/>
        </w:rPr>
        <w:t xml:space="preserve">  </w:t>
      </w:r>
      <w:r>
        <w:rPr>
          <w:rFonts w:hint="eastAsia" w:ascii="宋体" w:hAnsi="宋体"/>
          <w:color w:val="auto"/>
          <w:highlight w:val="none"/>
        </w:rPr>
        <w:t>推荐中标候选人</w:t>
      </w:r>
      <w:r>
        <w:rPr>
          <w:rFonts w:ascii="宋体" w:hAnsi="宋体"/>
          <w:color w:val="auto"/>
          <w:highlight w:val="none"/>
        </w:rPr>
        <w:tab/>
      </w:r>
      <w:r>
        <w:rPr>
          <w:rFonts w:ascii="宋体" w:hAnsi="宋体"/>
          <w:color w:val="auto"/>
          <w:highlight w:val="none"/>
        </w:rPr>
        <w:fldChar w:fldCharType="end"/>
      </w:r>
      <w:r>
        <w:rPr>
          <w:rFonts w:hint="eastAsia" w:ascii="宋体" w:hAnsi="宋体"/>
          <w:color w:val="auto"/>
          <w:highlight w:val="none"/>
          <w:lang w:val="en-US" w:eastAsia="zh-CN"/>
        </w:rPr>
        <w:t>47</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第四章  采购内容及技术要求..............................................49</w:t>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6" w:firstLineChars="200"/>
        <w:textAlignment w:val="auto"/>
        <w:rPr>
          <w:rFonts w:hint="default"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"_Toc469495740"</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第五章</w:t>
      </w:r>
      <w:r>
        <w:rPr>
          <w:rStyle w:val="38"/>
          <w:rFonts w:ascii="宋体" w:hAnsi="宋体"/>
          <w:color w:val="auto"/>
          <w:highlight w:val="none"/>
        </w:rPr>
        <w:t xml:space="preserve">  </w:t>
      </w:r>
      <w:r>
        <w:rPr>
          <w:rStyle w:val="38"/>
          <w:rFonts w:hint="eastAsia" w:ascii="宋体" w:hAnsi="宋体"/>
          <w:color w:val="auto"/>
          <w:highlight w:val="none"/>
        </w:rPr>
        <w:t>合同条款及格式</w:t>
      </w:r>
      <w:r>
        <w:rPr>
          <w:rFonts w:ascii="宋体" w:hAnsi="宋体"/>
          <w:color w:val="auto"/>
          <w:highlight w:val="none"/>
        </w:rPr>
        <w:tab/>
      </w:r>
      <w:r>
        <w:rPr>
          <w:rFonts w:ascii="宋体" w:hAnsi="宋体"/>
          <w:color w:val="auto"/>
          <w:highlight w:val="none"/>
        </w:rPr>
        <w:fldChar w:fldCharType="end"/>
      </w:r>
      <w:r>
        <w:rPr>
          <w:rFonts w:hint="eastAsia" w:ascii="宋体" w:hAnsi="宋体"/>
          <w:color w:val="auto"/>
          <w:highlight w:val="none"/>
          <w:lang w:val="en-US" w:eastAsia="zh-CN"/>
        </w:rPr>
        <w:t>58</w:t>
      </w:r>
    </w:p>
    <w:p>
      <w:pPr>
        <w:pStyle w:val="22"/>
        <w:keepNext w:val="0"/>
        <w:keepLines w:val="0"/>
        <w:pageBreakBefore w:val="0"/>
        <w:widowControl w:val="0"/>
        <w:shd w:val="clear" w:color="auto" w:fill="auto"/>
        <w:tabs>
          <w:tab w:val="left" w:pos="945"/>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default"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"_Toc469495741"</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一</w:t>
      </w:r>
      <w:r>
        <w:rPr>
          <w:rStyle w:val="38"/>
          <w:rFonts w:hint="eastAsia" w:ascii="宋体" w:hAnsi="宋体"/>
          <w:color w:val="auto"/>
          <w:highlight w:val="none"/>
          <w:lang w:val="en-US" w:eastAsia="zh-CN"/>
        </w:rPr>
        <w:t xml:space="preserve">  </w:t>
      </w:r>
      <w:r>
        <w:rPr>
          <w:rStyle w:val="38"/>
          <w:rFonts w:hint="eastAsia" w:ascii="宋体" w:hAnsi="宋体"/>
          <w:color w:val="auto"/>
          <w:highlight w:val="none"/>
        </w:rPr>
        <w:t>合同协议书</w:t>
      </w:r>
      <w:r>
        <w:rPr>
          <w:rFonts w:ascii="宋体" w:hAnsi="宋体"/>
          <w:color w:val="auto"/>
          <w:highlight w:val="none"/>
        </w:rPr>
        <w:tab/>
      </w:r>
      <w:r>
        <w:rPr>
          <w:rFonts w:ascii="宋体" w:hAnsi="宋体"/>
          <w:color w:val="auto"/>
          <w:highlight w:val="none"/>
        </w:rPr>
        <w:fldChar w:fldCharType="end"/>
      </w:r>
      <w:r>
        <w:rPr>
          <w:rFonts w:hint="eastAsia" w:ascii="宋体" w:hAnsi="宋体"/>
          <w:color w:val="auto"/>
          <w:highlight w:val="none"/>
          <w:lang w:val="en-US" w:eastAsia="zh-CN"/>
        </w:rPr>
        <w:t>58</w:t>
      </w:r>
    </w:p>
    <w:p>
      <w:pPr>
        <w:pStyle w:val="22"/>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left="420" w:firstLine="426" w:firstLineChars="200"/>
        <w:textAlignment w:val="auto"/>
        <w:rPr>
          <w:rFonts w:hint="default"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"_Toc469495742"</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二</w:t>
      </w:r>
      <w:r>
        <w:rPr>
          <w:rStyle w:val="38"/>
          <w:rFonts w:ascii="宋体" w:hAnsi="宋体"/>
          <w:color w:val="auto"/>
          <w:highlight w:val="none"/>
        </w:rPr>
        <w:t xml:space="preserve">  </w:t>
      </w:r>
      <w:r>
        <w:rPr>
          <w:rStyle w:val="38"/>
          <w:rFonts w:hint="eastAsia" w:ascii="宋体" w:hAnsi="宋体"/>
          <w:color w:val="auto"/>
          <w:highlight w:val="none"/>
        </w:rPr>
        <w:t>合同条款</w:t>
      </w:r>
      <w:r>
        <w:rPr>
          <w:rFonts w:ascii="宋体" w:hAnsi="宋体"/>
          <w:color w:val="auto"/>
          <w:highlight w:val="none"/>
        </w:rPr>
        <w:tab/>
      </w:r>
      <w:r>
        <w:rPr>
          <w:rFonts w:hint="eastAsia" w:ascii="宋体" w:hAnsi="宋体"/>
          <w:color w:val="auto"/>
          <w:highlight w:val="none"/>
          <w:lang w:val="en-US" w:eastAsia="zh-CN"/>
        </w:rPr>
        <w:t>.</w:t>
      </w:r>
      <w:r>
        <w:rPr>
          <w:rFonts w:ascii="宋体" w:hAnsi="宋体"/>
          <w:color w:val="auto"/>
          <w:highlight w:val="none"/>
        </w:rPr>
        <w:fldChar w:fldCharType="end"/>
      </w:r>
      <w:r>
        <w:rPr>
          <w:rFonts w:hint="eastAsia" w:ascii="宋体" w:hAnsi="宋体"/>
          <w:color w:val="auto"/>
          <w:highlight w:val="none"/>
          <w:lang w:val="en-US" w:eastAsia="zh-CN"/>
        </w:rPr>
        <w:t>59</w:t>
      </w:r>
    </w:p>
    <w:p>
      <w:pPr>
        <w:pStyle w:val="19"/>
        <w:keepNext w:val="0"/>
        <w:keepLines w:val="0"/>
        <w:pageBreakBefore w:val="0"/>
        <w:widowControl w:val="0"/>
        <w:shd w:val="clear" w:color="auto" w:fill="auto"/>
        <w:tabs>
          <w:tab w:val="right" w:leader="dot" w:pos="8296"/>
        </w:tabs>
        <w:kinsoku/>
        <w:wordWrap/>
        <w:overflowPunct/>
        <w:topLinePunct w:val="0"/>
        <w:autoSpaceDE/>
        <w:autoSpaceDN/>
        <w:bidi w:val="0"/>
        <w:adjustRightInd/>
        <w:snapToGrid/>
        <w:spacing w:line="440" w:lineRule="exact"/>
        <w:ind w:firstLine="426" w:firstLineChars="200"/>
        <w:textAlignment w:val="auto"/>
        <w:rPr>
          <w:rFonts w:hint="eastAsia" w:ascii="宋体" w:hAnsi="宋体" w:eastAsia="宋体"/>
          <w:color w:val="auto"/>
          <w:szCs w:val="22"/>
          <w:highlight w:val="none"/>
          <w:lang w:val="en-US" w:eastAsia="zh-CN"/>
        </w:rPr>
      </w:pPr>
      <w:r>
        <w:rPr>
          <w:rFonts w:ascii="宋体" w:hAnsi="宋体"/>
          <w:color w:val="auto"/>
          <w:highlight w:val="none"/>
        </w:rPr>
        <w:fldChar w:fldCharType="begin"/>
      </w:r>
      <w:r>
        <w:rPr>
          <w:rStyle w:val="38"/>
          <w:rFonts w:ascii="宋体" w:hAnsi="宋体"/>
          <w:color w:val="auto"/>
          <w:highlight w:val="none"/>
        </w:rPr>
        <w:instrText xml:space="preserve"> </w:instrText>
      </w:r>
      <w:r>
        <w:rPr>
          <w:rFonts w:ascii="宋体" w:hAnsi="宋体"/>
          <w:color w:val="auto"/>
          <w:highlight w:val="none"/>
        </w:rPr>
        <w:instrText xml:space="preserve">HYPERLINK \l "_Toc469495743"</w:instrText>
      </w:r>
      <w:r>
        <w:rPr>
          <w:rStyle w:val="38"/>
          <w:rFonts w:ascii="宋体" w:hAnsi="宋体"/>
          <w:color w:val="auto"/>
          <w:highlight w:val="none"/>
        </w:rPr>
        <w:instrText xml:space="preserve"> </w:instrText>
      </w:r>
      <w:r>
        <w:rPr>
          <w:rFonts w:ascii="宋体" w:hAnsi="宋体"/>
          <w:color w:val="auto"/>
          <w:highlight w:val="none"/>
        </w:rPr>
        <w:fldChar w:fldCharType="separate"/>
      </w:r>
      <w:r>
        <w:rPr>
          <w:rStyle w:val="38"/>
          <w:rFonts w:hint="eastAsia" w:ascii="宋体" w:hAnsi="宋体"/>
          <w:color w:val="auto"/>
          <w:highlight w:val="none"/>
        </w:rPr>
        <w:t>第六章</w:t>
      </w:r>
      <w:r>
        <w:rPr>
          <w:rStyle w:val="38"/>
          <w:rFonts w:ascii="宋体" w:hAnsi="宋体"/>
          <w:color w:val="auto"/>
          <w:highlight w:val="none"/>
        </w:rPr>
        <w:t xml:space="preserve">  </w:t>
      </w:r>
      <w:r>
        <w:rPr>
          <w:rStyle w:val="38"/>
          <w:rFonts w:hint="eastAsia" w:ascii="宋体" w:hAnsi="宋体"/>
          <w:color w:val="auto"/>
          <w:highlight w:val="none"/>
        </w:rPr>
        <w:t>投标文件格式</w:t>
      </w:r>
      <w:r>
        <w:rPr>
          <w:rFonts w:ascii="宋体" w:hAnsi="宋体"/>
          <w:color w:val="auto"/>
          <w:highlight w:val="none"/>
        </w:rPr>
        <w:tab/>
      </w:r>
      <w:r>
        <w:rPr>
          <w:rFonts w:hint="eastAsia" w:ascii="宋体" w:hAnsi="宋体"/>
          <w:color w:val="auto"/>
          <w:highlight w:val="none"/>
          <w:lang w:val="en-US" w:eastAsia="zh-CN"/>
        </w:rPr>
        <w:t>.6</w:t>
      </w:r>
      <w:r>
        <w:rPr>
          <w:rFonts w:ascii="宋体" w:hAnsi="宋体"/>
          <w:color w:val="auto"/>
          <w:highlight w:val="none"/>
        </w:rPr>
        <w:fldChar w:fldCharType="end"/>
      </w:r>
      <w:r>
        <w:rPr>
          <w:rFonts w:hint="eastAsia" w:ascii="宋体" w:hAnsi="宋体"/>
          <w:color w:val="auto"/>
          <w:highlight w:val="none"/>
          <w:lang w:val="en-US" w:eastAsia="zh-CN"/>
        </w:rPr>
        <w:t>4</w:t>
      </w:r>
    </w:p>
    <w:p>
      <w:pPr>
        <w:keepNext w:val="0"/>
        <w:keepLines w:val="0"/>
        <w:pageBreakBefore w:val="0"/>
        <w:widowControl w:val="0"/>
        <w:shd w:val="clear" w:color="auto" w:fill="auto"/>
        <w:kinsoku/>
        <w:wordWrap/>
        <w:overflowPunct/>
        <w:topLinePunct w:val="0"/>
        <w:autoSpaceDE/>
        <w:autoSpaceDN/>
        <w:bidi w:val="0"/>
        <w:adjustRightInd/>
        <w:snapToGrid/>
        <w:spacing w:line="440" w:lineRule="exact"/>
        <w:ind w:firstLine="486" w:firstLineChars="200"/>
        <w:jc w:val="distribute"/>
        <w:textAlignment w:val="auto"/>
        <w:rPr>
          <w:rFonts w:hint="eastAsia" w:ascii="宋体" w:hAnsi="宋体" w:cs="宋体"/>
          <w:color w:val="auto"/>
          <w:sz w:val="24"/>
          <w:highlight w:val="none"/>
        </w:rPr>
      </w:pPr>
      <w:r>
        <w:rPr>
          <w:rFonts w:hint="eastAsia" w:ascii="宋体" w:hAnsi="宋体" w:cs="宋体"/>
          <w:color w:val="auto"/>
          <w:sz w:val="24"/>
          <w:highlight w:val="none"/>
        </w:rPr>
        <w:fldChar w:fldCharType="end"/>
      </w:r>
    </w:p>
    <w:p>
      <w:pPr>
        <w:spacing w:line="240" w:lineRule="auto"/>
        <w:jc w:val="center"/>
        <w:rPr>
          <w:rFonts w:hint="eastAsia" w:ascii="宋体" w:hAnsi="宋体" w:cs="宋体"/>
          <w:b/>
          <w:bCs/>
          <w:color w:val="auto"/>
          <w:kern w:val="36"/>
          <w:sz w:val="36"/>
          <w:szCs w:val="36"/>
        </w:rPr>
      </w:pPr>
      <w:r>
        <w:rPr>
          <w:rFonts w:hint="eastAsia" w:ascii="宋体" w:hAnsi="宋体" w:cs="宋体"/>
          <w:color w:val="auto"/>
          <w:sz w:val="24"/>
          <w:highlight w:val="none"/>
        </w:rPr>
        <w:br w:type="page"/>
      </w:r>
      <w:r>
        <w:rPr>
          <w:rFonts w:ascii="宋体" w:hAnsi="宋体" w:cs="宋体"/>
          <w:b/>
          <w:bCs/>
          <w:color w:val="auto"/>
          <w:kern w:val="36"/>
          <w:sz w:val="36"/>
          <w:szCs w:val="36"/>
        </w:rPr>
        <w:t>第一部分 招标公告</w:t>
      </w:r>
    </w:p>
    <w:p>
      <w:pPr>
        <w:pStyle w:val="5"/>
        <w:keepNext w:val="0"/>
        <w:keepLines w:val="0"/>
        <w:widowControl/>
        <w:numPr>
          <w:ilvl w:val="0"/>
          <w:numId w:val="0"/>
        </w:numPr>
        <w:suppressLineNumbers w:val="0"/>
        <w:spacing w:before="0" w:beforeAutospacing="0" w:after="0" w:afterAutospacing="0" w:line="240" w:lineRule="auto"/>
        <w:ind w:left="-420" w:leftChars="0" w:right="0" w:rightChars="0"/>
        <w:jc w:val="center"/>
        <w:rPr>
          <w:rFonts w:hint="eastAsia" w:ascii="宋体" w:hAnsi="宋体" w:eastAsia="宋体" w:cs="宋体"/>
          <w:b/>
          <w:bCs/>
          <w:color w:val="auto"/>
          <w:kern w:val="2"/>
          <w:sz w:val="28"/>
          <w:szCs w:val="28"/>
          <w:lang w:val="en-US" w:eastAsia="zh-CN" w:bidi="ar-SA"/>
        </w:rPr>
      </w:pPr>
      <w:bookmarkStart w:id="10" w:name="_Toc469495721"/>
      <w:bookmarkStart w:id="11" w:name="_Toc469495723"/>
      <w:r>
        <w:rPr>
          <w:rFonts w:hint="eastAsia" w:ascii="宋体" w:hAnsi="宋体" w:eastAsia="宋体" w:cs="宋体"/>
          <w:b/>
          <w:bCs/>
          <w:color w:val="auto"/>
          <w:kern w:val="2"/>
          <w:sz w:val="28"/>
          <w:szCs w:val="28"/>
          <w:lang w:val="en-US" w:eastAsia="zh-CN" w:bidi="ar-SA"/>
        </w:rPr>
        <w:t>2023年教育脱贫攻坚同乡村振兴</w:t>
      </w:r>
      <w:r>
        <w:rPr>
          <w:rFonts w:hint="eastAsia" w:ascii="宋体" w:hAnsi="宋体" w:cs="宋体"/>
          <w:b/>
          <w:bCs/>
          <w:color w:val="auto"/>
          <w:kern w:val="2"/>
          <w:sz w:val="28"/>
          <w:szCs w:val="28"/>
          <w:lang w:val="en-US" w:eastAsia="zh-CN" w:bidi="ar-SA"/>
        </w:rPr>
        <w:t>有效</w:t>
      </w:r>
      <w:r>
        <w:rPr>
          <w:rFonts w:hint="eastAsia" w:ascii="宋体" w:hAnsi="宋体" w:eastAsia="宋体" w:cs="宋体"/>
          <w:b/>
          <w:bCs/>
          <w:color w:val="auto"/>
          <w:kern w:val="2"/>
          <w:sz w:val="28"/>
          <w:szCs w:val="28"/>
          <w:lang w:val="en-US" w:eastAsia="zh-CN" w:bidi="ar-SA"/>
        </w:rPr>
        <w:t>衔接义务教育学校建设项目（设备采购）</w:t>
      </w:r>
      <w:r>
        <w:rPr>
          <w:rFonts w:hint="eastAsia" w:ascii="宋体" w:hAnsi="宋体" w:cs="宋体"/>
          <w:b/>
          <w:bCs/>
          <w:color w:val="auto"/>
          <w:kern w:val="2"/>
          <w:sz w:val="28"/>
          <w:szCs w:val="28"/>
          <w:lang w:val="en-US" w:eastAsia="zh-CN" w:bidi="ar-SA"/>
        </w:rPr>
        <w:t>二包</w:t>
      </w:r>
      <w:r>
        <w:rPr>
          <w:rFonts w:hint="eastAsia" w:ascii="宋体" w:hAnsi="宋体" w:eastAsia="宋体" w:cs="宋体"/>
          <w:b/>
          <w:bCs/>
          <w:color w:val="auto"/>
          <w:kern w:val="2"/>
          <w:sz w:val="28"/>
          <w:szCs w:val="28"/>
          <w:lang w:val="en-US" w:eastAsia="zh-CN" w:bidi="ar-SA"/>
        </w:rPr>
        <w:t>公开招标公告</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b/>
          <w:bCs/>
          <w:i w:val="0"/>
          <w:iCs w:val="0"/>
          <w:caps w:val="0"/>
          <w:color w:val="auto"/>
          <w:spacing w:val="0"/>
          <w:sz w:val="21"/>
          <w:szCs w:val="21"/>
          <w:u w:val="none"/>
          <w:lang w:val="en-US" w:eastAsia="zh-CN"/>
        </w:rPr>
      </w:pPr>
      <w:r>
        <w:rPr>
          <w:rFonts w:hint="eastAsia" w:ascii="宋体" w:hAnsi="宋体" w:eastAsia="宋体" w:cs="宋体"/>
          <w:b/>
          <w:bCs/>
          <w:color w:val="auto"/>
          <w:kern w:val="2"/>
          <w:sz w:val="21"/>
          <w:szCs w:val="21"/>
          <w:lang w:val="en-US" w:eastAsia="zh-CN" w:bidi="ar-SA"/>
        </w:rPr>
        <w:t xml:space="preserve">项目概况 </w:t>
      </w:r>
    </w:p>
    <w:p>
      <w:pPr>
        <w:pStyle w:val="24"/>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2023年教育脱贫攻坚同乡村振兴</w:t>
      </w:r>
      <w:r>
        <w:rPr>
          <w:rFonts w:hint="eastAsia" w:cs="宋体"/>
          <w:color w:val="auto"/>
          <w:kern w:val="2"/>
          <w:sz w:val="21"/>
          <w:szCs w:val="21"/>
          <w:lang w:val="en-US" w:eastAsia="zh-CN" w:bidi="ar-SA"/>
        </w:rPr>
        <w:t>有效</w:t>
      </w:r>
      <w:r>
        <w:rPr>
          <w:rFonts w:hint="eastAsia" w:ascii="宋体" w:hAnsi="宋体" w:eastAsia="宋体" w:cs="宋体"/>
          <w:color w:val="auto"/>
          <w:kern w:val="2"/>
          <w:sz w:val="21"/>
          <w:szCs w:val="21"/>
          <w:lang w:val="en-US" w:eastAsia="zh-CN" w:bidi="ar-SA"/>
        </w:rPr>
        <w:t>衔接义务教育学校建设项目（设备采购）</w:t>
      </w:r>
      <w:r>
        <w:rPr>
          <w:rFonts w:hint="eastAsia" w:cs="宋体"/>
          <w:color w:val="auto"/>
          <w:kern w:val="2"/>
          <w:sz w:val="21"/>
          <w:szCs w:val="21"/>
          <w:lang w:val="en-US" w:eastAsia="zh-CN" w:bidi="ar-SA"/>
        </w:rPr>
        <w:t>二包</w:t>
      </w:r>
      <w:r>
        <w:rPr>
          <w:rFonts w:hint="eastAsia" w:ascii="宋体" w:hAnsi="宋体" w:eastAsia="宋体" w:cs="宋体"/>
          <w:color w:val="auto"/>
          <w:kern w:val="2"/>
          <w:sz w:val="21"/>
          <w:szCs w:val="21"/>
          <w:lang w:val="en-US" w:eastAsia="zh-CN" w:bidi="ar-SA"/>
        </w:rPr>
        <w:t>的潜在投标人应在供应商登陆政采云平台http://www.zcygov.cn/，在线申请获取招标文件（登录政府采购云平台 → 项目采购 → 获取招标文件→申请，审核通过后可下载招标文件，如有操作性问题，可与政采云在线客服进行咨询，咨询电话：(95763），并于2023年</w:t>
      </w:r>
      <w:r>
        <w:rPr>
          <w:rFonts w:hint="eastAsia" w:cs="宋体"/>
          <w:color w:val="auto"/>
          <w:kern w:val="2"/>
          <w:sz w:val="21"/>
          <w:szCs w:val="21"/>
          <w:lang w:val="en-US" w:eastAsia="zh-CN" w:bidi="ar-SA"/>
        </w:rPr>
        <w:t>06</w:t>
      </w:r>
      <w:r>
        <w:rPr>
          <w:rFonts w:hint="eastAsia" w:ascii="宋体" w:hAnsi="宋体" w:eastAsia="宋体" w:cs="宋体"/>
          <w:color w:val="auto"/>
          <w:kern w:val="2"/>
          <w:sz w:val="21"/>
          <w:szCs w:val="21"/>
          <w:lang w:val="en-US" w:eastAsia="zh-CN" w:bidi="ar-SA"/>
        </w:rPr>
        <w:t>月</w:t>
      </w:r>
      <w:r>
        <w:rPr>
          <w:rFonts w:hint="eastAsia" w:cs="宋体"/>
          <w:color w:val="auto"/>
          <w:kern w:val="2"/>
          <w:sz w:val="21"/>
          <w:szCs w:val="21"/>
          <w:lang w:val="en-US" w:eastAsia="zh-CN" w:bidi="ar-SA"/>
        </w:rPr>
        <w:t>19</w:t>
      </w:r>
      <w:r>
        <w:rPr>
          <w:rFonts w:hint="eastAsia" w:ascii="宋体" w:hAnsi="宋体" w:eastAsia="宋体" w:cs="宋体"/>
          <w:color w:val="auto"/>
          <w:kern w:val="2"/>
          <w:sz w:val="21"/>
          <w:szCs w:val="21"/>
          <w:lang w:val="en-US" w:eastAsia="zh-CN" w:bidi="ar-SA"/>
        </w:rPr>
        <w:t>日1</w:t>
      </w:r>
      <w:r>
        <w:rPr>
          <w:rFonts w:hint="eastAsia" w:cs="宋体"/>
          <w:color w:val="auto"/>
          <w:kern w:val="2"/>
          <w:sz w:val="21"/>
          <w:szCs w:val="21"/>
          <w:lang w:val="en-US" w:eastAsia="zh-CN" w:bidi="ar-SA"/>
        </w:rPr>
        <w:t>0</w:t>
      </w:r>
      <w:r>
        <w:rPr>
          <w:rFonts w:hint="eastAsia" w:ascii="宋体" w:hAnsi="宋体" w:eastAsia="宋体" w:cs="宋体"/>
          <w:color w:val="auto"/>
          <w:kern w:val="2"/>
          <w:sz w:val="21"/>
          <w:szCs w:val="21"/>
          <w:lang w:val="en-US" w:eastAsia="zh-CN" w:bidi="ar-SA"/>
        </w:rPr>
        <w:t>：</w:t>
      </w:r>
      <w:r>
        <w:rPr>
          <w:rFonts w:hint="eastAsia" w:cs="宋体"/>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0（北京时间）前递交投标文件。</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一、项目基本情况</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项目编号：</w:t>
      </w:r>
      <w:r>
        <w:rPr>
          <w:rFonts w:hint="eastAsia" w:ascii="Times New Roman" w:hAnsi="Times New Roman" w:cs="Times New Roman"/>
          <w:b w:val="0"/>
          <w:bCs/>
          <w:color w:val="auto"/>
          <w:kern w:val="2"/>
          <w:sz w:val="21"/>
          <w:szCs w:val="21"/>
          <w:lang w:val="en-US" w:eastAsia="zh-CN" w:bidi="ar-SA"/>
        </w:rPr>
        <w:t>ATSCG-2023032-2</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项目名称：2023年教育脱贫攻坚同乡村振兴</w:t>
      </w:r>
      <w:r>
        <w:rPr>
          <w:rFonts w:hint="eastAsia" w:cs="宋体"/>
          <w:color w:val="auto"/>
          <w:kern w:val="2"/>
          <w:sz w:val="21"/>
          <w:szCs w:val="21"/>
          <w:lang w:val="en-US" w:eastAsia="zh-CN" w:bidi="ar-SA"/>
        </w:rPr>
        <w:t>有效</w:t>
      </w:r>
      <w:r>
        <w:rPr>
          <w:rFonts w:hint="eastAsia" w:ascii="宋体" w:hAnsi="宋体" w:eastAsia="宋体" w:cs="宋体"/>
          <w:color w:val="auto"/>
          <w:kern w:val="2"/>
          <w:sz w:val="21"/>
          <w:szCs w:val="21"/>
          <w:lang w:val="en-US" w:eastAsia="zh-CN" w:bidi="ar-SA"/>
        </w:rPr>
        <w:t>衔接义务教育学校建设项目（设备采购）</w:t>
      </w:r>
      <w:r>
        <w:rPr>
          <w:rFonts w:hint="eastAsia" w:cs="宋体"/>
          <w:color w:val="auto"/>
          <w:kern w:val="2"/>
          <w:sz w:val="21"/>
          <w:szCs w:val="21"/>
          <w:lang w:val="en-US" w:eastAsia="zh-CN" w:bidi="ar-SA"/>
        </w:rPr>
        <w:t>二包</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采购方式：公开招标</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预算金额（元）：</w:t>
      </w:r>
      <w:r>
        <w:rPr>
          <w:rFonts w:hint="eastAsia" w:cs="宋体"/>
          <w:color w:val="auto"/>
          <w:kern w:val="2"/>
          <w:sz w:val="21"/>
          <w:szCs w:val="21"/>
          <w:lang w:val="en-US" w:eastAsia="zh-CN" w:bidi="ar-SA"/>
        </w:rPr>
        <w:t>3000000.00</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最高限价（元）：</w:t>
      </w:r>
      <w:r>
        <w:rPr>
          <w:rFonts w:hint="eastAsia" w:cs="宋体"/>
          <w:color w:val="auto"/>
          <w:kern w:val="2"/>
          <w:sz w:val="21"/>
          <w:szCs w:val="21"/>
          <w:lang w:val="en-US" w:eastAsia="zh-CN" w:bidi="ar-SA"/>
        </w:rPr>
        <w:t>3000000.00</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采购需求：学生教学设施及生活设施一批（数量及参数详见招标文件）</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标项名称:2023年教育脱贫攻坚同乡村振兴</w:t>
      </w:r>
      <w:r>
        <w:rPr>
          <w:rFonts w:hint="eastAsia" w:cs="宋体"/>
          <w:color w:val="auto"/>
          <w:kern w:val="2"/>
          <w:sz w:val="21"/>
          <w:szCs w:val="21"/>
          <w:lang w:val="en-US" w:eastAsia="zh-CN" w:bidi="ar-SA"/>
        </w:rPr>
        <w:t>有效</w:t>
      </w:r>
      <w:r>
        <w:rPr>
          <w:rFonts w:hint="eastAsia" w:ascii="宋体" w:hAnsi="宋体" w:eastAsia="宋体" w:cs="宋体"/>
          <w:color w:val="auto"/>
          <w:kern w:val="2"/>
          <w:sz w:val="21"/>
          <w:szCs w:val="21"/>
          <w:lang w:val="en-US" w:eastAsia="zh-CN" w:bidi="ar-SA"/>
        </w:rPr>
        <w:t>衔接义务教育学校建设项目（设备采购）</w:t>
      </w:r>
      <w:r>
        <w:rPr>
          <w:rFonts w:hint="eastAsia" w:cs="宋体"/>
          <w:color w:val="auto"/>
          <w:kern w:val="2"/>
          <w:sz w:val="21"/>
          <w:szCs w:val="21"/>
          <w:lang w:val="en-US" w:eastAsia="zh-CN" w:bidi="ar-SA"/>
        </w:rPr>
        <w:t>二包</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数量:1</w:t>
      </w:r>
      <w:r>
        <w:rPr>
          <w:rFonts w:hint="eastAsia" w:cs="宋体"/>
          <w:color w:val="auto"/>
          <w:kern w:val="2"/>
          <w:sz w:val="21"/>
          <w:szCs w:val="21"/>
          <w:lang w:val="en-US" w:eastAsia="zh-CN" w:bidi="ar-SA"/>
        </w:rPr>
        <w:t>批</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default"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预算金额（元）:</w:t>
      </w:r>
      <w:r>
        <w:rPr>
          <w:rFonts w:hint="eastAsia" w:cs="宋体"/>
          <w:color w:val="auto"/>
          <w:kern w:val="2"/>
          <w:sz w:val="21"/>
          <w:szCs w:val="21"/>
          <w:lang w:val="en-US" w:eastAsia="zh-CN" w:bidi="ar-SA"/>
        </w:rPr>
        <w:t>3000000.00</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简要规格描述或项目基本概况介绍、用途：学生教学设施及生活设施一批（数量及参数详见招标文件）</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备注：</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合同履约期限：标项 </w:t>
      </w:r>
      <w:r>
        <w:rPr>
          <w:rFonts w:hint="eastAsia" w:cs="宋体"/>
          <w:color w:val="auto"/>
          <w:kern w:val="2"/>
          <w:sz w:val="21"/>
          <w:szCs w:val="21"/>
          <w:highlight w:val="none"/>
          <w:lang w:val="en-US" w:eastAsia="zh-CN" w:bidi="ar-SA"/>
        </w:rPr>
        <w:t>2，</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本项目不接受联合体投标。</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Style w:val="31"/>
          <w:rFonts w:hint="eastAsia" w:ascii="宋体" w:hAnsi="宋体" w:eastAsia="宋体" w:cs="宋体"/>
          <w:b/>
          <w:color w:val="auto"/>
          <w:sz w:val="21"/>
          <w:szCs w:val="21"/>
          <w:lang w:val="en-US" w:eastAsia="zh-CN"/>
        </w:rPr>
      </w:pPr>
      <w:r>
        <w:rPr>
          <w:rStyle w:val="31"/>
          <w:rFonts w:hint="eastAsia" w:ascii="宋体" w:hAnsi="宋体" w:eastAsia="宋体" w:cs="宋体"/>
          <w:b/>
          <w:color w:val="auto"/>
          <w:sz w:val="21"/>
          <w:szCs w:val="21"/>
          <w:lang w:val="en-US" w:eastAsia="zh-CN"/>
        </w:rPr>
        <w:t>二、申请人的资格要求：</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1.满足《中华人民共和国政府采购法》第二十二条规定；</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2.落实政府采购政策需满足的资格要求：标项1：</w:t>
      </w:r>
      <w:r>
        <w:rPr>
          <w:rFonts w:hint="eastAsia" w:cs="宋体"/>
          <w:color w:val="auto"/>
          <w:kern w:val="2"/>
          <w:sz w:val="21"/>
          <w:szCs w:val="21"/>
          <w:lang w:val="en-US" w:eastAsia="zh-CN" w:bidi="ar-SA"/>
        </w:rPr>
        <w:t>供应商</w:t>
      </w:r>
      <w:r>
        <w:rPr>
          <w:rFonts w:hint="eastAsia" w:ascii="宋体" w:hAnsi="宋体" w:eastAsia="宋体" w:cs="宋体"/>
          <w:color w:val="auto"/>
          <w:kern w:val="2"/>
          <w:sz w:val="21"/>
          <w:szCs w:val="21"/>
          <w:lang w:val="en-US" w:eastAsia="zh-CN" w:bidi="ar-SA"/>
        </w:rPr>
        <w:t>为中小企业</w:t>
      </w:r>
      <w:r>
        <w:rPr>
          <w:rFonts w:hint="eastAsia" w:cs="宋体"/>
          <w:color w:val="auto"/>
          <w:kern w:val="2"/>
          <w:sz w:val="21"/>
          <w:szCs w:val="21"/>
          <w:lang w:val="en-US" w:eastAsia="zh-CN" w:bidi="ar-SA"/>
        </w:rPr>
        <w:t>。</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cs="宋体"/>
          <w:color w:val="auto"/>
          <w:kern w:val="2"/>
          <w:sz w:val="21"/>
          <w:szCs w:val="21"/>
          <w:lang w:val="en-US" w:eastAsia="zh-CN" w:bidi="ar-SA"/>
        </w:rPr>
        <w:t>3.</w:t>
      </w:r>
      <w:r>
        <w:rPr>
          <w:rFonts w:hint="eastAsia" w:ascii="宋体" w:hAnsi="宋体" w:eastAsia="宋体" w:cs="宋体"/>
          <w:color w:val="auto"/>
          <w:kern w:val="2"/>
          <w:sz w:val="21"/>
          <w:szCs w:val="21"/>
          <w:lang w:val="en-US" w:eastAsia="zh-CN" w:bidi="ar-SA"/>
        </w:rPr>
        <w:t>本项目的特定资格要求：标项</w:t>
      </w:r>
      <w:r>
        <w:rPr>
          <w:rFonts w:hint="eastAsia" w:cs="宋体"/>
          <w:color w:val="auto"/>
          <w:kern w:val="2"/>
          <w:sz w:val="21"/>
          <w:szCs w:val="21"/>
          <w:lang w:val="en-US" w:eastAsia="zh-CN" w:bidi="ar-SA"/>
        </w:rPr>
        <w:t>2</w:t>
      </w:r>
      <w:r>
        <w:rPr>
          <w:rFonts w:hint="eastAsia" w:ascii="宋体" w:hAnsi="宋体" w:eastAsia="宋体" w:cs="宋体"/>
          <w:color w:val="auto"/>
          <w:kern w:val="2"/>
          <w:sz w:val="21"/>
          <w:szCs w:val="21"/>
          <w:lang w:val="en-US" w:eastAsia="zh-CN" w:bidi="ar-SA"/>
        </w:rPr>
        <w:t>：</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（1）具有合格有效的三证合一营业执照；</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（2）具有授权委托书及被委托人身份证（法人提供法人证明书及法人身份证）；</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（3）投标企业须提供投标人（被授权人）投标截止时间前半年内任意1个月的社保证明；</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投标企业需提供未被“信用中国”（www.creditchina.gov.cn）、中国政府采购网（www.ccgp.gov.cn）列入失信被执行人、重大税收违法案件当事人名单、政府采购严重违法失信行为记录名单（提供查询结果网页截图并加盖供应商公章）；</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w:t>
      </w:r>
      <w:r>
        <w:rPr>
          <w:rFonts w:hint="eastAsia" w:cs="宋体"/>
          <w:color w:val="auto"/>
          <w:kern w:val="2"/>
          <w:sz w:val="21"/>
          <w:szCs w:val="21"/>
          <w:lang w:val="en-US" w:eastAsia="zh-CN" w:bidi="ar-SA"/>
        </w:rPr>
        <w:t>5</w:t>
      </w:r>
      <w:r>
        <w:rPr>
          <w:rFonts w:hint="eastAsia" w:ascii="宋体" w:hAnsi="宋体" w:eastAsia="宋体" w:cs="宋体"/>
          <w:color w:val="auto"/>
          <w:kern w:val="2"/>
          <w:sz w:val="21"/>
          <w:szCs w:val="21"/>
          <w:lang w:val="en-US" w:eastAsia="zh-CN" w:bidi="ar-SA"/>
        </w:rPr>
        <w:t>）</w:t>
      </w:r>
      <w:r>
        <w:rPr>
          <w:rFonts w:hint="eastAsia" w:hAnsi="Times New Roman" w:cs="Times New Roman"/>
          <w:b w:val="0"/>
          <w:bCs/>
          <w:color w:val="auto"/>
          <w:sz w:val="21"/>
          <w:szCs w:val="21"/>
          <w:highlight w:val="none"/>
          <w:lang w:val="en-US" w:eastAsia="zh-CN"/>
        </w:rPr>
        <w:t>本项目不接受联合体投标。</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Style w:val="31"/>
          <w:rFonts w:hint="eastAsia" w:ascii="宋体" w:hAnsi="宋体" w:eastAsia="宋体" w:cs="宋体"/>
          <w:b/>
          <w:color w:val="auto"/>
          <w:sz w:val="21"/>
          <w:szCs w:val="21"/>
          <w:lang w:val="en-US" w:eastAsia="zh-CN"/>
        </w:rPr>
      </w:pPr>
      <w:r>
        <w:rPr>
          <w:rStyle w:val="31"/>
          <w:rFonts w:hint="eastAsia" w:ascii="宋体" w:hAnsi="宋体" w:eastAsia="宋体" w:cs="宋体"/>
          <w:b/>
          <w:color w:val="auto"/>
          <w:sz w:val="21"/>
          <w:szCs w:val="21"/>
          <w:lang w:val="en-US" w:eastAsia="zh-CN"/>
        </w:rPr>
        <w:t xml:space="preserve">三、获取招标文件 </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firstLine="426"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时间：2023年</w:t>
      </w:r>
      <w:r>
        <w:rPr>
          <w:rFonts w:hint="eastAsia"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月</w:t>
      </w:r>
      <w:r>
        <w:rPr>
          <w:rFonts w:hint="eastAsia" w:cs="宋体"/>
          <w:color w:val="auto"/>
          <w:kern w:val="2"/>
          <w:sz w:val="21"/>
          <w:szCs w:val="21"/>
          <w:highlight w:val="none"/>
          <w:lang w:val="en-US" w:eastAsia="zh-CN" w:bidi="ar-SA"/>
        </w:rPr>
        <w:t xml:space="preserve">29 </w:t>
      </w:r>
      <w:r>
        <w:rPr>
          <w:rFonts w:hint="eastAsia" w:ascii="宋体" w:hAnsi="宋体" w:eastAsia="宋体" w:cs="宋体"/>
          <w:color w:val="auto"/>
          <w:kern w:val="2"/>
          <w:sz w:val="21"/>
          <w:szCs w:val="21"/>
          <w:highlight w:val="none"/>
          <w:lang w:val="en-US" w:eastAsia="zh-CN" w:bidi="ar-SA"/>
        </w:rPr>
        <w:t>日至2023年</w:t>
      </w:r>
      <w:r>
        <w:rPr>
          <w:rFonts w:hint="eastAsia" w:cs="宋体"/>
          <w:color w:val="auto"/>
          <w:kern w:val="2"/>
          <w:sz w:val="21"/>
          <w:szCs w:val="21"/>
          <w:highlight w:val="none"/>
          <w:lang w:val="en-US" w:eastAsia="zh-CN" w:bidi="ar-SA"/>
        </w:rPr>
        <w:t>6</w:t>
      </w:r>
      <w:r>
        <w:rPr>
          <w:rFonts w:hint="eastAsia" w:ascii="宋体" w:hAnsi="宋体" w:eastAsia="宋体" w:cs="宋体"/>
          <w:color w:val="auto"/>
          <w:kern w:val="2"/>
          <w:sz w:val="21"/>
          <w:szCs w:val="21"/>
          <w:highlight w:val="none"/>
          <w:lang w:val="en-US" w:eastAsia="zh-CN" w:bidi="ar-SA"/>
        </w:rPr>
        <w:t>月</w:t>
      </w:r>
      <w:r>
        <w:rPr>
          <w:rFonts w:hint="eastAsia" w:cs="宋体"/>
          <w:color w:val="auto"/>
          <w:kern w:val="2"/>
          <w:sz w:val="21"/>
          <w:szCs w:val="21"/>
          <w:highlight w:val="none"/>
          <w:lang w:val="en-US" w:eastAsia="zh-CN" w:bidi="ar-SA"/>
        </w:rPr>
        <w:t xml:space="preserve">9 </w:t>
      </w:r>
      <w:r>
        <w:rPr>
          <w:rFonts w:hint="eastAsia" w:ascii="宋体" w:hAnsi="宋体" w:eastAsia="宋体" w:cs="宋体"/>
          <w:color w:val="auto"/>
          <w:kern w:val="2"/>
          <w:sz w:val="21"/>
          <w:szCs w:val="21"/>
          <w:highlight w:val="none"/>
          <w:lang w:val="en-US" w:eastAsia="zh-CN" w:bidi="ar-SA"/>
        </w:rPr>
        <w:t>日，每天上午10:00至1</w:t>
      </w:r>
      <w:r>
        <w:rPr>
          <w:rFonts w:hint="eastAsia"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w:t>
      </w:r>
      <w:r>
        <w:rPr>
          <w:rFonts w:hint="eastAsia"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0，下午16:</w:t>
      </w:r>
      <w:r>
        <w:rPr>
          <w:rFonts w:hint="eastAsia" w:cs="宋体"/>
          <w:color w:val="auto"/>
          <w:kern w:val="2"/>
          <w:sz w:val="21"/>
          <w:szCs w:val="21"/>
          <w:highlight w:val="none"/>
          <w:lang w:val="en-US" w:eastAsia="zh-CN" w:bidi="ar-SA"/>
        </w:rPr>
        <w:t>3</w:t>
      </w:r>
      <w:r>
        <w:rPr>
          <w:rFonts w:hint="eastAsia" w:ascii="宋体" w:hAnsi="宋体" w:eastAsia="宋体" w:cs="宋体"/>
          <w:color w:val="auto"/>
          <w:kern w:val="2"/>
          <w:sz w:val="21"/>
          <w:szCs w:val="21"/>
          <w:highlight w:val="none"/>
          <w:lang w:val="en-US" w:eastAsia="zh-CN" w:bidi="ar-SA"/>
        </w:rPr>
        <w:t>0至</w:t>
      </w:r>
      <w:r>
        <w:rPr>
          <w:rFonts w:hint="eastAsia" w:cs="宋体"/>
          <w:color w:val="auto"/>
          <w:kern w:val="2"/>
          <w:sz w:val="21"/>
          <w:szCs w:val="21"/>
          <w:highlight w:val="none"/>
          <w:lang w:val="en-US" w:eastAsia="zh-CN" w:bidi="ar-SA"/>
        </w:rPr>
        <w:t>20</w:t>
      </w:r>
      <w:r>
        <w:rPr>
          <w:rFonts w:hint="eastAsia" w:ascii="宋体" w:hAnsi="宋体" w:eastAsia="宋体" w:cs="宋体"/>
          <w:color w:val="auto"/>
          <w:kern w:val="2"/>
          <w:sz w:val="21"/>
          <w:szCs w:val="21"/>
          <w:highlight w:val="none"/>
          <w:lang w:val="en-US" w:eastAsia="zh-CN" w:bidi="ar-SA"/>
        </w:rPr>
        <w:t>:</w:t>
      </w:r>
      <w:r>
        <w:rPr>
          <w:rFonts w:hint="eastAsia" w:cs="宋体"/>
          <w:color w:val="auto"/>
          <w:kern w:val="2"/>
          <w:sz w:val="21"/>
          <w:szCs w:val="21"/>
          <w:highlight w:val="none"/>
          <w:lang w:val="en-US" w:eastAsia="zh-CN" w:bidi="ar-SA"/>
        </w:rPr>
        <w:t>0</w:t>
      </w:r>
      <w:r>
        <w:rPr>
          <w:rFonts w:hint="eastAsia" w:ascii="宋体" w:hAnsi="宋体" w:eastAsia="宋体" w:cs="宋体"/>
          <w:color w:val="auto"/>
          <w:kern w:val="2"/>
          <w:sz w:val="21"/>
          <w:szCs w:val="21"/>
          <w:highlight w:val="none"/>
          <w:lang w:val="en-US" w:eastAsia="zh-CN" w:bidi="ar-SA"/>
        </w:rPr>
        <w:t>0（北京时间，法定节假日除外）</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firstLine="426"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地点：供应商登陆政采云平台http://www.zcygov.cn/，在线申请获取招标文件（登录政府采购云平台 → 项目采购 → 获取招标文件→申请，审核通过后可下载招标文件，如有操作性问题，可与政采云在线客服进行咨询，咨询电话：95763）</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firstLine="426"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方式：（1）线上获取（登录政府采购云平台 → 项目采购 → 获取招标文件→ 申请，审核通过后可下载招标文件）。本次招标不提供纸质版招标文件。（2）供应商获取招标文件前应注册成为政府采购云平台正式供应商。</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firstLine="426"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售价（元）：0</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Style w:val="31"/>
          <w:rFonts w:hint="eastAsia" w:ascii="宋体" w:hAnsi="宋体" w:eastAsia="宋体" w:cs="宋体"/>
          <w:b/>
          <w:color w:val="auto"/>
          <w:sz w:val="21"/>
          <w:szCs w:val="21"/>
          <w:lang w:val="en-US" w:eastAsia="zh-CN"/>
        </w:rPr>
      </w:pPr>
      <w:r>
        <w:rPr>
          <w:rStyle w:val="31"/>
          <w:rFonts w:hint="eastAsia" w:ascii="宋体" w:hAnsi="宋体" w:eastAsia="宋体" w:cs="宋体"/>
          <w:b/>
          <w:color w:val="auto"/>
          <w:sz w:val="21"/>
          <w:szCs w:val="21"/>
          <w:lang w:val="en-US" w:eastAsia="zh-CN"/>
        </w:rPr>
        <w:t>四、提交投标文件截止时间、开标时间和地点</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60" w:afterAutospacing="0" w:line="240" w:lineRule="auto"/>
        <w:ind w:left="0" w:right="0" w:firstLine="420"/>
        <w:jc w:val="left"/>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提交投标文件截止时间：202</w:t>
      </w:r>
      <w:r>
        <w:rPr>
          <w:rFonts w:hint="eastAsia" w:cs="宋体"/>
          <w:i w:val="0"/>
          <w:iCs w:val="0"/>
          <w:caps w:val="0"/>
          <w:color w:val="auto"/>
          <w:spacing w:val="0"/>
          <w:kern w:val="0"/>
          <w:sz w:val="21"/>
          <w:szCs w:val="21"/>
          <w:lang w:val="en-US" w:eastAsia="zh-CN" w:bidi="ar"/>
        </w:rPr>
        <w:t>3</w:t>
      </w:r>
      <w:r>
        <w:rPr>
          <w:rFonts w:hint="eastAsia" w:ascii="宋体" w:hAnsi="宋体" w:eastAsia="宋体" w:cs="宋体"/>
          <w:i w:val="0"/>
          <w:iCs w:val="0"/>
          <w:caps w:val="0"/>
          <w:color w:val="auto"/>
          <w:spacing w:val="0"/>
          <w:kern w:val="0"/>
          <w:sz w:val="21"/>
          <w:szCs w:val="21"/>
          <w:lang w:val="en-US" w:eastAsia="zh-CN" w:bidi="ar"/>
        </w:rPr>
        <w:t>年</w:t>
      </w:r>
      <w:r>
        <w:rPr>
          <w:rFonts w:hint="eastAsia" w:cs="宋体"/>
          <w:i w:val="0"/>
          <w:iCs w:val="0"/>
          <w:caps w:val="0"/>
          <w:color w:val="auto"/>
          <w:spacing w:val="0"/>
          <w:kern w:val="0"/>
          <w:sz w:val="21"/>
          <w:szCs w:val="21"/>
          <w:lang w:val="en-US" w:eastAsia="zh-CN" w:bidi="ar"/>
        </w:rPr>
        <w:t xml:space="preserve"> 6</w:t>
      </w:r>
      <w:r>
        <w:rPr>
          <w:rFonts w:hint="eastAsia" w:ascii="宋体" w:hAnsi="宋体" w:eastAsia="宋体" w:cs="宋体"/>
          <w:i w:val="0"/>
          <w:iCs w:val="0"/>
          <w:caps w:val="0"/>
          <w:color w:val="auto"/>
          <w:spacing w:val="0"/>
          <w:kern w:val="0"/>
          <w:sz w:val="21"/>
          <w:szCs w:val="21"/>
          <w:lang w:val="en-US" w:eastAsia="zh-CN" w:bidi="ar"/>
        </w:rPr>
        <w:t>月</w:t>
      </w:r>
      <w:r>
        <w:rPr>
          <w:rFonts w:hint="eastAsia" w:cs="宋体"/>
          <w:i w:val="0"/>
          <w:iCs w:val="0"/>
          <w:caps w:val="0"/>
          <w:color w:val="auto"/>
          <w:spacing w:val="0"/>
          <w:kern w:val="0"/>
          <w:sz w:val="21"/>
          <w:szCs w:val="21"/>
          <w:lang w:val="en-US" w:eastAsia="zh-CN" w:bidi="ar"/>
        </w:rPr>
        <w:t xml:space="preserve">19 </w:t>
      </w:r>
      <w:r>
        <w:rPr>
          <w:rFonts w:hint="eastAsia" w:ascii="宋体" w:hAnsi="宋体" w:eastAsia="宋体" w:cs="宋体"/>
          <w:i w:val="0"/>
          <w:iCs w:val="0"/>
          <w:caps w:val="0"/>
          <w:color w:val="auto"/>
          <w:spacing w:val="0"/>
          <w:kern w:val="0"/>
          <w:sz w:val="21"/>
          <w:szCs w:val="21"/>
          <w:lang w:val="en-US" w:eastAsia="zh-CN" w:bidi="ar"/>
        </w:rPr>
        <w:t>日 1</w:t>
      </w:r>
      <w:r>
        <w:rPr>
          <w:rFonts w:hint="eastAsia" w:cs="宋体"/>
          <w:i w:val="0"/>
          <w:iCs w:val="0"/>
          <w:caps w:val="0"/>
          <w:color w:val="auto"/>
          <w:spacing w:val="0"/>
          <w:kern w:val="0"/>
          <w:sz w:val="21"/>
          <w:szCs w:val="21"/>
          <w:lang w:val="en-US" w:eastAsia="zh-CN" w:bidi="ar"/>
        </w:rPr>
        <w:t>0</w:t>
      </w:r>
      <w:r>
        <w:rPr>
          <w:rFonts w:hint="eastAsia" w:ascii="宋体" w:hAnsi="宋体" w:eastAsia="宋体" w:cs="宋体"/>
          <w:i w:val="0"/>
          <w:iCs w:val="0"/>
          <w:caps w:val="0"/>
          <w:color w:val="auto"/>
          <w:spacing w:val="0"/>
          <w:kern w:val="0"/>
          <w:sz w:val="21"/>
          <w:szCs w:val="21"/>
          <w:lang w:val="en-US" w:eastAsia="zh-CN" w:bidi="ar"/>
        </w:rPr>
        <w:t>:</w:t>
      </w:r>
      <w:r>
        <w:rPr>
          <w:rFonts w:hint="eastAsia" w:cs="宋体"/>
          <w:i w:val="0"/>
          <w:iCs w:val="0"/>
          <w:caps w:val="0"/>
          <w:color w:val="auto"/>
          <w:spacing w:val="0"/>
          <w:kern w:val="0"/>
          <w:sz w:val="21"/>
          <w:szCs w:val="21"/>
          <w:lang w:val="en-US" w:eastAsia="zh-CN" w:bidi="ar"/>
        </w:rPr>
        <w:t>3</w:t>
      </w:r>
      <w:r>
        <w:rPr>
          <w:rFonts w:hint="eastAsia" w:ascii="宋体" w:hAnsi="宋体" w:eastAsia="宋体" w:cs="宋体"/>
          <w:i w:val="0"/>
          <w:iCs w:val="0"/>
          <w:caps w:val="0"/>
          <w:color w:val="auto"/>
          <w:spacing w:val="0"/>
          <w:kern w:val="0"/>
          <w:sz w:val="21"/>
          <w:szCs w:val="21"/>
          <w:lang w:val="en-US" w:eastAsia="zh-CN" w:bidi="ar"/>
        </w:rPr>
        <w:t>0（北京时间）</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60" w:afterAutospacing="0" w:line="240" w:lineRule="auto"/>
        <w:ind w:left="0" w:right="0" w:firstLine="420"/>
        <w:jc w:val="left"/>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投标地点：政府采购云平台（www.zcygov.cn）</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60" w:afterAutospacing="0" w:line="240" w:lineRule="auto"/>
        <w:ind w:left="0" w:right="0" w:firstLine="420"/>
        <w:jc w:val="left"/>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开标时间：202</w:t>
      </w:r>
      <w:r>
        <w:rPr>
          <w:rFonts w:hint="eastAsia" w:cs="宋体"/>
          <w:i w:val="0"/>
          <w:iCs w:val="0"/>
          <w:caps w:val="0"/>
          <w:color w:val="auto"/>
          <w:spacing w:val="0"/>
          <w:kern w:val="0"/>
          <w:sz w:val="21"/>
          <w:szCs w:val="21"/>
          <w:lang w:val="en-US" w:eastAsia="zh-CN" w:bidi="ar"/>
        </w:rPr>
        <w:t>3</w:t>
      </w:r>
      <w:r>
        <w:rPr>
          <w:rFonts w:hint="eastAsia" w:ascii="宋体" w:hAnsi="宋体" w:eastAsia="宋体" w:cs="宋体"/>
          <w:i w:val="0"/>
          <w:iCs w:val="0"/>
          <w:caps w:val="0"/>
          <w:color w:val="auto"/>
          <w:spacing w:val="0"/>
          <w:kern w:val="0"/>
          <w:sz w:val="21"/>
          <w:szCs w:val="21"/>
          <w:lang w:val="en-US" w:eastAsia="zh-CN" w:bidi="ar"/>
        </w:rPr>
        <w:t>年</w:t>
      </w:r>
      <w:r>
        <w:rPr>
          <w:rFonts w:hint="eastAsia" w:cs="宋体"/>
          <w:i w:val="0"/>
          <w:iCs w:val="0"/>
          <w:caps w:val="0"/>
          <w:color w:val="auto"/>
          <w:spacing w:val="0"/>
          <w:kern w:val="0"/>
          <w:sz w:val="21"/>
          <w:szCs w:val="21"/>
          <w:lang w:val="en-US" w:eastAsia="zh-CN" w:bidi="ar"/>
        </w:rPr>
        <w:t xml:space="preserve"> 6</w:t>
      </w:r>
      <w:r>
        <w:rPr>
          <w:rFonts w:hint="eastAsia" w:ascii="宋体" w:hAnsi="宋体" w:eastAsia="宋体" w:cs="宋体"/>
          <w:i w:val="0"/>
          <w:iCs w:val="0"/>
          <w:caps w:val="0"/>
          <w:color w:val="auto"/>
          <w:spacing w:val="0"/>
          <w:kern w:val="0"/>
          <w:sz w:val="21"/>
          <w:szCs w:val="21"/>
          <w:lang w:val="en-US" w:eastAsia="zh-CN" w:bidi="ar"/>
        </w:rPr>
        <w:t>月</w:t>
      </w:r>
      <w:r>
        <w:rPr>
          <w:rFonts w:hint="eastAsia" w:cs="宋体"/>
          <w:i w:val="0"/>
          <w:iCs w:val="0"/>
          <w:caps w:val="0"/>
          <w:color w:val="auto"/>
          <w:spacing w:val="0"/>
          <w:kern w:val="0"/>
          <w:sz w:val="21"/>
          <w:szCs w:val="21"/>
          <w:lang w:val="en-US" w:eastAsia="zh-CN" w:bidi="ar"/>
        </w:rPr>
        <w:t xml:space="preserve">19 </w:t>
      </w:r>
      <w:r>
        <w:rPr>
          <w:rFonts w:hint="eastAsia" w:ascii="宋体" w:hAnsi="宋体" w:eastAsia="宋体" w:cs="宋体"/>
          <w:i w:val="0"/>
          <w:iCs w:val="0"/>
          <w:caps w:val="0"/>
          <w:color w:val="auto"/>
          <w:spacing w:val="0"/>
          <w:kern w:val="0"/>
          <w:sz w:val="21"/>
          <w:szCs w:val="21"/>
          <w:lang w:val="en-US" w:eastAsia="zh-CN" w:bidi="ar"/>
        </w:rPr>
        <w:t>日 1</w:t>
      </w:r>
      <w:r>
        <w:rPr>
          <w:rFonts w:hint="eastAsia" w:cs="宋体"/>
          <w:i w:val="0"/>
          <w:iCs w:val="0"/>
          <w:caps w:val="0"/>
          <w:color w:val="auto"/>
          <w:spacing w:val="0"/>
          <w:kern w:val="0"/>
          <w:sz w:val="21"/>
          <w:szCs w:val="21"/>
          <w:lang w:val="en-US" w:eastAsia="zh-CN" w:bidi="ar"/>
        </w:rPr>
        <w:t>0</w:t>
      </w:r>
      <w:r>
        <w:rPr>
          <w:rFonts w:hint="eastAsia" w:ascii="宋体" w:hAnsi="宋体" w:eastAsia="宋体" w:cs="宋体"/>
          <w:i w:val="0"/>
          <w:iCs w:val="0"/>
          <w:caps w:val="0"/>
          <w:color w:val="auto"/>
          <w:spacing w:val="0"/>
          <w:kern w:val="0"/>
          <w:sz w:val="21"/>
          <w:szCs w:val="21"/>
          <w:lang w:val="en-US" w:eastAsia="zh-CN" w:bidi="ar"/>
        </w:rPr>
        <w:t>:</w:t>
      </w:r>
      <w:r>
        <w:rPr>
          <w:rFonts w:hint="eastAsia" w:cs="宋体"/>
          <w:i w:val="0"/>
          <w:iCs w:val="0"/>
          <w:caps w:val="0"/>
          <w:color w:val="auto"/>
          <w:spacing w:val="0"/>
          <w:kern w:val="0"/>
          <w:sz w:val="21"/>
          <w:szCs w:val="21"/>
          <w:lang w:val="en-US" w:eastAsia="zh-CN" w:bidi="ar"/>
        </w:rPr>
        <w:t>3</w:t>
      </w:r>
      <w:r>
        <w:rPr>
          <w:rFonts w:hint="eastAsia" w:ascii="宋体" w:hAnsi="宋体" w:eastAsia="宋体" w:cs="宋体"/>
          <w:i w:val="0"/>
          <w:iCs w:val="0"/>
          <w:caps w:val="0"/>
          <w:color w:val="auto"/>
          <w:spacing w:val="0"/>
          <w:kern w:val="0"/>
          <w:sz w:val="21"/>
          <w:szCs w:val="21"/>
          <w:lang w:val="en-US" w:eastAsia="zh-CN" w:bidi="ar"/>
        </w:rPr>
        <w:t>0（北京时间）</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60" w:afterAutospacing="0" w:line="240" w:lineRule="auto"/>
        <w:ind w:left="0" w:right="0" w:firstLine="420"/>
        <w:jc w:val="left"/>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 xml:space="preserve">开标地点：政府采购云平台（www.zcygov.cn）  </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Style w:val="31"/>
          <w:rFonts w:hint="eastAsia" w:ascii="宋体" w:hAnsi="宋体" w:eastAsia="宋体" w:cs="宋体"/>
          <w:b/>
          <w:color w:val="auto"/>
          <w:sz w:val="21"/>
          <w:szCs w:val="21"/>
          <w:lang w:val="en-US" w:eastAsia="zh-CN"/>
        </w:rPr>
      </w:pPr>
      <w:r>
        <w:rPr>
          <w:rStyle w:val="31"/>
          <w:rFonts w:hint="eastAsia" w:ascii="宋体" w:hAnsi="宋体" w:eastAsia="宋体" w:cs="宋体"/>
          <w:b/>
          <w:color w:val="auto"/>
          <w:sz w:val="21"/>
          <w:szCs w:val="21"/>
          <w:lang w:val="en-US" w:eastAsia="zh-CN"/>
        </w:rPr>
        <w:t xml:space="preserve">五、公告期限 </w:t>
      </w:r>
    </w:p>
    <w:p>
      <w:pPr>
        <w:keepNext w:val="0"/>
        <w:keepLines w:val="0"/>
        <w:pageBreakBefore w:val="0"/>
        <w:widowControl w:val="0"/>
        <w:kinsoku/>
        <w:wordWrap/>
        <w:overflowPunct/>
        <w:topLinePunct w:val="0"/>
        <w:autoSpaceDE/>
        <w:autoSpaceDN/>
        <w:bidi w:val="0"/>
        <w:adjustRightInd/>
        <w:snapToGrid/>
        <w:spacing w:line="240" w:lineRule="auto"/>
        <w:ind w:firstLine="213" w:firstLineChars="100"/>
        <w:textAlignment w:val="auto"/>
        <w:rPr>
          <w:rFonts w:hint="eastAsia" w:ascii="宋体" w:hAnsi="宋体" w:eastAsia="宋体" w:cs="宋体"/>
          <w:i w:val="0"/>
          <w:iCs w:val="0"/>
          <w:caps w:val="0"/>
          <w:color w:val="auto"/>
          <w:spacing w:val="0"/>
          <w:kern w:val="0"/>
          <w:sz w:val="21"/>
          <w:szCs w:val="21"/>
          <w:lang w:val="en-US" w:eastAsia="zh-CN" w:bidi="ar"/>
        </w:rPr>
      </w:pPr>
      <w:r>
        <w:rPr>
          <w:rFonts w:hint="eastAsia" w:ascii="宋体" w:hAnsi="宋体" w:eastAsia="宋体" w:cs="宋体"/>
          <w:i w:val="0"/>
          <w:iCs w:val="0"/>
          <w:caps w:val="0"/>
          <w:color w:val="auto"/>
          <w:spacing w:val="0"/>
          <w:kern w:val="0"/>
          <w:sz w:val="21"/>
          <w:szCs w:val="21"/>
          <w:lang w:val="en-US" w:eastAsia="zh-CN" w:bidi="ar"/>
        </w:rPr>
        <w:t xml:space="preserve"> 自本公告发布之日起5个工作日。</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Style w:val="31"/>
          <w:rFonts w:hint="eastAsia" w:ascii="宋体" w:hAnsi="宋体" w:eastAsia="宋体" w:cs="宋体"/>
          <w:b/>
          <w:color w:val="auto"/>
          <w:sz w:val="21"/>
          <w:szCs w:val="21"/>
          <w:lang w:val="en-US" w:eastAsia="zh-CN"/>
        </w:rPr>
      </w:pPr>
      <w:r>
        <w:rPr>
          <w:rStyle w:val="31"/>
          <w:rFonts w:hint="eastAsia" w:ascii="宋体" w:hAnsi="宋体" w:eastAsia="宋体" w:cs="宋体"/>
          <w:b/>
          <w:color w:val="auto"/>
          <w:sz w:val="21"/>
          <w:szCs w:val="21"/>
          <w:lang w:val="en-US" w:eastAsia="zh-CN"/>
        </w:rPr>
        <w:t>六、其他补充事宜</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1"/>
          <w:szCs w:val="21"/>
          <w:lang w:eastAsia="zh-CN"/>
        </w:rPr>
      </w:pPr>
      <w:r>
        <w:rPr>
          <w:rFonts w:hint="eastAsia" w:cs="宋体"/>
          <w:color w:val="auto"/>
          <w:sz w:val="27"/>
          <w:szCs w:val="27"/>
          <w:lang w:val="en-US" w:eastAsia="zh-CN"/>
        </w:rPr>
        <w:t xml:space="preserve"> </w:t>
      </w:r>
      <w:r>
        <w:rPr>
          <w:rFonts w:hint="eastAsia" w:ascii="宋体" w:hAnsi="宋体" w:eastAsia="宋体" w:cs="宋体"/>
          <w:color w:val="auto"/>
          <w:sz w:val="21"/>
          <w:szCs w:val="21"/>
        </w:rPr>
        <w:t>1.本项目采用全流程不见面电子开评标，投标供应商需要使用CA加密设备，供应商可通过新疆数字证书认证中心官网（https://www.xjca.com.cn/）或下载“新疆政务通”APP自行进行申领。</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 xml:space="preserve">    </w:t>
      </w:r>
      <w:r>
        <w:rPr>
          <w:rFonts w:hint="eastAsia" w:ascii="宋体" w:hAnsi="宋体" w:eastAsia="宋体" w:cs="宋体"/>
          <w:color w:val="auto"/>
          <w:sz w:val="21"/>
          <w:szCs w:val="21"/>
        </w:rPr>
        <w:t>2.本项目实行网上投标，采用加密电子投标文件(供应商须使用CA加密设备通过政采云电子投标客户端制作投标文件)。若供应商参与投标，自行承担投标一切费用。</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 xml:space="preserve">    </w:t>
      </w:r>
      <w:r>
        <w:rPr>
          <w:rFonts w:hint="eastAsia" w:ascii="宋体" w:hAnsi="宋体" w:eastAsia="宋体" w:cs="宋体"/>
          <w:color w:val="auto"/>
          <w:sz w:val="21"/>
          <w:szCs w:val="21"/>
        </w:rPr>
        <w:t>3.各供应商在开标前应确保成为新疆维吾尔自治区政府采购网正式注册入库供应商（已在政采云平台其他省份入驻的供应商无须重复注册），并完成CA数字证书申领。因未注册入库、未办理CA数字证书等原因造成无法投标或投标失败等后果由供应商自行承担。</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 xml:space="preserve">    </w:t>
      </w:r>
      <w:r>
        <w:rPr>
          <w:rFonts w:hint="eastAsia" w:ascii="宋体" w:hAnsi="宋体" w:eastAsia="宋体" w:cs="宋体"/>
          <w:color w:val="auto"/>
          <w:sz w:val="21"/>
          <w:szCs w:val="21"/>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w:t>
      </w:r>
      <w:r>
        <w:rPr>
          <w:rFonts w:hint="eastAsia" w:cs="宋体"/>
          <w:color w:val="auto"/>
          <w:sz w:val="21"/>
          <w:szCs w:val="21"/>
          <w:lang w:eastAsia="zh-CN"/>
        </w:rPr>
        <w:t xml:space="preserve">95763 </w:t>
      </w:r>
      <w:r>
        <w:rPr>
          <w:rFonts w:hint="eastAsia" w:ascii="宋体" w:hAnsi="宋体" w:eastAsia="宋体" w:cs="宋体"/>
          <w:color w:val="auto"/>
          <w:sz w:val="21"/>
          <w:szCs w:val="21"/>
        </w:rPr>
        <w:t>进行咨询。</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1"/>
          <w:szCs w:val="21"/>
          <w:lang w:val="en-US" w:eastAsia="zh-CN"/>
        </w:rPr>
      </w:pPr>
      <w:r>
        <w:rPr>
          <w:rFonts w:hint="eastAsia" w:cs="宋体"/>
          <w:color w:val="auto"/>
          <w:sz w:val="21"/>
          <w:szCs w:val="21"/>
          <w:lang w:val="en-US" w:eastAsia="zh-CN"/>
        </w:rPr>
        <w:t xml:space="preserve">    </w:t>
      </w:r>
      <w:r>
        <w:rPr>
          <w:rFonts w:hint="eastAsia" w:ascii="宋体" w:hAnsi="宋体" w:eastAsia="宋体" w:cs="宋体"/>
          <w:color w:val="auto"/>
          <w:sz w:val="21"/>
          <w:szCs w:val="21"/>
        </w:rPr>
        <w:t>5.供应商在开标时须使用制作加密电子投标文件所使用的CA锁及电脑，电脑须提前配置好浏览器（建议使用谷歌浏览器），以便开标时解锁。</w:t>
      </w:r>
      <w:r>
        <w:rPr>
          <w:rFonts w:hint="eastAsia" w:cs="宋体"/>
          <w:color w:val="auto"/>
          <w:sz w:val="21"/>
          <w:szCs w:val="21"/>
          <w:lang w:val="en-US" w:eastAsia="zh-CN"/>
        </w:rPr>
        <w:t xml:space="preserve"> </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1"/>
          <w:szCs w:val="21"/>
          <w:lang w:eastAsia="zh-CN"/>
        </w:rPr>
      </w:pPr>
      <w:r>
        <w:rPr>
          <w:rFonts w:hint="eastAsia" w:cs="宋体"/>
          <w:color w:val="auto"/>
          <w:sz w:val="21"/>
          <w:szCs w:val="21"/>
          <w:lang w:val="en-US" w:eastAsia="zh-CN"/>
        </w:rPr>
        <w:t xml:space="preserve">    </w:t>
      </w:r>
      <w:r>
        <w:rPr>
          <w:rFonts w:hint="eastAsia" w:ascii="宋体" w:hAnsi="宋体" w:eastAsia="宋体" w:cs="宋体"/>
          <w:color w:val="auto"/>
          <w:sz w:val="21"/>
          <w:szCs w:val="21"/>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r>
        <w:rPr>
          <w:rFonts w:hint="eastAsia" w:cs="宋体"/>
          <w:color w:val="auto"/>
          <w:sz w:val="21"/>
          <w:szCs w:val="21"/>
          <w:lang w:eastAsia="zh-CN"/>
        </w:rPr>
        <w:t>。</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1"/>
          <w:szCs w:val="21"/>
        </w:rPr>
      </w:pPr>
      <w:r>
        <w:rPr>
          <w:rFonts w:hint="eastAsia" w:cs="宋体"/>
          <w:color w:val="auto"/>
          <w:sz w:val="21"/>
          <w:szCs w:val="21"/>
          <w:lang w:val="en-US" w:eastAsia="zh-CN"/>
        </w:rPr>
        <w:t xml:space="preserve">   </w:t>
      </w:r>
      <w:r>
        <w:rPr>
          <w:rFonts w:hint="eastAsia" w:ascii="宋体" w:hAnsi="宋体" w:eastAsia="宋体" w:cs="宋体"/>
          <w:color w:val="auto"/>
          <w:sz w:val="21"/>
          <w:szCs w:val="21"/>
        </w:rPr>
        <w:t>7.为了保证开评标顺利进行，政采云线上开标功能完全实现，供应商开标所使用的电脑设备须具有视频及语音功能。</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特别提示：</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1、超过200万元的货物和服务采购项目、超过400万元的工程采购项目中适宜由中小企业提供的，预留该部分采购项目预算总额的30%以上专门面向中小企业采购，其中预留给小微企业的比例不低于60%。</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2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240" w:lineRule="auto"/>
        <w:ind w:left="0" w:right="0"/>
        <w:jc w:val="both"/>
        <w:textAlignment w:val="auto"/>
        <w:rPr>
          <w:rStyle w:val="31"/>
          <w:rFonts w:hint="eastAsia" w:ascii="宋体" w:hAnsi="宋体" w:eastAsia="宋体" w:cs="宋体"/>
          <w:b/>
          <w:color w:val="auto"/>
          <w:sz w:val="21"/>
          <w:szCs w:val="21"/>
          <w:lang w:val="en-US" w:eastAsia="zh-CN"/>
        </w:rPr>
      </w:pPr>
      <w:r>
        <w:rPr>
          <w:rStyle w:val="31"/>
          <w:rFonts w:hint="eastAsia" w:ascii="宋体" w:hAnsi="宋体" w:eastAsia="宋体" w:cs="宋体"/>
          <w:b/>
          <w:color w:val="auto"/>
          <w:sz w:val="21"/>
          <w:szCs w:val="21"/>
          <w:lang w:val="en-US" w:eastAsia="zh-CN"/>
        </w:rPr>
        <w:t>七、对本次采购提出询问，请按以下方式联系</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1.采购人信息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名 称：</w:t>
      </w:r>
      <w:r>
        <w:rPr>
          <w:rFonts w:hint="eastAsia" w:cs="宋体"/>
          <w:color w:val="auto"/>
          <w:sz w:val="21"/>
          <w:szCs w:val="21"/>
          <w:lang w:val="en-US" w:eastAsia="zh-CN"/>
        </w:rPr>
        <w:t>阿图什市教育局</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地址：阿图什市</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联系方式：18199726032</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2.采购代理机构信息</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名 称：</w:t>
      </w:r>
      <w:r>
        <w:rPr>
          <w:rFonts w:hint="eastAsia" w:cs="宋体"/>
          <w:color w:val="auto"/>
          <w:sz w:val="21"/>
          <w:szCs w:val="21"/>
          <w:lang w:val="en-US" w:eastAsia="zh-CN"/>
        </w:rPr>
        <w:t>中轩项目管理有限公司</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地址：阿图什市</w:t>
      </w:r>
      <w:r>
        <w:rPr>
          <w:rFonts w:hint="eastAsia" w:cs="宋体"/>
          <w:color w:val="auto"/>
          <w:sz w:val="21"/>
          <w:szCs w:val="21"/>
          <w:lang w:val="en-US" w:eastAsia="zh-CN"/>
        </w:rPr>
        <w:t>迎宾</w:t>
      </w:r>
      <w:r>
        <w:rPr>
          <w:rFonts w:hint="eastAsia" w:ascii="宋体" w:hAnsi="宋体" w:eastAsia="宋体" w:cs="宋体"/>
          <w:color w:val="auto"/>
          <w:sz w:val="21"/>
          <w:szCs w:val="21"/>
          <w:lang w:val="en-US" w:eastAsia="zh-CN"/>
        </w:rPr>
        <w:t>路</w:t>
      </w:r>
      <w:r>
        <w:rPr>
          <w:rFonts w:hint="eastAsia" w:cs="宋体"/>
          <w:color w:val="auto"/>
          <w:sz w:val="21"/>
          <w:szCs w:val="21"/>
          <w:lang w:val="en-US" w:eastAsia="zh-CN"/>
        </w:rPr>
        <w:t>80</w:t>
      </w:r>
      <w:r>
        <w:rPr>
          <w:rFonts w:hint="eastAsia" w:ascii="宋体" w:hAnsi="宋体" w:eastAsia="宋体" w:cs="宋体"/>
          <w:color w:val="auto"/>
          <w:sz w:val="21"/>
          <w:szCs w:val="21"/>
          <w:lang w:val="en-US" w:eastAsia="zh-CN"/>
        </w:rPr>
        <w:t>号2楼</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联系方式：</w:t>
      </w:r>
      <w:r>
        <w:rPr>
          <w:rFonts w:hint="eastAsia" w:cs="宋体"/>
          <w:color w:val="auto"/>
          <w:sz w:val="21"/>
          <w:szCs w:val="21"/>
          <w:lang w:val="en-US" w:eastAsia="zh-CN"/>
        </w:rPr>
        <w:t>13809988058</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3.项目联系方式</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cs="宋体"/>
          <w:color w:val="auto"/>
          <w:sz w:val="21"/>
          <w:szCs w:val="21"/>
          <w:lang w:val="en-US" w:eastAsia="zh-CN"/>
        </w:rPr>
      </w:pPr>
      <w:r>
        <w:rPr>
          <w:rFonts w:hint="eastAsia" w:ascii="宋体" w:hAnsi="宋体" w:eastAsia="宋体" w:cs="宋体"/>
          <w:color w:val="auto"/>
          <w:sz w:val="21"/>
          <w:szCs w:val="21"/>
          <w:lang w:val="en-US" w:eastAsia="zh-CN"/>
        </w:rPr>
        <w:t>项目联系人：</w:t>
      </w:r>
      <w:r>
        <w:rPr>
          <w:rFonts w:hint="eastAsia" w:cs="宋体"/>
          <w:color w:val="auto"/>
          <w:sz w:val="21"/>
          <w:szCs w:val="21"/>
          <w:lang w:val="en-US" w:eastAsia="zh-CN"/>
        </w:rPr>
        <w:t>莫先生</w:t>
      </w:r>
    </w:p>
    <w:p>
      <w:pPr>
        <w:pStyle w:val="2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电话：</w:t>
      </w:r>
      <w:bookmarkEnd w:id="10"/>
      <w:r>
        <w:rPr>
          <w:rFonts w:hint="eastAsia" w:cs="宋体"/>
          <w:color w:val="auto"/>
          <w:sz w:val="21"/>
          <w:szCs w:val="21"/>
          <w:lang w:val="en-US" w:eastAsia="zh-CN"/>
        </w:rPr>
        <w:t>13809988058</w:t>
      </w:r>
    </w:p>
    <w:p>
      <w:pPr>
        <w:rPr>
          <w:rFonts w:hint="eastAsia"/>
          <w:color w:val="auto"/>
        </w:rPr>
      </w:pPr>
    </w:p>
    <w:p>
      <w:pPr>
        <w:numPr>
          <w:ilvl w:val="0"/>
          <w:numId w:val="3"/>
        </w:numPr>
        <w:shd w:val="clear" w:color="auto" w:fill="auto"/>
        <w:spacing w:line="500" w:lineRule="exact"/>
        <w:ind w:left="-1816" w:leftChars="0" w:firstLine="3520" w:firstLineChars="0"/>
        <w:jc w:val="center"/>
        <w:outlineLvl w:val="0"/>
        <w:rPr>
          <w:rFonts w:hint="eastAsia" w:ascii="宋体"/>
          <w:b/>
          <w:color w:val="auto"/>
          <w:sz w:val="32"/>
          <w:szCs w:val="32"/>
          <w:highlight w:val="none"/>
        </w:rPr>
        <w:sectPr>
          <w:footerReference r:id="rId3" w:type="default"/>
          <w:pgSz w:w="11905" w:h="16838"/>
          <w:pgMar w:top="1440" w:right="1797" w:bottom="1440" w:left="1797" w:header="850" w:footer="992" w:gutter="0"/>
          <w:pgNumType w:fmt="decimal"/>
          <w:cols w:space="720" w:num="1"/>
          <w:rtlGutter w:val="0"/>
          <w:docGrid w:type="linesAndChars" w:linePitch="325" w:charSpace="635"/>
        </w:sectPr>
      </w:pPr>
    </w:p>
    <w:p>
      <w:pPr>
        <w:numPr>
          <w:ilvl w:val="0"/>
          <w:numId w:val="3"/>
        </w:numPr>
        <w:shd w:val="clear" w:color="auto" w:fill="auto"/>
        <w:spacing w:line="500" w:lineRule="exact"/>
        <w:ind w:left="-1816" w:leftChars="0" w:firstLine="3520" w:firstLineChars="0"/>
        <w:jc w:val="center"/>
        <w:outlineLvl w:val="0"/>
        <w:rPr>
          <w:rFonts w:hint="eastAsia" w:ascii="宋体"/>
          <w:b/>
          <w:color w:val="auto"/>
          <w:sz w:val="32"/>
          <w:szCs w:val="32"/>
          <w:highlight w:val="none"/>
        </w:rPr>
      </w:pPr>
      <w:r>
        <w:rPr>
          <w:rFonts w:hint="eastAsia" w:ascii="宋体"/>
          <w:b/>
          <w:color w:val="auto"/>
          <w:sz w:val="32"/>
          <w:szCs w:val="32"/>
          <w:highlight w:val="none"/>
        </w:rPr>
        <w:t>投标人须知</w:t>
      </w:r>
      <w:bookmarkStart w:id="12" w:name="_Toc469495722"/>
    </w:p>
    <w:p>
      <w:pPr>
        <w:numPr>
          <w:ilvl w:val="0"/>
          <w:numId w:val="4"/>
        </w:numPr>
        <w:shd w:val="clear" w:color="auto" w:fill="auto"/>
        <w:spacing w:line="500" w:lineRule="exact"/>
        <w:ind w:left="0" w:leftChars="0" w:firstLine="3520" w:firstLineChars="0"/>
        <w:jc w:val="both"/>
        <w:outlineLvl w:val="0"/>
        <w:rPr>
          <w:rFonts w:hint="eastAsia"/>
          <w:color w:val="auto"/>
        </w:rPr>
      </w:pPr>
      <w:r>
        <w:rPr>
          <w:rFonts w:hint="eastAsia" w:ascii="宋体"/>
          <w:b/>
          <w:color w:val="auto"/>
          <w:sz w:val="28"/>
          <w:szCs w:val="28"/>
          <w:highlight w:val="none"/>
        </w:rPr>
        <w:t>投标人须知前附表</w:t>
      </w:r>
      <w:bookmarkEnd w:id="12"/>
    </w:p>
    <w:tbl>
      <w:tblPr>
        <w:tblStyle w:val="28"/>
        <w:tblW w:w="983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12"/>
        <w:gridCol w:w="1536"/>
        <w:gridCol w:w="728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479"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left="-95" w:leftChars="-45" w:right="-83" w:rightChars="-39"/>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条款号</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内容</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firstLine="2130" w:firstLineChars="1000"/>
              <w:jc w:val="both"/>
              <w:textAlignment w:val="auto"/>
              <w:outlineLvl w:val="9"/>
              <w:rPr>
                <w:b w:val="0"/>
                <w:bCs/>
                <w:color w:val="auto"/>
                <w:sz w:val="21"/>
                <w:szCs w:val="21"/>
                <w:highlight w:val="none"/>
                <w:lang w:val="en-US" w:eastAsia="zh-CN"/>
              </w:rPr>
            </w:pPr>
            <w:r>
              <w:rPr>
                <w:rFonts w:hint="eastAsia"/>
                <w:b w:val="0"/>
                <w:bCs/>
                <w:color w:val="auto"/>
                <w:sz w:val="21"/>
                <w:szCs w:val="21"/>
                <w:highlight w:val="none"/>
                <w:lang w:val="en-US" w:eastAsia="zh-CN"/>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9"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1</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采购人</w:t>
            </w:r>
            <w:r>
              <w:rPr>
                <w:rFonts w:hint="eastAsia" w:ascii="宋体" w:hAnsi="宋体" w:eastAsia="宋体" w:cs="宋体"/>
                <w:b/>
                <w:bCs w:val="0"/>
                <w:color w:val="auto"/>
                <w:sz w:val="21"/>
                <w:szCs w:val="21"/>
                <w:highlight w:val="none"/>
                <w:lang w:eastAsia="zh-CN"/>
              </w:rPr>
              <w:t>信</w:t>
            </w:r>
            <w:r>
              <w:rPr>
                <w:rFonts w:hint="eastAsia" w:ascii="宋体" w:hAnsi="宋体" w:eastAsia="宋体" w:cs="宋体"/>
                <w:b/>
                <w:bCs w:val="0"/>
                <w:color w:val="auto"/>
                <w:sz w:val="21"/>
                <w:szCs w:val="21"/>
                <w:highlight w:val="none"/>
              </w:rPr>
              <w:t>息</w:t>
            </w:r>
          </w:p>
        </w:tc>
        <w:tc>
          <w:tcPr>
            <w:tcW w:w="72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val="0"/>
                <w:bCs/>
                <w:color w:val="auto"/>
                <w:sz w:val="21"/>
                <w:szCs w:val="21"/>
                <w:lang w:val="en-US" w:eastAsia="zh-CN"/>
              </w:rPr>
            </w:pPr>
            <w:r>
              <w:rPr>
                <w:rFonts w:hint="eastAsia"/>
                <w:b w:val="0"/>
                <w:bCs/>
                <w:color w:val="auto"/>
                <w:sz w:val="21"/>
                <w:szCs w:val="21"/>
                <w:highlight w:val="none"/>
                <w:lang w:val="en-US" w:eastAsia="zh-CN"/>
              </w:rPr>
              <w:t>采购单位：</w:t>
            </w:r>
            <w:r>
              <w:rPr>
                <w:rFonts w:hint="eastAsia"/>
                <w:b w:val="0"/>
                <w:bCs/>
                <w:color w:val="auto"/>
                <w:sz w:val="21"/>
                <w:szCs w:val="21"/>
                <w:lang w:val="en-US" w:eastAsia="zh-CN"/>
              </w:rPr>
              <w:t>阿图什市教育局</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宋体"/>
                <w:b w:val="0"/>
                <w:bCs/>
                <w:color w:val="auto"/>
                <w:sz w:val="21"/>
                <w:szCs w:val="21"/>
                <w:lang w:val="en-US" w:eastAsia="zh-CN"/>
              </w:rPr>
            </w:pPr>
            <w:r>
              <w:rPr>
                <w:rFonts w:hint="eastAsia" w:eastAsia="宋体"/>
                <w:b w:val="0"/>
                <w:bCs/>
                <w:color w:val="auto"/>
                <w:sz w:val="21"/>
                <w:szCs w:val="21"/>
                <w:lang w:val="en-US" w:eastAsia="zh-CN"/>
              </w:rPr>
              <w:t>联系人：</w:t>
            </w:r>
            <w:r>
              <w:rPr>
                <w:rFonts w:hint="eastAsia"/>
                <w:b w:val="0"/>
                <w:bCs/>
                <w:color w:val="auto"/>
                <w:sz w:val="21"/>
                <w:szCs w:val="21"/>
                <w:lang w:val="en-US" w:eastAsia="zh-CN"/>
              </w:rPr>
              <w:t>沙先生</w:t>
            </w:r>
            <w:r>
              <w:rPr>
                <w:rFonts w:hint="eastAsia" w:eastAsia="宋体"/>
                <w:b w:val="0"/>
                <w:bCs/>
                <w:color w:val="auto"/>
                <w:sz w:val="21"/>
                <w:szCs w:val="21"/>
                <w:lang w:val="en-US" w:eastAsia="zh-CN"/>
              </w:rPr>
              <w:t xml:space="preserve">        联系电话：</w:t>
            </w:r>
            <w:r>
              <w:rPr>
                <w:rFonts w:hint="eastAsia"/>
                <w:b w:val="0"/>
                <w:bCs/>
                <w:color w:val="auto"/>
                <w:sz w:val="21"/>
                <w:szCs w:val="21"/>
                <w:lang w:val="en-US" w:eastAsia="zh-CN"/>
              </w:rPr>
              <w:t>13809988058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59"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default"/>
                <w:b/>
                <w:bCs w:val="0"/>
                <w:color w:val="auto"/>
                <w:sz w:val="21"/>
                <w:szCs w:val="21"/>
                <w:highlight w:val="none"/>
                <w:lang w:val="en-US" w:eastAsia="zh-CN"/>
              </w:rPr>
              <w:t>2</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center"/>
              <w:textAlignment w:val="auto"/>
              <w:rPr>
                <w:rFonts w:hint="eastAsia"/>
                <w:b/>
                <w:bCs w:val="0"/>
                <w:color w:val="auto"/>
                <w:sz w:val="21"/>
                <w:szCs w:val="21"/>
                <w:highlight w:val="none"/>
                <w:lang w:val="en-US" w:eastAsia="zh-CN"/>
              </w:rPr>
            </w:pPr>
            <w:r>
              <w:rPr>
                <w:rFonts w:hint="eastAsia" w:ascii="宋体" w:hAnsi="宋体" w:eastAsia="宋体" w:cs="宋体"/>
                <w:b/>
                <w:bCs w:val="0"/>
                <w:color w:val="auto"/>
                <w:sz w:val="21"/>
                <w:szCs w:val="21"/>
                <w:highlight w:val="none"/>
              </w:rPr>
              <w:t>采购代理机构</w:t>
            </w:r>
          </w:p>
        </w:tc>
        <w:tc>
          <w:tcPr>
            <w:tcW w:w="728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名  称：</w:t>
            </w:r>
            <w:r>
              <w:rPr>
                <w:rFonts w:hint="eastAsia" w:cs="Times New Roman"/>
                <w:b w:val="0"/>
                <w:bCs/>
                <w:color w:val="auto"/>
                <w:sz w:val="21"/>
                <w:szCs w:val="21"/>
                <w:lang w:val="en-US" w:eastAsia="zh-CN"/>
              </w:rPr>
              <w:t>中轩项目管理有限公司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b w:val="0"/>
                <w:bCs/>
                <w:color w:val="auto"/>
                <w:lang w:val="en-US" w:eastAsia="zh-CN"/>
              </w:rPr>
            </w:pPr>
            <w:r>
              <w:rPr>
                <w:rFonts w:hint="eastAsia" w:ascii="Times New Roman" w:hAnsi="Times New Roman" w:eastAsia="宋体" w:cs="Times New Roman"/>
                <w:b w:val="0"/>
                <w:bCs/>
                <w:color w:val="auto"/>
                <w:sz w:val="21"/>
                <w:szCs w:val="21"/>
                <w:lang w:val="en-US" w:eastAsia="zh-CN"/>
              </w:rPr>
              <w:t>地  址：阿图什市</w:t>
            </w:r>
            <w:r>
              <w:rPr>
                <w:rFonts w:hint="eastAsia" w:cs="Times New Roman"/>
                <w:b w:val="0"/>
                <w:bCs/>
                <w:color w:val="auto"/>
                <w:sz w:val="21"/>
                <w:szCs w:val="21"/>
                <w:lang w:val="en-US" w:eastAsia="zh-CN"/>
              </w:rPr>
              <w:t>迎宾</w:t>
            </w:r>
            <w:r>
              <w:rPr>
                <w:rFonts w:hint="eastAsia" w:ascii="Times New Roman" w:hAnsi="Times New Roman" w:eastAsia="宋体" w:cs="Times New Roman"/>
                <w:b w:val="0"/>
                <w:bCs/>
                <w:color w:val="auto"/>
                <w:sz w:val="21"/>
                <w:szCs w:val="21"/>
                <w:lang w:val="en-US" w:eastAsia="zh-CN"/>
              </w:rPr>
              <w:t>路</w:t>
            </w:r>
            <w:r>
              <w:rPr>
                <w:rFonts w:hint="eastAsia" w:cs="Times New Roman"/>
                <w:b w:val="0"/>
                <w:bCs/>
                <w:color w:val="auto"/>
                <w:sz w:val="21"/>
                <w:szCs w:val="21"/>
                <w:lang w:val="en-US" w:eastAsia="zh-CN"/>
              </w:rPr>
              <w:t>80</w:t>
            </w:r>
            <w:r>
              <w:rPr>
                <w:rFonts w:hint="eastAsia" w:ascii="Times New Roman" w:hAnsi="Times New Roman" w:eastAsia="宋体" w:cs="Times New Roman"/>
                <w:b w:val="0"/>
                <w:bCs/>
                <w:color w:val="auto"/>
                <w:sz w:val="21"/>
                <w:szCs w:val="21"/>
                <w:lang w:val="en-US" w:eastAsia="zh-CN"/>
              </w:rPr>
              <w:t>号2楼</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b w:val="0"/>
                <w:bCs/>
                <w:color w:val="auto"/>
                <w:sz w:val="21"/>
                <w:szCs w:val="21"/>
                <w:highlight w:val="none"/>
                <w:lang w:val="en-US"/>
              </w:rPr>
            </w:pPr>
            <w:r>
              <w:rPr>
                <w:rFonts w:hint="default" w:ascii="Times New Roman" w:hAnsi="Times New Roman" w:eastAsia="宋体" w:cs="Times New Roman"/>
                <w:b w:val="0"/>
                <w:bCs/>
                <w:color w:val="auto"/>
                <w:sz w:val="21"/>
                <w:szCs w:val="21"/>
                <w:lang w:val="en-US" w:eastAsia="zh-CN"/>
              </w:rPr>
              <w:t>联系人：</w:t>
            </w:r>
            <w:r>
              <w:rPr>
                <w:rFonts w:hint="eastAsia" w:cs="Times New Roman"/>
                <w:b w:val="0"/>
                <w:bCs/>
                <w:color w:val="auto"/>
                <w:sz w:val="21"/>
                <w:szCs w:val="21"/>
                <w:lang w:val="en-US" w:eastAsia="zh-CN"/>
              </w:rPr>
              <w:t>莫先生</w:t>
            </w:r>
            <w:r>
              <w:rPr>
                <w:rFonts w:hint="eastAsia" w:ascii="Times New Roman" w:hAnsi="Times New Roman" w:eastAsia="宋体" w:cs="Times New Roman"/>
                <w:b w:val="0"/>
                <w:bCs/>
                <w:color w:val="auto"/>
                <w:sz w:val="21"/>
                <w:szCs w:val="21"/>
                <w:lang w:val="en-US" w:eastAsia="zh-CN"/>
              </w:rPr>
              <w:t xml:space="preserve">       </w:t>
            </w:r>
            <w:r>
              <w:rPr>
                <w:rFonts w:hint="default" w:ascii="Times New Roman" w:hAnsi="Times New Roman" w:eastAsia="宋体" w:cs="Times New Roman"/>
                <w:b w:val="0"/>
                <w:bCs/>
                <w:color w:val="auto"/>
                <w:sz w:val="21"/>
                <w:szCs w:val="21"/>
                <w:lang w:val="en-US" w:eastAsia="zh-CN"/>
              </w:rPr>
              <w:t>联系电话：</w:t>
            </w:r>
            <w:r>
              <w:rPr>
                <w:rFonts w:hint="eastAsia" w:cs="Times New Roman"/>
                <w:b w:val="0"/>
                <w:bCs/>
                <w:color w:val="auto"/>
                <w:sz w:val="21"/>
                <w:szCs w:val="21"/>
                <w:lang w:val="en-US" w:eastAsia="zh-CN"/>
              </w:rPr>
              <w:t>13809988058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3"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3</w:t>
            </w:r>
          </w:p>
        </w:tc>
        <w:tc>
          <w:tcPr>
            <w:tcW w:w="1536" w:type="dxa"/>
            <w:noWrap w:val="0"/>
            <w:vAlign w:val="center"/>
          </w:tcPr>
          <w:p>
            <w:pPr>
              <w:pStyle w:val="24"/>
              <w:keepNext w:val="0"/>
              <w:keepLines w:val="0"/>
              <w:widowControl/>
              <w:suppressLineNumbers w:val="0"/>
              <w:spacing w:before="0" w:beforeAutospacing="0" w:after="0" w:afterAutospacing="0" w:line="510" w:lineRule="atLeast"/>
              <w:ind w:right="0"/>
              <w:jc w:val="center"/>
              <w:rPr>
                <w:rFonts w:hint="eastAsia" w:ascii="Times New Roman" w:hAnsi="Times New Roman" w:eastAsia="宋体" w:cs="Times New Roman"/>
                <w:b/>
                <w:bCs w:val="0"/>
                <w:color w:val="auto"/>
                <w:kern w:val="2"/>
                <w:sz w:val="21"/>
                <w:szCs w:val="21"/>
                <w:lang w:val="en-US" w:eastAsia="zh-CN" w:bidi="ar-SA"/>
              </w:rPr>
            </w:pPr>
            <w:r>
              <w:rPr>
                <w:rFonts w:hint="eastAsia" w:ascii="Times New Roman" w:hAnsi="Times New Roman" w:eastAsia="宋体" w:cs="Times New Roman"/>
                <w:b/>
                <w:bCs w:val="0"/>
                <w:color w:val="auto"/>
                <w:kern w:val="2"/>
                <w:sz w:val="21"/>
                <w:szCs w:val="21"/>
                <w:lang w:val="en-US" w:eastAsia="zh-CN" w:bidi="ar-SA"/>
              </w:rPr>
              <w:t>项目名称</w:t>
            </w:r>
          </w:p>
          <w:p>
            <w:pPr>
              <w:pStyle w:val="24"/>
              <w:keepNext w:val="0"/>
              <w:keepLines w:val="0"/>
              <w:widowControl/>
              <w:suppressLineNumbers w:val="0"/>
              <w:spacing w:before="0" w:beforeAutospacing="0" w:after="0" w:afterAutospacing="0" w:line="510" w:lineRule="atLeast"/>
              <w:ind w:right="0"/>
              <w:jc w:val="center"/>
              <w:rPr>
                <w:rFonts w:hint="eastAsia" w:ascii="Times New Roman" w:hAnsi="Times New Roman" w:eastAsia="宋体" w:cs="Times New Roman"/>
                <w:b/>
                <w:bCs w:val="0"/>
                <w:color w:val="auto"/>
                <w:kern w:val="2"/>
                <w:sz w:val="21"/>
                <w:szCs w:val="21"/>
                <w:lang w:val="en-US" w:eastAsia="zh-CN" w:bidi="ar-SA"/>
              </w:rPr>
            </w:pPr>
            <w:r>
              <w:rPr>
                <w:rFonts w:hint="eastAsia" w:ascii="Times New Roman" w:hAnsi="Times New Roman" w:eastAsia="宋体" w:cs="Times New Roman"/>
                <w:b/>
                <w:bCs w:val="0"/>
                <w:color w:val="auto"/>
                <w:kern w:val="2"/>
                <w:sz w:val="21"/>
                <w:szCs w:val="21"/>
                <w:lang w:val="en-US" w:eastAsia="zh-CN" w:bidi="ar-SA"/>
              </w:rPr>
              <w:t>项目编号</w:t>
            </w:r>
          </w:p>
          <w:p>
            <w:pPr>
              <w:pStyle w:val="24"/>
              <w:keepNext w:val="0"/>
              <w:keepLines w:val="0"/>
              <w:widowControl/>
              <w:suppressLineNumbers w:val="0"/>
              <w:spacing w:before="0" w:beforeAutospacing="0" w:after="0" w:afterAutospacing="0" w:line="510" w:lineRule="atLeast"/>
              <w:ind w:right="0"/>
              <w:jc w:val="center"/>
              <w:rPr>
                <w:rFonts w:hint="default" w:ascii="Times New Roman" w:hAnsi="Times New Roman" w:eastAsia="宋体" w:cs="Times New Roman"/>
                <w:b/>
                <w:bCs w:val="0"/>
                <w:color w:val="auto"/>
                <w:kern w:val="2"/>
                <w:sz w:val="21"/>
                <w:szCs w:val="21"/>
                <w:lang w:val="en-US" w:eastAsia="zh-CN" w:bidi="ar-SA"/>
              </w:rPr>
            </w:pPr>
            <w:r>
              <w:rPr>
                <w:rFonts w:hint="eastAsia" w:ascii="Times New Roman" w:hAnsi="Times New Roman" w:eastAsia="宋体" w:cs="Times New Roman"/>
                <w:b/>
                <w:bCs w:val="0"/>
                <w:color w:val="auto"/>
                <w:kern w:val="2"/>
                <w:sz w:val="21"/>
                <w:szCs w:val="21"/>
                <w:lang w:val="en-US" w:eastAsia="zh-CN" w:bidi="ar-SA"/>
              </w:rPr>
              <w:t>采购内容</w:t>
            </w:r>
          </w:p>
        </w:tc>
        <w:tc>
          <w:tcPr>
            <w:tcW w:w="7288" w:type="dxa"/>
            <w:noWrap w:val="0"/>
            <w:vAlign w:val="center"/>
          </w:tcPr>
          <w:p>
            <w:pPr>
              <w:pStyle w:val="24"/>
              <w:keepNext w:val="0"/>
              <w:keepLines w:val="0"/>
              <w:widowControl/>
              <w:suppressLineNumbers w:val="0"/>
              <w:spacing w:before="0" w:beforeAutospacing="0" w:after="0" w:afterAutospacing="0" w:line="510" w:lineRule="atLeast"/>
              <w:ind w:right="0"/>
              <w:rPr>
                <w:rFonts w:hint="eastAsia" w:ascii="宋体" w:hAnsi="宋体" w:eastAsia="宋体" w:cs="宋体"/>
                <w:color w:val="auto"/>
                <w:kern w:val="2"/>
                <w:sz w:val="21"/>
                <w:szCs w:val="21"/>
                <w:lang w:val="en-US" w:eastAsia="zh-CN" w:bidi="ar-SA"/>
              </w:rPr>
            </w:pPr>
            <w:r>
              <w:rPr>
                <w:rFonts w:hint="eastAsia" w:ascii="Times New Roman" w:hAnsi="Times New Roman" w:cs="Times New Roman"/>
                <w:b w:val="0"/>
                <w:bCs/>
                <w:color w:val="auto"/>
                <w:kern w:val="2"/>
                <w:sz w:val="21"/>
                <w:szCs w:val="21"/>
                <w:lang w:val="en-US" w:eastAsia="zh-CN" w:bidi="ar-SA"/>
              </w:rPr>
              <w:t>项目名称：</w:t>
            </w:r>
            <w:r>
              <w:rPr>
                <w:rFonts w:hint="eastAsia" w:ascii="宋体" w:hAnsi="宋体" w:eastAsia="宋体" w:cs="宋体"/>
                <w:color w:val="auto"/>
                <w:kern w:val="2"/>
                <w:sz w:val="21"/>
                <w:szCs w:val="21"/>
                <w:lang w:val="en-US" w:eastAsia="zh-CN" w:bidi="ar-SA"/>
              </w:rPr>
              <w:t>2023年教育脱贫攻坚同乡村振兴</w:t>
            </w:r>
            <w:r>
              <w:rPr>
                <w:rFonts w:hint="eastAsia" w:cs="宋体"/>
                <w:color w:val="auto"/>
                <w:kern w:val="2"/>
                <w:sz w:val="21"/>
                <w:szCs w:val="21"/>
                <w:lang w:val="en-US" w:eastAsia="zh-CN" w:bidi="ar-SA"/>
              </w:rPr>
              <w:t>有效</w:t>
            </w:r>
            <w:r>
              <w:rPr>
                <w:rFonts w:hint="eastAsia" w:ascii="宋体" w:hAnsi="宋体" w:eastAsia="宋体" w:cs="宋体"/>
                <w:color w:val="auto"/>
                <w:kern w:val="2"/>
                <w:sz w:val="21"/>
                <w:szCs w:val="21"/>
                <w:lang w:val="en-US" w:eastAsia="zh-CN" w:bidi="ar-SA"/>
              </w:rPr>
              <w:t>衔接义务教育学校建设项目（设备采购）</w:t>
            </w:r>
            <w:r>
              <w:rPr>
                <w:rFonts w:hint="eastAsia" w:cs="宋体"/>
                <w:color w:val="auto"/>
                <w:kern w:val="2"/>
                <w:sz w:val="21"/>
                <w:szCs w:val="21"/>
                <w:lang w:val="en-US" w:eastAsia="zh-CN" w:bidi="ar-SA"/>
              </w:rPr>
              <w:t>二包</w:t>
            </w:r>
          </w:p>
          <w:p>
            <w:pPr>
              <w:pStyle w:val="24"/>
              <w:keepNext w:val="0"/>
              <w:keepLines w:val="0"/>
              <w:widowControl/>
              <w:suppressLineNumbers w:val="0"/>
              <w:spacing w:before="0" w:beforeAutospacing="0" w:after="0" w:afterAutospacing="0" w:line="510" w:lineRule="atLeast"/>
              <w:ind w:right="0"/>
              <w:rPr>
                <w:rFonts w:hint="default" w:ascii="Times New Roman" w:hAnsi="Times New Roman" w:cs="Times New Roman"/>
                <w:b w:val="0"/>
                <w:bCs/>
                <w:color w:val="auto"/>
                <w:kern w:val="2"/>
                <w:sz w:val="21"/>
                <w:szCs w:val="21"/>
                <w:lang w:val="en-US" w:eastAsia="zh-CN" w:bidi="ar-SA"/>
              </w:rPr>
            </w:pPr>
            <w:r>
              <w:rPr>
                <w:rFonts w:hint="eastAsia" w:ascii="Times New Roman" w:hAnsi="Times New Roman" w:cs="Times New Roman"/>
                <w:b w:val="0"/>
                <w:bCs/>
                <w:color w:val="auto"/>
                <w:kern w:val="2"/>
                <w:sz w:val="21"/>
                <w:szCs w:val="21"/>
                <w:lang w:val="en-US" w:eastAsia="zh-CN" w:bidi="ar-SA"/>
              </w:rPr>
              <w:t>项目编号：ATSCG-2023032-2</w:t>
            </w:r>
          </w:p>
          <w:p>
            <w:pPr>
              <w:pStyle w:val="24"/>
              <w:keepNext w:val="0"/>
              <w:keepLines w:val="0"/>
              <w:widowControl/>
              <w:suppressLineNumbers w:val="0"/>
              <w:spacing w:before="0" w:beforeAutospacing="0" w:after="0" w:afterAutospacing="0" w:line="510" w:lineRule="atLeast"/>
              <w:ind w:right="0"/>
              <w:rPr>
                <w:rFonts w:hint="default" w:ascii="Times New Roman" w:hAnsi="Times New Roman" w:eastAsia="宋体" w:cs="Times New Roman"/>
                <w:b w:val="0"/>
                <w:bCs/>
                <w:color w:val="auto"/>
                <w:kern w:val="2"/>
                <w:sz w:val="21"/>
                <w:szCs w:val="21"/>
                <w:lang w:val="en-US" w:eastAsia="zh-CN" w:bidi="ar-SA"/>
              </w:rPr>
            </w:pPr>
            <w:r>
              <w:rPr>
                <w:rFonts w:hint="eastAsia" w:ascii="Times New Roman" w:hAnsi="Times New Roman" w:cs="Times New Roman"/>
                <w:b w:val="0"/>
                <w:bCs/>
                <w:color w:val="auto"/>
                <w:kern w:val="2"/>
                <w:sz w:val="21"/>
                <w:szCs w:val="21"/>
                <w:lang w:val="en-US" w:eastAsia="zh-CN" w:bidi="ar-SA"/>
              </w:rPr>
              <w:t>采购内容：学生教学设施及生活设施一批（数量及参数详见招标文件）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3"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4</w:t>
            </w:r>
          </w:p>
        </w:tc>
        <w:tc>
          <w:tcPr>
            <w:tcW w:w="1536" w:type="dxa"/>
            <w:noWrap w:val="0"/>
            <w:vAlign w:val="center"/>
          </w:tcPr>
          <w:p>
            <w:pPr>
              <w:pStyle w:val="24"/>
              <w:keepNext w:val="0"/>
              <w:keepLines w:val="0"/>
              <w:widowControl/>
              <w:suppressLineNumbers w:val="0"/>
              <w:spacing w:before="0" w:beforeAutospacing="0" w:after="0" w:afterAutospacing="0" w:line="510" w:lineRule="atLeast"/>
              <w:ind w:right="0"/>
              <w:jc w:val="center"/>
              <w:rPr>
                <w:rFonts w:hint="default" w:ascii="Times New Roman" w:hAnsi="Times New Roman" w:eastAsia="宋体" w:cs="Times New Roman"/>
                <w:b/>
                <w:bCs w:val="0"/>
                <w:color w:val="auto"/>
                <w:kern w:val="2"/>
                <w:sz w:val="21"/>
                <w:szCs w:val="21"/>
                <w:lang w:val="en-US" w:eastAsia="zh-CN" w:bidi="ar-SA"/>
              </w:rPr>
            </w:pPr>
            <w:r>
              <w:rPr>
                <w:rFonts w:hint="eastAsia" w:ascii="Times New Roman" w:hAnsi="Times New Roman" w:eastAsia="宋体" w:cs="Times New Roman"/>
                <w:b/>
                <w:bCs w:val="0"/>
                <w:color w:val="auto"/>
                <w:kern w:val="2"/>
                <w:sz w:val="21"/>
                <w:szCs w:val="21"/>
                <w:lang w:val="en-US" w:eastAsia="zh-CN" w:bidi="ar-SA"/>
              </w:rPr>
              <w:t>采购预算</w:t>
            </w:r>
          </w:p>
          <w:p>
            <w:pPr>
              <w:pStyle w:val="24"/>
              <w:keepNext w:val="0"/>
              <w:keepLines w:val="0"/>
              <w:widowControl/>
              <w:suppressLineNumbers w:val="0"/>
              <w:spacing w:before="0" w:beforeAutospacing="0" w:after="0" w:afterAutospacing="0" w:line="510" w:lineRule="atLeast"/>
              <w:ind w:right="0"/>
              <w:jc w:val="center"/>
              <w:rPr>
                <w:rFonts w:hint="eastAsia" w:ascii="Times New Roman" w:hAnsi="Times New Roman" w:eastAsia="宋体" w:cs="Times New Roman"/>
                <w:b/>
                <w:bCs w:val="0"/>
                <w:color w:val="auto"/>
                <w:kern w:val="2"/>
                <w:sz w:val="21"/>
                <w:szCs w:val="21"/>
                <w:lang w:val="en-US" w:eastAsia="zh-CN" w:bidi="ar-SA"/>
              </w:rPr>
            </w:pPr>
            <w:r>
              <w:rPr>
                <w:rFonts w:hint="eastAsia" w:ascii="Times New Roman" w:hAnsi="Times New Roman" w:eastAsia="宋体" w:cs="Times New Roman"/>
                <w:b/>
                <w:bCs w:val="0"/>
                <w:color w:val="auto"/>
                <w:kern w:val="2"/>
                <w:sz w:val="21"/>
                <w:szCs w:val="21"/>
                <w:lang w:val="en-US" w:eastAsia="zh-CN" w:bidi="ar-SA"/>
              </w:rPr>
              <w:t>最高投标限价</w:t>
            </w:r>
          </w:p>
        </w:tc>
        <w:tc>
          <w:tcPr>
            <w:tcW w:w="7288" w:type="dxa"/>
            <w:noWrap w:val="0"/>
            <w:vAlign w:val="center"/>
          </w:tcPr>
          <w:p>
            <w:pPr>
              <w:pStyle w:val="24"/>
              <w:keepNext w:val="0"/>
              <w:keepLines w:val="0"/>
              <w:widowControl/>
              <w:suppressLineNumbers w:val="0"/>
              <w:spacing w:before="0" w:beforeAutospacing="0" w:after="0" w:afterAutospacing="0" w:line="510" w:lineRule="atLeast"/>
              <w:ind w:right="0"/>
              <w:jc w:val="left"/>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采购预算：</w:t>
            </w:r>
            <w:r>
              <w:rPr>
                <w:rFonts w:hint="eastAsia" w:ascii="Times New Roman" w:hAnsi="Times New Roman" w:cs="Times New Roman"/>
                <w:color w:val="auto"/>
                <w:kern w:val="2"/>
                <w:sz w:val="21"/>
                <w:szCs w:val="21"/>
                <w:lang w:val="en-US" w:eastAsia="zh-CN" w:bidi="ar-SA"/>
              </w:rPr>
              <w:t>3000000</w:t>
            </w:r>
            <w:r>
              <w:rPr>
                <w:rFonts w:hint="eastAsia" w:ascii="Times New Roman" w:hAnsi="Times New Roman" w:eastAsia="宋体" w:cs="Times New Roman"/>
                <w:color w:val="auto"/>
                <w:kern w:val="2"/>
                <w:sz w:val="21"/>
                <w:szCs w:val="21"/>
                <w:lang w:val="en-US" w:eastAsia="zh-CN" w:bidi="ar-SA"/>
              </w:rPr>
              <w:t>.00元</w:t>
            </w:r>
          </w:p>
          <w:p>
            <w:pPr>
              <w:pStyle w:val="24"/>
              <w:keepNext w:val="0"/>
              <w:keepLines w:val="0"/>
              <w:widowControl/>
              <w:suppressLineNumbers w:val="0"/>
              <w:spacing w:before="0" w:beforeAutospacing="0" w:after="0" w:afterAutospacing="0" w:line="510" w:lineRule="atLeast"/>
              <w:ind w:right="0"/>
              <w:jc w:val="left"/>
              <w:rPr>
                <w:rFonts w:hint="eastAsia" w:ascii="Times New Roman" w:hAnsi="Times New Roman" w:eastAsia="宋体" w:cs="Times New Roman"/>
                <w:b w:val="0"/>
                <w:bCs/>
                <w:color w:val="auto"/>
                <w:kern w:val="2"/>
                <w:sz w:val="21"/>
                <w:szCs w:val="21"/>
                <w:lang w:val="en-US" w:eastAsia="zh-CN" w:bidi="ar-SA"/>
              </w:rPr>
            </w:pPr>
            <w:r>
              <w:rPr>
                <w:rFonts w:hint="eastAsia" w:ascii="Times New Roman" w:hAnsi="Times New Roman" w:eastAsia="宋体" w:cs="Times New Roman"/>
                <w:b/>
                <w:bCs/>
                <w:color w:val="auto"/>
                <w:kern w:val="2"/>
                <w:sz w:val="21"/>
                <w:szCs w:val="21"/>
                <w:lang w:val="en-US" w:eastAsia="zh-CN" w:bidi="ar-SA"/>
              </w:rPr>
              <w:t>最高投标限价：</w:t>
            </w:r>
            <w:r>
              <w:rPr>
                <w:rFonts w:hint="eastAsia" w:ascii="Times New Roman" w:hAnsi="Times New Roman" w:cs="Times New Roman"/>
                <w:b/>
                <w:bCs/>
                <w:color w:val="auto"/>
                <w:kern w:val="2"/>
                <w:sz w:val="21"/>
                <w:szCs w:val="21"/>
                <w:lang w:val="en-US" w:eastAsia="zh-CN" w:bidi="ar-SA"/>
              </w:rPr>
              <w:t>3000000</w:t>
            </w:r>
            <w:r>
              <w:rPr>
                <w:rFonts w:hint="eastAsia" w:ascii="Times New Roman" w:hAnsi="Times New Roman" w:eastAsia="宋体" w:cs="Times New Roman"/>
                <w:b/>
                <w:bCs/>
                <w:color w:val="auto"/>
                <w:kern w:val="2"/>
                <w:sz w:val="21"/>
                <w:szCs w:val="21"/>
                <w:lang w:val="en-US" w:eastAsia="zh-CN" w:bidi="ar-SA"/>
              </w:rPr>
              <w:t>.00元，投标人的投标报价不得高于最高投标限价，否则其投标将被否决。</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406"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40" w:lineRule="auto"/>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5</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auto"/>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资金来源</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textAlignment w:val="auto"/>
              <w:rPr>
                <w:rFonts w:hint="default" w:ascii="宋体" w:hAnsi="宋体" w:eastAsia="宋体" w:cs="宋体"/>
                <w:b w:val="0"/>
                <w:bCs/>
                <w:color w:val="auto"/>
                <w:kern w:val="0"/>
                <w:sz w:val="21"/>
                <w:szCs w:val="21"/>
                <w:highlight w:val="none"/>
                <w:lang w:val="en-US" w:eastAsia="zh-CN"/>
              </w:rPr>
            </w:pPr>
            <w:r>
              <w:rPr>
                <w:rFonts w:hint="eastAsia" w:ascii="宋体" w:hAnsi="宋体" w:cs="宋体"/>
                <w:b w:val="0"/>
                <w:bCs/>
                <w:color w:val="auto"/>
                <w:kern w:val="0"/>
                <w:sz w:val="21"/>
                <w:szCs w:val="21"/>
                <w:highlight w:val="none"/>
                <w:lang w:val="en-US" w:eastAsia="zh-CN"/>
              </w:rPr>
              <w:t>2023年教育脱贫攻坚同乡村振兴有效衔接义务教育学校建设项目中央资金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867"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40" w:lineRule="auto"/>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6</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供货时间</w:t>
            </w:r>
          </w:p>
        </w:tc>
        <w:tc>
          <w:tcPr>
            <w:tcW w:w="7288" w:type="dxa"/>
            <w:noWrap w:val="0"/>
            <w:vAlign w:val="center"/>
          </w:tcPr>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300" w:lineRule="exact"/>
              <w:ind w:left="0" w:right="0"/>
              <w:jc w:val="both"/>
              <w:textAlignment w:val="auto"/>
              <w:rPr>
                <w:rFonts w:hint="default" w:ascii="Times New Roman" w:hAnsi="Times New Roman" w:eastAsia="宋体" w:cs="Times New Roman"/>
                <w:b w:val="0"/>
                <w:bCs/>
                <w:color w:val="auto"/>
                <w:kern w:val="2"/>
                <w:sz w:val="21"/>
                <w:szCs w:val="21"/>
                <w:highlight w:val="none"/>
                <w:lang w:val="en-US" w:eastAsia="zh-CN" w:bidi="ar-SA"/>
              </w:rPr>
            </w:pPr>
            <w:r>
              <w:rPr>
                <w:rFonts w:hint="eastAsia" w:ascii="Times New Roman" w:hAnsi="Times New Roman" w:cs="Times New Roman"/>
                <w:b w:val="0"/>
                <w:bCs/>
                <w:color w:val="auto"/>
                <w:kern w:val="2"/>
                <w:sz w:val="21"/>
                <w:szCs w:val="21"/>
                <w:highlight w:val="none"/>
                <w:lang w:val="en-US" w:eastAsia="zh-CN" w:bidi="ar-SA"/>
              </w:rPr>
              <w:t>30天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67"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40" w:lineRule="auto"/>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7</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center"/>
              <w:textAlignment w:val="auto"/>
              <w:outlineLvl w:val="9"/>
              <w:rPr>
                <w:rFonts w:hint="eastAsia"/>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供货</w:t>
            </w:r>
            <w:r>
              <w:rPr>
                <w:rFonts w:hint="eastAsia" w:ascii="宋体" w:hAnsi="宋体" w:eastAsia="宋体" w:cs="宋体"/>
                <w:b/>
                <w:bCs w:val="0"/>
                <w:color w:val="auto"/>
                <w:sz w:val="21"/>
                <w:szCs w:val="21"/>
                <w:highlight w:val="none"/>
                <w:lang w:eastAsia="zh-CN"/>
              </w:rPr>
              <w:t>地点</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40" w:lineRule="auto"/>
              <w:jc w:val="both"/>
              <w:textAlignment w:val="auto"/>
              <w:outlineLvl w:val="9"/>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甲方指定地点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504"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8</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center"/>
              <w:textAlignment w:val="auto"/>
              <w:outlineLvl w:val="9"/>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val="0"/>
                <w:color w:val="auto"/>
                <w:sz w:val="21"/>
                <w:szCs w:val="21"/>
                <w:highlight w:val="none"/>
                <w:lang w:val="en-US" w:eastAsia="zh-CN"/>
              </w:rPr>
              <w:t>质保期</w:t>
            </w:r>
          </w:p>
        </w:tc>
        <w:tc>
          <w:tcPr>
            <w:tcW w:w="7288"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290" w:lineRule="exact"/>
              <w:jc w:val="both"/>
              <w:textAlignment w:val="auto"/>
              <w:outlineLvl w:val="9"/>
              <w:rPr>
                <w:rFonts w:hint="default" w:ascii="宋体" w:hAnsi="宋体" w:eastAsia="宋体" w:cs="宋体"/>
                <w:b w:val="0"/>
                <w:bCs/>
                <w:color w:val="auto"/>
                <w:sz w:val="21"/>
                <w:szCs w:val="21"/>
                <w:highlight w:val="none"/>
                <w:lang w:val="en-US" w:eastAsia="zh-CN"/>
              </w:rPr>
            </w:pPr>
            <w:r>
              <w:rPr>
                <w:rFonts w:hint="eastAsia" w:ascii="宋体" w:hAnsi="宋体" w:cs="宋体"/>
                <w:b w:val="0"/>
                <w:bCs/>
                <w:color w:val="auto"/>
                <w:sz w:val="21"/>
                <w:szCs w:val="21"/>
                <w:highlight w:val="none"/>
                <w:lang w:val="en-US" w:eastAsia="zh-CN"/>
              </w:rPr>
              <w:t>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925"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9</w:t>
            </w:r>
          </w:p>
        </w:tc>
        <w:tc>
          <w:tcPr>
            <w:tcW w:w="1536" w:type="dxa"/>
            <w:noWrap w:val="0"/>
            <w:vAlign w:val="center"/>
          </w:tcPr>
          <w:p>
            <w:pPr>
              <w:keepNext w:val="0"/>
              <w:keepLines w:val="0"/>
              <w:pageBreakBefore w:val="0"/>
              <w:widowControl/>
              <w:shd w:val="clear" w:color="auto" w:fill="auto"/>
              <w:kinsoku/>
              <w:wordWrap/>
              <w:overflowPunct/>
              <w:topLinePunct w:val="0"/>
              <w:autoSpaceDE/>
              <w:autoSpaceDN/>
              <w:bidi w:val="0"/>
              <w:adjustRightInd/>
              <w:spacing w:line="290" w:lineRule="exact"/>
              <w:jc w:val="center"/>
              <w:textAlignment w:val="auto"/>
              <w:rPr>
                <w:rFonts w:hint="eastAsia"/>
                <w:b/>
                <w:bCs w:val="0"/>
                <w:color w:val="auto"/>
                <w:sz w:val="21"/>
                <w:szCs w:val="21"/>
                <w:highlight w:val="none"/>
                <w:lang w:val="en-US" w:eastAsia="zh-CN"/>
              </w:rPr>
            </w:pPr>
            <w:r>
              <w:rPr>
                <w:rFonts w:hint="eastAsia" w:ascii="宋体" w:hAnsi="宋体" w:eastAsia="宋体" w:cs="宋体"/>
                <w:b/>
                <w:bCs w:val="0"/>
                <w:color w:val="auto"/>
                <w:sz w:val="21"/>
                <w:szCs w:val="21"/>
                <w:highlight w:val="none"/>
              </w:rPr>
              <w:t>付款方式</w:t>
            </w:r>
          </w:p>
        </w:tc>
        <w:tc>
          <w:tcPr>
            <w:tcW w:w="7288" w:type="dxa"/>
            <w:noWrap w:val="0"/>
            <w:vAlign w:val="center"/>
          </w:tcPr>
          <w:p>
            <w:pPr>
              <w:pStyle w:val="2"/>
              <w:spacing w:line="360" w:lineRule="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具体按双方合同约定执行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408"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10</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招标方式</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公开招标</w:t>
            </w:r>
            <w:r>
              <w:rPr>
                <w:rFonts w:hint="eastAsia" w:hAnsi="宋体" w:cs="宋体-18030"/>
                <w:b w:val="0"/>
                <w:bCs/>
                <w:color w:val="auto"/>
                <w:sz w:val="21"/>
                <w:szCs w:val="21"/>
                <w:highlight w:val="none"/>
                <w:lang w:val="en-US" w:eastAsia="zh-CN"/>
              </w:rPr>
              <w:t>(本项目采用网上电子招投标)</w:t>
            </w:r>
            <w:r>
              <w:rPr>
                <w:rFonts w:hint="eastAsia"/>
                <w:b w:val="0"/>
                <w:bCs/>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11</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投标人资格条件及其他要求</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1、符合《中华人民共和国政府采购法》第二十二条之规定的合格投标供应商；</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2、具有合格有效的三证合一营业执照；</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3、具有授权委托书及被委托人身份证（法人提供法人证明书及法人身份证）；</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4、投标企业须提供投标人（被授权人）投标截止时间前半年内任意1个月的社保证明；</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5、投标企业需提供未被“信用中国”（www.creditchina.gov.cn）、中国政府采购网（www.ccgp.gov.cn）列入失信被执行人、重大税收违法案件当事人名单、政府采购严重违法失信行为记录名单（提供查询结果网页截图并加盖供应商公章）；</w:t>
            </w:r>
          </w:p>
          <w:p>
            <w:pPr>
              <w:pStyle w:val="15"/>
              <w:ind w:left="0" w:leftChars="0" w:firstLine="0" w:firstLineChars="0"/>
              <w:rPr>
                <w:rFonts w:hint="default"/>
                <w:color w:val="auto"/>
                <w:lang w:val="en-US" w:eastAsia="zh-CN"/>
              </w:rPr>
            </w:pPr>
            <w:r>
              <w:rPr>
                <w:rFonts w:hint="eastAsia" w:cs="Times New Roman"/>
                <w:b w:val="0"/>
                <w:bCs/>
                <w:color w:val="auto"/>
                <w:sz w:val="21"/>
                <w:szCs w:val="21"/>
                <w:highlight w:val="none"/>
                <w:lang w:val="en-US" w:eastAsia="zh-CN"/>
              </w:rPr>
              <w:t>6、投标保证金收据或保函等票据；</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hAnsi="Times New Roman"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7</w:t>
            </w:r>
            <w:r>
              <w:rPr>
                <w:rFonts w:hint="eastAsia" w:hAnsi="Times New Roman" w:cs="Times New Roman"/>
                <w:b w:val="0"/>
                <w:bCs/>
                <w:color w:val="auto"/>
                <w:sz w:val="21"/>
                <w:szCs w:val="21"/>
                <w:highlight w:val="none"/>
                <w:lang w:val="en-US" w:eastAsia="zh-CN"/>
              </w:rPr>
              <w:t>、本项目不接受联合体投标。</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default"/>
                <w:b w:val="0"/>
                <w:bCs/>
                <w:color w:val="auto"/>
                <w:lang w:val="en-US" w:eastAsia="zh-CN"/>
              </w:rPr>
            </w:pPr>
            <w:r>
              <w:rPr>
                <w:rFonts w:hint="eastAsia" w:cs="Times New Roman"/>
                <w:b w:val="0"/>
                <w:bCs/>
                <w:color w:val="auto"/>
                <w:sz w:val="21"/>
                <w:szCs w:val="21"/>
                <w:highlight w:val="none"/>
                <w:lang w:val="en-US" w:eastAsia="zh-CN"/>
              </w:rPr>
              <w:t>8</w:t>
            </w:r>
            <w:r>
              <w:rPr>
                <w:rFonts w:hint="eastAsia" w:hAnsi="Times New Roman" w:cs="Times New Roman"/>
                <w:b w:val="0"/>
                <w:bCs/>
                <w:color w:val="auto"/>
                <w:sz w:val="21"/>
                <w:szCs w:val="21"/>
                <w:highlight w:val="none"/>
                <w:lang w:val="en-US" w:eastAsia="zh-CN"/>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9"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12</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供应商信用</w:t>
            </w:r>
          </w:p>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查询</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1、查询渠道：信用中国（网址：http://www.creditchina.gov.cn）、中国政府采购网(网址：http://www.ccgp.gov.cn）。</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2、截止时点：开标后评标前。</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3、信用信息查询记录和证据留存的具体方式：由采购组织机构在规定查询时间内打印信用信息查询记录并归入项目档案。</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4、使用规则：对列入失信被执行人、重大税收违法案件当事人名单、政府采购严重违法失信行为记录名单及其他不符合《中华人民共和国政府采购法》第二十二条规定条件的供应商，将被拒绝其参与政府采购活动。联合体成员任意一方存在不良信用记录的，视同联合体存在不良信用记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600"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13</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b/>
                <w:bCs w:val="0"/>
                <w:color w:val="auto"/>
                <w:sz w:val="21"/>
                <w:szCs w:val="21"/>
                <w:highlight w:val="none"/>
                <w:lang w:val="en-US" w:eastAsia="zh-CN"/>
              </w:rPr>
            </w:pPr>
            <w:r>
              <w:rPr>
                <w:rFonts w:hint="eastAsia"/>
                <w:b/>
                <w:bCs w:val="0"/>
                <w:color w:val="auto"/>
                <w:sz w:val="21"/>
                <w:szCs w:val="21"/>
                <w:highlight w:val="none"/>
                <w:lang w:val="en-US" w:eastAsia="zh-CN"/>
              </w:rPr>
              <w:t>踏勘现场</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不组织,投标人自行组织踏勘现场。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0"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14</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投标预备会</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39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ascii="宋体" w:cs="宋体"/>
                <w:b/>
                <w:bCs w:val="0"/>
                <w:color w:val="auto"/>
                <w:sz w:val="21"/>
                <w:szCs w:val="21"/>
                <w:highlight w:val="none"/>
                <w:lang w:val="en-US" w:eastAsia="zh-CN"/>
              </w:rPr>
              <w:t>15</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联合体投标</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pacing w:line="360" w:lineRule="auto"/>
              <w:textAlignment w:val="auto"/>
              <w:rPr>
                <w:rFonts w:hint="eastAsia" w:ascii="宋体" w:hAnsi="宋体" w:eastAsia="宋体" w:cs="宋体"/>
                <w:b w:val="0"/>
                <w:bCs/>
                <w:color w:val="auto"/>
                <w:sz w:val="21"/>
                <w:szCs w:val="21"/>
                <w:highlight w:val="none"/>
              </w:rPr>
            </w:pPr>
            <w:r>
              <w:rPr>
                <w:rFonts w:hint="eastAsia"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不接受</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接受，联合体投标的须在投标文件中提供联合体协议书，联合体所有成员不得超过2家，联合体的任何一方均不得再与其他投标单位联合。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39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eastAsia="宋体" w:cs="宋体"/>
                <w:b/>
                <w:bCs w:val="0"/>
                <w:color w:val="auto"/>
                <w:sz w:val="21"/>
                <w:szCs w:val="21"/>
                <w:highlight w:val="none"/>
                <w:lang w:val="en-US" w:eastAsia="zh-CN"/>
              </w:rPr>
            </w:pPr>
            <w:r>
              <w:rPr>
                <w:rFonts w:hint="eastAsia" w:ascii="宋体" w:cs="宋体"/>
                <w:b/>
                <w:bCs w:val="0"/>
                <w:color w:val="auto"/>
                <w:sz w:val="21"/>
                <w:szCs w:val="21"/>
                <w:highlight w:val="none"/>
                <w:lang w:val="en-US" w:eastAsia="zh-CN"/>
              </w:rPr>
              <w:t>16</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b/>
                <w:bCs w:val="0"/>
                <w:color w:val="auto"/>
                <w:sz w:val="21"/>
                <w:szCs w:val="21"/>
                <w:highlight w:val="none"/>
              </w:rPr>
              <w:t>招标代理费</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lang w:eastAsia="zh-CN"/>
              </w:rPr>
              <w:t>中标</w:t>
            </w:r>
            <w:r>
              <w:rPr>
                <w:rFonts w:hint="eastAsia" w:ascii="宋体" w:hAnsi="宋体" w:eastAsia="宋体" w:cs="宋体"/>
                <w:b w:val="0"/>
                <w:bCs/>
                <w:snapToGrid w:val="0"/>
                <w:color w:val="auto"/>
                <w:sz w:val="21"/>
                <w:szCs w:val="21"/>
                <w:highlight w:val="none"/>
              </w:rPr>
              <w:t>单位在领取本项目</w:t>
            </w:r>
            <w:r>
              <w:rPr>
                <w:rFonts w:hint="eastAsia" w:ascii="宋体" w:hAnsi="宋体" w:eastAsia="宋体" w:cs="宋体"/>
                <w:b w:val="0"/>
                <w:bCs/>
                <w:snapToGrid w:val="0"/>
                <w:color w:val="auto"/>
                <w:sz w:val="21"/>
                <w:szCs w:val="21"/>
                <w:highlight w:val="none"/>
                <w:lang w:eastAsia="zh-CN"/>
              </w:rPr>
              <w:t>中标</w:t>
            </w:r>
            <w:r>
              <w:rPr>
                <w:rFonts w:hint="eastAsia" w:ascii="宋体" w:hAnsi="宋体" w:eastAsia="宋体" w:cs="宋体"/>
                <w:b w:val="0"/>
                <w:bCs/>
                <w:snapToGrid w:val="0"/>
                <w:color w:val="auto"/>
                <w:sz w:val="21"/>
                <w:szCs w:val="21"/>
                <w:highlight w:val="none"/>
              </w:rPr>
              <w:t>通知书时，按照《国家计委关于印发招标代理服务收费管理暂行办法的通知（计价格[2002]1980号）及《招标代理服务收费有关问题》（发改办价格〔2003〕857号文）中规定向招标代理机构支付本项目代理费。收费标准如下：</w:t>
            </w:r>
          </w:p>
          <w:p>
            <w:pPr>
              <w:keepNext w:val="0"/>
              <w:keepLines w:val="0"/>
              <w:pageBreakBefore w:val="0"/>
              <w:shd w:val="clear" w:color="auto" w:fill="auto"/>
              <w:kinsoku/>
              <w:wordWrap/>
              <w:overflowPunct/>
              <w:topLinePunct w:val="0"/>
              <w:autoSpaceDE/>
              <w:autoSpaceDN/>
              <w:bidi w:val="0"/>
              <w:adjustRightInd/>
              <w:snapToGrid w:val="0"/>
              <w:spacing w:line="360" w:lineRule="auto"/>
              <w:ind w:firstLine="2130" w:firstLineChars="1000"/>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招标代理服务收费标准</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3"/>
              <w:gridCol w:w="1546"/>
              <w:gridCol w:w="1907"/>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53"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lang w:eastAsia="zh-CN"/>
                    </w:rPr>
                    <w:t>中标</w:t>
                  </w:r>
                  <w:r>
                    <w:rPr>
                      <w:rFonts w:hint="eastAsia" w:ascii="宋体" w:hAnsi="宋体" w:eastAsia="宋体" w:cs="宋体"/>
                      <w:b w:val="0"/>
                      <w:bCs/>
                      <w:snapToGrid w:val="0"/>
                      <w:color w:val="auto"/>
                      <w:sz w:val="21"/>
                      <w:szCs w:val="21"/>
                      <w:highlight w:val="none"/>
                    </w:rPr>
                    <w:t>金额（万元）</w:t>
                  </w:r>
                </w:p>
              </w:tc>
              <w:tc>
                <w:tcPr>
                  <w:tcW w:w="1546"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货物招标</w:t>
                  </w:r>
                </w:p>
              </w:tc>
              <w:tc>
                <w:tcPr>
                  <w:tcW w:w="190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lang w:eastAsia="zh-CN"/>
                    </w:rPr>
                    <w:t>服务招标</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100以下</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1.50%</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100-500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1.10%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lang w:val="en-US" w:eastAsia="zh-CN"/>
                    </w:rPr>
                    <w:t>0.80</w:t>
                  </w:r>
                  <w:r>
                    <w:rPr>
                      <w:rFonts w:hint="eastAsia" w:ascii="宋体" w:hAnsi="宋体" w:eastAsia="宋体" w:cs="宋体"/>
                      <w:b w:val="0"/>
                      <w:bCs/>
                      <w:snapToGrid w:val="0"/>
                      <w:color w:val="auto"/>
                      <w:sz w:val="21"/>
                      <w:szCs w:val="21"/>
                      <w:highlight w:val="none"/>
                    </w:rPr>
                    <w:t>%</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500-1000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0.80%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0.</w:t>
                  </w:r>
                  <w:r>
                    <w:rPr>
                      <w:rFonts w:hint="eastAsia" w:ascii="宋体" w:hAnsi="宋体" w:eastAsia="宋体" w:cs="宋体"/>
                      <w:b w:val="0"/>
                      <w:bCs/>
                      <w:snapToGrid w:val="0"/>
                      <w:color w:val="auto"/>
                      <w:sz w:val="21"/>
                      <w:szCs w:val="21"/>
                      <w:highlight w:val="none"/>
                      <w:lang w:val="en-US" w:eastAsia="zh-CN"/>
                    </w:rPr>
                    <w:t>45</w:t>
                  </w:r>
                  <w:r>
                    <w:rPr>
                      <w:rFonts w:hint="eastAsia" w:ascii="宋体" w:hAnsi="宋体" w:eastAsia="宋体" w:cs="宋体"/>
                      <w:b w:val="0"/>
                      <w:bCs/>
                      <w:snapToGrid w:val="0"/>
                      <w:color w:val="auto"/>
                      <w:sz w:val="21"/>
                      <w:szCs w:val="21"/>
                      <w:highlight w:val="none"/>
                    </w:rPr>
                    <w:t>%</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953"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1000-5000</w:t>
                  </w:r>
                </w:p>
              </w:tc>
              <w:tc>
                <w:tcPr>
                  <w:tcW w:w="154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0.50%</w:t>
                  </w:r>
                </w:p>
              </w:tc>
              <w:tc>
                <w:tcPr>
                  <w:tcW w:w="1907"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0.</w:t>
                  </w:r>
                  <w:r>
                    <w:rPr>
                      <w:rFonts w:hint="eastAsia" w:ascii="宋体" w:hAnsi="宋体" w:eastAsia="宋体" w:cs="宋体"/>
                      <w:b w:val="0"/>
                      <w:bCs/>
                      <w:snapToGrid w:val="0"/>
                      <w:color w:val="auto"/>
                      <w:sz w:val="21"/>
                      <w:szCs w:val="21"/>
                      <w:highlight w:val="none"/>
                      <w:lang w:val="en-US" w:eastAsia="zh-CN"/>
                    </w:rPr>
                    <w:t>25</w:t>
                  </w:r>
                  <w:r>
                    <w:rPr>
                      <w:rFonts w:hint="eastAsia" w:ascii="宋体" w:hAnsi="宋体" w:eastAsia="宋体" w:cs="宋体"/>
                      <w:b w:val="0"/>
                      <w:bCs/>
                      <w:snapToGrid w:val="0"/>
                      <w:color w:val="auto"/>
                      <w:sz w:val="21"/>
                      <w:szCs w:val="21"/>
                      <w:highlight w:val="none"/>
                    </w:rPr>
                    <w:t>%</w:t>
                  </w:r>
                </w:p>
              </w:tc>
              <w:tc>
                <w:tcPr>
                  <w:tcW w:w="1547"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val="0"/>
                      <w:bCs/>
                      <w:snapToGrid w:val="0"/>
                      <w:color w:val="auto"/>
                      <w:sz w:val="21"/>
                      <w:szCs w:val="21"/>
                      <w:highlight w:val="none"/>
                    </w:rPr>
                  </w:pPr>
                </w:p>
              </w:tc>
            </w:tr>
          </w:tbl>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招标代理服务收费按差额定率累进法计算。例如：某项目招标代理业务</w:t>
            </w:r>
            <w:r>
              <w:rPr>
                <w:rFonts w:hint="eastAsia" w:ascii="宋体" w:hAnsi="宋体" w:eastAsia="宋体" w:cs="宋体"/>
                <w:b w:val="0"/>
                <w:bCs/>
                <w:snapToGrid w:val="0"/>
                <w:color w:val="auto"/>
                <w:sz w:val="21"/>
                <w:szCs w:val="21"/>
                <w:highlight w:val="none"/>
                <w:lang w:eastAsia="zh-CN"/>
              </w:rPr>
              <w:t>中标</w:t>
            </w:r>
            <w:r>
              <w:rPr>
                <w:rFonts w:hint="eastAsia" w:ascii="宋体" w:hAnsi="宋体" w:eastAsia="宋体" w:cs="宋体"/>
                <w:b w:val="0"/>
                <w:bCs/>
                <w:snapToGrid w:val="0"/>
                <w:color w:val="auto"/>
                <w:sz w:val="21"/>
                <w:szCs w:val="21"/>
                <w:highlight w:val="none"/>
              </w:rPr>
              <w:t>金额为2000万元，计算招标代理服务收费额如下：</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 xml:space="preserve"> 100万元×1.50%=1.5（万元）；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（500-100）万元×1.10%=4.4（万元）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（1000-500）万元×0.80%=4.0（万元）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snapToGrid w:val="0"/>
                <w:color w:val="auto"/>
                <w:sz w:val="21"/>
                <w:szCs w:val="21"/>
                <w:highlight w:val="none"/>
              </w:rPr>
            </w:pPr>
            <w:r>
              <w:rPr>
                <w:rFonts w:hint="eastAsia" w:ascii="宋体" w:hAnsi="宋体" w:eastAsia="宋体" w:cs="宋体"/>
                <w:b w:val="0"/>
                <w:bCs/>
                <w:snapToGrid w:val="0"/>
                <w:color w:val="auto"/>
                <w:sz w:val="21"/>
                <w:szCs w:val="21"/>
                <w:highlight w:val="none"/>
              </w:rPr>
              <w:t>（2000-1000）万元×0.50%=5.0（万元）</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b w:val="0"/>
                <w:bCs/>
                <w:color w:val="auto"/>
                <w:sz w:val="21"/>
                <w:szCs w:val="21"/>
                <w:highlight w:val="none"/>
              </w:rPr>
            </w:pPr>
            <w:r>
              <w:rPr>
                <w:rFonts w:hint="eastAsia" w:ascii="宋体" w:hAnsi="宋体" w:eastAsia="宋体" w:cs="宋体"/>
                <w:b w:val="0"/>
                <w:bCs/>
                <w:snapToGrid w:val="0"/>
                <w:color w:val="auto"/>
                <w:sz w:val="21"/>
                <w:szCs w:val="21"/>
                <w:highlight w:val="none"/>
              </w:rPr>
              <w:t>合计收费=1.5+4.4+4.0+5.0=14.9(万元)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3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ascii="宋体" w:cs="宋体"/>
                <w:b/>
                <w:bCs w:val="0"/>
                <w:color w:val="auto"/>
                <w:sz w:val="21"/>
                <w:szCs w:val="21"/>
                <w:highlight w:val="none"/>
                <w:lang w:val="en-US" w:eastAsia="zh-CN"/>
              </w:rPr>
              <w:t>17</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b/>
                <w:bCs w:val="0"/>
                <w:color w:val="auto"/>
                <w:sz w:val="21"/>
                <w:szCs w:val="21"/>
                <w:highlight w:val="none"/>
                <w:lang w:val="en-US" w:eastAsia="zh-CN"/>
              </w:rPr>
              <w:t>投标有效期</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bCs w:val="0"/>
                <w:color w:val="auto"/>
                <w:sz w:val="21"/>
                <w:szCs w:val="21"/>
                <w:highlight w:val="none"/>
                <w:lang w:val="en-US" w:eastAsia="zh-CN"/>
              </w:rPr>
              <w:t>投标有效期为</w:t>
            </w:r>
            <w:r>
              <w:rPr>
                <w:rFonts w:hint="eastAsia"/>
                <w:b/>
                <w:bCs w:val="0"/>
                <w:color w:val="auto"/>
                <w:sz w:val="21"/>
                <w:szCs w:val="21"/>
                <w:highlight w:val="none"/>
                <w:u w:val="single"/>
                <w:lang w:val="en-US" w:eastAsia="zh-CN"/>
              </w:rPr>
              <w:t xml:space="preserve"> </w:t>
            </w:r>
            <w:r>
              <w:rPr>
                <w:rFonts w:hint="eastAsia" w:ascii="Times New Roman" w:hAnsi="Times New Roman" w:eastAsia="宋体" w:cs="Times New Roman"/>
                <w:b/>
                <w:bCs w:val="0"/>
                <w:color w:val="auto"/>
                <w:kern w:val="2"/>
                <w:sz w:val="22"/>
                <w:szCs w:val="28"/>
                <w:u w:val="single"/>
                <w:lang w:val="en-US" w:eastAsia="zh-CN" w:bidi="ar-SA"/>
              </w:rPr>
              <w:t>60</w:t>
            </w:r>
            <w:r>
              <w:rPr>
                <w:rFonts w:hint="eastAsia" w:ascii="Times New Roman" w:hAnsi="Times New Roman" w:eastAsia="宋体" w:cs="Times New Roman"/>
                <w:b/>
                <w:bCs w:val="0"/>
                <w:color w:val="auto"/>
                <w:kern w:val="2"/>
                <w:sz w:val="22"/>
                <w:szCs w:val="28"/>
                <w:u w:val="single"/>
                <w:lang w:val="en-US" w:eastAsia="zh-CN" w:bidi="ar-SA"/>
              </w:rPr>
              <w:t xml:space="preserve"> 日历</w:t>
            </w:r>
            <w:r>
              <w:rPr>
                <w:rFonts w:hint="eastAsia"/>
                <w:b/>
                <w:bCs w:val="0"/>
                <w:color w:val="auto"/>
                <w:sz w:val="21"/>
                <w:szCs w:val="21"/>
                <w:highlight w:val="none"/>
                <w:lang w:val="en-US" w:eastAsia="zh-CN"/>
              </w:rPr>
              <w:t>天（从投标截止之日算起）。在此期限内，凡符合本采购文件要求的投标文件均保持有效。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cs="宋体"/>
                <w:b/>
                <w:bCs w:val="0"/>
                <w:color w:val="auto"/>
                <w:sz w:val="21"/>
                <w:szCs w:val="21"/>
                <w:highlight w:val="none"/>
                <w:lang w:val="en-US" w:eastAsia="zh-CN"/>
              </w:rPr>
            </w:pPr>
            <w:r>
              <w:rPr>
                <w:rFonts w:hint="eastAsia" w:ascii="宋体" w:cs="宋体"/>
                <w:b/>
                <w:bCs w:val="0"/>
                <w:color w:val="auto"/>
                <w:sz w:val="21"/>
                <w:szCs w:val="21"/>
                <w:highlight w:val="none"/>
                <w:lang w:val="en-US" w:eastAsia="zh-CN"/>
              </w:rPr>
              <w:t>19</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Cs w:val="21"/>
              </w:rPr>
            </w:pPr>
            <w:r>
              <w:rPr>
                <w:rFonts w:hint="eastAsia" w:ascii="宋体"/>
                <w:b/>
                <w:bCs w:val="0"/>
                <w:color w:val="auto"/>
                <w:szCs w:val="21"/>
              </w:rPr>
              <w:t>投标保证金</w:t>
            </w:r>
          </w:p>
        </w:tc>
        <w:tc>
          <w:tcPr>
            <w:tcW w:w="7288" w:type="dxa"/>
            <w:noWrap w:val="0"/>
            <w:vAlign w:val="center"/>
          </w:tcPr>
          <w:p>
            <w:pPr>
              <w:snapToGrid w:val="0"/>
              <w:spacing w:line="290" w:lineRule="exact"/>
              <w:rPr>
                <w:rFonts w:hint="eastAsia" w:ascii="宋体" w:hAnsi="宋体" w:cs="宋体-18030"/>
                <w:b w:val="0"/>
                <w:bCs/>
                <w:color w:val="auto"/>
                <w:szCs w:val="21"/>
              </w:rPr>
            </w:pPr>
            <w:r>
              <w:rPr>
                <w:rFonts w:hint="eastAsia" w:ascii="宋体" w:hAnsi="宋体" w:cs="宋体-18030"/>
                <w:b w:val="0"/>
                <w:bCs/>
                <w:color w:val="auto"/>
                <w:szCs w:val="21"/>
              </w:rPr>
              <w:t>投标保证金交纳方式：投标保证金应当以支票、汇票、本票、网上银行支付或者金融机构、担保机构出具的保函等非现金形式交纳。</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18030"/>
                <w:b w:val="0"/>
                <w:bCs/>
                <w:color w:val="auto"/>
                <w:szCs w:val="21"/>
              </w:rPr>
            </w:pPr>
            <w:r>
              <w:rPr>
                <w:rFonts w:hint="eastAsia" w:ascii="宋体" w:hAnsi="宋体" w:cs="宋体-18030"/>
                <w:b/>
                <w:bCs w:val="0"/>
                <w:color w:val="auto"/>
                <w:szCs w:val="21"/>
              </w:rPr>
              <w:t>投标保证金的金额：</w:t>
            </w:r>
            <w:r>
              <w:rPr>
                <w:rFonts w:hint="eastAsia" w:hAnsi="宋体" w:cs="宋体-18030"/>
                <w:b/>
                <w:bCs w:val="0"/>
                <w:color w:val="auto"/>
                <w:szCs w:val="21"/>
                <w:lang w:val="en-US" w:eastAsia="zh-CN"/>
              </w:rPr>
              <w:t>60000.00</w:t>
            </w:r>
            <w:r>
              <w:rPr>
                <w:rFonts w:hint="eastAsia" w:ascii="宋体" w:hAnsi="宋体" w:cs="宋体-18030"/>
                <w:b/>
                <w:bCs w:val="0"/>
                <w:color w:val="auto"/>
                <w:szCs w:val="21"/>
              </w:rPr>
              <w:t>元（</w:t>
            </w:r>
            <w:r>
              <w:rPr>
                <w:rFonts w:hint="eastAsia" w:hAnsi="宋体" w:cs="宋体-18030"/>
                <w:b/>
                <w:bCs w:val="0"/>
                <w:color w:val="auto"/>
                <w:szCs w:val="21"/>
                <w:lang w:eastAsia="zh-CN"/>
              </w:rPr>
              <w:t>陆万</w:t>
            </w:r>
            <w:r>
              <w:rPr>
                <w:rFonts w:hint="eastAsia" w:ascii="宋体" w:hAnsi="宋体" w:cs="宋体-18030"/>
                <w:b/>
                <w:bCs w:val="0"/>
                <w:color w:val="auto"/>
                <w:szCs w:val="21"/>
              </w:rPr>
              <w:t>元整）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1075"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20</w:t>
            </w:r>
          </w:p>
        </w:tc>
        <w:tc>
          <w:tcPr>
            <w:tcW w:w="1536" w:type="dxa"/>
            <w:tcBorders>
              <w:bottom w:val="single" w:color="auto" w:sz="4" w:space="0"/>
            </w:tcBorders>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hAnsi="宋体"/>
                <w:b/>
                <w:bCs w:val="0"/>
                <w:color w:val="auto"/>
                <w:sz w:val="21"/>
                <w:szCs w:val="21"/>
                <w:lang w:eastAsia="zh-CN"/>
              </w:rPr>
              <w:t>投标保证金</w:t>
            </w:r>
          </w:p>
        </w:tc>
        <w:tc>
          <w:tcPr>
            <w:tcW w:w="7288" w:type="dxa"/>
            <w:tcBorders>
              <w:bottom w:val="single" w:color="auto" w:sz="4" w:space="0"/>
            </w:tcBorders>
            <w:noWrap w:val="0"/>
            <w:vAlign w:val="top"/>
          </w:tcPr>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投标保证金要求：</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投标保证金交纳方式：投标保证金应当以支票、汇票、本票、网上银行支付或者金融机构、担保机构出具的保函等非现金形式交纳。</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投标保证金的金额：</w:t>
            </w:r>
            <w:r>
              <w:rPr>
                <w:rFonts w:hint="eastAsia" w:ascii="宋体" w:hAnsi="宋体" w:cs="宋体"/>
                <w:b w:val="0"/>
                <w:bCs/>
                <w:color w:val="auto"/>
                <w:szCs w:val="21"/>
                <w:lang w:val="en-US" w:eastAsia="zh-CN"/>
              </w:rPr>
              <w:t>60000</w:t>
            </w:r>
            <w:r>
              <w:rPr>
                <w:rFonts w:hint="eastAsia" w:ascii="宋体" w:hAnsi="宋体" w:eastAsia="宋体" w:cs="宋体"/>
                <w:b w:val="0"/>
                <w:bCs/>
                <w:color w:val="auto"/>
                <w:szCs w:val="21"/>
                <w:lang w:val="en-US" w:eastAsia="zh-CN"/>
              </w:rPr>
              <w:t>元；（陆万元整）</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投标保证金缴纳要求：1、投标保证金以电汇、网银等转账形式提交的，应在投标截止时间</w:t>
            </w:r>
            <w:r>
              <w:rPr>
                <w:rFonts w:hint="eastAsia" w:ascii="宋体" w:hAnsi="宋体" w:eastAsia="宋体" w:cs="宋体"/>
                <w:b w:val="0"/>
                <w:bCs/>
                <w:color w:val="auto"/>
                <w:szCs w:val="21"/>
                <w:lang w:val="en-US" w:eastAsia="zh-CN"/>
              </w:rPr>
              <w:t xml:space="preserve">2023年 </w:t>
            </w:r>
            <w:r>
              <w:rPr>
                <w:rFonts w:hint="eastAsia" w:ascii="宋体" w:hAnsi="宋体" w:cs="宋体"/>
                <w:b w:val="0"/>
                <w:bCs/>
                <w:color w:val="auto"/>
                <w:szCs w:val="21"/>
                <w:lang w:val="en-US" w:eastAsia="zh-CN"/>
              </w:rPr>
              <w:t>6</w:t>
            </w:r>
            <w:r>
              <w:rPr>
                <w:rFonts w:hint="eastAsia" w:ascii="宋体" w:hAnsi="宋体" w:eastAsia="宋体" w:cs="宋体"/>
                <w:b w:val="0"/>
                <w:bCs/>
                <w:color w:val="auto"/>
                <w:szCs w:val="21"/>
                <w:lang w:val="en-US" w:eastAsia="zh-CN"/>
              </w:rPr>
              <w:t xml:space="preserve"> 月 </w:t>
            </w:r>
            <w:r>
              <w:rPr>
                <w:rFonts w:hint="eastAsia" w:ascii="宋体" w:hAnsi="宋体" w:cs="宋体"/>
                <w:b w:val="0"/>
                <w:bCs/>
                <w:color w:val="auto"/>
                <w:szCs w:val="21"/>
                <w:lang w:val="en-US" w:eastAsia="zh-CN"/>
              </w:rPr>
              <w:t>19</w:t>
            </w:r>
            <w:r>
              <w:rPr>
                <w:rFonts w:hint="eastAsia" w:ascii="宋体" w:hAnsi="宋体" w:eastAsia="宋体" w:cs="宋体"/>
                <w:b w:val="0"/>
                <w:bCs/>
                <w:color w:val="auto"/>
                <w:szCs w:val="21"/>
                <w:lang w:val="en-US" w:eastAsia="zh-CN"/>
              </w:rPr>
              <w:t xml:space="preserve"> 日 10:30（北京时间）</w:t>
            </w:r>
            <w:r>
              <w:rPr>
                <w:rFonts w:hint="eastAsia" w:ascii="宋体" w:hAnsi="宋体" w:eastAsia="宋体" w:cs="宋体"/>
                <w:b w:val="0"/>
                <w:bCs/>
                <w:color w:val="auto"/>
                <w:szCs w:val="21"/>
                <w:lang w:val="en-US" w:eastAsia="zh-CN"/>
              </w:rPr>
              <w:t>前以总公司的基本账户一次性汇入指定账户（以到账时间为准），不接受现金及任何个人汇款。确认到账后，手持汇款银行电子回单及基本账户信息/开户许可证复印件（两份）；（一份加盖上企业公章，另一份无需盖章留有空白），到阿图什市政务服务和公共资源交易中心财务室核查缴纳情况，缴纳成功的由阿图什市政务服务和公共资源交易中心财务室在企业携带的银行回单上加盖财务章专用章，作为该项目投标保证金的缴纳依据。</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2、其他特殊情况处理：有效投标保证金成功交纳后，截止开标时间，供应商无正当理由不参加该项目投标且不递交弃标函，投标保证金不予退还。</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户名：阿图什市政务服务和公共资源交易中心</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账号：30456301040005267</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行名：中国农业银行阿图什市天山分理处</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行号：103893045636</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联系人：祝女士</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 xml:space="preserve"> 电话：0908-4222076    </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备注：</w:t>
            </w:r>
          </w:p>
          <w:p>
            <w:pPr>
              <w:snapToGrid w:val="0"/>
              <w:spacing w:line="290" w:lineRule="exact"/>
              <w:rPr>
                <w:rFonts w:hint="eastAsia" w:ascii="宋体" w:hAnsi="宋体" w:eastAsia="宋体" w:cs="宋体"/>
                <w:b w:val="0"/>
                <w:bCs/>
                <w:color w:val="auto"/>
                <w:szCs w:val="21"/>
                <w:lang w:val="en-US" w:eastAsia="zh-CN"/>
              </w:rPr>
            </w:pPr>
            <w:r>
              <w:rPr>
                <w:rFonts w:hint="eastAsia" w:ascii="宋体" w:hAnsi="宋体" w:eastAsia="宋体" w:cs="宋体"/>
                <w:b w:val="0"/>
                <w:bCs/>
                <w:color w:val="auto"/>
                <w:szCs w:val="21"/>
                <w:lang w:val="en-US" w:eastAsia="zh-CN"/>
              </w:rPr>
              <w:t>1、缴纳时必须写清楚某某项目投标保证金,在核查投标保证金时请统一用A4纸打印银行回单。2、投标保证金退还（招投标结束中标结果公示后）：</w:t>
            </w:r>
          </w:p>
          <w:p>
            <w:pPr>
              <w:snapToGrid w:val="0"/>
              <w:spacing w:line="290" w:lineRule="exact"/>
              <w:rPr>
                <w:rFonts w:hint="eastAsia" w:ascii="宋体" w:hAnsi="宋体" w:cs="宋体-18030"/>
                <w:b w:val="0"/>
                <w:bCs/>
                <w:color w:val="auto"/>
                <w:sz w:val="21"/>
                <w:szCs w:val="21"/>
                <w:highlight w:val="none"/>
              </w:rPr>
            </w:pPr>
            <w:r>
              <w:rPr>
                <w:rFonts w:hint="eastAsia" w:ascii="宋体" w:hAnsi="宋体" w:eastAsia="宋体" w:cs="宋体"/>
                <w:b w:val="0"/>
                <w:bCs/>
                <w:color w:val="auto"/>
                <w:szCs w:val="21"/>
                <w:lang w:val="en-US" w:eastAsia="zh-CN"/>
              </w:rPr>
              <w:t xml:space="preserve">①、投标企业：待开标完成后，3至5个工作日以内政资中心财务人员将收取的项目投标保证金按投标企业基本户退回。②、中标企业：需提供已签订合同复印件一份（并携带合同原件，由中心工作人员核对后退还）。  </w:t>
            </w:r>
            <w:r>
              <w:rPr>
                <w:rFonts w:hint="eastAsia" w:ascii="宋体" w:hAnsi="宋体" w:eastAsia="宋体" w:cs="宋体"/>
                <w:b w:val="0"/>
                <w:bCs/>
                <w:color w:val="auto"/>
                <w:szCs w:val="21"/>
                <w:lang w:eastAsia="zh-CN"/>
              </w:rPr>
              <w:t xml:space="preserve">  </w:t>
            </w:r>
            <w:r>
              <w:rPr>
                <w:rFonts w:hint="eastAsia" w:ascii="宋体" w:hAnsi="宋体" w:eastAsia="宋体" w:cs="宋体"/>
                <w:b w:val="0"/>
                <w:bCs/>
                <w:color w:val="auto"/>
                <w:szCs w:val="21"/>
              </w:rPr>
              <w:t xml:space="preserve">           </w:t>
            </w:r>
            <w:r>
              <w:rPr>
                <w:rFonts w:hint="eastAsia" w:ascii="宋体" w:hAnsi="宋体" w:eastAsia="宋体" w:cs="宋体-18030"/>
                <w:b w:val="0"/>
                <w:bCs/>
                <w:color w:val="auto"/>
                <w:szCs w:val="21"/>
              </w:rPr>
              <w:t xml:space="preserve">        </w:t>
            </w:r>
            <w:r>
              <w:rPr>
                <w:rFonts w:hint="eastAsia" w:ascii="宋体" w:hAnsi="宋体" w:cs="宋体"/>
                <w:color w:val="auto"/>
                <w:szCs w:val="21"/>
              </w:rPr>
              <w:t xml:space="preserve">           </w:t>
            </w:r>
            <w:r>
              <w:rPr>
                <w:rFonts w:hint="eastAsia" w:ascii="宋体" w:hAnsi="宋体"/>
                <w:b w:val="0"/>
                <w:bCs/>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624"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b/>
                <w:bCs w:val="0"/>
                <w:color w:val="auto"/>
                <w:sz w:val="21"/>
                <w:szCs w:val="21"/>
                <w:highlight w:val="none"/>
                <w:lang w:val="en-US" w:eastAsia="zh-CN"/>
              </w:rPr>
            </w:pPr>
            <w:r>
              <w:rPr>
                <w:rFonts w:hint="eastAsia" w:ascii="宋体" w:cs="宋体"/>
                <w:b/>
                <w:bCs w:val="0"/>
                <w:color w:val="auto"/>
                <w:sz w:val="21"/>
                <w:szCs w:val="21"/>
                <w:highlight w:val="none"/>
                <w:lang w:val="en-US" w:eastAsia="zh-CN"/>
              </w:rPr>
              <w:t>21</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投标文件形式</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电子投标文件包括“电子加密投标文件”，在投标文件编制完成后同时生成。</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1、“电子加密投标文件”是指通过“政采云电子交易客户端”完成投标文件编制后生成并加密的数据电文形式的投标文件。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396"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eastAsia="宋体" w:cs="宋体"/>
                <w:b/>
                <w:bCs w:val="0"/>
                <w:color w:val="auto"/>
                <w:sz w:val="21"/>
                <w:szCs w:val="21"/>
                <w:highlight w:val="none"/>
                <w:lang w:val="en-US" w:eastAsia="zh-CN"/>
              </w:rPr>
            </w:pPr>
            <w:r>
              <w:rPr>
                <w:rFonts w:hint="eastAsia" w:ascii="宋体" w:cs="宋体"/>
                <w:b/>
                <w:bCs w:val="0"/>
                <w:color w:val="auto"/>
                <w:sz w:val="21"/>
                <w:szCs w:val="21"/>
                <w:highlight w:val="none"/>
                <w:lang w:val="en-US" w:eastAsia="zh-CN"/>
              </w:rPr>
              <w:t>22</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投标文件份数及要求</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1、一份电子加密标书（“.jmbs”格式）。</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hAnsi="Times New Roman" w:cs="Times New Roman"/>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2、每份电子投标文件应包括资格证明文件和商务、技术文件两部分。</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default"/>
                <w:b w:val="0"/>
                <w:bCs/>
                <w:color w:val="auto"/>
                <w:sz w:val="21"/>
                <w:szCs w:val="21"/>
                <w:highlight w:val="none"/>
                <w:lang w:val="en-US" w:eastAsia="zh-CN"/>
              </w:rPr>
            </w:pPr>
            <w:r>
              <w:rPr>
                <w:rFonts w:hint="eastAsia" w:hAnsi="Times New Roman" w:cs="Times New Roman"/>
                <w:b w:val="0"/>
                <w:bCs/>
                <w:color w:val="auto"/>
                <w:sz w:val="21"/>
                <w:szCs w:val="21"/>
                <w:highlight w:val="none"/>
                <w:lang w:val="en-US" w:eastAsia="zh-CN"/>
              </w:rPr>
              <w:t>3、待开标结束后，各投标企业请于</w:t>
            </w:r>
            <w:r>
              <w:rPr>
                <w:rFonts w:hint="eastAsia" w:hAnsi="Times New Roman" w:cs="Times New Roman"/>
                <w:b w:val="0"/>
                <w:bCs/>
                <w:color w:val="auto"/>
                <w:sz w:val="21"/>
                <w:szCs w:val="21"/>
                <w:highlight w:val="none"/>
                <w:lang w:val="en-US" w:eastAsia="zh-CN"/>
              </w:rPr>
              <w:t>2023年</w:t>
            </w:r>
            <w:r>
              <w:rPr>
                <w:rFonts w:hint="eastAsia" w:cs="Times New Roman"/>
                <w:b w:val="0"/>
                <w:bCs/>
                <w:color w:val="auto"/>
                <w:sz w:val="21"/>
                <w:szCs w:val="21"/>
                <w:highlight w:val="none"/>
                <w:lang w:val="en-US" w:eastAsia="zh-CN"/>
              </w:rPr>
              <w:t xml:space="preserve">6 </w:t>
            </w:r>
            <w:r>
              <w:rPr>
                <w:rFonts w:hint="eastAsia" w:hAnsi="Times New Roman" w:cs="Times New Roman"/>
                <w:b w:val="0"/>
                <w:bCs/>
                <w:color w:val="auto"/>
                <w:sz w:val="21"/>
                <w:szCs w:val="21"/>
                <w:highlight w:val="none"/>
                <w:lang w:val="en-US" w:eastAsia="zh-CN"/>
              </w:rPr>
              <w:t>月</w:t>
            </w:r>
            <w:r>
              <w:rPr>
                <w:rFonts w:hint="eastAsia" w:cs="Times New Roman"/>
                <w:b w:val="0"/>
                <w:bCs/>
                <w:color w:val="auto"/>
                <w:sz w:val="21"/>
                <w:szCs w:val="21"/>
                <w:highlight w:val="none"/>
                <w:lang w:val="en-US" w:eastAsia="zh-CN"/>
              </w:rPr>
              <w:t xml:space="preserve">26 </w:t>
            </w:r>
            <w:r>
              <w:rPr>
                <w:rFonts w:hint="eastAsia" w:hAnsi="Times New Roman" w:cs="Times New Roman"/>
                <w:b w:val="0"/>
                <w:bCs/>
                <w:color w:val="auto"/>
                <w:sz w:val="21"/>
                <w:szCs w:val="21"/>
                <w:highlight w:val="none"/>
                <w:lang w:val="en-US" w:eastAsia="zh-CN"/>
              </w:rPr>
              <w:t>日19:30</w:t>
            </w:r>
            <w:r>
              <w:rPr>
                <w:rFonts w:hint="eastAsia" w:hAnsi="Times New Roman" w:cs="Times New Roman"/>
                <w:b w:val="0"/>
                <w:bCs/>
                <w:color w:val="auto"/>
                <w:sz w:val="21"/>
                <w:szCs w:val="21"/>
                <w:highlight w:val="none"/>
                <w:lang w:val="en-US" w:eastAsia="zh-CN"/>
              </w:rPr>
              <w:t>前提供纸质投标文件四份并承诺与纸质投标文件内容一致的承诺书至</w:t>
            </w:r>
            <w:r>
              <w:rPr>
                <w:rFonts w:hint="eastAsia" w:cs="Times New Roman"/>
                <w:b w:val="0"/>
                <w:bCs/>
                <w:color w:val="auto"/>
                <w:sz w:val="21"/>
                <w:szCs w:val="21"/>
                <w:highlight w:val="none"/>
                <w:lang w:val="en-US" w:eastAsia="zh-CN"/>
              </w:rPr>
              <w:t>中轩项目管理有限公司</w:t>
            </w:r>
            <w:r>
              <w:rPr>
                <w:rFonts w:hint="eastAsia" w:hAnsi="Times New Roman" w:cs="Times New Roman"/>
                <w:b w:val="0"/>
                <w:bCs/>
                <w:color w:val="auto"/>
                <w:sz w:val="21"/>
                <w:szCs w:val="21"/>
                <w:highlight w:val="none"/>
                <w:lang w:val="en-US" w:eastAsia="zh-CN"/>
              </w:rPr>
              <w:t>（阿图什市</w:t>
            </w:r>
            <w:r>
              <w:rPr>
                <w:rFonts w:hint="eastAsia" w:cs="Times New Roman"/>
                <w:b w:val="0"/>
                <w:bCs/>
                <w:color w:val="auto"/>
                <w:sz w:val="21"/>
                <w:szCs w:val="21"/>
                <w:highlight w:val="none"/>
                <w:lang w:val="en-US" w:eastAsia="zh-CN"/>
              </w:rPr>
              <w:t>迎宾</w:t>
            </w:r>
            <w:r>
              <w:rPr>
                <w:rFonts w:hint="eastAsia" w:hAnsi="Times New Roman" w:cs="Times New Roman"/>
                <w:b w:val="0"/>
                <w:bCs/>
                <w:color w:val="auto"/>
                <w:sz w:val="21"/>
                <w:szCs w:val="21"/>
                <w:highlight w:val="none"/>
                <w:lang w:val="en-US" w:eastAsia="zh-CN"/>
              </w:rPr>
              <w:t>路</w:t>
            </w:r>
            <w:r>
              <w:rPr>
                <w:rFonts w:hint="eastAsia" w:cs="Times New Roman"/>
                <w:b w:val="0"/>
                <w:bCs/>
                <w:color w:val="auto"/>
                <w:sz w:val="21"/>
                <w:szCs w:val="21"/>
                <w:highlight w:val="none"/>
                <w:lang w:val="en-US" w:eastAsia="zh-CN"/>
              </w:rPr>
              <w:t>80</w:t>
            </w:r>
            <w:r>
              <w:rPr>
                <w:rFonts w:hint="eastAsia" w:hAnsi="Times New Roman" w:cs="Times New Roman"/>
                <w:b w:val="0"/>
                <w:bCs/>
                <w:color w:val="auto"/>
                <w:sz w:val="21"/>
                <w:szCs w:val="21"/>
                <w:highlight w:val="none"/>
                <w:lang w:val="en-US" w:eastAsia="zh-CN"/>
              </w:rPr>
              <w:t>号2楼）。投标人可采用邮寄方式提供纸质版投标文件（收件地址：阿图什市</w:t>
            </w:r>
            <w:r>
              <w:rPr>
                <w:rFonts w:hint="eastAsia" w:cs="Times New Roman"/>
                <w:b w:val="0"/>
                <w:bCs/>
                <w:color w:val="auto"/>
                <w:sz w:val="21"/>
                <w:szCs w:val="21"/>
                <w:highlight w:val="none"/>
                <w:lang w:val="en-US" w:eastAsia="zh-CN"/>
              </w:rPr>
              <w:t>迎宾</w:t>
            </w:r>
            <w:r>
              <w:rPr>
                <w:rFonts w:hint="eastAsia" w:hAnsi="Times New Roman" w:cs="Times New Roman"/>
                <w:b w:val="0"/>
                <w:bCs/>
                <w:color w:val="auto"/>
                <w:sz w:val="21"/>
                <w:szCs w:val="21"/>
                <w:highlight w:val="none"/>
                <w:lang w:val="en-US" w:eastAsia="zh-CN"/>
              </w:rPr>
              <w:t>路</w:t>
            </w:r>
            <w:r>
              <w:rPr>
                <w:rFonts w:hint="eastAsia" w:cs="Times New Roman"/>
                <w:b w:val="0"/>
                <w:bCs/>
                <w:color w:val="auto"/>
                <w:sz w:val="21"/>
                <w:szCs w:val="21"/>
                <w:highlight w:val="none"/>
                <w:lang w:val="en-US" w:eastAsia="zh-CN"/>
              </w:rPr>
              <w:t>80</w:t>
            </w:r>
            <w:r>
              <w:rPr>
                <w:rFonts w:hint="eastAsia" w:hAnsi="Times New Roman" w:cs="Times New Roman"/>
                <w:b w:val="0"/>
                <w:bCs/>
                <w:color w:val="auto"/>
                <w:sz w:val="21"/>
                <w:szCs w:val="21"/>
                <w:highlight w:val="none"/>
                <w:lang w:val="en-US" w:eastAsia="zh-CN"/>
              </w:rPr>
              <w:t>号2楼，收件人：</w:t>
            </w:r>
            <w:r>
              <w:rPr>
                <w:rFonts w:hint="eastAsia" w:cs="Times New Roman"/>
                <w:b w:val="0"/>
                <w:bCs/>
                <w:color w:val="auto"/>
                <w:sz w:val="21"/>
                <w:szCs w:val="21"/>
                <w:highlight w:val="none"/>
                <w:lang w:val="en-US" w:eastAsia="zh-CN"/>
              </w:rPr>
              <w:t>莫先生</w:t>
            </w:r>
            <w:r>
              <w:rPr>
                <w:rFonts w:hint="eastAsia" w:hAnsi="Times New Roman" w:cs="Times New Roman"/>
                <w:b w:val="0"/>
                <w:bCs/>
                <w:color w:val="auto"/>
                <w:sz w:val="21"/>
                <w:szCs w:val="21"/>
                <w:highlight w:val="none"/>
                <w:lang w:val="en-US" w:eastAsia="zh-CN"/>
              </w:rPr>
              <w:t>，电话：</w:t>
            </w:r>
            <w:r>
              <w:rPr>
                <w:rFonts w:hint="eastAsia" w:cs="Times New Roman"/>
                <w:b w:val="0"/>
                <w:bCs/>
                <w:color w:val="auto"/>
                <w:sz w:val="21"/>
                <w:szCs w:val="21"/>
                <w:highlight w:val="none"/>
                <w:lang w:val="en-US" w:eastAsia="zh-CN"/>
              </w:rPr>
              <w:t>13809988058</w:t>
            </w:r>
            <w:r>
              <w:rPr>
                <w:rFonts w:hint="eastAsia" w:hAnsi="Times New Roman" w:cs="Times New Roman"/>
                <w:b w:val="0"/>
                <w:bCs/>
                <w:color w:val="auto"/>
                <w:sz w:val="21"/>
                <w:szCs w:val="21"/>
                <w:highlight w:val="none"/>
                <w:lang w:val="en-US" w:eastAsia="zh-CN"/>
              </w:rPr>
              <w:t>），费用自行承担。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090"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eastAsia="宋体" w:cs="宋体"/>
                <w:b/>
                <w:bCs w:val="0"/>
                <w:color w:val="auto"/>
                <w:sz w:val="21"/>
                <w:szCs w:val="21"/>
                <w:highlight w:val="none"/>
                <w:lang w:val="en-US" w:eastAsia="zh-CN"/>
              </w:rPr>
            </w:pPr>
            <w:r>
              <w:rPr>
                <w:rFonts w:hint="eastAsia" w:ascii="宋体" w:cs="宋体"/>
                <w:b/>
                <w:bCs w:val="0"/>
                <w:color w:val="auto"/>
                <w:sz w:val="21"/>
                <w:szCs w:val="21"/>
                <w:highlight w:val="none"/>
                <w:lang w:val="en-US" w:eastAsia="zh-CN"/>
              </w:rPr>
              <w:t>23</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bidi="zh-CN"/>
              </w:rPr>
              <w:t>投标文件的上传和递交</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u w:val="single" w:color="auto"/>
                <w:lang w:val="en-US" w:eastAsia="zh-CN"/>
              </w:rPr>
            </w:pPr>
            <w:r>
              <w:rPr>
                <w:rFonts w:hint="eastAsia"/>
                <w:b w:val="0"/>
                <w:bCs/>
                <w:color w:val="auto"/>
                <w:sz w:val="21"/>
                <w:szCs w:val="21"/>
                <w:highlight w:val="none"/>
                <w:lang w:val="en-US" w:eastAsia="zh-CN"/>
              </w:rPr>
              <w:t>1.电子加密投标文件：投标文件制作完成并生成加密标书，在投标截止时间前，供应商需将加密的投标文件上传至政采云平台，</w:t>
            </w:r>
            <w:r>
              <w:rPr>
                <w:rFonts w:hint="eastAsia"/>
                <w:b w:val="0"/>
                <w:bCs/>
                <w:color w:val="auto"/>
                <w:sz w:val="21"/>
                <w:szCs w:val="21"/>
                <w:highlight w:val="none"/>
                <w:u w:val="single" w:color="auto"/>
                <w:lang w:val="en-US" w:eastAsia="zh-CN"/>
              </w:rPr>
              <w:t>在开标时间开始后，待采购组织机构发出解密通知后30分钟内解密投标文件。</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a.供应商未能在投标截止时间前成功上传电子加密投标文件的投标无效。</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b.供应商成功上传电子加密投标文件后，可自行打印投标文件接收回执。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91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eastAsia="宋体" w:cs="宋体"/>
                <w:b/>
                <w:bCs w:val="0"/>
                <w:color w:val="auto"/>
                <w:sz w:val="21"/>
                <w:szCs w:val="21"/>
                <w:highlight w:val="none"/>
                <w:lang w:val="en-US" w:eastAsia="zh-CN"/>
              </w:rPr>
            </w:pPr>
            <w:r>
              <w:rPr>
                <w:rFonts w:hint="eastAsia" w:ascii="宋体" w:cs="宋体"/>
                <w:b/>
                <w:bCs w:val="0"/>
                <w:color w:val="auto"/>
                <w:sz w:val="21"/>
                <w:szCs w:val="21"/>
                <w:highlight w:val="none"/>
                <w:lang w:val="en-US" w:eastAsia="zh-CN"/>
              </w:rPr>
              <w:t>24</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b/>
                <w:bCs w:val="0"/>
                <w:color w:val="auto"/>
                <w:sz w:val="21"/>
                <w:szCs w:val="21"/>
                <w:highlight w:val="none"/>
                <w:lang w:eastAsia="zh-CN"/>
              </w:rPr>
              <w:t>投标截止</w:t>
            </w:r>
            <w:r>
              <w:rPr>
                <w:rFonts w:hint="eastAsia" w:ascii="宋体"/>
                <w:b/>
                <w:bCs w:val="0"/>
                <w:color w:val="auto"/>
                <w:sz w:val="21"/>
                <w:szCs w:val="21"/>
                <w:highlight w:val="none"/>
              </w:rPr>
              <w:t>时间及地点</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val="0"/>
                <w:bCs/>
                <w:color w:val="auto"/>
                <w:sz w:val="21"/>
                <w:szCs w:val="21"/>
                <w:highlight w:val="none"/>
              </w:rPr>
            </w:pPr>
            <w:r>
              <w:rPr>
                <w:rFonts w:hint="eastAsia" w:ascii="Times New Roman" w:hAnsi="Times New Roman" w:cs="Times New Roman"/>
                <w:b w:val="0"/>
                <w:bCs/>
                <w:color w:val="auto"/>
                <w:sz w:val="21"/>
                <w:szCs w:val="21"/>
                <w:highlight w:val="none"/>
                <w:lang w:eastAsia="zh-CN"/>
              </w:rPr>
              <w:t>投标截止</w:t>
            </w:r>
            <w:r>
              <w:rPr>
                <w:rFonts w:hint="eastAsia" w:ascii="Times New Roman" w:hAnsi="Times New Roman" w:cs="Times New Roman"/>
                <w:b w:val="0"/>
                <w:bCs/>
                <w:color w:val="auto"/>
                <w:sz w:val="21"/>
                <w:szCs w:val="21"/>
                <w:highlight w:val="none"/>
              </w:rPr>
              <w:t>时间：</w:t>
            </w:r>
            <w:r>
              <w:rPr>
                <w:rFonts w:hint="eastAsia"/>
                <w:b w:val="0"/>
                <w:bCs/>
                <w:color w:val="auto"/>
                <w:sz w:val="21"/>
                <w:szCs w:val="21"/>
                <w:highlight w:val="none"/>
                <w:lang w:val="en-US" w:eastAsia="zh-CN"/>
              </w:rPr>
              <w:t>2023</w:t>
            </w:r>
            <w:r>
              <w:rPr>
                <w:rFonts w:hint="eastAsia"/>
                <w:b w:val="0"/>
                <w:bCs/>
                <w:color w:val="auto"/>
                <w:sz w:val="21"/>
                <w:szCs w:val="21"/>
                <w:highlight w:val="none"/>
              </w:rPr>
              <w:t>年</w:t>
            </w:r>
            <w:r>
              <w:rPr>
                <w:rFonts w:hint="eastAsia"/>
                <w:b w:val="0"/>
                <w:bCs/>
                <w:color w:val="auto"/>
                <w:sz w:val="21"/>
                <w:szCs w:val="21"/>
                <w:highlight w:val="none"/>
                <w:lang w:val="en-US" w:eastAsia="zh-CN"/>
              </w:rPr>
              <w:t xml:space="preserve"> 6 </w:t>
            </w:r>
            <w:r>
              <w:rPr>
                <w:rFonts w:hint="eastAsia"/>
                <w:b w:val="0"/>
                <w:bCs/>
                <w:color w:val="auto"/>
                <w:sz w:val="21"/>
                <w:szCs w:val="21"/>
                <w:highlight w:val="none"/>
              </w:rPr>
              <w:t>月</w:t>
            </w:r>
            <w:r>
              <w:rPr>
                <w:rFonts w:hint="eastAsia"/>
                <w:b w:val="0"/>
                <w:bCs/>
                <w:color w:val="auto"/>
                <w:sz w:val="21"/>
                <w:szCs w:val="21"/>
                <w:highlight w:val="none"/>
                <w:lang w:val="en-US" w:eastAsia="zh-CN"/>
              </w:rPr>
              <w:t xml:space="preserve"> 19 </w:t>
            </w:r>
            <w:r>
              <w:rPr>
                <w:rFonts w:hint="eastAsia"/>
                <w:b w:val="0"/>
                <w:bCs/>
                <w:color w:val="auto"/>
                <w:sz w:val="21"/>
                <w:szCs w:val="21"/>
                <w:highlight w:val="none"/>
              </w:rPr>
              <w:t>日</w:t>
            </w:r>
            <w:r>
              <w:rPr>
                <w:rFonts w:hint="eastAsia"/>
                <w:b w:val="0"/>
                <w:bCs/>
                <w:color w:val="auto"/>
                <w:sz w:val="21"/>
                <w:szCs w:val="21"/>
                <w:highlight w:val="none"/>
                <w:lang w:val="en-US" w:eastAsia="zh-CN"/>
              </w:rPr>
              <w:t>10</w:t>
            </w:r>
            <w:r>
              <w:rPr>
                <w:rFonts w:hint="eastAsia"/>
                <w:b w:val="0"/>
                <w:bCs/>
                <w:color w:val="auto"/>
                <w:sz w:val="21"/>
                <w:szCs w:val="21"/>
                <w:highlight w:val="none"/>
              </w:rPr>
              <w:t>时</w:t>
            </w:r>
            <w:r>
              <w:rPr>
                <w:rFonts w:hint="eastAsia"/>
                <w:b w:val="0"/>
                <w:bCs/>
                <w:color w:val="auto"/>
                <w:sz w:val="21"/>
                <w:szCs w:val="21"/>
                <w:highlight w:val="none"/>
                <w:lang w:val="en-US" w:eastAsia="zh-CN"/>
              </w:rPr>
              <w:t>30</w:t>
            </w:r>
            <w:r>
              <w:rPr>
                <w:rFonts w:hint="eastAsia"/>
                <w:b w:val="0"/>
                <w:bCs/>
                <w:color w:val="auto"/>
                <w:sz w:val="21"/>
                <w:szCs w:val="21"/>
                <w:highlight w:val="none"/>
              </w:rPr>
              <w:t>分（北京时间）</w:t>
            </w:r>
          </w:p>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val="0"/>
                <w:bCs/>
                <w:color w:val="auto"/>
                <w:sz w:val="21"/>
                <w:szCs w:val="21"/>
                <w:highlight w:val="none"/>
              </w:rPr>
            </w:pPr>
            <w:r>
              <w:rPr>
                <w:rFonts w:hint="eastAsia"/>
                <w:b w:val="0"/>
                <w:bCs/>
                <w:color w:val="auto"/>
                <w:sz w:val="21"/>
                <w:szCs w:val="21"/>
                <w:highlight w:val="none"/>
                <w:lang w:eastAsia="zh-CN"/>
              </w:rPr>
              <w:t>投标</w:t>
            </w:r>
            <w:r>
              <w:rPr>
                <w:rFonts w:hint="eastAsia"/>
                <w:b w:val="0"/>
                <w:bCs/>
                <w:color w:val="auto"/>
                <w:sz w:val="21"/>
                <w:szCs w:val="21"/>
                <w:highlight w:val="none"/>
              </w:rPr>
              <w:t>地点：</w:t>
            </w:r>
            <w:r>
              <w:rPr>
                <w:rFonts w:hint="eastAsia"/>
                <w:b w:val="0"/>
                <w:bCs/>
                <w:color w:val="auto"/>
                <w:sz w:val="21"/>
                <w:szCs w:val="21"/>
                <w:highlight w:val="none"/>
                <w:lang w:eastAsia="zh-CN"/>
              </w:rPr>
              <w:t>新疆</w:t>
            </w:r>
            <w:r>
              <w:rPr>
                <w:rFonts w:hint="eastAsia"/>
                <w:b w:val="0"/>
                <w:bCs/>
                <w:color w:val="auto"/>
                <w:sz w:val="21"/>
                <w:szCs w:val="21"/>
                <w:highlight w:val="none"/>
              </w:rPr>
              <w:t>政府采购云平台（www.zcygov.cn）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57"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ascii="宋体" w:eastAsia="宋体" w:cs="宋体"/>
                <w:b/>
                <w:bCs w:val="0"/>
                <w:color w:val="auto"/>
                <w:sz w:val="21"/>
                <w:szCs w:val="21"/>
                <w:highlight w:val="none"/>
                <w:lang w:val="en-US" w:eastAsia="zh-CN"/>
              </w:rPr>
            </w:pPr>
            <w:r>
              <w:rPr>
                <w:rFonts w:hint="eastAsia"/>
                <w:b/>
                <w:bCs w:val="0"/>
                <w:color w:val="auto"/>
                <w:sz w:val="21"/>
                <w:szCs w:val="21"/>
                <w:highlight w:val="none"/>
                <w:lang w:val="en-US" w:eastAsia="zh-CN"/>
              </w:rPr>
              <w:t>25</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b/>
                <w:bCs w:val="0"/>
                <w:color w:val="auto"/>
                <w:sz w:val="21"/>
                <w:szCs w:val="21"/>
                <w:highlight w:val="none"/>
              </w:rPr>
              <w:t>开标时间及地点</w:t>
            </w:r>
          </w:p>
        </w:tc>
        <w:tc>
          <w:tcPr>
            <w:tcW w:w="7288"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val="0"/>
                <w:bCs/>
                <w:color w:val="auto"/>
                <w:sz w:val="21"/>
                <w:szCs w:val="21"/>
                <w:highlight w:val="none"/>
              </w:rPr>
            </w:pPr>
            <w:r>
              <w:rPr>
                <w:rFonts w:hint="eastAsia"/>
                <w:b w:val="0"/>
                <w:bCs/>
                <w:color w:val="auto"/>
                <w:sz w:val="21"/>
                <w:szCs w:val="21"/>
                <w:highlight w:val="none"/>
              </w:rPr>
              <w:t>开标时间：</w:t>
            </w:r>
            <w:r>
              <w:rPr>
                <w:rFonts w:hint="eastAsia"/>
                <w:b w:val="0"/>
                <w:bCs/>
                <w:color w:val="auto"/>
                <w:sz w:val="21"/>
                <w:szCs w:val="21"/>
                <w:highlight w:val="none"/>
                <w:lang w:val="en-US" w:eastAsia="zh-CN"/>
              </w:rPr>
              <w:t>2023</w:t>
            </w:r>
            <w:r>
              <w:rPr>
                <w:rFonts w:hint="eastAsia"/>
                <w:b w:val="0"/>
                <w:bCs/>
                <w:color w:val="auto"/>
                <w:sz w:val="21"/>
                <w:szCs w:val="21"/>
                <w:highlight w:val="none"/>
              </w:rPr>
              <w:t>年</w:t>
            </w:r>
            <w:r>
              <w:rPr>
                <w:rFonts w:hint="eastAsia"/>
                <w:b w:val="0"/>
                <w:bCs/>
                <w:color w:val="auto"/>
                <w:sz w:val="21"/>
                <w:szCs w:val="21"/>
                <w:highlight w:val="none"/>
                <w:lang w:val="en-US" w:eastAsia="zh-CN"/>
              </w:rPr>
              <w:t xml:space="preserve"> 6 </w:t>
            </w:r>
            <w:r>
              <w:rPr>
                <w:rFonts w:hint="eastAsia"/>
                <w:b w:val="0"/>
                <w:bCs/>
                <w:color w:val="auto"/>
                <w:sz w:val="21"/>
                <w:szCs w:val="21"/>
                <w:highlight w:val="none"/>
              </w:rPr>
              <w:t>月</w:t>
            </w:r>
            <w:r>
              <w:rPr>
                <w:rFonts w:hint="eastAsia"/>
                <w:b w:val="0"/>
                <w:bCs/>
                <w:color w:val="auto"/>
                <w:sz w:val="21"/>
                <w:szCs w:val="21"/>
                <w:highlight w:val="none"/>
                <w:lang w:val="en-US" w:eastAsia="zh-CN"/>
              </w:rPr>
              <w:t xml:space="preserve">19  </w:t>
            </w:r>
            <w:r>
              <w:rPr>
                <w:rFonts w:hint="eastAsia"/>
                <w:b w:val="0"/>
                <w:bCs/>
                <w:color w:val="auto"/>
                <w:sz w:val="21"/>
                <w:szCs w:val="21"/>
                <w:highlight w:val="none"/>
              </w:rPr>
              <w:t>日</w:t>
            </w:r>
            <w:r>
              <w:rPr>
                <w:rFonts w:hint="eastAsia"/>
                <w:b w:val="0"/>
                <w:bCs/>
                <w:color w:val="auto"/>
                <w:sz w:val="21"/>
                <w:szCs w:val="21"/>
                <w:highlight w:val="none"/>
                <w:lang w:val="en-US" w:eastAsia="zh-CN"/>
              </w:rPr>
              <w:t>10</w:t>
            </w:r>
            <w:r>
              <w:rPr>
                <w:rFonts w:hint="eastAsia"/>
                <w:b w:val="0"/>
                <w:bCs/>
                <w:color w:val="auto"/>
                <w:sz w:val="21"/>
                <w:szCs w:val="21"/>
                <w:highlight w:val="none"/>
              </w:rPr>
              <w:t>时</w:t>
            </w:r>
            <w:r>
              <w:rPr>
                <w:rFonts w:hint="eastAsia"/>
                <w:b w:val="0"/>
                <w:bCs/>
                <w:color w:val="auto"/>
                <w:sz w:val="21"/>
                <w:szCs w:val="21"/>
                <w:highlight w:val="none"/>
                <w:lang w:val="en-US" w:eastAsia="zh-CN"/>
              </w:rPr>
              <w:t>30</w:t>
            </w:r>
            <w:r>
              <w:rPr>
                <w:rFonts w:hint="eastAsia"/>
                <w:b w:val="0"/>
                <w:bCs/>
                <w:color w:val="auto"/>
                <w:sz w:val="21"/>
                <w:szCs w:val="21"/>
                <w:highlight w:val="none"/>
              </w:rPr>
              <w:t>分（北京时间）</w:t>
            </w:r>
          </w:p>
          <w:p>
            <w:pPr>
              <w:keepNext w:val="0"/>
              <w:keepLines w:val="0"/>
              <w:pageBreakBefore w:val="0"/>
              <w:shd w:val="clear" w:color="auto" w:fill="auto"/>
              <w:kinsoku/>
              <w:wordWrap/>
              <w:overflowPunct/>
              <w:topLinePunct w:val="0"/>
              <w:autoSpaceDE/>
              <w:autoSpaceDN/>
              <w:bidi w:val="0"/>
              <w:adjustRightInd/>
              <w:snapToGrid w:val="0"/>
              <w:spacing w:line="360" w:lineRule="auto"/>
              <w:ind w:firstLine="18" w:firstLineChars="9"/>
              <w:textAlignment w:val="auto"/>
              <w:outlineLvl w:val="9"/>
              <w:rPr>
                <w:rFonts w:hint="eastAsia"/>
                <w:b w:val="0"/>
                <w:bCs/>
                <w:color w:val="auto"/>
                <w:sz w:val="21"/>
                <w:szCs w:val="21"/>
                <w:highlight w:val="none"/>
              </w:rPr>
            </w:pPr>
            <w:r>
              <w:rPr>
                <w:rFonts w:hint="eastAsia"/>
                <w:b w:val="0"/>
                <w:bCs/>
                <w:color w:val="auto"/>
                <w:sz w:val="21"/>
                <w:szCs w:val="21"/>
                <w:highlight w:val="none"/>
              </w:rPr>
              <w:t>开标地点：在</w:t>
            </w:r>
            <w:r>
              <w:rPr>
                <w:rFonts w:hint="eastAsia"/>
                <w:b w:val="0"/>
                <w:bCs/>
                <w:color w:val="auto"/>
                <w:sz w:val="21"/>
                <w:szCs w:val="21"/>
                <w:highlight w:val="none"/>
                <w:lang w:eastAsia="zh-CN"/>
              </w:rPr>
              <w:t>新疆</w:t>
            </w:r>
            <w:r>
              <w:rPr>
                <w:rFonts w:hint="eastAsia"/>
                <w:b w:val="0"/>
                <w:bCs/>
                <w:color w:val="auto"/>
                <w:sz w:val="21"/>
                <w:szCs w:val="21"/>
                <w:highlight w:val="none"/>
              </w:rPr>
              <w:t>政府采购云平台（www.zcygov.cn）上开启投标文件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02"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26</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评标委员会的组建</w:t>
            </w:r>
          </w:p>
        </w:tc>
        <w:tc>
          <w:tcPr>
            <w:tcW w:w="7288" w:type="dxa"/>
            <w:noWrap w:val="0"/>
            <w:vAlign w:val="top"/>
          </w:tcPr>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评标委员会由招标人依法组建；</w:t>
            </w:r>
          </w:p>
          <w:p>
            <w:pPr>
              <w:pStyle w:val="14"/>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sz w:val="21"/>
                <w:szCs w:val="21"/>
                <w:highlight w:val="none"/>
                <w:lang w:val="en-US" w:eastAsia="zh-CN"/>
              </w:rPr>
            </w:pPr>
            <w:r>
              <w:rPr>
                <w:rFonts w:hint="eastAsia"/>
                <w:b w:val="0"/>
                <w:bCs/>
                <w:color w:val="auto"/>
                <w:sz w:val="21"/>
                <w:szCs w:val="21"/>
                <w:highlight w:val="none"/>
                <w:lang w:val="en-US" w:eastAsia="zh-CN"/>
              </w:rPr>
              <w:t>评标专家确定方式：专家评委由招标人在开标前48小时内从政采云专家库中随机抽取。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1012"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b/>
                <w:bCs w:val="0"/>
                <w:color w:val="auto"/>
                <w:sz w:val="21"/>
                <w:szCs w:val="21"/>
                <w:highlight w:val="none"/>
                <w:lang w:val="en-US" w:eastAsia="zh-CN"/>
              </w:rPr>
            </w:pPr>
            <w:r>
              <w:rPr>
                <w:rFonts w:hint="eastAsia"/>
                <w:b/>
                <w:bCs w:val="0"/>
                <w:color w:val="auto"/>
                <w:sz w:val="21"/>
                <w:szCs w:val="21"/>
                <w:highlight w:val="none"/>
                <w:lang w:val="en-US" w:eastAsia="zh-CN"/>
              </w:rPr>
              <w:t>27</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是否授权评标委员会确定中标候选人</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val="0"/>
                <w:bCs/>
                <w:color w:val="auto"/>
                <w:sz w:val="21"/>
                <w:szCs w:val="21"/>
                <w:highlight w:val="none"/>
                <w:lang w:val="en-US" w:eastAsia="zh-CN"/>
              </w:rPr>
            </w:pPr>
            <w:r>
              <w:rPr>
                <w:rFonts w:hint="eastAsia" w:hAnsi="宋体"/>
                <w:b w:val="0"/>
                <w:bCs/>
                <w:color w:val="auto"/>
                <w:sz w:val="21"/>
                <w:szCs w:val="21"/>
                <w:highlight w:val="none"/>
                <w:lang w:val="en-US" w:eastAsia="zh-CN"/>
              </w:rPr>
              <w:t>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ind w:left="-78" w:leftChars="-37" w:right="-95" w:rightChars="-45"/>
              <w:jc w:val="center"/>
              <w:textAlignment w:val="auto"/>
              <w:outlineLvl w:val="9"/>
              <w:rPr>
                <w:rFonts w:hint="default"/>
                <w:b/>
                <w:bCs w:val="0"/>
                <w:color w:val="auto"/>
                <w:sz w:val="21"/>
                <w:szCs w:val="21"/>
                <w:highlight w:val="none"/>
                <w:lang w:val="en-US" w:eastAsia="zh-CN"/>
              </w:rPr>
            </w:pPr>
            <w:r>
              <w:rPr>
                <w:rFonts w:hint="eastAsia" w:ascii="宋体" w:cs="宋体"/>
                <w:b/>
                <w:bCs w:val="0"/>
                <w:color w:val="auto"/>
                <w:sz w:val="21"/>
                <w:szCs w:val="21"/>
                <w:highlight w:val="none"/>
                <w:lang w:val="en-US" w:eastAsia="zh-CN"/>
              </w:rPr>
              <w:t>28</w:t>
            </w:r>
          </w:p>
        </w:tc>
        <w:tc>
          <w:tcPr>
            <w:tcW w:w="1536"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b/>
                <w:bCs w:val="0"/>
                <w:color w:val="auto"/>
                <w:sz w:val="21"/>
                <w:szCs w:val="21"/>
                <w:highlight w:val="none"/>
                <w:lang w:val="en-US" w:eastAsia="zh-CN"/>
              </w:rPr>
            </w:pPr>
            <w:r>
              <w:rPr>
                <w:rFonts w:hint="eastAsia"/>
                <w:b/>
                <w:bCs w:val="0"/>
                <w:color w:val="auto"/>
                <w:sz w:val="21"/>
                <w:szCs w:val="21"/>
                <w:highlight w:val="none"/>
                <w:lang w:val="en-US" w:eastAsia="zh-CN"/>
              </w:rPr>
              <w:t>中标候选人公示媒介</w:t>
            </w:r>
          </w:p>
        </w:tc>
        <w:tc>
          <w:tcPr>
            <w:tcW w:w="7288" w:type="dxa"/>
            <w:noWrap w:val="0"/>
            <w:vAlign w:val="center"/>
          </w:tcPr>
          <w:p>
            <w:pPr>
              <w:pStyle w:val="14"/>
              <w:keepNext w:val="0"/>
              <w:keepLines w:val="0"/>
              <w:pageBreakBefore w:val="0"/>
              <w:shd w:val="clear" w:color="auto" w:fill="auto"/>
              <w:kinsoku/>
              <w:wordWrap/>
              <w:overflowPunct/>
              <w:topLinePunct w:val="0"/>
              <w:autoSpaceDE/>
              <w:autoSpaceDN/>
              <w:bidi w:val="0"/>
              <w:adjustRightInd/>
              <w:snapToGrid w:val="0"/>
              <w:spacing w:line="290" w:lineRule="exact"/>
              <w:jc w:val="both"/>
              <w:textAlignment w:val="auto"/>
              <w:outlineLvl w:val="9"/>
              <w:rPr>
                <w:rFonts w:hint="eastAsia"/>
                <w:b w:val="0"/>
                <w:bCs/>
                <w:color w:val="auto"/>
                <w:sz w:val="21"/>
                <w:szCs w:val="21"/>
                <w:highlight w:val="none"/>
                <w:lang w:val="en-US" w:eastAsia="zh-CN"/>
              </w:rPr>
            </w:pPr>
            <w:r>
              <w:rPr>
                <w:rFonts w:hint="eastAsia" w:ascii="Times New Roman" w:hAnsi="Times New Roman" w:eastAsia="宋体" w:cs="Times New Roman"/>
                <w:b w:val="0"/>
                <w:bCs/>
                <w:color w:val="auto"/>
                <w:kern w:val="2"/>
                <w:sz w:val="21"/>
                <w:szCs w:val="21"/>
                <w:highlight w:val="none"/>
                <w:u w:val="none"/>
                <w:lang w:val="en-US" w:eastAsia="zh-CN" w:bidi="ar-SA"/>
              </w:rPr>
              <w:t>新疆政府采购网</w:t>
            </w:r>
            <w:r>
              <w:rPr>
                <w:rFonts w:hint="eastAsia" w:ascii="Times New Roman" w:hAnsi="Times New Roman" w:cs="Times New Roman"/>
                <w:b w:val="0"/>
                <w:bCs/>
                <w:color w:val="auto"/>
                <w:kern w:val="2"/>
                <w:sz w:val="21"/>
                <w:szCs w:val="21"/>
                <w:highlight w:val="none"/>
                <w:u w:val="none"/>
                <w:lang w:val="en-US" w:eastAsia="zh-CN" w:bidi="ar-SA"/>
              </w:rPr>
              <w:t>、</w:t>
            </w:r>
            <w:r>
              <w:rPr>
                <w:rFonts w:hint="eastAsia" w:ascii="Times New Roman" w:hAnsi="Times New Roman" w:eastAsia="宋体" w:cs="Times New Roman"/>
                <w:b w:val="0"/>
                <w:bCs/>
                <w:color w:val="auto"/>
                <w:kern w:val="2"/>
                <w:sz w:val="21"/>
                <w:szCs w:val="21"/>
                <w:highlight w:val="none"/>
                <w:u w:val="none"/>
                <w:lang w:val="en-US" w:eastAsia="zh-CN" w:bidi="ar-SA"/>
              </w:rPr>
              <w:t>克州公共资源交易网，公示期为一个工作日。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0"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eastAsia="宋体" w:cs="宋体"/>
                <w:b/>
                <w:bCs w:val="0"/>
                <w:color w:val="auto"/>
                <w:sz w:val="21"/>
                <w:szCs w:val="21"/>
                <w:highlight w:val="none"/>
                <w:lang w:val="en-US" w:eastAsia="zh-CN"/>
              </w:rPr>
            </w:pPr>
            <w:r>
              <w:rPr>
                <w:rFonts w:hint="eastAsia" w:ascii="宋体" w:cs="宋体"/>
                <w:b/>
                <w:bCs w:val="0"/>
                <w:color w:val="auto"/>
                <w:sz w:val="21"/>
                <w:szCs w:val="21"/>
                <w:highlight w:val="none"/>
                <w:lang w:val="en-US" w:eastAsia="zh-CN"/>
              </w:rPr>
              <w:t>29</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b/>
                <w:bCs w:val="0"/>
                <w:color w:val="auto"/>
                <w:sz w:val="21"/>
                <w:szCs w:val="21"/>
                <w:highlight w:val="none"/>
              </w:rPr>
            </w:pPr>
            <w:r>
              <w:rPr>
                <w:rFonts w:hint="eastAsia" w:ascii="宋体"/>
                <w:b/>
                <w:bCs w:val="0"/>
                <w:color w:val="auto"/>
                <w:sz w:val="21"/>
                <w:szCs w:val="21"/>
                <w:highlight w:val="none"/>
              </w:rPr>
              <w:t>履约担保</w:t>
            </w:r>
          </w:p>
        </w:tc>
        <w:tc>
          <w:tcPr>
            <w:tcW w:w="7288" w:type="dxa"/>
            <w:noWrap w:val="0"/>
            <w:vAlign w:val="top"/>
          </w:tcPr>
          <w:p>
            <w:pPr>
              <w:keepNext w:val="0"/>
              <w:keepLines w:val="0"/>
              <w:pageBreakBefore w:val="0"/>
              <w:numPr>
                <w:ilvl w:val="0"/>
                <w:numId w:val="5"/>
              </w:numPr>
              <w:shd w:val="clear" w:color="auto" w:fill="auto"/>
              <w:kinsoku/>
              <w:wordWrap/>
              <w:overflowPunct/>
              <w:topLinePunct w:val="0"/>
              <w:autoSpaceDE/>
              <w:autoSpaceDN/>
              <w:bidi w:val="0"/>
              <w:adjustRightInd/>
              <w:snapToGrid w:val="0"/>
              <w:spacing w:line="360" w:lineRule="auto"/>
              <w:textAlignment w:val="auto"/>
              <w:outlineLvl w:val="9"/>
              <w:rPr>
                <w:rFonts w:hint="eastAsia"/>
                <w:b w:val="0"/>
                <w:bCs/>
                <w:color w:val="auto"/>
                <w:lang w:val="en-US" w:eastAsia="zh-CN"/>
              </w:rPr>
            </w:pPr>
            <w:r>
              <w:rPr>
                <w:rFonts w:hint="eastAsia"/>
                <w:b w:val="0"/>
                <w:bCs/>
                <w:color w:val="auto"/>
                <w:lang w:val="en-US" w:eastAsia="zh-CN"/>
              </w:rPr>
              <w:t>中标供应商在合同签订后5个工作日</w:t>
            </w:r>
            <w:r>
              <w:rPr>
                <w:rFonts w:hint="eastAsia"/>
                <w:b w:val="0"/>
                <w:bCs/>
                <w:color w:val="auto"/>
                <w:lang w:val="en-US" w:eastAsia="zh-CN"/>
              </w:rPr>
              <w:t>内向采购人交纳中标价5%的履约保证金（本项目履约保证金接收保函形式；若以电</w:t>
            </w:r>
            <w:r>
              <w:rPr>
                <w:rFonts w:hint="eastAsia"/>
                <w:b w:val="0"/>
                <w:bCs/>
                <w:color w:val="auto"/>
                <w:lang w:val="en-US" w:eastAsia="zh-CN"/>
              </w:rPr>
              <w:t>汇、银行转账方式提交的，必须转到采购人的指定账户），如果中标供应商在建设期内没有涉及采购人的应付而未付金额或违约行为，采购人在项目验收合格后或提前终止合同后全额无息退还履约保证金。</w:t>
            </w:r>
          </w:p>
          <w:p>
            <w:pPr>
              <w:shd w:val="clear" w:color="auto" w:fill="auto"/>
              <w:spacing w:line="440" w:lineRule="exact"/>
              <w:jc w:val="left"/>
              <w:rPr>
                <w:rFonts w:hint="eastAsia" w:ascii="宋体"/>
                <w:b w:val="0"/>
                <w:bCs/>
                <w:color w:val="auto"/>
                <w:szCs w:val="21"/>
                <w:highlight w:val="none"/>
                <w:lang w:val="en-US" w:eastAsia="zh-CN"/>
              </w:rPr>
            </w:pPr>
            <w:r>
              <w:rPr>
                <w:rFonts w:hint="eastAsia" w:ascii="宋体" w:hAnsi="Times New Roman" w:eastAsia="宋体" w:cs="宋体"/>
                <w:b w:val="0"/>
                <w:bCs/>
                <w:color w:val="auto"/>
                <w:kern w:val="0"/>
                <w:sz w:val="21"/>
                <w:szCs w:val="21"/>
                <w:highlight w:val="none"/>
                <w:u w:val="none" w:color="000000"/>
                <w:lang w:val="en-US" w:eastAsia="zh-CN" w:bidi="ar-SA"/>
              </w:rPr>
              <w:t>2、</w:t>
            </w:r>
            <w:r>
              <w:rPr>
                <w:rFonts w:hint="eastAsia" w:ascii="宋体"/>
                <w:b w:val="0"/>
                <w:bCs/>
                <w:color w:val="auto"/>
                <w:szCs w:val="21"/>
                <w:highlight w:val="none"/>
                <w:lang w:val="en-US" w:eastAsia="zh-CN"/>
              </w:rPr>
              <w:t>签订合同后，如中标供应商不按合同约定履约的，履约保证金不予退还，履约保证金不足以赔偿损失的，按实际损失赔偿。</w:t>
            </w:r>
          </w:p>
          <w:p>
            <w:pPr>
              <w:shd w:val="clear" w:color="auto" w:fill="auto"/>
              <w:spacing w:line="440" w:lineRule="exact"/>
              <w:jc w:val="left"/>
              <w:rPr>
                <w:rFonts w:hint="eastAsia"/>
                <w:b w:val="0"/>
                <w:bCs/>
                <w:color w:val="auto"/>
                <w:lang w:val="en-US" w:eastAsia="zh-CN"/>
              </w:rPr>
            </w:pPr>
            <w:r>
              <w:rPr>
                <w:rFonts w:hint="eastAsia" w:ascii="宋体"/>
                <w:b w:val="0"/>
                <w:bCs/>
                <w:color w:val="auto"/>
                <w:szCs w:val="21"/>
                <w:highlight w:val="none"/>
                <w:lang w:val="en-US" w:eastAsia="zh-CN"/>
              </w:rPr>
              <w:t>3、如果中标供应商在供货期内没有涉及采购人的应付而未付金额或违约行为，采购人在项目验收合格后或提前终止合同后全额无息退还履约保证金。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2"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eastAsia="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30</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eastAsia="zh-CN"/>
              </w:rPr>
            </w:pPr>
            <w:r>
              <w:rPr>
                <w:rFonts w:hint="eastAsia" w:ascii="宋体" w:hAnsi="宋体" w:cs="宋体"/>
                <w:b/>
                <w:bCs w:val="0"/>
                <w:color w:val="auto"/>
                <w:sz w:val="21"/>
                <w:szCs w:val="21"/>
                <w:highlight w:val="none"/>
                <w:lang w:eastAsia="zh-CN"/>
              </w:rPr>
              <w:t>招标</w:t>
            </w:r>
            <w:r>
              <w:rPr>
                <w:rFonts w:hint="eastAsia" w:ascii="宋体" w:hAnsi="宋体" w:cs="宋体"/>
                <w:b/>
                <w:bCs w:val="0"/>
                <w:color w:val="auto"/>
                <w:sz w:val="21"/>
                <w:szCs w:val="21"/>
                <w:highlight w:val="none"/>
              </w:rPr>
              <w:t>文件领取</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时间：202</w:t>
            </w:r>
            <w:r>
              <w:rPr>
                <w:rFonts w:hint="eastAsia" w:ascii="宋体" w:hAnsi="宋体" w:cs="宋体"/>
                <w:b w:val="0"/>
                <w:bCs/>
                <w:color w:val="auto"/>
                <w:sz w:val="21"/>
                <w:szCs w:val="21"/>
                <w:highlight w:val="none"/>
                <w:lang w:val="en-US" w:eastAsia="zh-CN"/>
              </w:rPr>
              <w:t>3</w:t>
            </w:r>
            <w:r>
              <w:rPr>
                <w:rFonts w:hint="eastAsia" w:ascii="宋体" w:hAnsi="宋体" w:cs="宋体"/>
                <w:b w:val="0"/>
                <w:bCs/>
                <w:color w:val="auto"/>
                <w:sz w:val="21"/>
                <w:szCs w:val="21"/>
                <w:highlight w:val="none"/>
              </w:rPr>
              <w:t>年</w:t>
            </w:r>
            <w:r>
              <w:rPr>
                <w:rFonts w:hint="eastAsia" w:ascii="宋体" w:hAnsi="宋体" w:cs="宋体"/>
                <w:b w:val="0"/>
                <w:bCs/>
                <w:color w:val="auto"/>
                <w:sz w:val="21"/>
                <w:szCs w:val="21"/>
                <w:highlight w:val="none"/>
                <w:lang w:val="en-US" w:eastAsia="zh-CN"/>
              </w:rPr>
              <w:t xml:space="preserve"> 5 </w:t>
            </w:r>
            <w:r>
              <w:rPr>
                <w:rFonts w:hint="eastAsia" w:ascii="宋体" w:hAnsi="宋体" w:cs="宋体"/>
                <w:b w:val="0"/>
                <w:bCs/>
                <w:color w:val="auto"/>
                <w:sz w:val="21"/>
                <w:szCs w:val="21"/>
                <w:highlight w:val="none"/>
              </w:rPr>
              <w:t>月</w:t>
            </w:r>
            <w:r>
              <w:rPr>
                <w:rFonts w:hint="eastAsia" w:ascii="宋体" w:hAnsi="宋体" w:cs="宋体"/>
                <w:b w:val="0"/>
                <w:bCs/>
                <w:color w:val="auto"/>
                <w:sz w:val="21"/>
                <w:szCs w:val="21"/>
                <w:highlight w:val="none"/>
                <w:lang w:val="en-US" w:eastAsia="zh-CN"/>
              </w:rPr>
              <w:t xml:space="preserve"> 29 </w:t>
            </w:r>
            <w:r>
              <w:rPr>
                <w:rFonts w:hint="eastAsia" w:ascii="宋体" w:hAnsi="宋体" w:cs="宋体"/>
                <w:b w:val="0"/>
                <w:bCs/>
                <w:color w:val="auto"/>
                <w:sz w:val="21"/>
                <w:szCs w:val="21"/>
                <w:highlight w:val="none"/>
              </w:rPr>
              <w:t>日至202</w:t>
            </w:r>
            <w:r>
              <w:rPr>
                <w:rFonts w:hint="eastAsia" w:ascii="宋体" w:hAnsi="宋体" w:cs="宋体"/>
                <w:b w:val="0"/>
                <w:bCs/>
                <w:color w:val="auto"/>
                <w:sz w:val="21"/>
                <w:szCs w:val="21"/>
                <w:highlight w:val="none"/>
                <w:lang w:val="en-US" w:eastAsia="zh-CN"/>
              </w:rPr>
              <w:t>3</w:t>
            </w:r>
            <w:r>
              <w:rPr>
                <w:rFonts w:hint="eastAsia" w:ascii="宋体" w:hAnsi="宋体" w:cs="宋体"/>
                <w:b w:val="0"/>
                <w:bCs/>
                <w:color w:val="auto"/>
                <w:sz w:val="21"/>
                <w:szCs w:val="21"/>
                <w:highlight w:val="none"/>
              </w:rPr>
              <w:t>年</w:t>
            </w:r>
            <w:r>
              <w:rPr>
                <w:rFonts w:hint="eastAsia" w:ascii="宋体" w:hAnsi="宋体" w:cs="宋体"/>
                <w:b w:val="0"/>
                <w:bCs/>
                <w:color w:val="auto"/>
                <w:sz w:val="21"/>
                <w:szCs w:val="21"/>
                <w:highlight w:val="none"/>
                <w:lang w:val="en-US" w:eastAsia="zh-CN"/>
              </w:rPr>
              <w:t xml:space="preserve"> 6 </w:t>
            </w:r>
            <w:r>
              <w:rPr>
                <w:rFonts w:hint="eastAsia" w:ascii="宋体" w:hAnsi="宋体" w:cs="宋体"/>
                <w:b w:val="0"/>
                <w:bCs/>
                <w:color w:val="auto"/>
                <w:sz w:val="21"/>
                <w:szCs w:val="21"/>
                <w:highlight w:val="none"/>
              </w:rPr>
              <w:t>月</w:t>
            </w:r>
            <w:r>
              <w:rPr>
                <w:rFonts w:hint="eastAsia" w:ascii="宋体" w:hAnsi="宋体" w:cs="宋体"/>
                <w:b w:val="0"/>
                <w:bCs/>
                <w:color w:val="auto"/>
                <w:sz w:val="21"/>
                <w:szCs w:val="21"/>
                <w:highlight w:val="none"/>
                <w:lang w:val="en-US" w:eastAsia="zh-CN"/>
              </w:rPr>
              <w:t xml:space="preserve"> 9 </w:t>
            </w:r>
            <w:r>
              <w:rPr>
                <w:rFonts w:hint="eastAsia" w:ascii="宋体" w:hAnsi="宋体" w:cs="宋体"/>
                <w:b w:val="0"/>
                <w:bCs/>
                <w:color w:val="auto"/>
                <w:sz w:val="21"/>
                <w:szCs w:val="21"/>
                <w:highlight w:val="none"/>
              </w:rPr>
              <w:t>日，每天上午10:00至</w:t>
            </w:r>
            <w:r>
              <w:rPr>
                <w:rFonts w:hint="eastAsia" w:ascii="宋体" w:hAnsi="宋体" w:cs="宋体"/>
                <w:b w:val="0"/>
                <w:bCs/>
                <w:color w:val="auto"/>
                <w:sz w:val="21"/>
                <w:szCs w:val="21"/>
                <w:highlight w:val="none"/>
                <w:lang w:val="en-US" w:eastAsia="zh-CN"/>
              </w:rPr>
              <w:t>13</w:t>
            </w:r>
            <w:r>
              <w:rPr>
                <w:rFonts w:hint="eastAsia" w:ascii="宋体" w:hAnsi="宋体" w:cs="宋体"/>
                <w:b w:val="0"/>
                <w:bCs/>
                <w:color w:val="auto"/>
                <w:sz w:val="21"/>
                <w:szCs w:val="21"/>
                <w:highlight w:val="none"/>
              </w:rPr>
              <w:t>:</w:t>
            </w:r>
            <w:r>
              <w:rPr>
                <w:rFonts w:hint="eastAsia" w:ascii="宋体" w:hAnsi="宋体" w:cs="宋体"/>
                <w:b w:val="0"/>
                <w:bCs/>
                <w:color w:val="auto"/>
                <w:sz w:val="21"/>
                <w:szCs w:val="21"/>
                <w:highlight w:val="none"/>
                <w:lang w:val="en-US" w:eastAsia="zh-CN"/>
              </w:rPr>
              <w:t>3</w:t>
            </w:r>
            <w:r>
              <w:rPr>
                <w:rFonts w:hint="eastAsia" w:ascii="宋体" w:hAnsi="宋体" w:cs="宋体"/>
                <w:b w:val="0"/>
                <w:bCs/>
                <w:color w:val="auto"/>
                <w:sz w:val="21"/>
                <w:szCs w:val="21"/>
                <w:highlight w:val="none"/>
              </w:rPr>
              <w:t>0，下午16:</w:t>
            </w:r>
            <w:r>
              <w:rPr>
                <w:rFonts w:hint="eastAsia" w:ascii="宋体" w:hAnsi="宋体" w:cs="宋体"/>
                <w:b w:val="0"/>
                <w:bCs/>
                <w:color w:val="auto"/>
                <w:sz w:val="21"/>
                <w:szCs w:val="21"/>
                <w:highlight w:val="none"/>
                <w:lang w:val="en-US" w:eastAsia="zh-CN"/>
              </w:rPr>
              <w:t>3</w:t>
            </w:r>
            <w:r>
              <w:rPr>
                <w:rFonts w:hint="eastAsia" w:ascii="宋体" w:hAnsi="宋体" w:cs="宋体"/>
                <w:b w:val="0"/>
                <w:bCs/>
                <w:color w:val="auto"/>
                <w:sz w:val="21"/>
                <w:szCs w:val="21"/>
                <w:highlight w:val="none"/>
              </w:rPr>
              <w:t>0至</w:t>
            </w:r>
            <w:r>
              <w:rPr>
                <w:rFonts w:hint="eastAsia" w:ascii="宋体" w:hAnsi="宋体" w:cs="宋体"/>
                <w:b w:val="0"/>
                <w:bCs/>
                <w:color w:val="auto"/>
                <w:sz w:val="21"/>
                <w:szCs w:val="21"/>
                <w:highlight w:val="none"/>
                <w:lang w:val="en-US" w:eastAsia="zh-CN"/>
              </w:rPr>
              <w:t>20</w:t>
            </w:r>
            <w:r>
              <w:rPr>
                <w:rFonts w:hint="eastAsia" w:ascii="宋体" w:hAnsi="宋体" w:cs="宋体"/>
                <w:b w:val="0"/>
                <w:bCs/>
                <w:color w:val="auto"/>
                <w:sz w:val="21"/>
                <w:szCs w:val="21"/>
                <w:highlight w:val="none"/>
              </w:rPr>
              <w:t>:</w:t>
            </w:r>
            <w:r>
              <w:rPr>
                <w:rFonts w:hint="eastAsia" w:ascii="宋体" w:hAnsi="宋体" w:cs="宋体"/>
                <w:b w:val="0"/>
                <w:bCs/>
                <w:color w:val="auto"/>
                <w:sz w:val="21"/>
                <w:szCs w:val="21"/>
                <w:highlight w:val="none"/>
                <w:lang w:val="en-US" w:eastAsia="zh-CN"/>
              </w:rPr>
              <w:t>00</w:t>
            </w:r>
            <w:r>
              <w:rPr>
                <w:rFonts w:hint="eastAsia" w:ascii="宋体" w:hAnsi="宋体" w:cs="宋体"/>
                <w:b w:val="0"/>
                <w:bCs/>
                <w:color w:val="auto"/>
                <w:sz w:val="21"/>
                <w:szCs w:val="21"/>
                <w:highlight w:val="none"/>
              </w:rPr>
              <w:t>（北京时间，法定节假日除外）</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地点：供应商登陆政采云平台http://www.zcygov.cn/，在线申请获取招标文件（登录政府采购云平台 → 项目采购 → 获取招标文件→申请，审核通过后可下载招标文件，如有操作性问题，可与政采云在线客服进行咨询，咨询电话：</w:t>
            </w:r>
            <w:r>
              <w:rPr>
                <w:rFonts w:hint="eastAsia" w:ascii="宋体" w:hAnsi="宋体" w:cs="宋体"/>
                <w:b w:val="0"/>
                <w:bCs/>
                <w:color w:val="auto"/>
                <w:sz w:val="21"/>
                <w:szCs w:val="21"/>
                <w:highlight w:val="none"/>
                <w:lang w:eastAsia="zh-CN"/>
              </w:rPr>
              <w:t>95763</w:t>
            </w:r>
            <w:r>
              <w:rPr>
                <w:rFonts w:hint="eastAsia" w:ascii="宋体" w:hAnsi="宋体" w:cs="宋体"/>
                <w:b w:val="0"/>
                <w:bCs/>
                <w:color w:val="auto"/>
                <w:sz w:val="21"/>
                <w:szCs w:val="21"/>
                <w:highlight w:val="none"/>
              </w:rPr>
              <w:t>）。</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方式：（1）线上获取（登录政府采购云平台 → 项目采购 → 获取招标文件→ 申请，审核通过后可下载招标文件）。本次招标不提供纸质版招标文件。</w:t>
            </w:r>
          </w:p>
          <w:p>
            <w:pPr>
              <w:keepNext w:val="0"/>
              <w:keepLines w:val="0"/>
              <w:pageBreakBefore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（2）供应商获取招标文件前应注册成为政府采购云平台正式供应商。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cs="宋体"/>
                <w:b/>
                <w:bCs w:val="0"/>
                <w:color w:val="auto"/>
                <w:sz w:val="21"/>
                <w:szCs w:val="21"/>
                <w:highlight w:val="none"/>
                <w:lang w:val="en-US"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default" w:ascii="宋体" w:hAnsi="宋体" w:cs="宋体"/>
                <w:b/>
                <w:bCs w:val="0"/>
                <w:color w:val="auto"/>
                <w:sz w:val="21"/>
                <w:szCs w:val="21"/>
                <w:highlight w:val="none"/>
                <w:lang w:val="en-US" w:eastAsia="zh-CN"/>
              </w:rPr>
            </w:pPr>
            <w:r>
              <w:rPr>
                <w:rFonts w:hint="eastAsia" w:ascii="宋体" w:hAnsi="宋体" w:cs="宋体"/>
                <w:b/>
                <w:bCs w:val="0"/>
                <w:color w:val="auto"/>
                <w:sz w:val="21"/>
                <w:szCs w:val="21"/>
                <w:highlight w:val="none"/>
                <w:lang w:val="en-US" w:eastAsia="zh-CN"/>
              </w:rPr>
              <w:t>31</w:t>
            </w:r>
          </w:p>
        </w:tc>
        <w:tc>
          <w:tcPr>
            <w:tcW w:w="1536"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r>
              <w:rPr>
                <w:rFonts w:hint="eastAsia" w:ascii="宋体" w:hAnsi="宋体"/>
                <w:b/>
                <w:bCs w:val="0"/>
                <w:color w:val="auto"/>
                <w:sz w:val="21"/>
                <w:szCs w:val="21"/>
                <w:highlight w:val="none"/>
                <w:lang w:eastAsia="zh-CN"/>
              </w:rPr>
              <w:t>重要说明</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1.本项目采用全流程不见面电子开评标，投标供应商需要使用CA加密设备，供应商可通过新疆数字证书认证中心官网（https://www.xjca.com.cn/）或下载“新疆政务通”APP自行进行申领。</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2.本项目实行网上投标，采用加密电子投标文件(供应商须使用CA加密设备通过政采云电子投标客户端制作投标文件)。若供应商参与投标，自行承担投标一切费用。</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3.</w:t>
            </w:r>
            <w:r>
              <w:rPr>
                <w:rFonts w:hint="eastAsia" w:ascii="宋体" w:hAnsi="宋体" w:eastAsia="宋体" w:cs="宋体"/>
                <w:b w:val="0"/>
                <w:bCs/>
                <w:color w:val="auto"/>
                <w:sz w:val="21"/>
                <w:szCs w:val="21"/>
                <w:highlight w:val="none"/>
              </w:rPr>
              <w:t>各供应商在开标前应确保成为新疆维吾尔自治区政府采购网正式注册入库供应商，</w:t>
            </w:r>
            <w:r>
              <w:rPr>
                <w:rFonts w:hint="eastAsia" w:ascii="宋体" w:hAnsi="宋体" w:eastAsia="宋体" w:cs="宋体"/>
                <w:b w:val="0"/>
                <w:bCs/>
                <w:color w:val="auto"/>
                <w:sz w:val="21"/>
                <w:szCs w:val="21"/>
              </w:rPr>
              <w:t>（已在政采云平台其他省份入驻的供应商无须重复注册）</w:t>
            </w:r>
            <w:r>
              <w:rPr>
                <w:rFonts w:hint="eastAsia" w:ascii="宋体" w:hAnsi="宋体" w:eastAsia="宋体" w:cs="宋体"/>
                <w:b w:val="0"/>
                <w:bCs/>
                <w:color w:val="auto"/>
                <w:sz w:val="21"/>
                <w:szCs w:val="21"/>
                <w:highlight w:val="none"/>
              </w:rPr>
              <w:t>并完成CA数字证书申领。因未注册入库、未办理CA数字证书等原因造成无法投标或投标失败等后果由供应商自行承担。</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4.供应商将政采云电子交易客户端下载、安装完成后，可通过账号密码或CA登录客户端进行投标文件制作。在使用政采云投标客户端时，建议使用WIN7+64位及以上操作系统。客户端请至新疆政府采购网（http://www.ccgp-xinjiang.gov.cn/）下载专区查看，如有问题可拨打政采云客户服务热线</w:t>
            </w:r>
            <w:r>
              <w:rPr>
                <w:rFonts w:hint="eastAsia" w:ascii="宋体" w:hAnsi="宋体" w:cs="宋体"/>
                <w:b w:val="0"/>
                <w:bCs/>
                <w:color w:val="auto"/>
                <w:sz w:val="21"/>
                <w:szCs w:val="21"/>
                <w:highlight w:val="none"/>
                <w:lang w:eastAsia="zh-CN"/>
              </w:rPr>
              <w:t>95763</w:t>
            </w:r>
            <w:r>
              <w:rPr>
                <w:rFonts w:hint="eastAsia" w:ascii="宋体" w:hAnsi="宋体" w:cs="宋体"/>
                <w:b w:val="0"/>
                <w:bCs/>
                <w:color w:val="auto"/>
                <w:sz w:val="21"/>
                <w:szCs w:val="21"/>
                <w:highlight w:val="none"/>
              </w:rPr>
              <w:t>进行咨询。</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5.供应商在开标时须使用制作加密电子投标文件所使用的CA锁及电脑，电脑须提前配置好浏览器（建议使用谷歌浏览器），以便开标时解锁。</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 w:val="21"/>
                <w:szCs w:val="21"/>
                <w:highlight w:val="none"/>
                <w:lang w:eastAsia="zh-CN"/>
              </w:rPr>
            </w:pPr>
            <w:r>
              <w:rPr>
                <w:rFonts w:hint="eastAsia" w:ascii="宋体" w:hAnsi="宋体" w:cs="宋体"/>
                <w:b w:val="0"/>
                <w:bCs/>
                <w:color w:val="auto"/>
                <w:sz w:val="21"/>
                <w:szCs w:val="21"/>
                <w:highlight w:val="none"/>
              </w:rPr>
              <w:t>6.供应商对不见面开评标系统的技术操作咨询，可通过https://edu.zcygov.cn/luban/xinjiang-e-biding自助查询，也可在政采云帮助中心常见问题解答和操作流程讲解视频中自助查询，网址为：https://service.zcygov.cn/#/help，“项目采购”—“操作流程-电子招投标”—“政府采购项目电子交易管理操作指南-供应商”版面获取操作指南</w:t>
            </w:r>
            <w:r>
              <w:rPr>
                <w:rFonts w:hint="eastAsia" w:ascii="宋体" w:hAnsi="宋体" w:cs="宋体"/>
                <w:b w:val="0"/>
                <w:bCs/>
                <w:color w:val="auto"/>
                <w:sz w:val="21"/>
                <w:szCs w:val="21"/>
                <w:highlight w:val="none"/>
                <w:lang w:eastAsia="zh-CN"/>
              </w:rPr>
              <w:t>。</w:t>
            </w:r>
          </w:p>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cs="宋体"/>
                <w:b w:val="0"/>
                <w:bCs/>
                <w:color w:val="auto"/>
                <w:sz w:val="21"/>
                <w:szCs w:val="21"/>
                <w:highlight w:val="none"/>
              </w:rPr>
            </w:pPr>
            <w:r>
              <w:rPr>
                <w:rFonts w:hint="eastAsia" w:ascii="宋体" w:hAnsi="宋体" w:cs="宋体"/>
                <w:b w:val="0"/>
                <w:bCs/>
                <w:color w:val="auto"/>
                <w:sz w:val="21"/>
                <w:szCs w:val="21"/>
                <w:highlight w:val="none"/>
              </w:rPr>
              <w:t>7.为了保证开评标顺利进行，政采云线上开标功能完全实现，供应商开标所使用的电脑设备须具有视频及语音功能。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bCs w:val="0"/>
                <w:color w:val="auto"/>
                <w:sz w:val="21"/>
                <w:szCs w:val="21"/>
                <w:highlight w:val="none"/>
                <w:lang w:eastAsia="zh-CN"/>
              </w:rPr>
            </w:pPr>
          </w:p>
        </w:tc>
        <w:tc>
          <w:tcPr>
            <w:tcW w:w="1536"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tc>
        <w:tc>
          <w:tcPr>
            <w:tcW w:w="728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6"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（1）电子招投标：本项目以数据电文形式，依托“政府采购云平台（www.zcygov.cn）”进行招投标活动。</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6"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（2）投标准备：注册账号--点击“商家入驻”，进行政府采购供应商资料填写；申领CA数字证书---申领流程详见“</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政府采购网-下载专区-电子交易客户端-CA驱动和申领流程”；安装“政采云电子交易客户端”----前往“</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政府采购网-下载专区-电子交易客户端”进行下载并安装。</w:t>
            </w:r>
          </w:p>
          <w:p>
            <w:pPr>
              <w:snapToGrid w:val="0"/>
              <w:spacing w:line="360" w:lineRule="auto"/>
              <w:ind w:firstLine="426" w:firstLineChars="200"/>
              <w:rPr>
                <w:rFonts w:hint="eastAsia" w:ascii="宋体" w:hAnsi="宋体" w:cs="宋体"/>
                <w:b w:val="0"/>
                <w:bCs/>
                <w:color w:val="auto"/>
                <w:szCs w:val="21"/>
              </w:rPr>
            </w:pPr>
            <w:r>
              <w:rPr>
                <w:rFonts w:hint="eastAsia" w:ascii="宋体" w:hAnsi="宋体" w:cs="宋体"/>
                <w:b w:val="0"/>
                <w:bCs/>
                <w:color w:val="auto"/>
                <w:szCs w:val="21"/>
              </w:rPr>
              <w:t>（</w:t>
            </w:r>
            <w:r>
              <w:rPr>
                <w:rFonts w:hint="eastAsia" w:ascii="宋体" w:hAnsi="宋体" w:cs="宋体"/>
                <w:b w:val="0"/>
                <w:bCs/>
                <w:color w:val="auto"/>
                <w:szCs w:val="21"/>
                <w:lang w:val="en-US" w:eastAsia="zh-CN"/>
              </w:rPr>
              <w:t>3</w:t>
            </w:r>
            <w:r>
              <w:rPr>
                <w:rFonts w:hint="eastAsia" w:ascii="宋体" w:hAnsi="宋体" w:cs="宋体"/>
                <w:b w:val="0"/>
                <w:bCs/>
                <w:color w:val="auto"/>
                <w:szCs w:val="21"/>
              </w:rPr>
              <w:t>）投标文件的制作：在“政采云电子交易客户端”中完成“填写基本信息”、“导入投标文件”、“标书关联”、“标书检查”、“电子签名”、“生成电子标书”等操作。</w:t>
            </w:r>
          </w:p>
          <w:p>
            <w:pPr>
              <w:snapToGrid w:val="0"/>
              <w:spacing w:line="360" w:lineRule="auto"/>
              <w:ind w:firstLine="426" w:firstLineChars="200"/>
              <w:rPr>
                <w:rFonts w:hint="eastAsia" w:ascii="宋体" w:hAnsi="宋体" w:eastAsia="宋体" w:cs="宋体"/>
                <w:b w:val="0"/>
                <w:bCs/>
                <w:color w:val="auto"/>
                <w:sz w:val="21"/>
                <w:szCs w:val="21"/>
                <w:highlight w:val="yellow"/>
                <w:lang w:eastAsia="zh-CN"/>
              </w:rPr>
            </w:pPr>
            <w:r>
              <w:rPr>
                <w:rFonts w:hint="eastAsia" w:ascii="宋体" w:hAnsi="宋体" w:cs="宋体"/>
                <w:b w:val="0"/>
                <w:bCs/>
                <w:color w:val="auto"/>
                <w:szCs w:val="21"/>
              </w:rPr>
              <w:t>（</w:t>
            </w:r>
            <w:r>
              <w:rPr>
                <w:rFonts w:hint="eastAsia" w:ascii="宋体" w:hAnsi="宋体" w:cs="宋体"/>
                <w:b w:val="0"/>
                <w:bCs/>
                <w:color w:val="auto"/>
                <w:szCs w:val="21"/>
                <w:lang w:val="en-US" w:eastAsia="zh-CN"/>
              </w:rPr>
              <w:t>4</w:t>
            </w:r>
            <w:r>
              <w:rPr>
                <w:rFonts w:hint="eastAsia" w:ascii="宋体" w:hAnsi="宋体" w:cs="宋体"/>
                <w:b w:val="0"/>
                <w:bCs/>
                <w:color w:val="auto"/>
                <w:szCs w:val="21"/>
              </w:rPr>
              <w:t>）投标文件的传输递交：供应商在投标截止时间前将加密的投标文件上传至政府采购云平台</w:t>
            </w:r>
            <w:r>
              <w:rPr>
                <w:rFonts w:hint="eastAsia" w:ascii="宋体" w:hAnsi="宋体" w:cs="宋体"/>
                <w:b w:val="0"/>
                <w:bCs/>
                <w:color w:val="auto"/>
                <w:szCs w:val="21"/>
                <w:lang w:eastAsia="zh-CN"/>
              </w:rPr>
              <w:t>。</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6"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rPr>
              <w:t>）投标文件的解密：供应商按照平台提示和采购文件的规定在半小时内完成在线解密。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6"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rPr>
              <w:t>）具体操作指南：详见政采云平台“服务中心-帮助文档-项目采购-操作流程-电子招投标-政府采购项目电子交易管理操作指南-供应商”。</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6"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w:t>
            </w:r>
            <w:r>
              <w:rPr>
                <w:rFonts w:hint="eastAsia" w:ascii="宋体" w:hAnsi="宋体" w:eastAsia="宋体" w:cs="宋体"/>
                <w:b w:val="0"/>
                <w:bCs/>
                <w:color w:val="auto"/>
                <w:sz w:val="21"/>
                <w:szCs w:val="21"/>
                <w:highlight w:val="none"/>
                <w:lang w:val="en-US" w:eastAsia="zh-CN"/>
              </w:rPr>
              <w:t>7</w:t>
            </w:r>
            <w:r>
              <w:rPr>
                <w:rFonts w:hint="eastAsia" w:ascii="宋体" w:hAnsi="宋体" w:eastAsia="宋体" w:cs="宋体"/>
                <w:b w:val="0"/>
                <w:bCs/>
                <w:color w:val="auto"/>
                <w:sz w:val="21"/>
                <w:szCs w:val="21"/>
                <w:highlight w:val="none"/>
              </w:rPr>
              <w:t>）供应商在进行上述操作时，如遇技术问题可登录政采云（https://</w:t>
            </w:r>
            <w:r>
              <w:rPr>
                <w:rFonts w:hint="eastAsia" w:ascii="宋体" w:hAnsi="宋体" w:eastAsia="宋体" w:cs="宋体"/>
                <w:b w:val="0"/>
                <w:bCs/>
                <w:color w:val="auto"/>
                <w:sz w:val="21"/>
                <w:szCs w:val="21"/>
                <w:highlight w:val="none"/>
              </w:rPr>
              <w:fldChar w:fldCharType="begin"/>
            </w:r>
            <w:r>
              <w:rPr>
                <w:rFonts w:hint="eastAsia" w:ascii="宋体" w:hAnsi="宋体" w:eastAsia="宋体" w:cs="宋体"/>
                <w:b w:val="0"/>
                <w:bCs/>
                <w:color w:val="auto"/>
                <w:sz w:val="21"/>
                <w:szCs w:val="21"/>
                <w:highlight w:val="none"/>
              </w:rPr>
              <w:instrText xml:space="preserve">HYPERLINK "http://www.zcygov.cn/" \h</w:instrText>
            </w:r>
            <w:r>
              <w:rPr>
                <w:rFonts w:hint="eastAsia" w:ascii="宋体" w:hAnsi="宋体" w:eastAsia="宋体" w:cs="宋体"/>
                <w:b w:val="0"/>
                <w:bCs/>
                <w:color w:val="auto"/>
                <w:sz w:val="21"/>
                <w:szCs w:val="21"/>
                <w:highlight w:val="none"/>
              </w:rPr>
              <w:fldChar w:fldCharType="separate"/>
            </w:r>
            <w:r>
              <w:rPr>
                <w:rFonts w:hint="eastAsia" w:ascii="宋体" w:hAnsi="宋体" w:eastAsia="宋体" w:cs="宋体"/>
                <w:b w:val="0"/>
                <w:bCs/>
                <w:color w:val="auto"/>
                <w:sz w:val="21"/>
                <w:szCs w:val="21"/>
                <w:highlight w:val="none"/>
              </w:rPr>
              <w:t>www.zcygov.cn/</w:t>
            </w:r>
            <w:r>
              <w:rPr>
                <w:rFonts w:hint="eastAsia" w:ascii="宋体" w:hAnsi="宋体" w:eastAsia="宋体" w:cs="宋体"/>
                <w:b w:val="0"/>
                <w:bCs/>
                <w:color w:val="auto"/>
                <w:sz w:val="21"/>
                <w:szCs w:val="21"/>
                <w:highlight w:val="none"/>
              </w:rPr>
              <w:fldChar w:fldCharType="end"/>
            </w:r>
            <w:r>
              <w:rPr>
                <w:rFonts w:hint="eastAsia" w:ascii="宋体" w:hAnsi="宋体" w:eastAsia="宋体" w:cs="宋体"/>
                <w:b w:val="0"/>
                <w:bCs/>
                <w:color w:val="auto"/>
                <w:sz w:val="21"/>
                <w:szCs w:val="21"/>
                <w:highlight w:val="none"/>
              </w:rPr>
              <w:t xml:space="preserve">），点击右侧咨询小采，获取采小蜜智能服务管家帮助，或拨打政采云服务热线 </w:t>
            </w:r>
            <w:r>
              <w:rPr>
                <w:rFonts w:hint="eastAsia" w:ascii="宋体" w:hAnsi="宋体" w:eastAsia="宋体" w:cs="宋体"/>
                <w:b w:val="0"/>
                <w:bCs/>
                <w:color w:val="auto"/>
                <w:sz w:val="21"/>
                <w:szCs w:val="21"/>
                <w:highlight w:val="none"/>
                <w:lang w:eastAsia="zh-CN"/>
              </w:rPr>
              <w:t>95763</w:t>
            </w:r>
            <w:r>
              <w:rPr>
                <w:rFonts w:hint="eastAsia" w:ascii="宋体" w:hAnsi="宋体" w:eastAsia="宋体" w:cs="宋体"/>
                <w:b w:val="0"/>
                <w:bCs/>
                <w:color w:val="auto"/>
                <w:sz w:val="21"/>
                <w:szCs w:val="21"/>
                <w:highlight w:val="none"/>
              </w:rPr>
              <w:t xml:space="preserve"> 获取热线服务帮助。</w:t>
            </w:r>
          </w:p>
          <w:p>
            <w:pPr>
              <w:pStyle w:val="8"/>
              <w:keepNext w:val="0"/>
              <w:keepLines w:val="0"/>
              <w:pageBreakBefore w:val="0"/>
              <w:widowControl w:val="0"/>
              <w:shd w:val="clear" w:color="auto" w:fill="auto"/>
              <w:kinsoku/>
              <w:wordWrap/>
              <w:overflowPunct/>
              <w:topLinePunct w:val="0"/>
              <w:autoSpaceDE/>
              <w:autoSpaceDN/>
              <w:bidi w:val="0"/>
              <w:adjustRightInd/>
              <w:snapToGrid w:val="0"/>
              <w:spacing w:line="360" w:lineRule="auto"/>
              <w:ind w:firstLine="426" w:firstLineChars="200"/>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温馨提醒：供应商应提前上传，以便在上传时遇到技术问题，有充足的时间请教平台的技术人员。</w:t>
            </w:r>
          </w:p>
          <w:p>
            <w:pPr>
              <w:keepNext w:val="0"/>
              <w:keepLines w:val="0"/>
              <w:pageBreakBefore w:val="0"/>
              <w:widowControl w:val="0"/>
              <w:shd w:val="clear" w:color="auto" w:fill="auto"/>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w:t>
            </w:r>
            <w:r>
              <w:rPr>
                <w:rFonts w:hint="eastAsia" w:ascii="宋体" w:hAnsi="宋体" w:eastAsia="宋体" w:cs="宋体"/>
                <w:b w:val="0"/>
                <w:bCs/>
                <w:color w:val="auto"/>
                <w:sz w:val="21"/>
                <w:szCs w:val="21"/>
                <w:highlight w:val="none"/>
                <w:lang w:eastAsia="zh-CN"/>
              </w:rPr>
              <w:t>中国</w:t>
            </w:r>
            <w:r>
              <w:rPr>
                <w:rFonts w:hint="eastAsia" w:ascii="宋体" w:hAnsi="宋体" w:eastAsia="宋体" w:cs="宋体"/>
                <w:b w:val="0"/>
                <w:bCs/>
                <w:color w:val="auto"/>
                <w:sz w:val="21"/>
                <w:szCs w:val="21"/>
                <w:highlight w:val="none"/>
              </w:rPr>
              <w:t>政府采购网下载专区下载。未按规定获取采购文件或逾期提出的不予受理、答复。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76" w:hRule="atLeast"/>
          <w:jc w:val="center"/>
        </w:trPr>
        <w:tc>
          <w:tcPr>
            <w:tcW w:w="1012"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default" w:ascii="宋体" w:hAnsi="宋体"/>
                <w:b/>
                <w:bCs w:val="0"/>
                <w:color w:val="auto"/>
                <w:sz w:val="21"/>
                <w:szCs w:val="21"/>
                <w:highlight w:val="none"/>
                <w:lang w:val="en-US" w:eastAsia="zh-CN"/>
              </w:rPr>
            </w:pPr>
            <w:r>
              <w:rPr>
                <w:rFonts w:hint="eastAsia" w:ascii="宋体" w:hAnsi="宋体"/>
                <w:b/>
                <w:bCs w:val="0"/>
                <w:color w:val="auto"/>
                <w:sz w:val="21"/>
                <w:szCs w:val="21"/>
                <w:highlight w:val="none"/>
                <w:lang w:val="en-US" w:eastAsia="zh-CN"/>
              </w:rPr>
              <w:t>31</w:t>
            </w:r>
          </w:p>
        </w:tc>
        <w:tc>
          <w:tcPr>
            <w:tcW w:w="1536" w:type="dxa"/>
            <w:vMerge w:val="restart"/>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r>
              <w:rPr>
                <w:rFonts w:hint="eastAsia" w:ascii="宋体" w:hAnsi="宋体" w:eastAsia="宋体" w:cs="宋体"/>
                <w:b/>
                <w:bCs w:val="0"/>
                <w:color w:val="auto"/>
                <w:szCs w:val="21"/>
              </w:rPr>
              <w:t>中小微企业政策文件</w:t>
            </w: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Cs w:val="21"/>
                <w:lang w:val="en-US" w:eastAsia="zh-CN"/>
              </w:rPr>
              <w:t>（1）根据财政部、工业和信息化部关于印发《政府采购促进中小企业发展管理办法》的通知（财库[2020]46号）及（财库[2022]19号），投标人及其所投产品的制造商均属于《工业和信息化部、国家统计局、国家发展和改革委员会、财政部关于印发中小企业划型标准规定的通知》（工信部联企业[2011]300号）中规定的中型、小型、微型企业标准的，按招标文件格式提供《中小企业声明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rPr>
          <w:trHeight w:val="1224" w:hRule="atLeast"/>
          <w:jc w:val="center"/>
        </w:trPr>
        <w:tc>
          <w:tcPr>
            <w:tcW w:w="10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bCs w:val="0"/>
                <w:color w:val="auto"/>
                <w:sz w:val="21"/>
                <w:szCs w:val="21"/>
                <w:highlight w:val="none"/>
                <w:lang w:eastAsia="zh-CN"/>
              </w:rPr>
            </w:pPr>
          </w:p>
        </w:tc>
        <w:tc>
          <w:tcPr>
            <w:tcW w:w="1536"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Cs w:val="21"/>
                <w:lang w:val="en-US" w:eastAsia="zh-CN"/>
              </w:rPr>
              <w:t>（2）根据财政部、司令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236" w:hRule="atLeast"/>
          <w:jc w:val="center"/>
        </w:trPr>
        <w:tc>
          <w:tcPr>
            <w:tcW w:w="1012"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ascii="宋体" w:hAnsi="宋体"/>
                <w:b/>
                <w:bCs w:val="0"/>
                <w:color w:val="auto"/>
                <w:sz w:val="21"/>
                <w:szCs w:val="21"/>
                <w:highlight w:val="none"/>
                <w:lang w:eastAsia="zh-CN"/>
              </w:rPr>
            </w:pPr>
          </w:p>
        </w:tc>
        <w:tc>
          <w:tcPr>
            <w:tcW w:w="1536" w:type="dxa"/>
            <w:vMerge w:val="continue"/>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p>
        </w:tc>
        <w:tc>
          <w:tcPr>
            <w:tcW w:w="7288" w:type="dxa"/>
            <w:noWrap w:val="0"/>
            <w:vAlign w:val="top"/>
          </w:tcPr>
          <w:p>
            <w:pPr>
              <w:keepNext w:val="0"/>
              <w:keepLines w:val="0"/>
              <w:pageBreakBefore w:val="0"/>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 w:val="21"/>
                <w:szCs w:val="21"/>
                <w:highlight w:val="none"/>
              </w:rPr>
            </w:pPr>
            <w:r>
              <w:rPr>
                <w:rFonts w:hint="eastAsia" w:ascii="宋体" w:hAnsi="宋体" w:eastAsia="宋体" w:cs="宋体"/>
                <w:b w:val="0"/>
                <w:bCs/>
                <w:color w:val="auto"/>
                <w:szCs w:val="21"/>
                <w:lang w:val="en-US" w:eastAsia="zh-CN"/>
              </w:rPr>
              <w:t>（3）根据财政部、民政部、中国残疾人联合会《关于促进残疾人就业政府采购政策的通知》（财库[2017]141号），在政府采购活动中，残疾人福利性单位视同小型、微型企业。投标人属于残疾人福利性单位的，按照招标文件格式提供残疾人福利性单位声明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06"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default" w:ascii="宋体" w:hAnsi="宋体"/>
                <w:b/>
                <w:bCs w:val="0"/>
                <w:color w:val="auto"/>
                <w:sz w:val="21"/>
                <w:szCs w:val="21"/>
                <w:highlight w:val="none"/>
                <w:lang w:val="en-US" w:eastAsia="zh-CN"/>
              </w:rPr>
            </w:pPr>
            <w:r>
              <w:rPr>
                <w:rFonts w:hint="eastAsia" w:ascii="宋体" w:hAnsi="宋体"/>
                <w:b/>
                <w:bCs w:val="0"/>
                <w:color w:val="auto"/>
                <w:sz w:val="21"/>
                <w:szCs w:val="21"/>
                <w:highlight w:val="none"/>
                <w:lang w:val="en-US" w:eastAsia="zh-CN"/>
              </w:rPr>
              <w:t>32</w:t>
            </w:r>
          </w:p>
        </w:tc>
        <w:tc>
          <w:tcPr>
            <w:tcW w:w="1536"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jc w:val="center"/>
              <w:textAlignment w:val="auto"/>
              <w:outlineLvl w:val="9"/>
              <w:rPr>
                <w:rFonts w:hint="eastAsia" w:ascii="宋体" w:hAnsi="宋体"/>
                <w:b/>
                <w:bCs w:val="0"/>
                <w:color w:val="auto"/>
                <w:sz w:val="21"/>
                <w:szCs w:val="21"/>
                <w:highlight w:val="none"/>
                <w:lang w:eastAsia="zh-CN"/>
              </w:rPr>
            </w:pPr>
            <w:r>
              <w:rPr>
                <w:rFonts w:hint="eastAsia" w:ascii="宋体" w:hAnsi="宋体" w:eastAsia="宋体" w:cs="宋体"/>
                <w:b/>
                <w:bCs w:val="0"/>
                <w:color w:val="auto"/>
                <w:szCs w:val="21"/>
                <w:lang w:val="en-US" w:eastAsia="zh-CN"/>
              </w:rPr>
              <w:t>中小微企业政策文件说明</w:t>
            </w:r>
          </w:p>
        </w:tc>
        <w:tc>
          <w:tcPr>
            <w:tcW w:w="7288" w:type="dxa"/>
            <w:noWrap w:val="0"/>
            <w:vAlign w:val="top"/>
          </w:tcPr>
          <w:p>
            <w:pPr>
              <w:keepNext w:val="0"/>
              <w:keepLines w:val="0"/>
              <w:pageBreakBefore w:val="0"/>
              <w:numPr>
                <w:ilvl w:val="0"/>
                <w:numId w:val="6"/>
              </w:numPr>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Cs w:val="21"/>
              </w:rPr>
            </w:pPr>
            <w:r>
              <w:rPr>
                <w:rFonts w:hint="eastAsia" w:ascii="宋体" w:hAnsi="宋体" w:eastAsia="宋体" w:cs="宋体"/>
                <w:b w:val="0"/>
                <w:bCs/>
                <w:color w:val="auto"/>
                <w:szCs w:val="21"/>
              </w:rPr>
              <w:t>本项目对属于小型和微型企业的投标人的投标报价及与</w:t>
            </w:r>
            <w:r>
              <w:rPr>
                <w:rFonts w:hint="eastAsia" w:ascii="宋体" w:hAnsi="宋体" w:eastAsia="宋体" w:cs="宋体"/>
                <w:b w:val="0"/>
                <w:bCs/>
                <w:color w:val="auto"/>
                <w:szCs w:val="21"/>
                <w:lang w:val="en-US" w:eastAsia="zh-CN"/>
              </w:rPr>
              <w:t>10</w:t>
            </w:r>
            <w:r>
              <w:rPr>
                <w:rFonts w:hint="eastAsia" w:ascii="宋体" w:hAnsi="宋体" w:eastAsia="宋体" w:cs="宋体"/>
                <w:b w:val="0"/>
                <w:bCs/>
                <w:color w:val="auto"/>
                <w:szCs w:val="21"/>
              </w:rPr>
              <w:t>%的扣除，用扣除后的价格参与评审。残疾人福利性单位视同小型、微型企业，享受同等价格扣除，但同时属于残疾人福利性单位和小微企业的，不重复价格扣除</w:t>
            </w:r>
          </w:p>
          <w:p>
            <w:pPr>
              <w:keepNext w:val="0"/>
              <w:keepLines w:val="0"/>
              <w:pageBreakBefore w:val="0"/>
              <w:numPr>
                <w:ilvl w:val="0"/>
                <w:numId w:val="0"/>
              </w:numPr>
              <w:shd w:val="clear" w:color="auto" w:fill="auto"/>
              <w:kinsoku/>
              <w:wordWrap/>
              <w:overflowPunct/>
              <w:topLinePunct w:val="0"/>
              <w:autoSpaceDE/>
              <w:autoSpaceDN/>
              <w:bidi w:val="0"/>
              <w:adjustRightInd/>
              <w:snapToGrid w:val="0"/>
              <w:spacing w:line="360" w:lineRule="auto"/>
              <w:jc w:val="left"/>
              <w:textAlignment w:val="auto"/>
              <w:outlineLvl w:val="9"/>
              <w:rPr>
                <w:rFonts w:hint="eastAsia" w:ascii="宋体" w:hAnsi="宋体" w:eastAsia="宋体" w:cs="宋体"/>
                <w:b w:val="0"/>
                <w:bCs/>
                <w:color w:val="auto"/>
                <w:szCs w:val="21"/>
              </w:rPr>
            </w:pPr>
            <w:r>
              <w:rPr>
                <w:rFonts w:hint="eastAsia" w:ascii="宋体" w:hAnsi="宋体" w:eastAsia="宋体" w:cs="宋体"/>
                <w:b w:val="0"/>
                <w:bCs/>
                <w:color w:val="auto"/>
                <w:szCs w:val="21"/>
              </w:rPr>
              <w:t>（2）不符合上述适用情形的投标人无需提供上述声明函件。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1" w:hRule="atLeast"/>
          <w:jc w:val="center"/>
        </w:trPr>
        <w:tc>
          <w:tcPr>
            <w:tcW w:w="1012" w:type="dxa"/>
            <w:noWrap w:val="0"/>
            <w:vAlign w:val="center"/>
          </w:tcPr>
          <w:p>
            <w:pPr>
              <w:keepNext w:val="0"/>
              <w:keepLines w:val="0"/>
              <w:pageBreakBefore w:val="0"/>
              <w:shd w:val="clear" w:color="auto" w:fill="auto"/>
              <w:kinsoku/>
              <w:wordWrap/>
              <w:overflowPunct/>
              <w:topLinePunct w:val="0"/>
              <w:autoSpaceDE/>
              <w:autoSpaceDN/>
              <w:bidi w:val="0"/>
              <w:adjustRightInd/>
              <w:snapToGrid w:val="0"/>
              <w:spacing w:line="290" w:lineRule="exact"/>
              <w:textAlignment w:val="auto"/>
              <w:outlineLvl w:val="9"/>
              <w:rPr>
                <w:rFonts w:hint="eastAsia"/>
                <w:b/>
                <w:bCs w:val="0"/>
                <w:color w:val="auto"/>
                <w:sz w:val="21"/>
                <w:szCs w:val="21"/>
                <w:highlight w:val="none"/>
              </w:rPr>
            </w:pPr>
            <w:r>
              <w:rPr>
                <w:rFonts w:hint="eastAsia"/>
                <w:b/>
                <w:bCs w:val="0"/>
                <w:color w:val="auto"/>
                <w:sz w:val="21"/>
                <w:szCs w:val="21"/>
                <w:highlight w:val="none"/>
              </w:rPr>
              <w:t>备注</w:t>
            </w:r>
            <w:r>
              <w:rPr>
                <w:rFonts w:hint="eastAsia"/>
                <w:b/>
                <w:bCs w:val="0"/>
                <w:color w:val="auto"/>
                <w:sz w:val="21"/>
                <w:szCs w:val="21"/>
                <w:highlight w:val="none"/>
                <w:lang w:eastAsia="zh-CN"/>
              </w:rPr>
              <w:t>：</w:t>
            </w:r>
          </w:p>
        </w:tc>
        <w:tc>
          <w:tcPr>
            <w:tcW w:w="8824" w:type="dxa"/>
            <w:gridSpan w:val="2"/>
            <w:noWrap w:val="0"/>
            <w:vAlign w:val="center"/>
          </w:tcPr>
          <w:p>
            <w:pPr>
              <w:numPr>
                <w:ilvl w:val="0"/>
                <w:numId w:val="0"/>
              </w:numPr>
              <w:spacing w:line="400" w:lineRule="exact"/>
              <w:jc w:val="left"/>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cs="Times New Roman"/>
                <w:b/>
                <w:bCs w:val="0"/>
                <w:color w:val="auto"/>
                <w:kern w:val="2"/>
                <w:sz w:val="21"/>
                <w:szCs w:val="21"/>
                <w:highlight w:val="none"/>
                <w:lang w:val="en-US" w:eastAsia="zh-CN" w:bidi="ar-SA"/>
              </w:rPr>
              <w:t>1、</w:t>
            </w:r>
            <w:r>
              <w:rPr>
                <w:rFonts w:hint="eastAsia" w:ascii="Times New Roman" w:hAnsi="Times New Roman" w:eastAsia="宋体" w:cs="Times New Roman"/>
                <w:b/>
                <w:bCs w:val="0"/>
                <w:color w:val="auto"/>
                <w:kern w:val="2"/>
                <w:sz w:val="21"/>
                <w:szCs w:val="21"/>
                <w:highlight w:val="none"/>
                <w:lang w:val="en-US" w:eastAsia="zh-CN" w:bidi="ar-SA"/>
              </w:rPr>
              <w:t>着重提醒各投标人注意，并认真查看招标文件中的每一个条款及要求，因误读招标文</w:t>
            </w:r>
          </w:p>
          <w:p>
            <w:pPr>
              <w:numPr>
                <w:ilvl w:val="0"/>
                <w:numId w:val="0"/>
              </w:numPr>
              <w:spacing w:line="400" w:lineRule="exact"/>
              <w:jc w:val="left"/>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件而造成的后果，招标人概不负责。</w:t>
            </w:r>
          </w:p>
          <w:p>
            <w:pPr>
              <w:numPr>
                <w:ilvl w:val="0"/>
                <w:numId w:val="0"/>
              </w:numPr>
              <w:spacing w:line="400" w:lineRule="exact"/>
              <w:jc w:val="left"/>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cs="Times New Roman"/>
                <w:b/>
                <w:bCs w:val="0"/>
                <w:color w:val="auto"/>
                <w:kern w:val="2"/>
                <w:sz w:val="21"/>
                <w:szCs w:val="21"/>
                <w:highlight w:val="none"/>
                <w:lang w:val="en-US" w:eastAsia="zh-CN" w:bidi="ar-SA"/>
              </w:rPr>
              <w:t>2、</w:t>
            </w:r>
            <w:r>
              <w:rPr>
                <w:rFonts w:hint="eastAsia" w:ascii="Times New Roman" w:hAnsi="Times New Roman" w:eastAsia="宋体" w:cs="Times New Roman"/>
                <w:b/>
                <w:bCs w:val="0"/>
                <w:color w:val="auto"/>
                <w:kern w:val="2"/>
                <w:sz w:val="21"/>
                <w:szCs w:val="21"/>
                <w:highlight w:val="none"/>
                <w:lang w:val="en-US" w:eastAsia="zh-CN" w:bidi="ar-SA"/>
              </w:rPr>
              <w:t>除法律、法规和规章规定外，招标文件中用“拒绝”、“不接受”、“无效”、“不得”等文字规定，对其中任何一条的偏离，在评审时将其视为无效文件。未用上述文字规定或符</w:t>
            </w:r>
          </w:p>
          <w:p>
            <w:pPr>
              <w:numPr>
                <w:ilvl w:val="0"/>
                <w:numId w:val="0"/>
              </w:numPr>
              <w:spacing w:line="400" w:lineRule="exact"/>
              <w:jc w:val="left"/>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eastAsia="宋体" w:cs="Times New Roman"/>
                <w:b/>
                <w:bCs w:val="0"/>
                <w:color w:val="auto"/>
                <w:kern w:val="2"/>
                <w:sz w:val="21"/>
                <w:szCs w:val="21"/>
                <w:highlight w:val="none"/>
                <w:lang w:val="en-US" w:eastAsia="zh-CN" w:bidi="ar-SA"/>
              </w:rPr>
              <w:t>号标注的条款为非实质性要求条款(即一般条款)。</w:t>
            </w:r>
          </w:p>
          <w:p>
            <w:pPr>
              <w:numPr>
                <w:ilvl w:val="0"/>
                <w:numId w:val="0"/>
              </w:numPr>
              <w:spacing w:line="400" w:lineRule="exact"/>
              <w:ind w:leftChars="0"/>
              <w:jc w:val="left"/>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cs="Times New Roman"/>
                <w:b/>
                <w:bCs w:val="0"/>
                <w:color w:val="auto"/>
                <w:kern w:val="2"/>
                <w:sz w:val="21"/>
                <w:szCs w:val="21"/>
                <w:highlight w:val="none"/>
                <w:lang w:val="en-US" w:eastAsia="zh-CN" w:bidi="ar-SA"/>
              </w:rPr>
              <w:t>3、</w:t>
            </w:r>
            <w:r>
              <w:rPr>
                <w:rFonts w:hint="eastAsia" w:ascii="Times New Roman" w:hAnsi="Times New Roman" w:eastAsia="宋体" w:cs="Times New Roman"/>
                <w:b/>
                <w:bCs w:val="0"/>
                <w:color w:val="auto"/>
                <w:kern w:val="2"/>
                <w:sz w:val="21"/>
                <w:szCs w:val="21"/>
                <w:highlight w:val="none"/>
                <w:lang w:val="en-US" w:eastAsia="zh-CN" w:bidi="ar-SA"/>
              </w:rPr>
              <w:t>除非另有特殊说明，若本招标文件中引用了某一品牌、型号或生产供应商名称，均是指参照该品牌、型号或生产供应商的产品或服务，所引用的品牌、型号或生产供应商不构成对投标的限制。若采用的外文术语与某一供应商或某一产品使用的术语相同，并非表示指定了该供应商或该产品。</w:t>
            </w:r>
          </w:p>
          <w:p>
            <w:pPr>
              <w:numPr>
                <w:ilvl w:val="0"/>
                <w:numId w:val="0"/>
              </w:numPr>
              <w:spacing w:line="400" w:lineRule="exact"/>
              <w:ind w:leftChars="0"/>
              <w:jc w:val="left"/>
              <w:rPr>
                <w:rFonts w:hint="eastAsia" w:ascii="Times New Roman" w:hAnsi="Times New Roman" w:eastAsia="宋体" w:cs="Times New Roman"/>
                <w:b/>
                <w:bCs w:val="0"/>
                <w:color w:val="auto"/>
                <w:kern w:val="2"/>
                <w:sz w:val="21"/>
                <w:szCs w:val="21"/>
                <w:highlight w:val="none"/>
                <w:lang w:val="en-US" w:eastAsia="zh-CN" w:bidi="ar-SA"/>
              </w:rPr>
            </w:pPr>
            <w:r>
              <w:rPr>
                <w:rFonts w:hint="eastAsia" w:ascii="Times New Roman" w:hAnsi="Times New Roman" w:cs="Times New Roman"/>
                <w:b/>
                <w:bCs w:val="0"/>
                <w:color w:val="auto"/>
                <w:kern w:val="2"/>
                <w:sz w:val="21"/>
                <w:szCs w:val="21"/>
                <w:highlight w:val="none"/>
                <w:lang w:val="en-US" w:eastAsia="zh-CN" w:bidi="ar-SA"/>
              </w:rPr>
              <w:t>4</w:t>
            </w:r>
            <w:r>
              <w:rPr>
                <w:rFonts w:hint="eastAsia" w:ascii="Times New Roman" w:hAnsi="Times New Roman" w:eastAsia="宋体" w:cs="Times New Roman"/>
                <w:b/>
                <w:bCs w:val="0"/>
                <w:color w:val="auto"/>
                <w:kern w:val="2"/>
                <w:sz w:val="21"/>
                <w:szCs w:val="21"/>
                <w:highlight w:val="none"/>
                <w:lang w:val="en-US" w:eastAsia="zh-CN" w:bidi="ar-SA"/>
              </w:rPr>
              <w:t>、采购人若发现</w:t>
            </w:r>
            <w:r>
              <w:rPr>
                <w:rFonts w:hint="eastAsia" w:ascii="Times New Roman" w:hAnsi="Times New Roman" w:cs="Times New Roman"/>
                <w:b/>
                <w:bCs w:val="0"/>
                <w:color w:val="auto"/>
                <w:kern w:val="2"/>
                <w:sz w:val="21"/>
                <w:szCs w:val="21"/>
                <w:highlight w:val="none"/>
                <w:lang w:val="en-US" w:eastAsia="zh-CN" w:bidi="ar-SA"/>
              </w:rPr>
              <w:t>中标</w:t>
            </w:r>
            <w:r>
              <w:rPr>
                <w:rFonts w:hint="eastAsia" w:ascii="Times New Roman" w:hAnsi="Times New Roman" w:eastAsia="宋体" w:cs="Times New Roman"/>
                <w:b/>
                <w:bCs w:val="0"/>
                <w:color w:val="auto"/>
                <w:kern w:val="2"/>
                <w:sz w:val="21"/>
                <w:szCs w:val="21"/>
                <w:highlight w:val="none"/>
                <w:lang w:val="en-US" w:eastAsia="zh-CN" w:bidi="ar-SA"/>
              </w:rPr>
              <w:t>候选供应商在投标过程中提供虚假证明文件，故意隐瞒公司不良信誉和财务状况，以及其他可能对合同圆满履行造成风险的因素等，则按规定取消其</w:t>
            </w:r>
            <w:r>
              <w:rPr>
                <w:rFonts w:hint="eastAsia" w:ascii="Times New Roman" w:hAnsi="Times New Roman" w:cs="Times New Roman"/>
                <w:b/>
                <w:bCs w:val="0"/>
                <w:color w:val="auto"/>
                <w:kern w:val="2"/>
                <w:sz w:val="21"/>
                <w:szCs w:val="21"/>
                <w:highlight w:val="none"/>
                <w:lang w:val="en-US" w:eastAsia="zh-CN" w:bidi="ar-SA"/>
              </w:rPr>
              <w:t>中标</w:t>
            </w:r>
            <w:r>
              <w:rPr>
                <w:rFonts w:hint="eastAsia" w:ascii="Times New Roman" w:hAnsi="Times New Roman" w:eastAsia="宋体" w:cs="Times New Roman"/>
                <w:b/>
                <w:bCs w:val="0"/>
                <w:color w:val="auto"/>
                <w:kern w:val="2"/>
                <w:sz w:val="21"/>
                <w:szCs w:val="21"/>
                <w:highlight w:val="none"/>
                <w:lang w:val="en-US" w:eastAsia="zh-CN" w:bidi="ar-SA"/>
              </w:rPr>
              <w:t>资格，监管部门依法进行处理。</w:t>
            </w:r>
          </w:p>
          <w:p>
            <w:pPr>
              <w:numPr>
                <w:ilvl w:val="0"/>
                <w:numId w:val="0"/>
              </w:numPr>
              <w:spacing w:line="400" w:lineRule="exact"/>
              <w:ind w:leftChars="0"/>
              <w:jc w:val="left"/>
              <w:rPr>
                <w:rFonts w:hint="eastAsia"/>
                <w:color w:val="auto"/>
              </w:rPr>
            </w:pPr>
            <w:r>
              <w:rPr>
                <w:rFonts w:hint="eastAsia" w:ascii="Times New Roman" w:hAnsi="Times New Roman" w:cs="Times New Roman"/>
                <w:b/>
                <w:bCs w:val="0"/>
                <w:color w:val="auto"/>
                <w:kern w:val="2"/>
                <w:sz w:val="21"/>
                <w:szCs w:val="21"/>
                <w:highlight w:val="none"/>
                <w:lang w:val="en-US" w:eastAsia="zh-CN" w:bidi="ar-SA"/>
              </w:rPr>
              <w:t>5</w:t>
            </w:r>
            <w:r>
              <w:rPr>
                <w:rFonts w:hint="eastAsia" w:ascii="Times New Roman" w:hAnsi="Times New Roman" w:eastAsia="宋体" w:cs="Times New Roman"/>
                <w:b/>
                <w:bCs w:val="0"/>
                <w:color w:val="auto"/>
                <w:kern w:val="2"/>
                <w:sz w:val="21"/>
                <w:szCs w:val="21"/>
                <w:highlight w:val="none"/>
                <w:lang w:val="en-US" w:eastAsia="zh-CN" w:bidi="ar-SA"/>
              </w:rPr>
              <w:t>、投标人使用相同IP地址的，一经发现，相关部门将进一步核实，查实后按串通投标处理。</w:t>
            </w:r>
          </w:p>
        </w:tc>
      </w:tr>
      <w:bookmarkEnd w:id="11"/>
    </w:tbl>
    <w:p>
      <w:pPr>
        <w:pageBreakBefore/>
        <w:shd w:val="clear" w:color="auto" w:fill="auto"/>
        <w:spacing w:before="312" w:beforeLines="100" w:after="312" w:afterLines="100" w:line="440" w:lineRule="exact"/>
        <w:jc w:val="center"/>
        <w:outlineLvl w:val="1"/>
        <w:rPr>
          <w:rFonts w:hint="eastAsia" w:ascii="宋体"/>
          <w:b/>
          <w:color w:val="auto"/>
          <w:sz w:val="28"/>
          <w:szCs w:val="32"/>
          <w:highlight w:val="none"/>
        </w:rPr>
      </w:pPr>
      <w:r>
        <w:rPr>
          <w:rFonts w:hint="eastAsia" w:ascii="宋体"/>
          <w:b/>
          <w:color w:val="auto"/>
          <w:sz w:val="28"/>
          <w:szCs w:val="28"/>
          <w:highlight w:val="none"/>
        </w:rPr>
        <w:t>二、投标人须知</w:t>
      </w:r>
    </w:p>
    <w:p>
      <w:pPr>
        <w:shd w:val="clear" w:color="auto" w:fill="auto"/>
        <w:spacing w:line="440" w:lineRule="exact"/>
        <w:jc w:val="center"/>
        <w:outlineLvl w:val="2"/>
        <w:rPr>
          <w:rFonts w:hint="eastAsia" w:ascii="宋体"/>
          <w:color w:val="auto"/>
          <w:sz w:val="28"/>
          <w:szCs w:val="28"/>
          <w:highlight w:val="none"/>
        </w:rPr>
      </w:pPr>
      <w:bookmarkStart w:id="13" w:name="_Toc469495724"/>
      <w:r>
        <w:rPr>
          <w:rFonts w:hint="eastAsia" w:ascii="宋体"/>
          <w:b/>
          <w:color w:val="auto"/>
          <w:sz w:val="28"/>
          <w:szCs w:val="28"/>
          <w:highlight w:val="none"/>
        </w:rPr>
        <w:t>（一）</w:t>
      </w:r>
      <w:r>
        <w:rPr>
          <w:rFonts w:hint="eastAsia" w:ascii="宋体"/>
          <w:b/>
          <w:color w:val="auto"/>
          <w:sz w:val="28"/>
          <w:szCs w:val="32"/>
          <w:highlight w:val="none"/>
        </w:rPr>
        <w:t>总  则</w:t>
      </w:r>
      <w:bookmarkEnd w:id="13"/>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1.项目概况</w:t>
      </w:r>
    </w:p>
    <w:p>
      <w:pPr>
        <w:shd w:val="clear" w:color="auto" w:fill="auto"/>
        <w:snapToGrid w:val="0"/>
        <w:spacing w:line="440" w:lineRule="exact"/>
        <w:ind w:firstLine="426" w:firstLineChars="200"/>
        <w:rPr>
          <w:rFonts w:hint="eastAsia" w:ascii="宋体"/>
          <w:color w:val="auto"/>
          <w:szCs w:val="21"/>
          <w:highlight w:val="none"/>
          <w:u w:val="single"/>
        </w:rPr>
      </w:pPr>
      <w:r>
        <w:rPr>
          <w:rFonts w:hint="eastAsia" w:ascii="宋体"/>
          <w:color w:val="auto"/>
          <w:szCs w:val="21"/>
          <w:highlight w:val="none"/>
        </w:rPr>
        <w:t>1.1本次招标采购项目名称：见投标人须知前附表。</w:t>
      </w:r>
    </w:p>
    <w:p>
      <w:pPr>
        <w:shd w:val="clear" w:color="auto" w:fill="auto"/>
        <w:snapToGrid w:val="0"/>
        <w:spacing w:line="440" w:lineRule="exact"/>
        <w:ind w:firstLine="852" w:firstLineChars="400"/>
        <w:rPr>
          <w:rFonts w:hint="eastAsia" w:ascii="宋体"/>
          <w:color w:val="auto"/>
          <w:szCs w:val="21"/>
          <w:highlight w:val="none"/>
          <w:u w:val="single"/>
        </w:rPr>
      </w:pPr>
      <w:r>
        <w:rPr>
          <w:rFonts w:hint="eastAsia" w:ascii="宋体"/>
          <w:color w:val="auto"/>
          <w:szCs w:val="21"/>
          <w:highlight w:val="none"/>
        </w:rPr>
        <w:t>项目编号：见投标人须知前附表。</w:t>
      </w:r>
    </w:p>
    <w:p>
      <w:pPr>
        <w:shd w:val="clear" w:color="auto" w:fill="auto"/>
        <w:snapToGrid w:val="0"/>
        <w:spacing w:line="440" w:lineRule="exact"/>
        <w:ind w:firstLine="852" w:firstLineChars="400"/>
        <w:rPr>
          <w:rFonts w:hint="eastAsia" w:ascii="宋体"/>
          <w:color w:val="auto"/>
          <w:szCs w:val="21"/>
          <w:highlight w:val="none"/>
          <w:u w:val="single"/>
        </w:rPr>
      </w:pPr>
      <w:r>
        <w:rPr>
          <w:rFonts w:hint="eastAsia" w:ascii="宋体"/>
          <w:color w:val="auto"/>
          <w:szCs w:val="21"/>
          <w:highlight w:val="none"/>
        </w:rPr>
        <w:t>招标人：见投标人须知前附表。</w:t>
      </w:r>
    </w:p>
    <w:p>
      <w:pPr>
        <w:shd w:val="clear" w:color="auto" w:fill="auto"/>
        <w:snapToGrid w:val="0"/>
        <w:spacing w:line="440" w:lineRule="exact"/>
        <w:ind w:firstLine="852" w:firstLineChars="400"/>
        <w:rPr>
          <w:rFonts w:hint="eastAsia" w:ascii="宋体"/>
          <w:color w:val="auto"/>
          <w:szCs w:val="21"/>
          <w:highlight w:val="none"/>
          <w:u w:val="single"/>
        </w:rPr>
      </w:pPr>
      <w:r>
        <w:rPr>
          <w:rFonts w:hint="eastAsia" w:ascii="宋体"/>
          <w:color w:val="auto"/>
          <w:szCs w:val="21"/>
          <w:highlight w:val="none"/>
        </w:rPr>
        <w:t>供货期（服务周期）：见投标人须知前附表。</w:t>
      </w:r>
    </w:p>
    <w:p>
      <w:pPr>
        <w:shd w:val="clear" w:color="auto" w:fill="auto"/>
        <w:snapToGrid w:val="0"/>
        <w:spacing w:line="440" w:lineRule="exact"/>
        <w:ind w:firstLine="852" w:firstLineChars="400"/>
        <w:rPr>
          <w:rFonts w:hint="eastAsia" w:ascii="宋体"/>
          <w:color w:val="auto"/>
          <w:szCs w:val="21"/>
          <w:highlight w:val="none"/>
          <w:u w:val="single"/>
        </w:rPr>
      </w:pPr>
      <w:r>
        <w:rPr>
          <w:rFonts w:hint="eastAsia" w:ascii="宋体"/>
          <w:color w:val="auto"/>
          <w:szCs w:val="21"/>
          <w:highlight w:val="none"/>
        </w:rPr>
        <w:t>供货地点：见投标人须知前附表。</w:t>
      </w:r>
    </w:p>
    <w:p>
      <w:pPr>
        <w:shd w:val="clear" w:color="auto" w:fill="auto"/>
        <w:snapToGrid w:val="0"/>
        <w:spacing w:line="440" w:lineRule="exact"/>
        <w:ind w:firstLine="426" w:firstLineChars="200"/>
        <w:rPr>
          <w:rFonts w:hint="eastAsia" w:ascii="宋体"/>
          <w:color w:val="auto"/>
          <w:szCs w:val="21"/>
          <w:highlight w:val="none"/>
          <w:u w:val="single"/>
        </w:rPr>
      </w:pPr>
      <w:r>
        <w:rPr>
          <w:rFonts w:hint="eastAsia" w:ascii="宋体"/>
          <w:color w:val="auto"/>
          <w:szCs w:val="21"/>
          <w:highlight w:val="none"/>
        </w:rPr>
        <w:t>1.2招标人及联系人:见投标人须知前附表。</w:t>
      </w:r>
    </w:p>
    <w:p>
      <w:pPr>
        <w:shd w:val="clear" w:color="auto" w:fill="auto"/>
        <w:snapToGrid w:val="0"/>
        <w:spacing w:line="440" w:lineRule="exact"/>
        <w:ind w:firstLine="745" w:firstLineChars="350"/>
        <w:rPr>
          <w:rFonts w:hint="eastAsia" w:ascii="宋体"/>
          <w:color w:val="auto"/>
          <w:szCs w:val="21"/>
          <w:highlight w:val="none"/>
          <w:u w:val="single"/>
        </w:rPr>
      </w:pPr>
      <w:r>
        <w:rPr>
          <w:rFonts w:hint="eastAsia" w:ascii="宋体"/>
          <w:color w:val="auto"/>
          <w:szCs w:val="21"/>
          <w:highlight w:val="none"/>
        </w:rPr>
        <w:t xml:space="preserve"> 代理机构及联系人:见投标人须知前附表。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1.3资金来源：见投标人须知前附表。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1.4本项目预算：见投标人须知前附表。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1.5本项目控制价：见投标人须知前附表。</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2.招标范围：</w:t>
      </w:r>
    </w:p>
    <w:p>
      <w:pPr>
        <w:shd w:val="clear" w:color="auto" w:fill="auto"/>
        <w:snapToGrid w:val="0"/>
        <w:spacing w:line="440" w:lineRule="exact"/>
        <w:ind w:firstLine="426" w:firstLineChars="200"/>
        <w:rPr>
          <w:rFonts w:hint="eastAsia" w:ascii="宋体"/>
          <w:color w:val="auto"/>
          <w:szCs w:val="21"/>
          <w:highlight w:val="none"/>
          <w:u w:val="single"/>
        </w:rPr>
      </w:pPr>
      <w:r>
        <w:rPr>
          <w:rFonts w:hint="eastAsia" w:ascii="宋体"/>
          <w:color w:val="auto"/>
          <w:szCs w:val="21"/>
          <w:highlight w:val="none"/>
        </w:rPr>
        <w:t>2.1 采购内容：见投标人须知前附表。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2.2 技术要求：详见</w:t>
      </w:r>
      <w:r>
        <w:rPr>
          <w:rFonts w:hint="eastAsia" w:ascii="宋体"/>
          <w:color w:val="auto"/>
          <w:szCs w:val="21"/>
          <w:highlight w:val="none"/>
          <w:lang w:eastAsia="zh-CN"/>
        </w:rPr>
        <w:t>采购文件</w:t>
      </w:r>
      <w:r>
        <w:rPr>
          <w:rFonts w:hint="eastAsia" w:ascii="宋体"/>
          <w:color w:val="auto"/>
          <w:szCs w:val="21"/>
          <w:highlight w:val="none"/>
        </w:rPr>
        <w:t>第四章采购内容及技术要求。</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3.标包划分：</w:t>
      </w:r>
    </w:p>
    <w:p>
      <w:pPr>
        <w:shd w:val="clear" w:color="auto" w:fill="auto"/>
        <w:snapToGrid w:val="0"/>
        <w:spacing w:line="440" w:lineRule="exact"/>
        <w:ind w:firstLine="426" w:firstLineChars="200"/>
        <w:jc w:val="left"/>
        <w:rPr>
          <w:rFonts w:hint="eastAsia" w:ascii="宋体"/>
          <w:color w:val="auto"/>
          <w:szCs w:val="21"/>
          <w:highlight w:val="none"/>
        </w:rPr>
      </w:pPr>
      <w:r>
        <w:rPr>
          <w:rFonts w:hint="eastAsia" w:ascii="宋体"/>
          <w:color w:val="auto"/>
          <w:szCs w:val="21"/>
          <w:highlight w:val="none"/>
        </w:rPr>
        <w:t>3.1本项目划分：</w:t>
      </w:r>
      <w:r>
        <w:rPr>
          <w:rFonts w:hint="eastAsia" w:ascii="宋体"/>
          <w:color w:val="auto"/>
          <w:szCs w:val="21"/>
          <w:highlight w:val="none"/>
          <w:u w:val="single"/>
        </w:rPr>
        <w:t xml:space="preserve"> </w:t>
      </w:r>
      <w:r>
        <w:rPr>
          <w:rFonts w:hint="eastAsia" w:ascii="宋体"/>
          <w:color w:val="auto"/>
          <w:szCs w:val="21"/>
          <w:highlight w:val="none"/>
          <w:u w:val="single"/>
          <w:lang w:val="en-US" w:eastAsia="zh-CN"/>
        </w:rPr>
        <w:t>1</w:t>
      </w:r>
      <w:r>
        <w:rPr>
          <w:rFonts w:hint="eastAsia" w:ascii="宋体"/>
          <w:color w:val="auto"/>
          <w:szCs w:val="21"/>
          <w:highlight w:val="none"/>
          <w:u w:val="single"/>
        </w:rPr>
        <w:t xml:space="preserve"> </w:t>
      </w:r>
      <w:r>
        <w:rPr>
          <w:rFonts w:hint="eastAsia" w:ascii="宋体"/>
          <w:color w:val="auto"/>
          <w:szCs w:val="21"/>
          <w:highlight w:val="none"/>
        </w:rPr>
        <w:t xml:space="preserve"> </w:t>
      </w:r>
      <w:r>
        <w:rPr>
          <w:rFonts w:hint="eastAsia"/>
          <w:color w:val="auto"/>
          <w:szCs w:val="21"/>
          <w:highlight w:val="none"/>
        </w:rPr>
        <w:t>个标包</w:t>
      </w:r>
      <w:r>
        <w:rPr>
          <w:rFonts w:hint="eastAsia" w:ascii="宋体" w:hAnsi="宋体" w:cs="宋体"/>
          <w:color w:val="auto"/>
          <w:kern w:val="0"/>
          <w:szCs w:val="21"/>
          <w:highlight w:val="none"/>
        </w:rPr>
        <w:t>。</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4.招标方式：</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4.1本项目招标方式：见投标人须知前附表。</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5.计价方式：</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5.1本次招标项目合同采用</w:t>
      </w:r>
      <w:r>
        <w:rPr>
          <w:rFonts w:hint="eastAsia" w:ascii="宋体"/>
          <w:color w:val="auto"/>
          <w:szCs w:val="21"/>
          <w:highlight w:val="none"/>
          <w:u w:val="single"/>
        </w:rPr>
        <w:t xml:space="preserve">   </w:t>
      </w:r>
      <w:r>
        <w:rPr>
          <w:rFonts w:hint="eastAsia" w:ascii="宋体"/>
          <w:color w:val="auto"/>
          <w:szCs w:val="21"/>
          <w:highlight w:val="none"/>
          <w:u w:val="single"/>
          <w:lang w:eastAsia="zh-CN"/>
        </w:rPr>
        <w:t>总价</w:t>
      </w:r>
      <w:r>
        <w:rPr>
          <w:rFonts w:hint="eastAsia" w:ascii="宋体"/>
          <w:color w:val="auto"/>
          <w:szCs w:val="21"/>
          <w:highlight w:val="none"/>
          <w:u w:val="single"/>
        </w:rPr>
        <w:t xml:space="preserve"> 。</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6.评标办法：</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6.1本次招标评标采用</w:t>
      </w:r>
      <w:r>
        <w:rPr>
          <w:rFonts w:hint="eastAsia" w:ascii="宋体"/>
          <w:color w:val="auto"/>
          <w:szCs w:val="21"/>
          <w:highlight w:val="none"/>
          <w:u w:val="single"/>
        </w:rPr>
        <w:t xml:space="preserve">  </w:t>
      </w:r>
      <w:r>
        <w:rPr>
          <w:rFonts w:hint="eastAsia" w:ascii="宋体"/>
          <w:b/>
          <w:bCs/>
          <w:color w:val="auto"/>
          <w:szCs w:val="21"/>
          <w:highlight w:val="none"/>
          <w:u w:val="single"/>
        </w:rPr>
        <w:t>符合</w:t>
      </w:r>
      <w:r>
        <w:rPr>
          <w:rFonts w:hint="eastAsia" w:ascii="宋体"/>
          <w:b/>
          <w:bCs/>
          <w:color w:val="auto"/>
          <w:szCs w:val="21"/>
          <w:highlight w:val="none"/>
          <w:u w:val="single"/>
          <w:lang w:val="en-US" w:eastAsia="zh-CN"/>
        </w:rPr>
        <w:t>招标</w:t>
      </w:r>
      <w:r>
        <w:rPr>
          <w:rFonts w:hint="eastAsia" w:ascii="宋体"/>
          <w:b/>
          <w:bCs/>
          <w:color w:val="auto"/>
          <w:szCs w:val="21"/>
          <w:highlight w:val="none"/>
          <w:u w:val="single"/>
          <w:lang w:eastAsia="zh-CN"/>
        </w:rPr>
        <w:t>文件</w:t>
      </w:r>
      <w:r>
        <w:rPr>
          <w:rFonts w:hint="eastAsia" w:ascii="宋体"/>
          <w:b/>
          <w:bCs/>
          <w:color w:val="auto"/>
          <w:szCs w:val="21"/>
          <w:highlight w:val="none"/>
          <w:u w:val="single"/>
        </w:rPr>
        <w:t>的综合评分法</w:t>
      </w:r>
      <w:r>
        <w:rPr>
          <w:rFonts w:hint="eastAsia" w:ascii="宋体"/>
          <w:color w:val="auto"/>
          <w:szCs w:val="21"/>
          <w:highlight w:val="none"/>
          <w:u w:val="single"/>
        </w:rPr>
        <w:t xml:space="preserve"> </w:t>
      </w:r>
      <w:r>
        <w:rPr>
          <w:rFonts w:hint="eastAsia" w:ascii="宋体"/>
          <w:color w:val="auto"/>
          <w:szCs w:val="21"/>
          <w:highlight w:val="none"/>
        </w:rPr>
        <w:t>（详见第三章评标办法）</w:t>
      </w:r>
    </w:p>
    <w:p>
      <w:pPr>
        <w:shd w:val="clear" w:color="auto" w:fill="auto"/>
        <w:snapToGrid w:val="0"/>
        <w:spacing w:line="440" w:lineRule="exact"/>
        <w:rPr>
          <w:rFonts w:hint="eastAsia" w:ascii="宋体"/>
          <w:b/>
          <w:color w:val="auto"/>
          <w:szCs w:val="21"/>
          <w:highlight w:val="none"/>
        </w:rPr>
      </w:pPr>
      <w:r>
        <w:rPr>
          <w:rFonts w:hint="eastAsia" w:ascii="宋体"/>
          <w:b/>
          <w:color w:val="auto"/>
          <w:szCs w:val="21"/>
          <w:highlight w:val="none"/>
        </w:rPr>
        <w:t>7.投标人资格：</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7.1参与采购活动的投标人必须是满足《中华人民共和国政府采购法》规定条件的法人、其他组织或者自然人：</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7.2由于政府采购项目的差异性，投标人在参与具体政府采购项目活动时，应仔细阅读该项目的资质要求,具体见投标人须知前附表。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7.3根据电子化政府采购的特点，各供应商在开标前应确保成为新疆维吾尔自治区政府采购网正式注册入库供应商，并完成CA数字证书申领。因未注册入库、未办理CA数字证书等原因造成无法投标或投标失败等后果由供应商自行承担。</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7.4投标人必须确保自己在信息库中注册的信息真实、准确，并保证投标文件中的有关信息与库中的信息相一致。否则，投标人因此蒙受损失，招标人概不负责。</w:t>
      </w:r>
    </w:p>
    <w:p>
      <w:pPr>
        <w:shd w:val="clear" w:color="auto" w:fill="auto"/>
        <w:spacing w:line="440" w:lineRule="exact"/>
        <w:rPr>
          <w:rFonts w:hint="eastAsia"/>
          <w:b/>
          <w:color w:val="auto"/>
          <w:szCs w:val="21"/>
          <w:highlight w:val="none"/>
        </w:rPr>
      </w:pPr>
      <w:r>
        <w:rPr>
          <w:rFonts w:hint="eastAsia"/>
          <w:b/>
          <w:color w:val="auto"/>
          <w:szCs w:val="21"/>
          <w:highlight w:val="none"/>
        </w:rPr>
        <w:t>8. 投标费用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color w:val="auto"/>
          <w:szCs w:val="21"/>
          <w:highlight w:val="none"/>
        </w:rPr>
        <w:t>8.1投标人准备和参加投标活动发生的费用自理。</w:t>
      </w:r>
    </w:p>
    <w:p>
      <w:pPr>
        <w:shd w:val="clear" w:color="auto" w:fill="auto"/>
        <w:spacing w:line="440" w:lineRule="exact"/>
        <w:rPr>
          <w:rFonts w:hint="eastAsia"/>
          <w:b/>
          <w:color w:val="auto"/>
          <w:szCs w:val="21"/>
          <w:highlight w:val="none"/>
        </w:rPr>
      </w:pPr>
      <w:r>
        <w:rPr>
          <w:rFonts w:hint="eastAsia"/>
          <w:b/>
          <w:color w:val="auto"/>
          <w:szCs w:val="21"/>
          <w:highlight w:val="none"/>
        </w:rPr>
        <w:t>9.</w:t>
      </w:r>
      <w:bookmarkStart w:id="14" w:name="_Toc296602429"/>
      <w:bookmarkStart w:id="15" w:name="_Toc247592876"/>
      <w:bookmarkStart w:id="16" w:name="_Toc247527563"/>
      <w:bookmarkStart w:id="17" w:name="_Toc144974507"/>
      <w:bookmarkStart w:id="18" w:name="_Toc247513962"/>
      <w:bookmarkStart w:id="19" w:name="_Toc152045539"/>
      <w:bookmarkStart w:id="20" w:name="_Toc152042315"/>
      <w:r>
        <w:rPr>
          <w:rFonts w:hint="eastAsia"/>
          <w:b/>
          <w:color w:val="auto"/>
          <w:szCs w:val="21"/>
          <w:highlight w:val="none"/>
        </w:rPr>
        <w:t xml:space="preserve"> 踏勘现场</w:t>
      </w:r>
      <w:bookmarkEnd w:id="14"/>
      <w:bookmarkEnd w:id="15"/>
      <w:bookmarkEnd w:id="16"/>
      <w:bookmarkEnd w:id="17"/>
      <w:bookmarkEnd w:id="18"/>
      <w:bookmarkEnd w:id="19"/>
      <w:bookmarkEnd w:id="20"/>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9.1 投标人须知前附表规定组织踏勘现场的，招标人按投标人须知前附表规定的时间、地点组织投标人踏勘项目现场。</w:t>
      </w:r>
      <w:r>
        <w:rPr>
          <w:rFonts w:hint="eastAsia" w:ascii="宋体"/>
          <w:color w:val="auto"/>
          <w:szCs w:val="21"/>
          <w:highlight w:val="none"/>
          <w:lang w:eastAsia="zh-CN"/>
        </w:rPr>
        <w:t>如需踏勘现场，</w:t>
      </w:r>
      <w:r>
        <w:rPr>
          <w:rFonts w:hint="eastAsia"/>
          <w:color w:val="auto"/>
          <w:highlight w:val="none"/>
          <w:lang w:eastAsia="zh-CN"/>
        </w:rPr>
        <w:t>投标人自行踏勘现场的，可咨询本项目采购人或采购代理机构联系人。</w:t>
      </w:r>
      <w:r>
        <w:rPr>
          <w:rFonts w:hint="eastAsia"/>
          <w:b/>
          <w:bCs/>
          <w:color w:val="auto"/>
          <w:highlight w:val="none"/>
          <w:lang w:eastAsia="zh-CN"/>
        </w:rPr>
        <w:t>投标人自行踏勘现场的，可咨询本项目采购人或采购代理机构联系人</w:t>
      </w:r>
      <w:r>
        <w:rPr>
          <w:rFonts w:hint="eastAsia"/>
          <w:b w:val="0"/>
          <w:bCs w:val="0"/>
          <w:color w:val="auto"/>
          <w:highlight w:val="none"/>
          <w:lang w:eastAsia="zh-CN"/>
        </w:rPr>
        <w:t>。</w:t>
      </w:r>
      <w:r>
        <w:rPr>
          <w:rFonts w:hint="eastAsia" w:ascii="宋体"/>
          <w:b w:val="0"/>
          <w:bCs w:val="0"/>
          <w:color w:val="auto"/>
          <w:szCs w:val="21"/>
          <w:highlight w:val="none"/>
        </w:rPr>
        <w:t xml:space="preserve"> </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9.2 投标人踏勘现场发生的费用自理。</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9.3 除招标人的原因外，投标人自行负责在踏勘现场中所发生的人员伤亡和财产损失。</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9.4 招标人在踏勘现场中介绍的场地和相关的周边环境情况，供投标人在编制投标文件时参考，招标人不对投标人据此作出的判断和决策负责。</w:t>
      </w:r>
      <w:bookmarkStart w:id="21" w:name="_Toc247513963"/>
      <w:bookmarkStart w:id="22" w:name="_Toc296602430"/>
      <w:bookmarkStart w:id="23" w:name="_Toc152042316"/>
      <w:bookmarkStart w:id="24" w:name="_Toc152045540"/>
      <w:bookmarkStart w:id="25" w:name="_Toc247527564"/>
      <w:bookmarkStart w:id="26" w:name="_Toc144974508"/>
      <w:bookmarkStart w:id="27" w:name="_Toc247592877"/>
    </w:p>
    <w:p>
      <w:pPr>
        <w:shd w:val="clear" w:color="auto" w:fill="auto"/>
        <w:spacing w:line="440" w:lineRule="exact"/>
        <w:rPr>
          <w:rFonts w:hint="eastAsia"/>
          <w:b/>
          <w:color w:val="auto"/>
          <w:szCs w:val="21"/>
          <w:highlight w:val="none"/>
        </w:rPr>
      </w:pPr>
      <w:r>
        <w:rPr>
          <w:rFonts w:hint="eastAsia"/>
          <w:b/>
          <w:color w:val="auto"/>
          <w:szCs w:val="21"/>
          <w:highlight w:val="none"/>
        </w:rPr>
        <w:t>10. 投标预备会</w:t>
      </w:r>
      <w:bookmarkEnd w:id="21"/>
      <w:bookmarkEnd w:id="22"/>
      <w:bookmarkEnd w:id="23"/>
      <w:bookmarkEnd w:id="24"/>
      <w:bookmarkEnd w:id="25"/>
      <w:bookmarkEnd w:id="26"/>
      <w:bookmarkEnd w:id="27"/>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10.1投标人须知前附表规定召开投标预备会的，招标人按投标人须知前附表规定的时间和地点召开投标预备会，澄清投标人提出的问题。</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10.2投标人应在投标人须知前附表规定的时间前，将提出的问题送达招标人，以便招标人澄清。</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10.3招标人在投标人须知前附表规定的时间，将对投标人所提的问题进行澄清。该澄清内容为</w:t>
      </w:r>
      <w:r>
        <w:rPr>
          <w:rFonts w:hint="eastAsia" w:ascii="宋体"/>
          <w:color w:val="auto"/>
          <w:szCs w:val="21"/>
          <w:highlight w:val="none"/>
          <w:lang w:eastAsia="zh-CN"/>
        </w:rPr>
        <w:t>采购文件</w:t>
      </w:r>
      <w:r>
        <w:rPr>
          <w:rFonts w:hint="eastAsia" w:ascii="宋体"/>
          <w:color w:val="auto"/>
          <w:szCs w:val="21"/>
          <w:highlight w:val="none"/>
        </w:rPr>
        <w:t>的组成部分。</w:t>
      </w:r>
    </w:p>
    <w:p>
      <w:pPr>
        <w:shd w:val="clear" w:color="auto" w:fill="auto"/>
        <w:spacing w:line="440" w:lineRule="exact"/>
        <w:rPr>
          <w:rFonts w:hint="eastAsia"/>
          <w:b/>
          <w:color w:val="auto"/>
          <w:szCs w:val="21"/>
          <w:highlight w:val="none"/>
        </w:rPr>
      </w:pPr>
      <w:r>
        <w:rPr>
          <w:rFonts w:hint="eastAsia"/>
          <w:b/>
          <w:color w:val="auto"/>
          <w:szCs w:val="21"/>
          <w:highlight w:val="none"/>
        </w:rPr>
        <w:t>11. 联合投标</w:t>
      </w:r>
    </w:p>
    <w:p>
      <w:pPr>
        <w:shd w:val="clear" w:color="auto" w:fill="auto"/>
        <w:spacing w:line="440" w:lineRule="exact"/>
        <w:ind w:firstLine="414" w:firstLineChars="195"/>
        <w:rPr>
          <w:rFonts w:hint="eastAsia" w:ascii="宋体"/>
          <w:color w:val="auto"/>
          <w:szCs w:val="21"/>
          <w:highlight w:val="none"/>
        </w:rPr>
      </w:pPr>
      <w:r>
        <w:rPr>
          <w:rFonts w:hint="eastAsia" w:ascii="宋体"/>
          <w:color w:val="auto"/>
          <w:szCs w:val="21"/>
          <w:highlight w:val="none"/>
        </w:rPr>
        <w:t>11.1 两个以上投标人可以组成一个投标联合体，以一个投标人的身份投标。以联合体形式参加投标的，联合体各方均应当符合《政府采购法》第二十二条规定的条件。招标人根据采购项目的特殊要求规定投标人特定条件的，联合体各方中至少应当有一方符合招标人规定的特定条件。</w:t>
      </w:r>
    </w:p>
    <w:p>
      <w:pPr>
        <w:shd w:val="clear" w:color="auto" w:fill="auto"/>
        <w:spacing w:line="400" w:lineRule="exact"/>
        <w:ind w:firstLine="414" w:firstLineChars="195"/>
        <w:rPr>
          <w:rFonts w:hint="eastAsia" w:ascii="宋体"/>
          <w:color w:val="auto"/>
          <w:szCs w:val="21"/>
          <w:highlight w:val="none"/>
        </w:rPr>
      </w:pPr>
      <w:r>
        <w:rPr>
          <w:rFonts w:hint="eastAsia" w:ascii="宋体"/>
          <w:color w:val="auto"/>
          <w:szCs w:val="21"/>
          <w:highlight w:val="none"/>
        </w:rPr>
        <w:t>11.2联合体各方之间应当签订共同投标协议，明确约定联合体各方承担的工作和相应的责任，并将共同投标协议连同投标文件一并提交招标人。联合体各方签订共同投标协议后，不得再以自己名义单独在同一项目中投标，也不得组成新的联合体参加同一项目投标。</w:t>
      </w:r>
    </w:p>
    <w:p>
      <w:pPr>
        <w:shd w:val="clear" w:color="auto" w:fill="auto"/>
        <w:spacing w:line="400" w:lineRule="exact"/>
        <w:ind w:firstLine="416" w:firstLineChars="196"/>
        <w:rPr>
          <w:rFonts w:ascii="宋体"/>
          <w:color w:val="auto"/>
          <w:szCs w:val="21"/>
          <w:highlight w:val="none"/>
        </w:rPr>
      </w:pPr>
      <w:r>
        <w:rPr>
          <w:rFonts w:hint="eastAsia" w:ascii="宋体"/>
          <w:color w:val="auto"/>
          <w:szCs w:val="21"/>
          <w:highlight w:val="none"/>
        </w:rPr>
        <w:t>11</w:t>
      </w:r>
      <w:r>
        <w:rPr>
          <w:rFonts w:ascii="宋体"/>
          <w:color w:val="auto"/>
          <w:szCs w:val="21"/>
          <w:highlight w:val="none"/>
        </w:rPr>
        <w:t>.</w:t>
      </w:r>
      <w:r>
        <w:rPr>
          <w:rFonts w:hint="eastAsia" w:ascii="宋体"/>
          <w:color w:val="auto"/>
          <w:szCs w:val="21"/>
          <w:highlight w:val="none"/>
        </w:rPr>
        <w:t>3 联合体应当确定其中一个单位为投标的全权代表，负责参加投标的一切事务，并承担投标及履约中应承担的全部责任与义务。</w:t>
      </w:r>
    </w:p>
    <w:p>
      <w:pPr>
        <w:pStyle w:val="12"/>
        <w:shd w:val="clear" w:color="auto" w:fill="auto"/>
        <w:spacing w:after="0" w:line="400" w:lineRule="exact"/>
        <w:ind w:left="0" w:leftChars="0" w:firstLine="430" w:firstLineChars="202"/>
        <w:rPr>
          <w:rFonts w:hint="eastAsia" w:ascii="宋体"/>
          <w:color w:val="auto"/>
          <w:szCs w:val="21"/>
          <w:highlight w:val="none"/>
        </w:rPr>
      </w:pPr>
      <w:r>
        <w:rPr>
          <w:rFonts w:hint="eastAsia" w:ascii="宋体"/>
          <w:color w:val="auto"/>
          <w:szCs w:val="21"/>
          <w:highlight w:val="none"/>
        </w:rPr>
        <w:t>11</w:t>
      </w:r>
      <w:r>
        <w:rPr>
          <w:rFonts w:ascii="宋体"/>
          <w:color w:val="auto"/>
          <w:szCs w:val="21"/>
          <w:highlight w:val="none"/>
        </w:rPr>
        <w:t>.</w:t>
      </w:r>
      <w:r>
        <w:rPr>
          <w:rFonts w:hint="eastAsia" w:ascii="宋体"/>
          <w:color w:val="auto"/>
          <w:szCs w:val="21"/>
          <w:highlight w:val="none"/>
        </w:rPr>
        <w:t>4 联合体各方应当共同与招标人签订采购合同，就采购合同约定的事项对招标人承担连带责任。</w:t>
      </w:r>
    </w:p>
    <w:p>
      <w:pPr>
        <w:shd w:val="clear" w:color="auto" w:fill="auto"/>
        <w:spacing w:line="440" w:lineRule="exact"/>
        <w:jc w:val="left"/>
        <w:rPr>
          <w:rFonts w:hint="eastAsia" w:ascii="宋体"/>
          <w:b/>
          <w:color w:val="auto"/>
          <w:szCs w:val="21"/>
          <w:highlight w:val="none"/>
        </w:rPr>
      </w:pPr>
      <w:r>
        <w:rPr>
          <w:rFonts w:hint="eastAsia" w:ascii="宋体"/>
          <w:b/>
          <w:color w:val="auto"/>
          <w:szCs w:val="21"/>
          <w:highlight w:val="none"/>
        </w:rPr>
        <w:t>12.招标代理费</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b/>
          <w:color w:val="auto"/>
          <w:szCs w:val="21"/>
          <w:highlight w:val="none"/>
        </w:rPr>
      </w:pPr>
      <w:r>
        <w:rPr>
          <w:rFonts w:hint="eastAsia" w:ascii="宋体"/>
          <w:bCs/>
          <w:color w:val="auto"/>
          <w:szCs w:val="21"/>
          <w:highlight w:val="none"/>
        </w:rPr>
        <w:t>12.1</w:t>
      </w:r>
      <w:r>
        <w:rPr>
          <w:rFonts w:hint="eastAsia" w:ascii="宋体" w:hAnsi="Times New Roman" w:eastAsia="宋体" w:cs="Times New Roman"/>
          <w:color w:val="auto"/>
          <w:kern w:val="2"/>
          <w:sz w:val="21"/>
          <w:szCs w:val="21"/>
          <w:highlight w:val="none"/>
          <w:lang w:val="en-US" w:eastAsia="zh-CN" w:bidi="ar-SA"/>
        </w:rPr>
        <w:t>中标单位在领取本项目中标通知书时，按照《国家计委关于印发招标代理服务收费管理暂行办法的通知（计价格[2002]1980号）及《招标代理服务收费有关问题》（发改办价格〔2003〕857号文）中规定向招标代理机构支付本项目代理费。收费标准如下：</w:t>
      </w:r>
    </w:p>
    <w:p>
      <w:pPr>
        <w:keepNext w:val="0"/>
        <w:keepLines w:val="0"/>
        <w:pageBreakBefore w:val="0"/>
        <w:shd w:val="clear" w:color="auto" w:fill="auto"/>
        <w:kinsoku/>
        <w:wordWrap/>
        <w:overflowPunct/>
        <w:topLinePunct w:val="0"/>
        <w:bidi w:val="0"/>
        <w:snapToGrid/>
        <w:spacing w:line="360" w:lineRule="auto"/>
        <w:ind w:firstLine="426" w:firstLineChars="200"/>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招标代理服务收费标准</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2146"/>
        <w:gridCol w:w="2146"/>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393"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中标</w:t>
            </w:r>
            <w:r>
              <w:rPr>
                <w:rFonts w:hint="eastAsia" w:ascii="宋体" w:hAnsi="宋体" w:cs="宋体"/>
                <w:b w:val="0"/>
                <w:bCs w:val="0"/>
                <w:color w:val="auto"/>
                <w:sz w:val="21"/>
                <w:szCs w:val="21"/>
                <w:highlight w:val="none"/>
              </w:rPr>
              <w:t>金额（万元）</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货物招标</w:t>
            </w:r>
          </w:p>
        </w:tc>
        <w:tc>
          <w:tcPr>
            <w:tcW w:w="2146"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eastAsia="zh-CN"/>
              </w:rPr>
              <w:t>服务招标</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100以下</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1.50%</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100-500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1.10%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0.80</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500-1000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0.80%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w:t>
            </w:r>
            <w:r>
              <w:rPr>
                <w:rFonts w:hint="eastAsia" w:ascii="宋体" w:hAnsi="宋体" w:cs="宋体"/>
                <w:b w:val="0"/>
                <w:bCs w:val="0"/>
                <w:color w:val="auto"/>
                <w:sz w:val="21"/>
                <w:szCs w:val="21"/>
                <w:highlight w:val="none"/>
                <w:lang w:val="en-US" w:eastAsia="zh-CN"/>
              </w:rPr>
              <w:t>45</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393"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1000-5000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0.50%</w:t>
            </w:r>
          </w:p>
        </w:tc>
        <w:tc>
          <w:tcPr>
            <w:tcW w:w="2146"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0.</w:t>
            </w:r>
            <w:r>
              <w:rPr>
                <w:rFonts w:hint="eastAsia" w:ascii="宋体" w:hAnsi="宋体" w:cs="宋体"/>
                <w:b w:val="0"/>
                <w:bCs w:val="0"/>
                <w:color w:val="auto"/>
                <w:sz w:val="21"/>
                <w:szCs w:val="21"/>
                <w:highlight w:val="none"/>
                <w:lang w:val="en-US" w:eastAsia="zh-CN"/>
              </w:rPr>
              <w:t>25</w:t>
            </w:r>
            <w:r>
              <w:rPr>
                <w:rFonts w:hint="eastAsia" w:ascii="宋体" w:hAnsi="宋体" w:cs="宋体"/>
                <w:b w:val="0"/>
                <w:bCs w:val="0"/>
                <w:color w:val="auto"/>
                <w:sz w:val="21"/>
                <w:szCs w:val="21"/>
                <w:highlight w:val="none"/>
              </w:rPr>
              <w:t>%</w:t>
            </w:r>
          </w:p>
        </w:tc>
        <w:tc>
          <w:tcPr>
            <w:tcW w:w="1841"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宋体" w:hAnsi="宋体" w:cs="宋体"/>
                <w:b w:val="0"/>
                <w:bCs w:val="0"/>
                <w:color w:val="auto"/>
                <w:sz w:val="21"/>
                <w:szCs w:val="21"/>
                <w:highlight w:val="none"/>
              </w:rPr>
            </w:pPr>
          </w:p>
        </w:tc>
      </w:tr>
    </w:tbl>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招标代理服务收费按差额定率累进法计算。例如：某项目招标代理业务</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金额为2000万元，计算招标代理服务收费额如下：</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100万元×1.50%=1.5（万元）；</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（500-100）万元×1.10%=4.4（万元）</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（1000-500）万元×0.80%=4.0（万元）</w:t>
      </w:r>
    </w:p>
    <w:p>
      <w:pPr>
        <w:keepNext w:val="0"/>
        <w:keepLines w:val="0"/>
        <w:pageBreakBefore w:val="0"/>
        <w:shd w:val="clear" w:color="auto" w:fill="auto"/>
        <w:kinsoku/>
        <w:wordWrap/>
        <w:overflowPunct/>
        <w:topLinePunct w:val="0"/>
        <w:bidi w:val="0"/>
        <w:snapToGrid/>
        <w:spacing w:line="360" w:lineRule="auto"/>
        <w:ind w:firstLine="426"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（2000-1000）万元×0.50%=5.0（万元）</w:t>
      </w:r>
    </w:p>
    <w:p>
      <w:pPr>
        <w:shd w:val="clear" w:color="auto" w:fill="auto"/>
        <w:spacing w:line="440" w:lineRule="exact"/>
        <w:ind w:left="213" w:leftChars="100" w:firstLine="319" w:firstLineChars="150"/>
        <w:jc w:val="left"/>
        <w:rPr>
          <w:rFonts w:hint="eastAsia" w:ascii="宋体"/>
          <w:bCs/>
          <w:color w:val="auto"/>
          <w:szCs w:val="21"/>
          <w:highlight w:val="none"/>
        </w:rPr>
      </w:pPr>
      <w:r>
        <w:rPr>
          <w:rFonts w:hint="eastAsia" w:ascii="宋体" w:hAnsi="宋体" w:eastAsia="宋体" w:cs="宋体"/>
          <w:color w:val="auto"/>
          <w:szCs w:val="21"/>
          <w:highlight w:val="none"/>
        </w:rPr>
        <w:t>合计收费=1.5+4.4+4.0+5.0=14.9(万元)</w:t>
      </w:r>
    </w:p>
    <w:p>
      <w:pPr>
        <w:shd w:val="clear" w:color="auto" w:fill="auto"/>
        <w:spacing w:line="440" w:lineRule="exact"/>
        <w:rPr>
          <w:rFonts w:hint="eastAsia"/>
          <w:b/>
          <w:color w:val="auto"/>
          <w:szCs w:val="21"/>
          <w:highlight w:val="none"/>
        </w:rPr>
      </w:pPr>
      <w:r>
        <w:rPr>
          <w:rFonts w:hint="eastAsia"/>
          <w:b/>
          <w:color w:val="auto"/>
          <w:szCs w:val="21"/>
          <w:highlight w:val="none"/>
        </w:rPr>
        <w:t>13.投标人应注意的事项</w:t>
      </w:r>
    </w:p>
    <w:p>
      <w:pPr>
        <w:shd w:val="clear" w:color="auto" w:fill="auto"/>
        <w:spacing w:line="440" w:lineRule="exact"/>
        <w:ind w:firstLine="426" w:firstLineChars="200"/>
        <w:rPr>
          <w:rFonts w:hint="eastAsia" w:ascii="宋体"/>
          <w:bCs/>
          <w:color w:val="auto"/>
          <w:szCs w:val="21"/>
          <w:highlight w:val="none"/>
        </w:rPr>
      </w:pPr>
      <w:r>
        <w:rPr>
          <w:rFonts w:hint="eastAsia" w:ascii="宋体" w:hAnsi="宋体"/>
          <w:color w:val="auto"/>
          <w:szCs w:val="21"/>
          <w:highlight w:val="none"/>
        </w:rPr>
        <w:t>13.1投标人一旦按规定缴纳了投标保证金并参加投标，即被认为接受了本</w:t>
      </w:r>
      <w:r>
        <w:rPr>
          <w:rFonts w:hint="eastAsia" w:ascii="宋体" w:hAnsi="宋体"/>
          <w:color w:val="auto"/>
          <w:szCs w:val="21"/>
          <w:highlight w:val="none"/>
          <w:lang w:eastAsia="zh-CN"/>
        </w:rPr>
        <w:t>采购</w:t>
      </w:r>
      <w:r>
        <w:rPr>
          <w:rFonts w:hint="eastAsia" w:ascii="宋体" w:hAnsi="宋体"/>
          <w:color w:val="auto"/>
          <w:szCs w:val="21"/>
          <w:highlight w:val="none"/>
        </w:rPr>
        <w:t>文件中的所有条件和规定。投标人必须严格按</w:t>
      </w:r>
      <w:r>
        <w:rPr>
          <w:rFonts w:hint="eastAsia" w:ascii="宋体" w:hAnsi="宋体"/>
          <w:color w:val="auto"/>
          <w:szCs w:val="21"/>
          <w:highlight w:val="none"/>
          <w:lang w:eastAsia="zh-CN"/>
        </w:rPr>
        <w:t>采购文件</w:t>
      </w:r>
      <w:r>
        <w:rPr>
          <w:rFonts w:hint="eastAsia" w:ascii="宋体" w:hAnsi="宋体"/>
          <w:color w:val="auto"/>
          <w:szCs w:val="21"/>
          <w:highlight w:val="none"/>
        </w:rPr>
        <w:t>的要求编制投标文件，投标文件宜编制页码和目录，以便评委审核。否则，由此产生的一切后果由投标人承担。</w:t>
      </w:r>
    </w:p>
    <w:p>
      <w:pPr>
        <w:shd w:val="clear" w:color="auto" w:fill="auto"/>
        <w:spacing w:line="440" w:lineRule="exact"/>
        <w:ind w:firstLine="426" w:firstLineChars="200"/>
        <w:rPr>
          <w:rFonts w:hint="eastAsia" w:ascii="宋体"/>
          <w:b/>
          <w:bCs w:val="0"/>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2</w:t>
      </w:r>
      <w:r>
        <w:rPr>
          <w:rFonts w:hint="eastAsia" w:ascii="宋体"/>
          <w:bCs/>
          <w:color w:val="auto"/>
          <w:szCs w:val="21"/>
          <w:highlight w:val="none"/>
        </w:rPr>
        <w:t xml:space="preserve"> 投标人对采购内容中规定的技术参数、规格等要求必须完全响应或优于</w:t>
      </w:r>
      <w:r>
        <w:rPr>
          <w:rFonts w:hint="eastAsia" w:ascii="宋体"/>
          <w:bCs/>
          <w:color w:val="auto"/>
          <w:szCs w:val="21"/>
          <w:highlight w:val="none"/>
          <w:lang w:eastAsia="zh-CN"/>
        </w:rPr>
        <w:t>采购文件</w:t>
      </w:r>
      <w:r>
        <w:rPr>
          <w:rFonts w:hint="eastAsia" w:ascii="宋体"/>
          <w:bCs/>
          <w:color w:val="auto"/>
          <w:szCs w:val="21"/>
          <w:highlight w:val="none"/>
        </w:rPr>
        <w:t>中的要求</w:t>
      </w:r>
      <w:r>
        <w:rPr>
          <w:rFonts w:hint="eastAsia" w:ascii="宋体"/>
          <w:b/>
          <w:bCs w:val="0"/>
          <w:color w:val="auto"/>
          <w:szCs w:val="21"/>
          <w:highlight w:val="none"/>
        </w:rPr>
        <w:t>。</w:t>
      </w:r>
    </w:p>
    <w:p>
      <w:pPr>
        <w:shd w:val="clear" w:color="auto" w:fill="auto"/>
        <w:spacing w:line="440" w:lineRule="exact"/>
        <w:ind w:firstLine="416" w:firstLineChars="196"/>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3</w:t>
      </w:r>
      <w:r>
        <w:rPr>
          <w:rFonts w:hint="eastAsia" w:ascii="宋体"/>
          <w:bCs/>
          <w:color w:val="auto"/>
          <w:szCs w:val="21"/>
          <w:highlight w:val="none"/>
        </w:rPr>
        <w:t>所有投标人的投标保证金都应在</w:t>
      </w:r>
      <w:r>
        <w:rPr>
          <w:rFonts w:hint="eastAsia" w:ascii="宋体"/>
          <w:bCs/>
          <w:color w:val="auto"/>
          <w:szCs w:val="21"/>
          <w:highlight w:val="none"/>
          <w:lang w:eastAsia="zh-CN"/>
        </w:rPr>
        <w:t>采购文件</w:t>
      </w:r>
      <w:r>
        <w:rPr>
          <w:rFonts w:hint="eastAsia" w:ascii="宋体"/>
          <w:bCs/>
          <w:color w:val="auto"/>
          <w:szCs w:val="21"/>
          <w:highlight w:val="none"/>
        </w:rPr>
        <w:t>规定的投标保证金缴纳截止日期前缴纳。</w:t>
      </w:r>
    </w:p>
    <w:p>
      <w:pPr>
        <w:shd w:val="clear" w:color="auto" w:fill="auto"/>
        <w:spacing w:line="440" w:lineRule="exact"/>
        <w:ind w:firstLine="416" w:firstLineChars="196"/>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4</w:t>
      </w:r>
      <w:r>
        <w:rPr>
          <w:rFonts w:ascii="宋体"/>
          <w:bCs/>
          <w:color w:val="auto"/>
          <w:szCs w:val="21"/>
          <w:highlight w:val="none"/>
        </w:rPr>
        <w:t>单位负责人为同一人或者存在直接控股、管理关系的不同供应商，不得参加同一合同项下的政府采购活动。</w:t>
      </w:r>
      <w:r>
        <w:rPr>
          <w:rFonts w:ascii="宋体" w:hAnsi="宋体" w:cs="宋体"/>
          <w:color w:val="auto"/>
          <w:szCs w:val="21"/>
          <w:highlight w:val="none"/>
        </w:rPr>
        <w:t>为采购项目提供整体设计、规范编制或者项目管理、监理、检测等服务的供应商，不得再参加该采购项目的其他采购活动。</w:t>
      </w:r>
    </w:p>
    <w:p>
      <w:pPr>
        <w:shd w:val="clear" w:color="auto" w:fill="auto"/>
        <w:snapToGrid w:val="0"/>
        <w:spacing w:line="440" w:lineRule="exact"/>
        <w:ind w:firstLine="426" w:firstLineChars="200"/>
        <w:rPr>
          <w:rFonts w:hint="eastAsia" w:ascii="宋体"/>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5</w:t>
      </w:r>
      <w:r>
        <w:rPr>
          <w:rFonts w:hint="eastAsia" w:ascii="宋体"/>
          <w:bCs/>
          <w:color w:val="auto"/>
          <w:szCs w:val="21"/>
          <w:highlight w:val="none"/>
        </w:rPr>
        <w:t>本项目只接受</w:t>
      </w:r>
      <w:r>
        <w:rPr>
          <w:rFonts w:hint="eastAsia" w:ascii="宋体"/>
          <w:color w:val="auto"/>
          <w:szCs w:val="21"/>
          <w:highlight w:val="none"/>
        </w:rPr>
        <w:t>成为新疆维吾尔自治区政府采购网正式注册入库并完成CA数字证书申领供应商</w:t>
      </w:r>
      <w:r>
        <w:rPr>
          <w:rFonts w:hint="eastAsia" w:ascii="宋体"/>
          <w:color w:val="auto"/>
          <w:szCs w:val="21"/>
          <w:highlight w:val="none"/>
          <w:lang w:eastAsia="zh-CN"/>
        </w:rPr>
        <w:t>参与投标</w:t>
      </w:r>
      <w:r>
        <w:rPr>
          <w:rFonts w:hint="eastAsia" w:ascii="宋体"/>
          <w:color w:val="auto"/>
          <w:szCs w:val="21"/>
          <w:highlight w:val="none"/>
        </w:rPr>
        <w:t>。因未注册入库、未办理CA数字证书等原因造成无法投标或投标失败等后果由供应商自行承担。</w:t>
      </w:r>
    </w:p>
    <w:p>
      <w:pPr>
        <w:shd w:val="clear" w:color="auto" w:fill="auto"/>
        <w:wordWrap w:val="0"/>
        <w:spacing w:line="440" w:lineRule="exact"/>
        <w:ind w:firstLine="426" w:firstLineChars="200"/>
        <w:rPr>
          <w:rFonts w:hint="eastAsia" w:ascii="宋体"/>
          <w:bCs/>
          <w:color w:val="auto"/>
          <w:szCs w:val="21"/>
          <w:highlight w:val="none"/>
        </w:rPr>
      </w:pPr>
      <w:r>
        <w:rPr>
          <w:rFonts w:hint="eastAsia" w:ascii="宋体"/>
          <w:bCs/>
          <w:color w:val="auto"/>
          <w:szCs w:val="21"/>
          <w:highlight w:val="none"/>
        </w:rPr>
        <w:t>13.</w:t>
      </w:r>
      <w:r>
        <w:rPr>
          <w:rFonts w:hint="eastAsia" w:ascii="宋体"/>
          <w:bCs/>
          <w:color w:val="auto"/>
          <w:szCs w:val="21"/>
          <w:highlight w:val="none"/>
          <w:lang w:val="en-US" w:eastAsia="zh-CN"/>
        </w:rPr>
        <w:t>6</w:t>
      </w:r>
      <w:r>
        <w:rPr>
          <w:rFonts w:hint="eastAsia" w:ascii="宋体"/>
          <w:bCs/>
          <w:color w:val="auto"/>
          <w:szCs w:val="21"/>
          <w:highlight w:val="none"/>
        </w:rPr>
        <w:t xml:space="preserve">  投标人被视为充分熟悉本招标项目所在地的与履行合同有关的各种情况，包括但不限于：</w:t>
      </w:r>
    </w:p>
    <w:p>
      <w:pPr>
        <w:shd w:val="clear" w:color="auto" w:fill="auto"/>
        <w:spacing w:line="400" w:lineRule="exact"/>
        <w:ind w:firstLine="319" w:firstLineChars="150"/>
        <w:rPr>
          <w:rFonts w:hint="eastAsia" w:ascii="宋体"/>
          <w:bCs/>
          <w:color w:val="auto"/>
          <w:szCs w:val="21"/>
          <w:highlight w:val="none"/>
        </w:rPr>
      </w:pPr>
      <w:r>
        <w:rPr>
          <w:rFonts w:hint="eastAsia" w:ascii="宋体"/>
          <w:bCs/>
          <w:color w:val="auto"/>
          <w:szCs w:val="21"/>
          <w:highlight w:val="none"/>
        </w:rPr>
        <w:t>（1）国家对本次投标货物和服务的生产、安装调试、验收、维修等有关法律、法规及行业管理标准；</w:t>
      </w:r>
    </w:p>
    <w:p>
      <w:pPr>
        <w:shd w:val="clear" w:color="auto" w:fill="auto"/>
        <w:spacing w:line="400" w:lineRule="exact"/>
        <w:ind w:firstLine="319" w:firstLineChars="150"/>
        <w:rPr>
          <w:rFonts w:hint="eastAsia" w:ascii="宋体"/>
          <w:bCs/>
          <w:color w:val="auto"/>
          <w:szCs w:val="21"/>
          <w:highlight w:val="none"/>
        </w:rPr>
      </w:pPr>
      <w:r>
        <w:rPr>
          <w:rFonts w:hint="eastAsia" w:ascii="宋体"/>
          <w:bCs/>
          <w:color w:val="auto"/>
          <w:szCs w:val="21"/>
          <w:highlight w:val="none"/>
        </w:rPr>
        <w:t>（2）</w:t>
      </w:r>
      <w:r>
        <w:rPr>
          <w:rFonts w:hint="eastAsia" w:ascii="宋体"/>
          <w:bCs/>
          <w:color w:val="auto"/>
          <w:szCs w:val="21"/>
          <w:highlight w:val="none"/>
          <w:lang w:eastAsia="zh-CN"/>
        </w:rPr>
        <w:t>本地区</w:t>
      </w:r>
      <w:r>
        <w:rPr>
          <w:rFonts w:hint="eastAsia" w:ascii="宋体"/>
          <w:bCs/>
          <w:color w:val="auto"/>
          <w:szCs w:val="21"/>
          <w:highlight w:val="none"/>
        </w:rPr>
        <w:t>有关管理部门的相关规定；</w:t>
      </w:r>
    </w:p>
    <w:p>
      <w:pPr>
        <w:shd w:val="clear" w:color="auto" w:fill="auto"/>
        <w:spacing w:line="400" w:lineRule="exact"/>
        <w:ind w:firstLine="319" w:firstLineChars="150"/>
        <w:rPr>
          <w:rFonts w:hint="eastAsia" w:ascii="宋体"/>
          <w:bCs/>
          <w:color w:val="auto"/>
          <w:szCs w:val="21"/>
          <w:highlight w:val="none"/>
        </w:rPr>
      </w:pPr>
      <w:r>
        <w:rPr>
          <w:rFonts w:hint="eastAsia" w:ascii="宋体"/>
          <w:bCs/>
          <w:color w:val="auto"/>
          <w:szCs w:val="21"/>
          <w:highlight w:val="none"/>
        </w:rPr>
        <w:t>（3）招标人的相关场地情况、基础建设、电力供应情况及相关设计标准。</w:t>
      </w:r>
    </w:p>
    <w:p>
      <w:pPr>
        <w:shd w:val="clear" w:color="auto" w:fill="auto"/>
        <w:spacing w:line="400" w:lineRule="exact"/>
        <w:ind w:firstLine="319" w:firstLineChars="150"/>
        <w:rPr>
          <w:rFonts w:hint="eastAsia" w:ascii="宋体"/>
          <w:b/>
          <w:color w:val="auto"/>
          <w:sz w:val="28"/>
          <w:szCs w:val="28"/>
          <w:highlight w:val="none"/>
        </w:rPr>
      </w:pPr>
      <w:r>
        <w:rPr>
          <w:rFonts w:hint="eastAsia" w:ascii="宋体"/>
          <w:bCs/>
          <w:color w:val="auto"/>
          <w:szCs w:val="21"/>
          <w:highlight w:val="none"/>
        </w:rPr>
        <w:t>本</w:t>
      </w:r>
      <w:r>
        <w:rPr>
          <w:rFonts w:hint="eastAsia" w:ascii="宋体"/>
          <w:bCs/>
          <w:color w:val="auto"/>
          <w:szCs w:val="21"/>
          <w:highlight w:val="none"/>
          <w:lang w:eastAsia="zh-CN"/>
        </w:rPr>
        <w:t>采购文件</w:t>
      </w:r>
      <w:r>
        <w:rPr>
          <w:rFonts w:hint="eastAsia" w:ascii="宋体"/>
          <w:bCs/>
          <w:color w:val="auto"/>
          <w:szCs w:val="21"/>
          <w:highlight w:val="none"/>
        </w:rPr>
        <w:t>不再对上述情况进行描述。</w:t>
      </w:r>
      <w:bookmarkStart w:id="28" w:name="_Toc469495725"/>
    </w:p>
    <w:p>
      <w:pPr>
        <w:shd w:val="clear" w:color="auto" w:fill="auto"/>
        <w:spacing w:before="312" w:beforeLines="100" w:after="312" w:afterLines="100" w:line="440" w:lineRule="exact"/>
        <w:jc w:val="center"/>
        <w:outlineLvl w:val="2"/>
        <w:rPr>
          <w:rFonts w:hint="eastAsia" w:ascii="宋体" w:eastAsia="宋体"/>
          <w:b/>
          <w:color w:val="auto"/>
          <w:sz w:val="28"/>
          <w:szCs w:val="28"/>
          <w:highlight w:val="none"/>
          <w:lang w:eastAsia="zh-CN"/>
        </w:rPr>
      </w:pPr>
      <w:r>
        <w:rPr>
          <w:rFonts w:hint="eastAsia" w:ascii="宋体"/>
          <w:b/>
          <w:color w:val="auto"/>
          <w:sz w:val="28"/>
          <w:szCs w:val="28"/>
          <w:highlight w:val="none"/>
        </w:rPr>
        <w:t>（二）</w:t>
      </w:r>
      <w:bookmarkEnd w:id="28"/>
      <w:r>
        <w:rPr>
          <w:rFonts w:hint="eastAsia" w:ascii="宋体"/>
          <w:b/>
          <w:color w:val="auto"/>
          <w:sz w:val="28"/>
          <w:szCs w:val="28"/>
          <w:highlight w:val="none"/>
          <w:lang w:eastAsia="zh-CN"/>
        </w:rPr>
        <w:t>招标文件</w:t>
      </w:r>
    </w:p>
    <w:p>
      <w:pPr>
        <w:shd w:val="clear" w:color="auto" w:fill="auto"/>
        <w:spacing w:line="440" w:lineRule="exact"/>
        <w:rPr>
          <w:rFonts w:hint="eastAsia"/>
          <w:b/>
          <w:color w:val="auto"/>
          <w:szCs w:val="21"/>
          <w:highlight w:val="none"/>
        </w:rPr>
      </w:pPr>
      <w:r>
        <w:rPr>
          <w:rFonts w:hint="eastAsia"/>
          <w:b/>
          <w:color w:val="auto"/>
          <w:szCs w:val="21"/>
          <w:highlight w:val="none"/>
          <w:lang w:val="en-US" w:eastAsia="zh-CN"/>
        </w:rPr>
        <w:t>14</w:t>
      </w:r>
      <w:r>
        <w:rPr>
          <w:rFonts w:hint="eastAsia"/>
          <w:b/>
          <w:color w:val="auto"/>
          <w:szCs w:val="21"/>
          <w:highlight w:val="none"/>
        </w:rPr>
        <w:t xml:space="preserve">. </w:t>
      </w:r>
      <w:r>
        <w:rPr>
          <w:rFonts w:hint="eastAsia"/>
          <w:b/>
          <w:color w:val="auto"/>
          <w:szCs w:val="21"/>
          <w:highlight w:val="none"/>
          <w:lang w:eastAsia="zh-CN"/>
        </w:rPr>
        <w:t>采购文件</w:t>
      </w:r>
      <w:r>
        <w:rPr>
          <w:rFonts w:hint="eastAsia"/>
          <w:b/>
          <w:color w:val="auto"/>
          <w:szCs w:val="21"/>
          <w:highlight w:val="none"/>
        </w:rPr>
        <w:t>的编制依据</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根据《中华人民共和国政府采购法》、《政府采购货物和服务招标投标管理办法》和《中华人民共和国合同法》</w:t>
      </w:r>
      <w:r>
        <w:rPr>
          <w:rFonts w:hint="eastAsia" w:ascii="宋体"/>
          <w:color w:val="auto"/>
          <w:spacing w:val="-2"/>
          <w:szCs w:val="21"/>
          <w:highlight w:val="none"/>
        </w:rPr>
        <w:t>等相关法律法规和规章及部、省、市级规范性文件的规定，编制本</w:t>
      </w:r>
      <w:r>
        <w:rPr>
          <w:rFonts w:hint="eastAsia" w:ascii="宋体"/>
          <w:color w:val="auto"/>
          <w:spacing w:val="-2"/>
          <w:szCs w:val="21"/>
          <w:highlight w:val="none"/>
          <w:lang w:eastAsia="zh-CN"/>
        </w:rPr>
        <w:t>采购文件</w:t>
      </w:r>
      <w:r>
        <w:rPr>
          <w:rFonts w:hint="eastAsia" w:ascii="宋体"/>
          <w:color w:val="auto"/>
          <w:spacing w:val="-2"/>
          <w:szCs w:val="21"/>
          <w:highlight w:val="none"/>
        </w:rPr>
        <w:t>。</w:t>
      </w:r>
    </w:p>
    <w:p>
      <w:pPr>
        <w:shd w:val="clear" w:color="auto" w:fill="auto"/>
        <w:spacing w:line="440" w:lineRule="exact"/>
        <w:rPr>
          <w:rFonts w:hint="eastAsia"/>
          <w:b/>
          <w:color w:val="auto"/>
          <w:szCs w:val="21"/>
          <w:highlight w:val="none"/>
        </w:rPr>
      </w:pPr>
      <w:r>
        <w:rPr>
          <w:rFonts w:hint="eastAsia"/>
          <w:b/>
          <w:color w:val="auto"/>
          <w:szCs w:val="21"/>
          <w:highlight w:val="none"/>
          <w:lang w:val="en-US" w:eastAsia="zh-CN"/>
        </w:rPr>
        <w:t>15</w:t>
      </w:r>
      <w:r>
        <w:rPr>
          <w:rFonts w:hint="eastAsia"/>
          <w:b/>
          <w:color w:val="auto"/>
          <w:szCs w:val="21"/>
          <w:highlight w:val="none"/>
        </w:rPr>
        <w:t xml:space="preserve">. </w:t>
      </w:r>
      <w:r>
        <w:rPr>
          <w:rFonts w:hint="eastAsia"/>
          <w:b/>
          <w:color w:val="auto"/>
          <w:szCs w:val="21"/>
          <w:highlight w:val="none"/>
          <w:lang w:eastAsia="zh-CN"/>
        </w:rPr>
        <w:t>采购文件</w:t>
      </w:r>
      <w:r>
        <w:rPr>
          <w:rFonts w:hint="eastAsia"/>
          <w:b/>
          <w:color w:val="auto"/>
          <w:szCs w:val="21"/>
          <w:highlight w:val="none"/>
        </w:rPr>
        <w:t>的组成</w:t>
      </w:r>
    </w:p>
    <w:p>
      <w:pPr>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1</w:t>
      </w:r>
      <w:r>
        <w:rPr>
          <w:rFonts w:hint="eastAsia" w:ascii="宋体"/>
          <w:color w:val="auto"/>
          <w:szCs w:val="21"/>
          <w:highlight w:val="none"/>
          <w:lang w:val="en-US" w:eastAsia="zh-CN"/>
        </w:rPr>
        <w:t>5</w:t>
      </w:r>
      <w:r>
        <w:rPr>
          <w:rFonts w:hint="eastAsia" w:ascii="宋体"/>
          <w:color w:val="auto"/>
          <w:szCs w:val="21"/>
          <w:highlight w:val="none"/>
        </w:rPr>
        <w:t xml:space="preserve">.1 </w:t>
      </w:r>
      <w:r>
        <w:rPr>
          <w:rFonts w:hint="eastAsia" w:ascii="宋体"/>
          <w:color w:val="auto"/>
          <w:szCs w:val="21"/>
          <w:highlight w:val="none"/>
          <w:lang w:eastAsia="zh-CN"/>
        </w:rPr>
        <w:t>采购文件</w:t>
      </w:r>
      <w:r>
        <w:rPr>
          <w:rFonts w:hint="eastAsia" w:ascii="宋体"/>
          <w:color w:val="auto"/>
          <w:szCs w:val="21"/>
          <w:highlight w:val="none"/>
        </w:rPr>
        <w:t>包括内容：</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 xml:space="preserve">第一章  </w:t>
      </w:r>
      <w:r>
        <w:rPr>
          <w:rFonts w:hint="eastAsia" w:ascii="宋体"/>
          <w:color w:val="auto"/>
          <w:szCs w:val="21"/>
          <w:highlight w:val="none"/>
          <w:lang w:eastAsia="zh-CN"/>
        </w:rPr>
        <w:t>招</w:t>
      </w:r>
      <w:r>
        <w:rPr>
          <w:rFonts w:hint="eastAsia" w:ascii="宋体"/>
          <w:color w:val="auto"/>
          <w:szCs w:val="21"/>
          <w:highlight w:val="none"/>
        </w:rPr>
        <w:t>标公告</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第二章  投标须知</w:t>
      </w:r>
    </w:p>
    <w:p>
      <w:pPr>
        <w:shd w:val="clear" w:color="auto" w:fill="auto"/>
        <w:spacing w:line="440" w:lineRule="exact"/>
        <w:ind w:firstLine="1491" w:firstLineChars="700"/>
        <w:rPr>
          <w:rFonts w:hint="eastAsia" w:ascii="宋体"/>
          <w:color w:val="auto"/>
          <w:szCs w:val="21"/>
          <w:highlight w:val="none"/>
          <w:lang w:eastAsia="zh-CN"/>
        </w:rPr>
      </w:pPr>
      <w:r>
        <w:rPr>
          <w:rFonts w:hint="eastAsia" w:ascii="宋体"/>
          <w:color w:val="auto"/>
          <w:szCs w:val="21"/>
          <w:highlight w:val="none"/>
        </w:rPr>
        <w:t>第三章  评标办法</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第四章  采购内容及技术要求</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第五章  合同条款及格式</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第六章  投标文件格式文本</w:t>
      </w:r>
    </w:p>
    <w:p>
      <w:pPr>
        <w:shd w:val="clear" w:color="auto" w:fill="auto"/>
        <w:spacing w:line="440" w:lineRule="exact"/>
        <w:ind w:firstLine="1491" w:firstLineChars="700"/>
        <w:rPr>
          <w:rFonts w:hint="eastAsia" w:ascii="宋体"/>
          <w:color w:val="auto"/>
          <w:szCs w:val="21"/>
          <w:highlight w:val="none"/>
        </w:rPr>
      </w:pPr>
      <w:r>
        <w:rPr>
          <w:rFonts w:hint="eastAsia" w:ascii="宋体"/>
          <w:color w:val="auto"/>
          <w:szCs w:val="21"/>
          <w:highlight w:val="none"/>
        </w:rPr>
        <w:t>第七章  招标单位、招标代理机构对本文件的确认</w:t>
      </w:r>
    </w:p>
    <w:p>
      <w:pPr>
        <w:shd w:val="clear" w:color="auto" w:fill="auto"/>
        <w:spacing w:line="440" w:lineRule="exact"/>
        <w:rPr>
          <w:rFonts w:hint="eastAsia" w:ascii="宋体"/>
          <w:color w:val="auto"/>
          <w:szCs w:val="21"/>
          <w:highlight w:val="none"/>
        </w:rPr>
      </w:pPr>
      <w:r>
        <w:rPr>
          <w:rFonts w:hint="eastAsia" w:ascii="宋体"/>
          <w:color w:val="auto"/>
          <w:szCs w:val="21"/>
          <w:highlight w:val="none"/>
        </w:rPr>
        <w:t xml:space="preserve">   1</w:t>
      </w:r>
      <w:r>
        <w:rPr>
          <w:rFonts w:hint="eastAsia" w:ascii="宋体"/>
          <w:color w:val="auto"/>
          <w:szCs w:val="21"/>
          <w:highlight w:val="none"/>
          <w:lang w:val="en-US" w:eastAsia="zh-CN"/>
        </w:rPr>
        <w:t>5</w:t>
      </w:r>
      <w:r>
        <w:rPr>
          <w:rFonts w:hint="eastAsia" w:ascii="宋体"/>
          <w:color w:val="auto"/>
          <w:szCs w:val="21"/>
          <w:highlight w:val="none"/>
        </w:rPr>
        <w:t>.2 除1</w:t>
      </w:r>
      <w:r>
        <w:rPr>
          <w:rFonts w:hint="eastAsia" w:ascii="宋体"/>
          <w:color w:val="auto"/>
          <w:szCs w:val="21"/>
          <w:highlight w:val="none"/>
          <w:lang w:val="en-US" w:eastAsia="zh-CN"/>
        </w:rPr>
        <w:t>5</w:t>
      </w:r>
      <w:r>
        <w:rPr>
          <w:rFonts w:hint="eastAsia" w:ascii="宋体"/>
          <w:color w:val="auto"/>
          <w:szCs w:val="21"/>
          <w:highlight w:val="none"/>
        </w:rPr>
        <w:t>.1内容外，招标答疑亦为</w:t>
      </w:r>
      <w:r>
        <w:rPr>
          <w:rFonts w:hint="eastAsia" w:ascii="宋体"/>
          <w:color w:val="auto"/>
          <w:szCs w:val="21"/>
          <w:highlight w:val="none"/>
          <w:lang w:eastAsia="zh-CN"/>
        </w:rPr>
        <w:t>采购文件</w:t>
      </w:r>
      <w:r>
        <w:rPr>
          <w:rFonts w:hint="eastAsia" w:ascii="宋体"/>
          <w:color w:val="auto"/>
          <w:szCs w:val="21"/>
          <w:highlight w:val="none"/>
        </w:rPr>
        <w:t>的组成部分，对招标人和投标人起约束作用。</w:t>
      </w:r>
    </w:p>
    <w:p>
      <w:pPr>
        <w:pStyle w:val="14"/>
        <w:shd w:val="clear" w:color="auto" w:fill="auto"/>
        <w:wordWrap w:val="0"/>
        <w:spacing w:line="400" w:lineRule="exact"/>
        <w:rPr>
          <w:rFonts w:hint="eastAsia"/>
          <w:color w:val="auto"/>
          <w:szCs w:val="21"/>
          <w:highlight w:val="none"/>
          <w:lang w:val="en-US"/>
        </w:rPr>
      </w:pPr>
      <w:r>
        <w:rPr>
          <w:rFonts w:hint="eastAsia"/>
          <w:color w:val="auto"/>
          <w:szCs w:val="21"/>
          <w:highlight w:val="none"/>
        </w:rPr>
        <w:t xml:space="preserve">   1</w:t>
      </w:r>
      <w:r>
        <w:rPr>
          <w:rFonts w:hint="eastAsia"/>
          <w:color w:val="auto"/>
          <w:szCs w:val="21"/>
          <w:highlight w:val="none"/>
          <w:lang w:val="en-US" w:eastAsia="zh-CN"/>
        </w:rPr>
        <w:t>5</w:t>
      </w:r>
      <w:r>
        <w:rPr>
          <w:rFonts w:hint="eastAsia"/>
          <w:color w:val="auto"/>
          <w:szCs w:val="21"/>
          <w:highlight w:val="none"/>
        </w:rPr>
        <w:t>.3</w:t>
      </w:r>
      <w:r>
        <w:rPr>
          <w:rFonts w:hint="eastAsia"/>
          <w:color w:val="auto"/>
          <w:szCs w:val="21"/>
          <w:highlight w:val="none"/>
          <w:u w:val="none" w:color="auto"/>
        </w:rPr>
        <w:t>投标人应仔细阅读和检查</w:t>
      </w:r>
      <w:r>
        <w:rPr>
          <w:rFonts w:hint="eastAsia"/>
          <w:color w:val="auto"/>
          <w:szCs w:val="21"/>
          <w:highlight w:val="none"/>
          <w:u w:val="none" w:color="auto"/>
          <w:lang w:eastAsia="zh-CN"/>
        </w:rPr>
        <w:t>采购文件</w:t>
      </w:r>
      <w:r>
        <w:rPr>
          <w:rFonts w:hint="eastAsia"/>
          <w:color w:val="auto"/>
          <w:szCs w:val="21"/>
          <w:highlight w:val="none"/>
          <w:u w:val="none" w:color="auto"/>
        </w:rPr>
        <w:t>的全部内容。如发现缺页或附件不全，应及时向招标人提出，以便补齐。如有疑问，投标人应在</w:t>
      </w:r>
      <w:r>
        <w:rPr>
          <w:rFonts w:hint="eastAsia" w:ascii="宋体"/>
          <w:color w:val="auto"/>
          <w:szCs w:val="21"/>
          <w:highlight w:val="none"/>
        </w:rPr>
        <w:t>以书面形式一次性向采购人和采购代理机构提出同一环节的质疑</w:t>
      </w:r>
      <w:r>
        <w:rPr>
          <w:rFonts w:hint="eastAsia"/>
          <w:color w:val="auto"/>
          <w:szCs w:val="21"/>
          <w:highlight w:val="none"/>
          <w:u w:val="none" w:color="auto"/>
        </w:rPr>
        <w:t>。</w:t>
      </w:r>
    </w:p>
    <w:p>
      <w:pPr>
        <w:shd w:val="clear" w:color="auto" w:fill="auto"/>
        <w:wordWrap w:val="0"/>
        <w:spacing w:line="440" w:lineRule="exact"/>
        <w:rPr>
          <w:rFonts w:hint="eastAsia" w:ascii="宋体"/>
          <w:color w:val="auto"/>
          <w:szCs w:val="21"/>
          <w:highlight w:val="none"/>
        </w:rPr>
      </w:pPr>
      <w:r>
        <w:rPr>
          <w:rFonts w:hint="eastAsia" w:ascii="宋体"/>
          <w:color w:val="auto"/>
          <w:szCs w:val="21"/>
          <w:highlight w:val="none"/>
        </w:rPr>
        <w:t xml:space="preserve">   1</w:t>
      </w:r>
      <w:r>
        <w:rPr>
          <w:rFonts w:hint="eastAsia" w:ascii="宋体"/>
          <w:color w:val="auto"/>
          <w:szCs w:val="21"/>
          <w:highlight w:val="none"/>
          <w:lang w:val="en-US" w:eastAsia="zh-CN"/>
        </w:rPr>
        <w:t>5</w:t>
      </w:r>
      <w:r>
        <w:rPr>
          <w:rFonts w:hint="eastAsia" w:ascii="宋体"/>
          <w:color w:val="auto"/>
          <w:szCs w:val="21"/>
          <w:highlight w:val="none"/>
        </w:rPr>
        <w:t>.4供应商认为采购文件使自己的权益受到损害的，可以自收到采购文件之日（采购文件公告期限届满之前收到采购文件的，以完成获取采购文件申请后下载采购文件的时间为准）或者采购文件公告期限届满之日（公告发布后的第6个工作日）起7个工作日内且应当在采购响应截止时间之前，以书面形式一次性向采购人和采购代理机构提出同一环节的质疑。否则，被质疑人可不予接受。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color w:val="auto"/>
          <w:szCs w:val="21"/>
          <w:highlight w:val="none"/>
          <w:lang w:eastAsia="zh-CN"/>
        </w:rPr>
        <w:t>采购文件</w:t>
      </w:r>
      <w:r>
        <w:rPr>
          <w:rFonts w:hint="eastAsia" w:ascii="宋体"/>
          <w:color w:val="auto"/>
          <w:szCs w:val="21"/>
          <w:highlight w:val="none"/>
        </w:rPr>
        <w:t>的澄清将在</w:t>
      </w:r>
      <w:r>
        <w:rPr>
          <w:rFonts w:hint="eastAsia" w:ascii="宋体"/>
          <w:color w:val="auto"/>
          <w:szCs w:val="21"/>
          <w:highlight w:val="none"/>
          <w:lang w:eastAsia="zh-CN"/>
        </w:rPr>
        <w:t>政采云平台“更正公告”栏目予以公告</w:t>
      </w:r>
      <w:r>
        <w:rPr>
          <w:rFonts w:hint="eastAsia" w:ascii="宋体"/>
          <w:color w:val="auto"/>
          <w:szCs w:val="21"/>
          <w:highlight w:val="none"/>
        </w:rPr>
        <w:t>，但不指明澄清问题的来源。如果澄清内容影响投标文件编制的，将相应延长投标截止时间。</w:t>
      </w:r>
    </w:p>
    <w:p>
      <w:pPr>
        <w:shd w:val="clear" w:color="auto" w:fill="auto"/>
        <w:spacing w:line="440" w:lineRule="exact"/>
        <w:rPr>
          <w:rFonts w:hint="eastAsia" w:ascii="宋体"/>
          <w:b/>
          <w:bCs/>
          <w:color w:val="auto"/>
          <w:szCs w:val="21"/>
          <w:highlight w:val="none"/>
        </w:rPr>
      </w:pPr>
      <w:r>
        <w:rPr>
          <w:rFonts w:hint="eastAsia" w:ascii="宋体"/>
          <w:b/>
          <w:bCs/>
          <w:color w:val="auto"/>
          <w:szCs w:val="21"/>
          <w:highlight w:val="none"/>
        </w:rPr>
        <w:t>1</w:t>
      </w:r>
      <w:r>
        <w:rPr>
          <w:rFonts w:hint="eastAsia" w:ascii="宋体"/>
          <w:b/>
          <w:bCs/>
          <w:color w:val="auto"/>
          <w:szCs w:val="21"/>
          <w:highlight w:val="none"/>
          <w:lang w:val="en-US" w:eastAsia="zh-CN"/>
        </w:rPr>
        <w:t>6</w:t>
      </w:r>
      <w:r>
        <w:rPr>
          <w:rFonts w:hint="eastAsia" w:ascii="宋体"/>
          <w:b/>
          <w:bCs/>
          <w:color w:val="auto"/>
          <w:szCs w:val="21"/>
          <w:highlight w:val="none"/>
        </w:rPr>
        <w:t xml:space="preserve">. </w:t>
      </w:r>
      <w:r>
        <w:rPr>
          <w:rFonts w:hint="eastAsia" w:ascii="宋体"/>
          <w:b/>
          <w:bCs/>
          <w:color w:val="auto"/>
          <w:szCs w:val="21"/>
          <w:highlight w:val="none"/>
          <w:lang w:eastAsia="zh-CN"/>
        </w:rPr>
        <w:t>采购文件</w:t>
      </w:r>
      <w:r>
        <w:rPr>
          <w:rFonts w:hint="eastAsia" w:ascii="宋体"/>
          <w:b/>
          <w:bCs/>
          <w:color w:val="auto"/>
          <w:szCs w:val="21"/>
          <w:highlight w:val="none"/>
        </w:rPr>
        <w:t>的修改、补充、解释</w:t>
      </w:r>
    </w:p>
    <w:p>
      <w:pPr>
        <w:shd w:val="clear" w:color="auto" w:fill="auto"/>
        <w:wordWrap w:val="0"/>
        <w:spacing w:line="400" w:lineRule="exact"/>
        <w:ind w:firstLine="319" w:firstLineChars="15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.1</w:t>
      </w:r>
      <w:r>
        <w:rPr>
          <w:rFonts w:hint="eastAsia" w:ascii="宋体" w:hAnsi="宋体"/>
          <w:color w:val="auto"/>
          <w:szCs w:val="21"/>
          <w:highlight w:val="none"/>
          <w:lang w:eastAsia="zh-CN"/>
        </w:rPr>
        <w:t>采购文件</w:t>
      </w:r>
      <w:r>
        <w:rPr>
          <w:rFonts w:hint="eastAsia" w:ascii="宋体" w:hAnsi="宋体"/>
          <w:color w:val="auto"/>
          <w:szCs w:val="21"/>
          <w:highlight w:val="none"/>
        </w:rPr>
        <w:t>发出后，招标人在规定的投标截止时间前可对</w:t>
      </w:r>
      <w:r>
        <w:rPr>
          <w:rFonts w:hint="eastAsia" w:ascii="宋体" w:hAnsi="宋体"/>
          <w:color w:val="auto"/>
          <w:szCs w:val="21"/>
          <w:highlight w:val="none"/>
          <w:lang w:eastAsia="zh-CN"/>
        </w:rPr>
        <w:t>采购文件</w:t>
      </w:r>
      <w:r>
        <w:rPr>
          <w:rFonts w:hint="eastAsia" w:ascii="宋体" w:hAnsi="宋体"/>
          <w:color w:val="auto"/>
          <w:szCs w:val="21"/>
          <w:highlight w:val="none"/>
        </w:rPr>
        <w:t>进行必要的修改和补充，并以</w:t>
      </w:r>
      <w:r>
        <w:rPr>
          <w:rFonts w:hint="eastAsia" w:ascii="宋体" w:hAnsi="宋体"/>
          <w:color w:val="auto"/>
          <w:szCs w:val="21"/>
          <w:highlight w:val="none"/>
          <w:lang w:eastAsia="zh-CN"/>
        </w:rPr>
        <w:t>更正</w:t>
      </w:r>
      <w:r>
        <w:rPr>
          <w:rFonts w:hint="eastAsia" w:ascii="宋体" w:hAnsi="宋体"/>
          <w:color w:val="auto"/>
          <w:szCs w:val="21"/>
          <w:highlight w:val="none"/>
        </w:rPr>
        <w:t>公告形式在</w:t>
      </w:r>
      <w:r>
        <w:rPr>
          <w:rFonts w:hint="eastAsia" w:ascii="宋体" w:hAnsi="宋体"/>
          <w:color w:val="auto"/>
          <w:szCs w:val="21"/>
          <w:highlight w:val="none"/>
          <w:lang w:eastAsia="zh-CN"/>
        </w:rPr>
        <w:t>政采云平台</w:t>
      </w:r>
      <w:r>
        <w:rPr>
          <w:rFonts w:hint="eastAsia" w:ascii="宋体" w:hAnsi="宋体"/>
          <w:color w:val="auto"/>
          <w:szCs w:val="21"/>
          <w:highlight w:val="none"/>
        </w:rPr>
        <w:t xml:space="preserve"> “</w:t>
      </w:r>
      <w:r>
        <w:rPr>
          <w:rFonts w:hint="eastAsia" w:ascii="宋体" w:hAnsi="宋体"/>
          <w:color w:val="auto"/>
          <w:szCs w:val="21"/>
          <w:highlight w:val="none"/>
          <w:lang w:eastAsia="zh-CN"/>
        </w:rPr>
        <w:t>更正公告</w:t>
      </w:r>
      <w:r>
        <w:rPr>
          <w:rFonts w:hint="eastAsia" w:ascii="宋体" w:hAnsi="宋体"/>
          <w:color w:val="auto"/>
          <w:szCs w:val="21"/>
          <w:highlight w:val="none"/>
        </w:rPr>
        <w:t>”栏目予以公告，请各位投标人注意查看有关澄清内容，如不及时查看造成后果由投标人自负。</w:t>
      </w:r>
      <w:r>
        <w:rPr>
          <w:rFonts w:hint="eastAsia" w:ascii="宋体" w:hAnsi="宋体"/>
          <w:color w:val="auto"/>
          <w:szCs w:val="21"/>
          <w:highlight w:val="none"/>
          <w:lang w:eastAsia="zh-CN"/>
        </w:rPr>
        <w:t>采购文件</w:t>
      </w:r>
      <w:r>
        <w:rPr>
          <w:rFonts w:hint="eastAsia" w:ascii="宋体" w:hAnsi="宋体"/>
          <w:color w:val="auto"/>
          <w:szCs w:val="21"/>
          <w:highlight w:val="none"/>
        </w:rPr>
        <w:t>的修改、补充等内容作为</w:t>
      </w:r>
      <w:r>
        <w:rPr>
          <w:rFonts w:hint="eastAsia" w:ascii="宋体" w:hAnsi="宋体"/>
          <w:color w:val="auto"/>
          <w:szCs w:val="21"/>
          <w:highlight w:val="none"/>
          <w:lang w:eastAsia="zh-CN"/>
        </w:rPr>
        <w:t>采购文件</w:t>
      </w:r>
      <w:r>
        <w:rPr>
          <w:rFonts w:hint="eastAsia" w:ascii="宋体" w:hAnsi="宋体"/>
          <w:color w:val="auto"/>
          <w:szCs w:val="21"/>
          <w:highlight w:val="none"/>
        </w:rPr>
        <w:t>的组成部分，具有约束作用。</w:t>
      </w:r>
    </w:p>
    <w:p>
      <w:pPr>
        <w:shd w:val="clear" w:color="auto" w:fill="auto"/>
        <w:wordWrap w:val="0"/>
        <w:spacing w:line="400" w:lineRule="exact"/>
        <w:ind w:firstLine="319" w:firstLineChars="150"/>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 xml:space="preserve">.2 采购代理机构可视采购具体情况对已发出的采购文件进行必要的澄清、修改或者补充。澄清、修改或者补充的内容可能影响投标文件编制的，应当在投标截止时间至少15日前，在原公告发布媒体上发布澄清公告，澄清或者修改的内容为采购文件的组成部分；不足15日的，应当顺延提交投标文件的截止时间。 </w:t>
      </w:r>
    </w:p>
    <w:p>
      <w:pPr>
        <w:shd w:val="clear" w:color="auto" w:fill="auto"/>
        <w:wordWrap w:val="0"/>
        <w:spacing w:line="400" w:lineRule="exact"/>
        <w:ind w:firstLine="426" w:firstLineChars="200"/>
        <w:rPr>
          <w:rFonts w:ascii="宋体" w:hAnsi="宋体"/>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val="en-US" w:eastAsia="zh-CN"/>
        </w:rPr>
        <w:t>6</w:t>
      </w:r>
      <w:r>
        <w:rPr>
          <w:rFonts w:hint="eastAsia" w:ascii="宋体" w:hAnsi="宋体"/>
          <w:bCs/>
          <w:color w:val="auto"/>
          <w:szCs w:val="21"/>
          <w:highlight w:val="none"/>
        </w:rPr>
        <w:t>.</w:t>
      </w:r>
      <w:r>
        <w:rPr>
          <w:rFonts w:hint="eastAsia" w:ascii="宋体" w:hAnsi="宋体"/>
          <w:bCs/>
          <w:color w:val="auto"/>
          <w:szCs w:val="21"/>
          <w:highlight w:val="none"/>
          <w:lang w:val="en-US" w:eastAsia="zh-CN"/>
        </w:rPr>
        <w:t>3</w:t>
      </w:r>
      <w:r>
        <w:rPr>
          <w:rFonts w:hint="eastAsia" w:ascii="宋体" w:hAnsi="宋体"/>
          <w:bCs/>
          <w:color w:val="auto"/>
          <w:szCs w:val="21"/>
          <w:highlight w:val="none"/>
        </w:rPr>
        <w:t xml:space="preserve"> </w:t>
      </w:r>
      <w:r>
        <w:rPr>
          <w:rFonts w:hint="eastAsia" w:ascii="宋体" w:hAnsi="宋体"/>
          <w:color w:val="auto"/>
          <w:szCs w:val="21"/>
          <w:highlight w:val="none"/>
        </w:rPr>
        <w:t>供应商在规定的时间内未对采购文件提出疑问、质疑或要求澄清的，将视其为无异议。</w:t>
      </w:r>
    </w:p>
    <w:p>
      <w:pPr>
        <w:shd w:val="clear" w:color="auto" w:fill="auto"/>
        <w:spacing w:line="400" w:lineRule="exact"/>
        <w:ind w:firstLine="426" w:firstLineChars="200"/>
        <w:rPr>
          <w:rFonts w:hint="eastAsia" w:ascii="宋体" w:hAnsi="宋体"/>
          <w:bCs/>
          <w:color w:val="auto"/>
          <w:szCs w:val="21"/>
          <w:highlight w:val="none"/>
        </w:rPr>
      </w:pPr>
      <w:r>
        <w:rPr>
          <w:rFonts w:hint="eastAsia" w:ascii="宋体" w:hAnsi="宋体"/>
          <w:bCs/>
          <w:color w:val="auto"/>
          <w:szCs w:val="21"/>
          <w:highlight w:val="none"/>
        </w:rPr>
        <w:t>1</w:t>
      </w:r>
      <w:r>
        <w:rPr>
          <w:rFonts w:hint="eastAsia" w:ascii="宋体" w:hAnsi="宋体"/>
          <w:bCs/>
          <w:color w:val="auto"/>
          <w:szCs w:val="21"/>
          <w:highlight w:val="none"/>
          <w:lang w:val="en-US" w:eastAsia="zh-CN"/>
        </w:rPr>
        <w:t>6</w:t>
      </w:r>
      <w:r>
        <w:rPr>
          <w:rFonts w:hint="eastAsia" w:ascii="宋体" w:hAnsi="宋体"/>
          <w:bCs/>
          <w:color w:val="auto"/>
          <w:szCs w:val="21"/>
          <w:highlight w:val="none"/>
        </w:rPr>
        <w:t>.</w:t>
      </w:r>
      <w:r>
        <w:rPr>
          <w:rFonts w:hint="eastAsia" w:ascii="宋体" w:hAnsi="宋体"/>
          <w:bCs/>
          <w:color w:val="auto"/>
          <w:szCs w:val="21"/>
          <w:highlight w:val="none"/>
          <w:lang w:val="en-US" w:eastAsia="zh-CN"/>
        </w:rPr>
        <w:t>4</w:t>
      </w:r>
      <w:r>
        <w:rPr>
          <w:rFonts w:hint="eastAsia" w:ascii="宋体" w:hAnsi="宋体"/>
          <w:bCs/>
          <w:color w:val="auto"/>
          <w:szCs w:val="21"/>
          <w:highlight w:val="none"/>
        </w:rPr>
        <w:t xml:space="preserve"> </w:t>
      </w:r>
      <w:r>
        <w:rPr>
          <w:rFonts w:hint="eastAsia" w:ascii="宋体" w:hAnsi="宋体"/>
          <w:bCs/>
          <w:color w:val="auto"/>
          <w:szCs w:val="21"/>
          <w:highlight w:val="none"/>
          <w:lang w:eastAsia="zh-CN"/>
        </w:rPr>
        <w:t>采购文件</w:t>
      </w:r>
      <w:r>
        <w:rPr>
          <w:rFonts w:hint="eastAsia" w:ascii="宋体" w:hAnsi="宋体"/>
          <w:bCs/>
          <w:color w:val="auto"/>
          <w:szCs w:val="21"/>
          <w:highlight w:val="none"/>
        </w:rPr>
        <w:t>的解释</w:t>
      </w:r>
    </w:p>
    <w:p>
      <w:pPr>
        <w:shd w:val="clear" w:color="auto" w:fill="auto"/>
        <w:spacing w:line="400" w:lineRule="exact"/>
        <w:ind w:firstLine="426" w:firstLineChars="200"/>
        <w:rPr>
          <w:rFonts w:hint="eastAsia" w:ascii="宋体" w:hAnsi="宋体"/>
          <w:color w:val="auto"/>
          <w:szCs w:val="21"/>
          <w:highlight w:val="none"/>
        </w:rPr>
      </w:pPr>
      <w:r>
        <w:rPr>
          <w:rFonts w:hint="eastAsia" w:ascii="宋体" w:hAnsi="宋体"/>
          <w:color w:val="auto"/>
          <w:szCs w:val="21"/>
          <w:highlight w:val="none"/>
        </w:rPr>
        <w:t>本</w:t>
      </w:r>
      <w:r>
        <w:rPr>
          <w:rFonts w:hint="eastAsia" w:ascii="宋体" w:hAnsi="宋体"/>
          <w:color w:val="auto"/>
          <w:szCs w:val="21"/>
          <w:highlight w:val="none"/>
          <w:lang w:eastAsia="zh-CN"/>
        </w:rPr>
        <w:t>采购文件</w:t>
      </w:r>
      <w:r>
        <w:rPr>
          <w:rFonts w:hint="eastAsia" w:ascii="宋体" w:hAnsi="宋体"/>
          <w:color w:val="auto"/>
          <w:szCs w:val="21"/>
          <w:highlight w:val="none"/>
        </w:rPr>
        <w:t>由招标人（或其委托的招标代理机构）负责解释。</w:t>
      </w:r>
    </w:p>
    <w:p>
      <w:pPr>
        <w:shd w:val="clear" w:color="auto" w:fill="auto"/>
        <w:spacing w:line="400" w:lineRule="exact"/>
        <w:rPr>
          <w:rFonts w:ascii="宋体" w:hAnsi="宋体"/>
          <w:b/>
          <w:color w:val="auto"/>
          <w:szCs w:val="21"/>
          <w:highlight w:val="none"/>
        </w:rPr>
      </w:pPr>
      <w:r>
        <w:rPr>
          <w:rFonts w:hint="eastAsia"/>
          <w:b/>
          <w:color w:val="auto"/>
          <w:szCs w:val="21"/>
          <w:highlight w:val="none"/>
        </w:rPr>
        <w:t>1</w:t>
      </w:r>
      <w:r>
        <w:rPr>
          <w:rFonts w:hint="eastAsia"/>
          <w:b/>
          <w:color w:val="auto"/>
          <w:szCs w:val="21"/>
          <w:highlight w:val="none"/>
          <w:lang w:val="en-US" w:eastAsia="zh-CN"/>
        </w:rPr>
        <w:t>7</w:t>
      </w:r>
      <w:r>
        <w:rPr>
          <w:rFonts w:hint="eastAsia"/>
          <w:b/>
          <w:color w:val="auto"/>
          <w:szCs w:val="21"/>
          <w:highlight w:val="none"/>
        </w:rPr>
        <w:t xml:space="preserve">. </w:t>
      </w:r>
      <w:r>
        <w:rPr>
          <w:rFonts w:hint="eastAsia" w:ascii="宋体" w:hAnsi="宋体"/>
          <w:b/>
          <w:color w:val="auto"/>
          <w:szCs w:val="21"/>
          <w:highlight w:val="none"/>
          <w:lang w:eastAsia="zh-CN"/>
        </w:rPr>
        <w:t>采购文件</w:t>
      </w:r>
      <w:r>
        <w:rPr>
          <w:rFonts w:hint="eastAsia" w:ascii="宋体" w:hAnsi="宋体"/>
          <w:b/>
          <w:color w:val="auto"/>
          <w:szCs w:val="21"/>
          <w:highlight w:val="none"/>
        </w:rPr>
        <w:t>的发出</w:t>
      </w:r>
    </w:p>
    <w:p>
      <w:pPr>
        <w:shd w:val="clear" w:color="auto" w:fill="auto"/>
        <w:spacing w:line="400" w:lineRule="exact"/>
        <w:ind w:firstLine="319" w:firstLineChars="150"/>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7</w:t>
      </w:r>
      <w:r>
        <w:rPr>
          <w:rFonts w:hint="eastAsia" w:ascii="宋体" w:hAnsi="宋体"/>
          <w:color w:val="auto"/>
          <w:szCs w:val="21"/>
          <w:highlight w:val="none"/>
        </w:rPr>
        <w:t xml:space="preserve">.1  </w:t>
      </w:r>
      <w:r>
        <w:rPr>
          <w:rFonts w:hint="eastAsia" w:ascii="宋体" w:hAnsi="宋体"/>
          <w:color w:val="auto"/>
          <w:szCs w:val="21"/>
          <w:highlight w:val="none"/>
          <w:lang w:eastAsia="zh-CN"/>
        </w:rPr>
        <w:t>采购文件</w:t>
      </w:r>
      <w:r>
        <w:rPr>
          <w:rFonts w:hint="eastAsia" w:ascii="宋体" w:hAnsi="宋体"/>
          <w:color w:val="auto"/>
          <w:szCs w:val="21"/>
          <w:highlight w:val="none"/>
        </w:rPr>
        <w:t>、</w:t>
      </w:r>
      <w:r>
        <w:rPr>
          <w:rFonts w:hint="eastAsia" w:ascii="宋体" w:hAnsi="宋体"/>
          <w:color w:val="auto"/>
          <w:szCs w:val="21"/>
          <w:highlight w:val="none"/>
          <w:lang w:eastAsia="zh-CN"/>
        </w:rPr>
        <w:t>采购文件</w:t>
      </w:r>
      <w:r>
        <w:rPr>
          <w:rFonts w:hint="eastAsia" w:ascii="宋体" w:hAnsi="宋体"/>
          <w:color w:val="auto"/>
          <w:szCs w:val="21"/>
          <w:highlight w:val="none"/>
        </w:rPr>
        <w:t>的澄清、修改、补充及招标答疑等均应报</w:t>
      </w:r>
      <w:r>
        <w:rPr>
          <w:rFonts w:hint="eastAsia" w:ascii="宋体" w:hAnsi="宋体"/>
          <w:color w:val="auto"/>
          <w:szCs w:val="21"/>
          <w:highlight w:val="none"/>
          <w:lang w:eastAsia="zh-CN"/>
        </w:rPr>
        <w:t>相关部门</w:t>
      </w:r>
      <w:r>
        <w:rPr>
          <w:rFonts w:hint="eastAsia" w:ascii="宋体" w:hAnsi="宋体"/>
          <w:color w:val="auto"/>
          <w:szCs w:val="21"/>
          <w:highlight w:val="none"/>
        </w:rPr>
        <w:t>备案后，方可发出。</w:t>
      </w:r>
    </w:p>
    <w:p>
      <w:pPr>
        <w:shd w:val="clear" w:color="auto" w:fill="auto"/>
        <w:spacing w:line="440" w:lineRule="exact"/>
        <w:rPr>
          <w:rFonts w:hint="eastAsia" w:ascii="宋体"/>
          <w:color w:val="auto"/>
          <w:szCs w:val="21"/>
          <w:highlight w:val="none"/>
        </w:rPr>
      </w:pPr>
      <w:bookmarkStart w:id="29" w:name="_Toc469495726"/>
      <w:r>
        <w:rPr>
          <w:rFonts w:hint="eastAsia"/>
          <w:b/>
          <w:color w:val="auto"/>
          <w:szCs w:val="21"/>
          <w:highlight w:val="none"/>
        </w:rPr>
        <w:t>1</w:t>
      </w:r>
      <w:r>
        <w:rPr>
          <w:rFonts w:hint="eastAsia"/>
          <w:b/>
          <w:color w:val="auto"/>
          <w:szCs w:val="21"/>
          <w:highlight w:val="none"/>
          <w:lang w:val="en-US" w:eastAsia="zh-CN"/>
        </w:rPr>
        <w:t>8</w:t>
      </w:r>
      <w:r>
        <w:rPr>
          <w:rFonts w:hint="eastAsia"/>
          <w:b/>
          <w:color w:val="auto"/>
          <w:szCs w:val="21"/>
          <w:highlight w:val="none"/>
        </w:rPr>
        <w:t xml:space="preserve">. </w:t>
      </w:r>
      <w:r>
        <w:rPr>
          <w:rFonts w:hint="eastAsia" w:ascii="宋体"/>
          <w:color w:val="auto"/>
          <w:szCs w:val="21"/>
          <w:highlight w:val="none"/>
        </w:rPr>
        <w:t>凡需要设置样品情形时，必须明确是否需要随样品提交检测报告，并明确检测机构的要求、检测内容、</w:t>
      </w:r>
      <w:r>
        <w:rPr>
          <w:rFonts w:hint="eastAsia" w:ascii="宋体"/>
          <w:b w:val="0"/>
          <w:bCs w:val="0"/>
          <w:color w:val="auto"/>
          <w:szCs w:val="21"/>
          <w:highlight w:val="none"/>
        </w:rPr>
        <w:t>中标样品封存</w:t>
      </w:r>
      <w:r>
        <w:rPr>
          <w:rFonts w:hint="eastAsia" w:ascii="宋体"/>
          <w:color w:val="auto"/>
          <w:szCs w:val="21"/>
          <w:highlight w:val="none"/>
        </w:rPr>
        <w:t>等事项。（评标委员会无法判断样品是否合格且样品需要提供给第三方权威检测机构检测的,在投标人提供招标人认可的第三方权威检测机构检测报告后，评标委员会推荐的中标候选人方可生效，采购人或代理机构发布中标结果公告。</w:t>
      </w:r>
    </w:p>
    <w:p>
      <w:pPr>
        <w:shd w:val="clear" w:color="auto" w:fill="auto"/>
        <w:spacing w:line="400" w:lineRule="exact"/>
        <w:ind w:firstLine="420"/>
        <w:rPr>
          <w:rFonts w:hint="eastAsia" w:ascii="宋体"/>
          <w:color w:val="auto"/>
          <w:szCs w:val="21"/>
          <w:highlight w:val="none"/>
        </w:rPr>
      </w:pPr>
      <w:r>
        <w:rPr>
          <w:rFonts w:hint="eastAsia" w:ascii="宋体"/>
          <w:color w:val="auto"/>
          <w:szCs w:val="21"/>
          <w:highlight w:val="none"/>
          <w:lang w:eastAsia="zh-CN"/>
        </w:rPr>
        <w:t>采购文件</w:t>
      </w:r>
      <w:r>
        <w:rPr>
          <w:rFonts w:hint="eastAsia" w:ascii="宋体"/>
          <w:color w:val="auto"/>
          <w:szCs w:val="21"/>
          <w:highlight w:val="none"/>
        </w:rPr>
        <w:t>中应明确样品送检方式、检测费用支付方法、投标人在规定时间内无法提供第三方权威检测机构检测报告的处理方式。（</w:t>
      </w:r>
      <w:r>
        <w:rPr>
          <w:rFonts w:hint="eastAsia" w:ascii="宋体"/>
          <w:color w:val="auto"/>
          <w:szCs w:val="21"/>
          <w:highlight w:val="none"/>
          <w:lang w:eastAsia="zh-CN"/>
        </w:rPr>
        <w:t>采购人</w:t>
      </w:r>
      <w:r>
        <w:rPr>
          <w:rFonts w:hint="eastAsia" w:ascii="宋体"/>
          <w:color w:val="auto"/>
          <w:szCs w:val="21"/>
          <w:highlight w:val="none"/>
        </w:rPr>
        <w:t>根据项目需求按上述要求自行描述）</w:t>
      </w:r>
    </w:p>
    <w:p>
      <w:pPr>
        <w:shd w:val="clear" w:color="auto" w:fill="auto"/>
        <w:spacing w:before="312" w:beforeLines="100" w:after="312" w:afterLines="100" w:line="440" w:lineRule="exact"/>
        <w:jc w:val="center"/>
        <w:outlineLvl w:val="2"/>
        <w:rPr>
          <w:rFonts w:hint="eastAsia" w:ascii="宋体"/>
          <w:b/>
          <w:color w:val="auto"/>
          <w:sz w:val="28"/>
          <w:szCs w:val="28"/>
          <w:highlight w:val="none"/>
        </w:rPr>
      </w:pPr>
      <w:r>
        <w:rPr>
          <w:rFonts w:hint="eastAsia" w:ascii="宋体"/>
          <w:b/>
          <w:color w:val="auto"/>
          <w:sz w:val="28"/>
          <w:szCs w:val="28"/>
          <w:highlight w:val="none"/>
        </w:rPr>
        <w:t>（三）投标文件的编制</w:t>
      </w:r>
      <w:bookmarkEnd w:id="29"/>
    </w:p>
    <w:p>
      <w:pPr>
        <w:shd w:val="clear" w:color="auto" w:fill="auto"/>
        <w:spacing w:line="440" w:lineRule="exact"/>
        <w:rPr>
          <w:rFonts w:hint="eastAsia" w:ascii="宋体" w:cs="宋体"/>
          <w:b/>
          <w:color w:val="auto"/>
          <w:szCs w:val="21"/>
          <w:highlight w:val="none"/>
        </w:rPr>
      </w:pPr>
      <w:r>
        <w:rPr>
          <w:rFonts w:hint="eastAsia"/>
          <w:b/>
          <w:color w:val="auto"/>
          <w:szCs w:val="21"/>
          <w:highlight w:val="none"/>
          <w:lang w:val="en-US" w:eastAsia="zh-CN"/>
        </w:rPr>
        <w:t>19</w:t>
      </w:r>
      <w:r>
        <w:rPr>
          <w:rFonts w:hint="eastAsia"/>
          <w:b/>
          <w:color w:val="auto"/>
          <w:szCs w:val="21"/>
          <w:highlight w:val="none"/>
        </w:rPr>
        <w:t xml:space="preserve">. </w:t>
      </w:r>
      <w:r>
        <w:rPr>
          <w:rFonts w:hint="eastAsia" w:ascii="宋体" w:cs="宋体"/>
          <w:b/>
          <w:color w:val="auto"/>
          <w:szCs w:val="21"/>
          <w:highlight w:val="none"/>
        </w:rPr>
        <w:t>投标的语言及度量衡单位</w:t>
      </w:r>
    </w:p>
    <w:p>
      <w:pPr>
        <w:shd w:val="clear" w:color="auto" w:fill="auto"/>
        <w:spacing w:line="440" w:lineRule="exact"/>
        <w:ind w:firstLine="287" w:firstLineChars="135"/>
        <w:rPr>
          <w:rFonts w:hint="eastAsia" w:ascii="宋体"/>
          <w:color w:val="auto"/>
          <w:szCs w:val="21"/>
          <w:highlight w:val="none"/>
        </w:rPr>
      </w:pPr>
      <w:r>
        <w:rPr>
          <w:rFonts w:hint="eastAsia" w:ascii="宋体"/>
          <w:color w:val="auto"/>
          <w:szCs w:val="21"/>
          <w:highlight w:val="none"/>
          <w:lang w:val="en-US" w:eastAsia="zh-CN"/>
        </w:rPr>
        <w:t>19</w:t>
      </w:r>
      <w:r>
        <w:rPr>
          <w:rFonts w:hint="eastAsia" w:ascii="宋体"/>
          <w:color w:val="auto"/>
          <w:szCs w:val="21"/>
          <w:highlight w:val="none"/>
        </w:rPr>
        <w:t>.1</w:t>
      </w:r>
      <w:r>
        <w:rPr>
          <w:rFonts w:ascii="宋体" w:hAnsi="宋体"/>
          <w:color w:val="auto"/>
          <w:szCs w:val="21"/>
          <w:highlight w:val="none"/>
        </w:rPr>
        <w:t>投标人</w:t>
      </w:r>
      <w:r>
        <w:rPr>
          <w:rFonts w:hint="eastAsia" w:ascii="宋体" w:hAnsi="宋体"/>
          <w:color w:val="auto"/>
          <w:szCs w:val="21"/>
          <w:highlight w:val="none"/>
        </w:rPr>
        <w:t>提交的投标文件、技术文件和资料，以及投标人与招标人就有关投标的所有来往函电均应使用中文。投标文件中若有英文或其他语言文字的资料，应提供相应的中文翻译资料。对不同文本投标文件的解释发生异议的，以中文文本为准。</w:t>
      </w:r>
    </w:p>
    <w:p>
      <w:pPr>
        <w:shd w:val="clear" w:color="auto" w:fill="auto"/>
        <w:spacing w:line="440" w:lineRule="exact"/>
        <w:ind w:firstLine="287" w:firstLineChars="135"/>
        <w:rPr>
          <w:rFonts w:hint="eastAsia" w:ascii="宋体"/>
          <w:color w:val="auto"/>
          <w:szCs w:val="21"/>
          <w:highlight w:val="none"/>
        </w:rPr>
      </w:pPr>
      <w:r>
        <w:rPr>
          <w:rFonts w:hint="eastAsia" w:ascii="宋体"/>
          <w:color w:val="auto"/>
          <w:szCs w:val="21"/>
          <w:highlight w:val="none"/>
          <w:lang w:val="en-US" w:eastAsia="zh-CN"/>
        </w:rPr>
        <w:t>19</w:t>
      </w:r>
      <w:r>
        <w:rPr>
          <w:rFonts w:hint="eastAsia" w:ascii="宋体"/>
          <w:color w:val="auto"/>
          <w:szCs w:val="21"/>
          <w:highlight w:val="none"/>
        </w:rPr>
        <w:t>.2除</w:t>
      </w:r>
      <w:r>
        <w:rPr>
          <w:rFonts w:hint="eastAsia" w:ascii="宋体"/>
          <w:color w:val="auto"/>
          <w:szCs w:val="21"/>
          <w:highlight w:val="none"/>
          <w:lang w:eastAsia="zh-CN"/>
        </w:rPr>
        <w:t>采购文件</w:t>
      </w:r>
      <w:r>
        <w:rPr>
          <w:rFonts w:hint="eastAsia" w:ascii="宋体"/>
          <w:color w:val="auto"/>
          <w:szCs w:val="21"/>
          <w:highlight w:val="none"/>
        </w:rPr>
        <w:t>中另有规定外，投标书所使用的度量衡均须采用法定计量单位。</w:t>
      </w:r>
    </w:p>
    <w:p>
      <w:pPr>
        <w:shd w:val="clear" w:color="auto" w:fill="auto"/>
        <w:spacing w:line="400" w:lineRule="exact"/>
        <w:rPr>
          <w:rFonts w:hint="eastAsia" w:ascii="宋体" w:hAnsi="宋体"/>
          <w:b/>
          <w:color w:val="auto"/>
          <w:szCs w:val="21"/>
          <w:highlight w:val="none"/>
        </w:rPr>
      </w:pPr>
      <w:r>
        <w:rPr>
          <w:rFonts w:hint="eastAsia"/>
          <w:b/>
          <w:color w:val="auto"/>
          <w:szCs w:val="21"/>
          <w:highlight w:val="none"/>
        </w:rPr>
        <w:t>2</w:t>
      </w:r>
      <w:r>
        <w:rPr>
          <w:rFonts w:hint="eastAsia"/>
          <w:b/>
          <w:color w:val="auto"/>
          <w:szCs w:val="21"/>
          <w:highlight w:val="none"/>
          <w:lang w:val="en-US" w:eastAsia="zh-CN"/>
        </w:rPr>
        <w:t>0</w:t>
      </w:r>
      <w:r>
        <w:rPr>
          <w:rFonts w:hint="eastAsia"/>
          <w:b/>
          <w:color w:val="auto"/>
          <w:szCs w:val="21"/>
          <w:highlight w:val="none"/>
        </w:rPr>
        <w:t xml:space="preserve">. </w:t>
      </w:r>
      <w:r>
        <w:rPr>
          <w:rFonts w:hint="eastAsia" w:ascii="宋体" w:hAnsi="宋体"/>
          <w:b/>
          <w:color w:val="auto"/>
          <w:szCs w:val="21"/>
          <w:highlight w:val="none"/>
        </w:rPr>
        <w:t>投标文件的组成</w:t>
      </w:r>
    </w:p>
    <w:p>
      <w:pPr>
        <w:shd w:val="clear" w:color="auto" w:fill="auto"/>
        <w:spacing w:line="400" w:lineRule="exact"/>
        <w:ind w:firstLine="426" w:firstLineChars="200"/>
        <w:rPr>
          <w:rFonts w:hint="eastAsia" w:ascii="宋体"/>
          <w:color w:val="auto"/>
          <w:szCs w:val="21"/>
          <w:highlight w:val="none"/>
        </w:rPr>
      </w:pPr>
      <w:r>
        <w:rPr>
          <w:rFonts w:hint="eastAsia" w:ascii="宋体" w:hAnsi="宋体"/>
          <w:color w:val="auto"/>
          <w:szCs w:val="21"/>
          <w:highlight w:val="none"/>
        </w:rPr>
        <w:t>资格证明文件和商务及技术文件两部分。</w:t>
      </w:r>
    </w:p>
    <w:p>
      <w:pPr>
        <w:shd w:val="clear" w:color="auto" w:fill="auto"/>
        <w:spacing w:line="440" w:lineRule="exact"/>
        <w:rPr>
          <w:rFonts w:hint="eastAsia" w:ascii="宋体" w:eastAsia="宋体"/>
          <w:b/>
          <w:color w:val="auto"/>
          <w:sz w:val="24"/>
          <w:szCs w:val="24"/>
          <w:highlight w:val="none"/>
          <w:lang w:eastAsia="zh-CN"/>
        </w:rPr>
      </w:pPr>
      <w:r>
        <w:rPr>
          <w:rFonts w:hint="eastAsia" w:ascii="宋体"/>
          <w:b/>
          <w:bCs w:val="0"/>
          <w:color w:val="auto"/>
          <w:sz w:val="21"/>
          <w:szCs w:val="21"/>
          <w:highlight w:val="none"/>
        </w:rPr>
        <w:t>2</w:t>
      </w:r>
      <w:r>
        <w:rPr>
          <w:rFonts w:hint="eastAsia" w:ascii="宋体"/>
          <w:b/>
          <w:bCs w:val="0"/>
          <w:color w:val="auto"/>
          <w:sz w:val="21"/>
          <w:szCs w:val="21"/>
          <w:highlight w:val="none"/>
          <w:lang w:val="en-US" w:eastAsia="zh-CN"/>
        </w:rPr>
        <w:t>0</w:t>
      </w:r>
      <w:r>
        <w:rPr>
          <w:rFonts w:hint="eastAsia" w:ascii="宋体"/>
          <w:b/>
          <w:bCs w:val="0"/>
          <w:color w:val="auto"/>
          <w:sz w:val="21"/>
          <w:szCs w:val="21"/>
          <w:highlight w:val="none"/>
        </w:rPr>
        <w:t>.1资格证明文件</w:t>
      </w:r>
      <w:r>
        <w:rPr>
          <w:rFonts w:hint="eastAsia" w:ascii="宋体"/>
          <w:b/>
          <w:bCs w:val="0"/>
          <w:color w:val="auto"/>
          <w:sz w:val="21"/>
          <w:szCs w:val="21"/>
          <w:highlight w:val="none"/>
          <w:lang w:eastAsia="zh-CN"/>
        </w:rPr>
        <w:t>（包括但不限于）</w:t>
      </w:r>
    </w:p>
    <w:p>
      <w:pPr>
        <w:shd w:val="clear" w:color="auto" w:fill="auto"/>
        <w:spacing w:line="440" w:lineRule="exact"/>
        <w:ind w:firstLine="312" w:firstLineChars="147"/>
        <w:rPr>
          <w:rFonts w:hint="eastAsia" w:hAnsi="宋体"/>
          <w:color w:val="auto"/>
          <w:szCs w:val="21"/>
          <w:highlight w:val="none"/>
        </w:rPr>
      </w:pPr>
      <w:r>
        <w:rPr>
          <w:rFonts w:hint="eastAsia" w:hAnsi="宋体"/>
          <w:color w:val="auto"/>
          <w:szCs w:val="21"/>
          <w:highlight w:val="none"/>
        </w:rPr>
        <w:t>资格证明</w:t>
      </w:r>
      <w:r>
        <w:rPr>
          <w:rFonts w:hint="eastAsia" w:hAnsi="宋体"/>
          <w:color w:val="auto"/>
          <w:szCs w:val="21"/>
          <w:highlight w:val="none"/>
          <w:lang w:eastAsia="zh-CN"/>
        </w:rPr>
        <w:t>文件</w:t>
      </w:r>
      <w:r>
        <w:rPr>
          <w:rFonts w:hint="eastAsia" w:hAnsi="宋体"/>
          <w:color w:val="auto"/>
          <w:szCs w:val="21"/>
          <w:highlight w:val="none"/>
        </w:rPr>
        <w:t>是证明投标人有资格参加投标和中标后有能力履行合同的文件，这些文件应能满足招标的要求，否则作无效投标处理。</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 xml:space="preserve"> 1、法人或者非法人组织的营业执照等证明文件复印件（须加盖本单位章）或自然人的身份证明复印件;</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2、法定代表人资格证明书</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3、法定代表人授权书</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4、投标保证金收据或投标担保函；</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w:t>
      </w:r>
      <w:r>
        <w:rPr>
          <w:rFonts w:hint="eastAsia" w:ascii="宋体" w:hAnsi="宋体" w:eastAsia="宋体" w:cs="宋体"/>
          <w:color w:val="auto"/>
          <w:kern w:val="2"/>
          <w:sz w:val="21"/>
          <w:szCs w:val="21"/>
          <w:lang w:val="en-US" w:eastAsia="zh-CN" w:bidi="ar-SA"/>
        </w:rPr>
        <w:t>投标企业须提供投标人（被授权人）投标截止时间前半年内任意1个月的社保证明；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6、参加政府采购活动前3年内在经营活动中没有重大违法记录的书面声明;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7、</w:t>
      </w:r>
      <w:r>
        <w:rPr>
          <w:rFonts w:hint="eastAsia" w:ascii="宋体" w:hAnsi="宋体" w:eastAsia="宋体" w:cs="宋体"/>
          <w:color w:val="auto"/>
          <w:kern w:val="2"/>
          <w:sz w:val="21"/>
          <w:szCs w:val="21"/>
          <w:lang w:val="en-US" w:eastAsia="zh-CN" w:bidi="ar-SA"/>
        </w:rPr>
        <w:t>投标企业需提供未被“信用中国”（www.creditchina.gov.cn）、中国政府采购网（www.ccgp.gov.cn）列入失信被执行人、重大税收违法案件当事人名单、政府采购严重违法失信行为记录名单（提供查询结果网页截图并加盖供应商公章）；</w:t>
      </w:r>
    </w:p>
    <w:p>
      <w:pPr>
        <w:shd w:val="clear" w:color="auto" w:fill="auto"/>
        <w:spacing w:line="440" w:lineRule="exact"/>
        <w:ind w:firstLine="287" w:firstLineChars="135"/>
        <w:rPr>
          <w:rFonts w:hint="eastAsia" w:ascii="宋体" w:hAnsi="宋体" w:eastAsia="宋体" w:cs="Times New Roman"/>
          <w:color w:val="auto"/>
          <w:szCs w:val="21"/>
          <w:highlight w:val="none"/>
        </w:rPr>
      </w:pP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lang w:val="en-US" w:eastAsia="zh-CN"/>
        </w:rPr>
        <w:t>、投标人须知资料表要求的其他资格证明文件;</w:t>
      </w:r>
    </w:p>
    <w:p>
      <w:pPr>
        <w:shd w:val="clear" w:color="auto" w:fill="auto"/>
        <w:spacing w:line="440" w:lineRule="exact"/>
        <w:rPr>
          <w:rFonts w:hint="eastAsia" w:ascii="Times New Roman" w:hAnsi="宋体" w:eastAsia="宋体" w:cs="Times New Roman"/>
          <w:color w:val="auto"/>
          <w:sz w:val="21"/>
          <w:szCs w:val="21"/>
          <w:highlight w:val="none"/>
        </w:rPr>
      </w:pPr>
      <w:r>
        <w:rPr>
          <w:rFonts w:hint="eastAsia" w:ascii="宋体" w:hAnsi="宋体" w:cs="宋体"/>
          <w:b/>
          <w:color w:val="auto"/>
          <w:sz w:val="21"/>
          <w:szCs w:val="21"/>
          <w:highlight w:val="none"/>
        </w:rPr>
        <w:t>2</w:t>
      </w:r>
      <w:r>
        <w:rPr>
          <w:rFonts w:hint="eastAsia" w:ascii="宋体" w:hAnsi="宋体" w:cs="宋体"/>
          <w:b/>
          <w:color w:val="auto"/>
          <w:sz w:val="21"/>
          <w:szCs w:val="21"/>
          <w:highlight w:val="none"/>
          <w:lang w:val="en-US" w:eastAsia="zh-CN"/>
        </w:rPr>
        <w:t>0</w:t>
      </w:r>
      <w:r>
        <w:rPr>
          <w:rFonts w:hint="eastAsia" w:ascii="宋体" w:hAnsi="宋体" w:cs="宋体"/>
          <w:b/>
          <w:color w:val="auto"/>
          <w:sz w:val="21"/>
          <w:szCs w:val="21"/>
          <w:highlight w:val="none"/>
        </w:rPr>
        <w:t>.2</w:t>
      </w:r>
      <w:r>
        <w:rPr>
          <w:rFonts w:hint="eastAsia" w:ascii="宋体" w:hAnsi="宋体" w:cs="宋体"/>
          <w:b/>
          <w:color w:val="auto"/>
          <w:sz w:val="21"/>
          <w:szCs w:val="21"/>
          <w:highlight w:val="none"/>
          <w:lang w:val="en-US" w:eastAsia="zh-CN"/>
        </w:rPr>
        <w:t xml:space="preserve"> 商务及技术文件</w:t>
      </w:r>
      <w:r>
        <w:rPr>
          <w:rFonts w:hint="eastAsia" w:ascii="宋体"/>
          <w:b/>
          <w:color w:val="auto"/>
          <w:sz w:val="21"/>
          <w:szCs w:val="21"/>
          <w:highlight w:val="none"/>
          <w:lang w:eastAsia="zh-CN"/>
        </w:rPr>
        <w:t>（包括但不限于）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1、投标函</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2、开标一览表</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3</w:t>
      </w:r>
      <w:r>
        <w:rPr>
          <w:rFonts w:hint="eastAsia" w:ascii="宋体" w:hAnsi="宋体" w:eastAsia="宋体" w:cs="Times New Roman"/>
          <w:color w:val="auto"/>
          <w:szCs w:val="21"/>
          <w:highlight w:val="none"/>
          <w:lang w:val="en-US" w:eastAsia="zh-CN"/>
        </w:rPr>
        <w:t>、投标分项报价表</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4</w:t>
      </w:r>
      <w:r>
        <w:rPr>
          <w:rFonts w:hint="eastAsia" w:ascii="宋体" w:hAnsi="宋体" w:eastAsia="宋体" w:cs="Times New Roman"/>
          <w:color w:val="auto"/>
          <w:szCs w:val="21"/>
          <w:highlight w:val="none"/>
          <w:lang w:val="en-US" w:eastAsia="zh-CN"/>
        </w:rPr>
        <w:t>、技术规格偏离表</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5</w:t>
      </w:r>
      <w:r>
        <w:rPr>
          <w:rFonts w:hint="eastAsia" w:ascii="宋体" w:hAnsi="宋体" w:eastAsia="宋体" w:cs="Times New Roman"/>
          <w:color w:val="auto"/>
          <w:szCs w:val="21"/>
          <w:highlight w:val="none"/>
          <w:lang w:val="en-US" w:eastAsia="zh-CN"/>
        </w:rPr>
        <w:t>、商务条款偏离表</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6</w:t>
      </w:r>
      <w:r>
        <w:rPr>
          <w:rFonts w:hint="eastAsia" w:ascii="宋体" w:hAnsi="宋体" w:eastAsia="宋体" w:cs="Times New Roman"/>
          <w:color w:val="auto"/>
          <w:szCs w:val="21"/>
          <w:highlight w:val="none"/>
          <w:lang w:val="en-US" w:eastAsia="zh-CN"/>
        </w:rPr>
        <w:t>、投标人基本情况表</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7</w:t>
      </w:r>
      <w:r>
        <w:rPr>
          <w:rFonts w:hint="eastAsia" w:ascii="宋体" w:hAnsi="宋体" w:eastAsia="宋体" w:cs="Times New Roman"/>
          <w:color w:val="auto"/>
          <w:szCs w:val="21"/>
          <w:highlight w:val="none"/>
          <w:lang w:val="en-US" w:eastAsia="zh-CN"/>
        </w:rPr>
        <w:t>、近三年（2020年1月1日至今）类似项目业绩表</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lang w:val="en-US" w:eastAsia="zh-CN"/>
        </w:rPr>
        <w:t>、中小企业声明函(货物)</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9</w:t>
      </w:r>
      <w:r>
        <w:rPr>
          <w:rFonts w:hint="eastAsia" w:ascii="宋体" w:hAnsi="宋体" w:eastAsia="宋体" w:cs="Times New Roman"/>
          <w:color w:val="auto"/>
          <w:szCs w:val="21"/>
          <w:highlight w:val="none"/>
          <w:lang w:val="en-US" w:eastAsia="zh-CN"/>
        </w:rPr>
        <w:t>、《残疾人福利性单位声明函》</w:t>
      </w:r>
    </w:p>
    <w:p>
      <w:pPr>
        <w:shd w:val="clear" w:color="auto" w:fill="auto"/>
        <w:spacing w:line="440" w:lineRule="exact"/>
        <w:ind w:firstLine="287" w:firstLineChars="135"/>
        <w:rPr>
          <w:rFonts w:hint="eastAsia"/>
          <w:color w:val="auto"/>
          <w:lang w:val="en-US" w:eastAsia="zh-CN"/>
        </w:rPr>
      </w:pPr>
      <w:r>
        <w:rPr>
          <w:rFonts w:hint="eastAsia" w:ascii="宋体" w:hAnsi="宋体" w:eastAsia="宋体" w:cs="Times New Roman"/>
          <w:color w:val="auto"/>
          <w:szCs w:val="21"/>
          <w:highlight w:val="none"/>
          <w:lang w:val="en-US" w:eastAsia="zh-CN"/>
        </w:rPr>
        <w:t>10、投标人关联单位的说明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11、评分标准和细则中技术部分证明材料</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12、评分标准和细则中技术部分证明材料（格式自拟）</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13、投标人认为有必要提供的其他证明材料（格式自拟）</w:t>
      </w:r>
    </w:p>
    <w:p>
      <w:pPr>
        <w:shd w:val="clear" w:color="auto" w:fill="auto"/>
        <w:spacing w:line="400" w:lineRule="exact"/>
        <w:ind w:firstLine="422" w:firstLineChars="199"/>
        <w:rPr>
          <w:rFonts w:hint="eastAsia" w:ascii="宋体" w:eastAsia="宋体"/>
          <w:color w:val="auto"/>
          <w:szCs w:val="21"/>
          <w:highlight w:val="none"/>
          <w:lang w:eastAsia="zh-CN"/>
        </w:rPr>
      </w:pPr>
      <w:r>
        <w:rPr>
          <w:rFonts w:hint="eastAsia" w:ascii="宋体" w:hAnsi="宋体" w:eastAsia="宋体" w:cs="宋体"/>
          <w:b/>
          <w:color w:val="auto"/>
          <w:kern w:val="0"/>
          <w:szCs w:val="21"/>
          <w:highlight w:val="none"/>
          <w:u w:val="single"/>
        </w:rPr>
        <w:t>注：以上材料须</w:t>
      </w:r>
      <w:r>
        <w:rPr>
          <w:rFonts w:hint="eastAsia" w:ascii="宋体" w:hAnsi="宋体" w:eastAsia="宋体" w:cs="宋体"/>
          <w:b/>
          <w:color w:val="auto"/>
          <w:kern w:val="0"/>
          <w:szCs w:val="21"/>
          <w:highlight w:val="none"/>
          <w:u w:val="single"/>
          <w:lang w:eastAsia="zh-CN"/>
        </w:rPr>
        <w:t>逐页</w:t>
      </w:r>
      <w:r>
        <w:rPr>
          <w:rFonts w:hint="eastAsia" w:ascii="宋体" w:hAnsi="宋体" w:eastAsia="宋体" w:cs="宋体"/>
          <w:b/>
          <w:color w:val="auto"/>
          <w:kern w:val="0"/>
          <w:szCs w:val="21"/>
          <w:highlight w:val="none"/>
          <w:u w:val="single"/>
        </w:rPr>
        <w:t>加盖单位公章</w:t>
      </w:r>
      <w:r>
        <w:rPr>
          <w:rFonts w:hint="eastAsia" w:ascii="宋体" w:hAnsi="宋体" w:eastAsia="宋体" w:cs="宋体"/>
          <w:b/>
          <w:color w:val="auto"/>
          <w:kern w:val="0"/>
          <w:szCs w:val="21"/>
          <w:highlight w:val="none"/>
          <w:u w:val="single"/>
          <w:lang w:eastAsia="zh-CN"/>
        </w:rPr>
        <w:t>。</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color w:val="auto"/>
          <w:szCs w:val="21"/>
          <w:highlight w:val="none"/>
        </w:rPr>
        <w:t>2</w:t>
      </w:r>
      <w:r>
        <w:rPr>
          <w:rFonts w:hint="eastAsia" w:ascii="宋体"/>
          <w:color w:val="auto"/>
          <w:szCs w:val="21"/>
          <w:highlight w:val="none"/>
          <w:lang w:val="en-US" w:eastAsia="zh-CN"/>
        </w:rPr>
        <w:t>0</w:t>
      </w:r>
      <w:r>
        <w:rPr>
          <w:rFonts w:hint="eastAsia" w:ascii="宋体"/>
          <w:color w:val="auto"/>
          <w:szCs w:val="21"/>
          <w:highlight w:val="none"/>
        </w:rPr>
        <w:t>.</w:t>
      </w:r>
      <w:r>
        <w:rPr>
          <w:rFonts w:hint="eastAsia" w:ascii="宋体"/>
          <w:color w:val="auto"/>
          <w:szCs w:val="21"/>
          <w:highlight w:val="none"/>
          <w:lang w:val="en-US" w:eastAsia="zh-CN"/>
        </w:rPr>
        <w:t>3</w:t>
      </w:r>
      <w:r>
        <w:rPr>
          <w:rFonts w:hint="eastAsia" w:ascii="宋体" w:hAnsi="宋体" w:eastAsia="宋体" w:cs="Times New Roman"/>
          <w:color w:val="auto"/>
          <w:szCs w:val="21"/>
          <w:highlight w:val="none"/>
          <w:lang w:eastAsia="zh-CN"/>
        </w:rPr>
        <w:t>投标文件的要求</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1</w:t>
      </w:r>
      <w:r>
        <w:rPr>
          <w:rFonts w:hint="eastAsia" w:ascii="宋体" w:hAnsi="宋体" w:eastAsia="宋体" w:cs="Times New Roman"/>
          <w:color w:val="auto"/>
          <w:szCs w:val="21"/>
          <w:highlight w:val="none"/>
          <w:lang w:eastAsia="zh-CN"/>
        </w:rPr>
        <w:t>）供应商应仔细阅读采购文件的所有内容，按照采购文件的要求详细编制投标文件，所提交的全部资料必须真实有效，并且要保证字迹清晰易于辨认。投标文件应对采购文件实质性内容作出响应，否则按无效标处理。</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lang w:eastAsia="zh-CN"/>
        </w:rPr>
        <w:t>）投标文件格式应按本采购文件第六章格式要求编制，不得对采购文件格式进行增删更改，否则按无效标处理。</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lang w:eastAsia="zh-CN"/>
        </w:rPr>
        <w:t xml:space="preserve">）对采购文件格式可更改的例外情况：采购文件第六章附件格式要求中明确规定表格中行数不够用时可按相同格式增加行数，其他一切内容和格式不得更改。 </w:t>
      </w:r>
    </w:p>
    <w:p>
      <w:pPr>
        <w:shd w:val="clear" w:color="auto" w:fill="auto"/>
        <w:spacing w:line="400" w:lineRule="exact"/>
        <w:ind w:firstLine="422" w:firstLineChars="199"/>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lang w:eastAsia="zh-CN"/>
        </w:rPr>
        <w:t>）投标文件为电子投标文件，电子投标文件按“政采云供应商项目采购-电子招投标操作指南”及本采购文件要求制作、加密传输。</w:t>
      </w:r>
    </w:p>
    <w:p>
      <w:pPr>
        <w:shd w:val="clear" w:color="auto" w:fill="auto"/>
        <w:spacing w:line="400" w:lineRule="exact"/>
        <w:ind w:firstLine="422" w:firstLineChars="199"/>
        <w:rPr>
          <w:rFonts w:hint="eastAsia" w:ascii="宋体"/>
          <w:color w:val="auto"/>
          <w:szCs w:val="21"/>
          <w:highlight w:val="none"/>
        </w:rPr>
      </w:pP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lang w:eastAsia="zh-CN"/>
        </w:rPr>
        <w:t>）投标文件未在投标截止时间前完成传输的，视为投标文件撤回；投标文件未按时解密也未提供备份投标文件的，亦视为投标文件撤回。</w:t>
      </w:r>
    </w:p>
    <w:p>
      <w:pPr>
        <w:shd w:val="clear" w:color="auto" w:fill="auto"/>
        <w:spacing w:line="440" w:lineRule="exact"/>
        <w:rPr>
          <w:rFonts w:hint="eastAsia" w:ascii="宋体"/>
          <w:color w:val="auto"/>
          <w:szCs w:val="21"/>
          <w:highlight w:val="none"/>
        </w:rPr>
      </w:pPr>
      <w:r>
        <w:rPr>
          <w:rFonts w:hint="eastAsia" w:ascii="宋体"/>
          <w:b/>
          <w:color w:val="auto"/>
          <w:szCs w:val="21"/>
          <w:highlight w:val="none"/>
        </w:rPr>
        <w:t>2</w:t>
      </w:r>
      <w:r>
        <w:rPr>
          <w:rFonts w:hint="eastAsia" w:ascii="宋体"/>
          <w:b/>
          <w:color w:val="auto"/>
          <w:szCs w:val="21"/>
          <w:highlight w:val="none"/>
          <w:lang w:val="en-US" w:eastAsia="zh-CN"/>
        </w:rPr>
        <w:t>1</w:t>
      </w:r>
      <w:r>
        <w:rPr>
          <w:rFonts w:hint="eastAsia" w:ascii="宋体"/>
          <w:color w:val="auto"/>
          <w:szCs w:val="21"/>
          <w:highlight w:val="none"/>
        </w:rPr>
        <w:t>.</w:t>
      </w:r>
      <w:r>
        <w:rPr>
          <w:rFonts w:hint="eastAsia" w:ascii="宋体"/>
          <w:b/>
          <w:color w:val="auto"/>
          <w:szCs w:val="21"/>
          <w:highlight w:val="none"/>
        </w:rPr>
        <w:t>投标报价</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.1投标报价文件中的单价和总价全部采用人民币表示。</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.2投标报价表上应清楚标明投标人拟提供</w:t>
      </w:r>
      <w:r>
        <w:rPr>
          <w:rFonts w:hint="eastAsia" w:ascii="宋体"/>
          <w:color w:val="auto"/>
          <w:szCs w:val="21"/>
          <w:highlight w:val="none"/>
          <w:lang w:val="en-US" w:eastAsia="zh-CN"/>
        </w:rPr>
        <w:t>货物（服务）</w:t>
      </w:r>
      <w:r>
        <w:rPr>
          <w:rFonts w:hint="eastAsia" w:ascii="宋体"/>
          <w:color w:val="auto"/>
          <w:szCs w:val="21"/>
          <w:highlight w:val="none"/>
        </w:rPr>
        <w:t>的名称、数量、单价和总价。</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.3投标人只允许有一个方案、一个报价。</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.4投标人应按“采购内容及技术参数要求”所列</w:t>
      </w:r>
      <w:r>
        <w:rPr>
          <w:rFonts w:hint="eastAsia" w:ascii="宋体"/>
          <w:color w:val="auto"/>
          <w:szCs w:val="21"/>
          <w:highlight w:val="none"/>
          <w:lang w:val="en-US" w:eastAsia="zh-CN"/>
        </w:rPr>
        <w:t>服务</w:t>
      </w:r>
      <w:r>
        <w:rPr>
          <w:rFonts w:hint="eastAsia" w:ascii="宋体"/>
          <w:color w:val="auto"/>
          <w:szCs w:val="21"/>
          <w:highlight w:val="none"/>
        </w:rPr>
        <w:t>逐项进行单价报价，并最终按</w:t>
      </w:r>
      <w:r>
        <w:rPr>
          <w:rFonts w:hint="eastAsia" w:ascii="宋体"/>
          <w:color w:val="auto"/>
          <w:szCs w:val="21"/>
          <w:highlight w:val="none"/>
          <w:lang w:val="en-US" w:eastAsia="zh-CN"/>
        </w:rPr>
        <w:t>服务</w:t>
      </w:r>
      <w:r>
        <w:rPr>
          <w:rFonts w:hint="eastAsia" w:ascii="宋体"/>
          <w:color w:val="auto"/>
          <w:szCs w:val="21"/>
          <w:highlight w:val="none"/>
        </w:rPr>
        <w:t>总量乘以货物单价报总价，不得采用总价下浮的方式进行报价。综合单价包括：设备费、安装费、材料费、辅材费、运输费、管理费、利润、风险费用、代理费、调试、验收、培训及后期服务及国家对中标单位征收的各种税费等所有一切费用，综合单价今后将不作任何调整。</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.5投标报价的价格是</w:t>
      </w:r>
      <w:r>
        <w:rPr>
          <w:rFonts w:hint="eastAsia" w:ascii="宋体"/>
          <w:color w:val="auto"/>
          <w:szCs w:val="21"/>
          <w:highlight w:val="none"/>
          <w:lang w:val="en-US" w:eastAsia="zh-CN"/>
        </w:rPr>
        <w:t>货物及服务</w:t>
      </w:r>
      <w:r>
        <w:rPr>
          <w:rFonts w:hint="eastAsia" w:ascii="宋体"/>
          <w:color w:val="auto"/>
          <w:szCs w:val="21"/>
          <w:highlight w:val="none"/>
        </w:rPr>
        <w:t>交货地验收价格，其总价即为履行合同的固定总价。</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.6技术要求中规定的安装、调试和培训费用应包括在投标价格中。投标文件报价为含税价，招标人不再为此次招标支付任何费用。</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.7投标报价应由法定代表人或被授权人签署。</w:t>
      </w:r>
    </w:p>
    <w:p>
      <w:pPr>
        <w:shd w:val="clear" w:color="auto" w:fill="auto"/>
        <w:spacing w:line="440" w:lineRule="exact"/>
        <w:ind w:firstLine="426" w:firstLineChars="200"/>
        <w:rPr>
          <w:rFonts w:hint="eastAsia" w:ascii="宋体"/>
          <w:bCs/>
          <w:color w:val="auto"/>
          <w:szCs w:val="21"/>
          <w:highlight w:val="none"/>
        </w:rPr>
      </w:pPr>
      <w:r>
        <w:rPr>
          <w:rFonts w:hint="eastAsia" w:ascii="宋体"/>
          <w:bCs/>
          <w:color w:val="auto"/>
          <w:szCs w:val="21"/>
          <w:highlight w:val="none"/>
        </w:rPr>
        <w:t>2</w:t>
      </w:r>
      <w:r>
        <w:rPr>
          <w:rFonts w:hint="eastAsia" w:ascii="宋体"/>
          <w:bCs/>
          <w:color w:val="auto"/>
          <w:szCs w:val="21"/>
          <w:highlight w:val="none"/>
          <w:lang w:val="en-US" w:eastAsia="zh-CN"/>
        </w:rPr>
        <w:t>1</w:t>
      </w:r>
      <w:r>
        <w:rPr>
          <w:rFonts w:hint="eastAsia" w:ascii="宋体"/>
          <w:bCs/>
          <w:color w:val="auto"/>
          <w:szCs w:val="21"/>
          <w:highlight w:val="none"/>
        </w:rPr>
        <w:t>.8</w:t>
      </w:r>
      <w:r>
        <w:rPr>
          <w:rFonts w:hint="eastAsia" w:ascii="宋体" w:hAnsi="宋体"/>
          <w:b/>
          <w:color w:val="auto"/>
          <w:szCs w:val="21"/>
          <w:highlight w:val="none"/>
        </w:rPr>
        <w:t>投标人投标总报价，不得高于本次招标设置的最高限价，</w:t>
      </w:r>
      <w:r>
        <w:rPr>
          <w:rFonts w:hint="eastAsia" w:ascii="宋体" w:hAnsi="宋体"/>
          <w:b/>
          <w:bCs/>
          <w:color w:val="auto"/>
          <w:szCs w:val="21"/>
          <w:highlight w:val="none"/>
        </w:rPr>
        <w:t>否则将作为无效投标处理。</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.9如投标文件中未列明全面实现投标</w:t>
      </w:r>
      <w:r>
        <w:rPr>
          <w:rFonts w:hint="eastAsia" w:ascii="宋体"/>
          <w:color w:val="auto"/>
          <w:szCs w:val="21"/>
          <w:highlight w:val="none"/>
          <w:lang w:val="en-US" w:eastAsia="zh-CN"/>
        </w:rPr>
        <w:t>服务</w:t>
      </w:r>
      <w:r>
        <w:rPr>
          <w:rFonts w:hint="eastAsia" w:ascii="宋体"/>
          <w:color w:val="auto"/>
          <w:szCs w:val="21"/>
          <w:highlight w:val="none"/>
        </w:rPr>
        <w:t>功能而必须配置的配套或辅助设施及相应技术措施的费用，这些费用将被视为已包含在总投标价中。</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.10总投标价中不得包含</w:t>
      </w:r>
      <w:r>
        <w:rPr>
          <w:rFonts w:hint="eastAsia" w:ascii="宋体"/>
          <w:color w:val="auto"/>
          <w:szCs w:val="21"/>
          <w:highlight w:val="none"/>
          <w:lang w:eastAsia="zh-CN"/>
        </w:rPr>
        <w:t>采购文件</w:t>
      </w:r>
      <w:r>
        <w:rPr>
          <w:rFonts w:hint="eastAsia" w:ascii="宋体"/>
          <w:color w:val="auto"/>
          <w:szCs w:val="21"/>
          <w:highlight w:val="none"/>
        </w:rPr>
        <w:t>要求以外的内容，否则，在评标时不予核减，但在授予合同时，招标人有权将这部分价格从其中标价格中扣除。</w:t>
      </w:r>
    </w:p>
    <w:p>
      <w:pPr>
        <w:shd w:val="clear" w:color="auto" w:fill="auto"/>
        <w:spacing w:line="440" w:lineRule="exact"/>
        <w:ind w:firstLine="408" w:firstLineChars="192"/>
        <w:rPr>
          <w:rFonts w:hint="default" w:ascii="宋体" w:eastAsia="宋体"/>
          <w:color w:val="auto"/>
          <w:szCs w:val="21"/>
          <w:highlight w:val="none"/>
          <w:lang w:val="en-US" w:eastAsia="zh-CN"/>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.11总投标价中不得缺漏</w:t>
      </w:r>
      <w:r>
        <w:rPr>
          <w:rFonts w:hint="eastAsia" w:ascii="宋体"/>
          <w:color w:val="auto"/>
          <w:szCs w:val="21"/>
          <w:highlight w:val="none"/>
          <w:lang w:eastAsia="zh-CN"/>
        </w:rPr>
        <w:t>采购文件</w:t>
      </w:r>
      <w:r>
        <w:rPr>
          <w:rFonts w:hint="eastAsia" w:ascii="宋体"/>
          <w:color w:val="auto"/>
          <w:szCs w:val="21"/>
          <w:highlight w:val="none"/>
        </w:rPr>
        <w:t>所要求的内容，否则，评标时将有效投标中该项内容的最高价计入其评标总价，但在授予合同时，缺漏项目的报价视作已含在其他项目的报价中，这些项目将作为免费赠送而包含在合同内。</w:t>
      </w:r>
      <w:r>
        <w:rPr>
          <w:rFonts w:hint="eastAsia" w:ascii="宋体"/>
          <w:color w:val="auto"/>
          <w:szCs w:val="21"/>
          <w:highlight w:val="none"/>
          <w:lang w:val="en-US" w:eastAsia="zh-CN"/>
        </w:rPr>
        <w:t xml:space="preserve">    </w:t>
      </w:r>
    </w:p>
    <w:p>
      <w:pPr>
        <w:shd w:val="clear" w:color="auto" w:fill="auto"/>
        <w:spacing w:line="440" w:lineRule="exact"/>
        <w:ind w:firstLine="408" w:firstLineChars="192"/>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.12投标人不得对从第三方采购</w:t>
      </w:r>
      <w:r>
        <w:rPr>
          <w:rFonts w:hint="eastAsia" w:ascii="宋体"/>
          <w:color w:val="auto"/>
          <w:szCs w:val="21"/>
          <w:highlight w:val="none"/>
          <w:lang w:val="en-US" w:eastAsia="zh-CN"/>
        </w:rPr>
        <w:t>货物及服务</w:t>
      </w:r>
      <w:r>
        <w:rPr>
          <w:rFonts w:hint="eastAsia" w:ascii="宋体"/>
          <w:color w:val="auto"/>
          <w:szCs w:val="21"/>
          <w:highlight w:val="none"/>
        </w:rPr>
        <w:t>的随机备品、备件另行收费，否则在计算评标价时这部分费用将不予扣除，在授予合同时将从中标价格中扣除该部分费用。</w:t>
      </w:r>
    </w:p>
    <w:p>
      <w:pPr>
        <w:shd w:val="clear" w:color="auto" w:fill="auto"/>
        <w:spacing w:line="440" w:lineRule="exact"/>
        <w:ind w:firstLine="408" w:firstLineChars="192"/>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1</w:t>
      </w:r>
      <w:r>
        <w:rPr>
          <w:rFonts w:hint="eastAsia" w:ascii="宋体"/>
          <w:color w:val="auto"/>
          <w:szCs w:val="21"/>
          <w:highlight w:val="none"/>
        </w:rPr>
        <w:t>.13投标人应根据</w:t>
      </w:r>
      <w:r>
        <w:rPr>
          <w:rFonts w:hint="eastAsia" w:ascii="宋体"/>
          <w:color w:val="auto"/>
          <w:szCs w:val="21"/>
          <w:highlight w:val="none"/>
          <w:lang w:val="en-US" w:eastAsia="zh-CN"/>
        </w:rPr>
        <w:t>服务</w:t>
      </w:r>
      <w:r>
        <w:rPr>
          <w:rFonts w:hint="eastAsia" w:ascii="宋体"/>
          <w:color w:val="auto"/>
          <w:szCs w:val="21"/>
          <w:highlight w:val="none"/>
        </w:rPr>
        <w:t>的技术状况列出随机备品备件的清单和数量，并将该备品备件价格计入总投标价，若所提供的产品无需备件，则应在投标文件中说明；无论投标人在报价中列明随机备品备件的数量及价格多少，在质保期内招标人均无需为维护维修保养所需的专用工具和备品备件另行支付费用。</w:t>
      </w:r>
    </w:p>
    <w:p>
      <w:pPr>
        <w:shd w:val="clear" w:color="auto" w:fill="auto"/>
        <w:spacing w:line="440" w:lineRule="exact"/>
        <w:rPr>
          <w:rFonts w:hint="eastAsia" w:ascii="宋体"/>
          <w:b/>
          <w:color w:val="auto"/>
          <w:szCs w:val="21"/>
          <w:highlight w:val="none"/>
        </w:rPr>
      </w:pPr>
      <w:r>
        <w:rPr>
          <w:rFonts w:hint="eastAsia" w:ascii="宋体"/>
          <w:b/>
          <w:color w:val="auto"/>
          <w:szCs w:val="21"/>
          <w:highlight w:val="none"/>
        </w:rPr>
        <w:t>2</w:t>
      </w:r>
      <w:r>
        <w:rPr>
          <w:rFonts w:hint="eastAsia" w:ascii="宋体"/>
          <w:b/>
          <w:color w:val="auto"/>
          <w:szCs w:val="21"/>
          <w:highlight w:val="none"/>
          <w:lang w:val="en-US" w:eastAsia="zh-CN"/>
        </w:rPr>
        <w:t>2</w:t>
      </w:r>
      <w:r>
        <w:rPr>
          <w:rFonts w:hint="eastAsia" w:ascii="宋体"/>
          <w:b/>
          <w:color w:val="auto"/>
          <w:szCs w:val="21"/>
          <w:highlight w:val="none"/>
        </w:rPr>
        <w:t>. 投标有效期</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.1 除投标人须知前附表另有规定外，投标有效期为60天。</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.2在投标有效期内，投标人撤销或修改其投标文件的，应承担</w:t>
      </w:r>
      <w:r>
        <w:rPr>
          <w:rFonts w:hint="eastAsia" w:ascii="宋体"/>
          <w:color w:val="auto"/>
          <w:szCs w:val="21"/>
          <w:highlight w:val="none"/>
          <w:lang w:eastAsia="zh-CN"/>
        </w:rPr>
        <w:t>采购文件</w:t>
      </w:r>
      <w:r>
        <w:rPr>
          <w:rFonts w:hint="eastAsia" w:ascii="宋体"/>
          <w:color w:val="auto"/>
          <w:szCs w:val="21"/>
          <w:highlight w:val="none"/>
        </w:rPr>
        <w:t>和法律规定的责任。</w:t>
      </w:r>
    </w:p>
    <w:p>
      <w:pPr>
        <w:shd w:val="clear" w:color="auto" w:fill="auto"/>
        <w:spacing w:line="44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3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hd w:val="clear" w:color="auto" w:fill="auto"/>
        <w:spacing w:line="440" w:lineRule="exact"/>
        <w:rPr>
          <w:rFonts w:hint="eastAsia" w:ascii="宋体"/>
          <w:b/>
          <w:color w:val="auto"/>
          <w:szCs w:val="21"/>
          <w:highlight w:val="none"/>
        </w:rPr>
      </w:pPr>
      <w:r>
        <w:rPr>
          <w:rFonts w:hint="eastAsia" w:ascii="宋体"/>
          <w:b/>
          <w:color w:val="auto"/>
          <w:szCs w:val="21"/>
          <w:highlight w:val="none"/>
        </w:rPr>
        <w:t>2</w:t>
      </w:r>
      <w:r>
        <w:rPr>
          <w:rFonts w:hint="eastAsia" w:ascii="宋体"/>
          <w:b/>
          <w:color w:val="auto"/>
          <w:szCs w:val="21"/>
          <w:highlight w:val="none"/>
          <w:lang w:val="en-US" w:eastAsia="zh-CN"/>
        </w:rPr>
        <w:t>3</w:t>
      </w:r>
      <w:r>
        <w:rPr>
          <w:rFonts w:hint="eastAsia" w:ascii="宋体"/>
          <w:b/>
          <w:color w:val="auto"/>
          <w:szCs w:val="21"/>
          <w:highlight w:val="none"/>
        </w:rPr>
        <w:t>. 投标保证金</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.2自中标通知书发出之日起5个工作日内退还未中标投标人的投标保证金，自政府采购合同签订之日起5个工作日内退还中标人的投标保证金。</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 xml:space="preserve">.3有下列情形之一的，投标保证金将不予退还： </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（1）投标人在规定的投标有效期内撤回或修改其投标文件；</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（2）中标通知书发出后三十天内，中标人无正当理由拒签合同协议书或未按</w:t>
      </w:r>
      <w:r>
        <w:rPr>
          <w:rFonts w:hint="eastAsia" w:ascii="宋体"/>
          <w:color w:val="auto"/>
          <w:szCs w:val="21"/>
          <w:highlight w:val="none"/>
          <w:lang w:eastAsia="zh-CN"/>
        </w:rPr>
        <w:t>采购文件</w:t>
      </w:r>
      <w:r>
        <w:rPr>
          <w:rFonts w:hint="eastAsia" w:ascii="宋体"/>
          <w:color w:val="auto"/>
          <w:szCs w:val="21"/>
          <w:highlight w:val="none"/>
        </w:rPr>
        <w:t>规定提交履约担保。</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（3）提供虚假材料谋取中标的；</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（4）经查实属于陪标、串通投标的等。</w:t>
      </w:r>
    </w:p>
    <w:p>
      <w:pPr>
        <w:shd w:val="clear" w:color="auto" w:fill="auto"/>
        <w:spacing w:line="400" w:lineRule="exact"/>
        <w:ind w:firstLine="426" w:firstLineChars="200"/>
        <w:rPr>
          <w:rFonts w:hint="eastAsia" w:ascii="宋体"/>
          <w:color w:val="auto"/>
          <w:szCs w:val="21"/>
          <w:highlight w:val="none"/>
        </w:rPr>
      </w:pPr>
      <w:bookmarkStart w:id="30" w:name="_Toc469495727"/>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.4投标保证金按</w:t>
      </w:r>
      <w:r>
        <w:rPr>
          <w:rFonts w:hint="eastAsia" w:ascii="宋体"/>
          <w:color w:val="auto"/>
          <w:szCs w:val="21"/>
          <w:highlight w:val="none"/>
          <w:lang w:eastAsia="zh-CN"/>
        </w:rPr>
        <w:t>投标人须知前附表第</w:t>
      </w:r>
      <w:r>
        <w:rPr>
          <w:rFonts w:hint="eastAsia" w:ascii="宋体"/>
          <w:color w:val="auto"/>
          <w:szCs w:val="21"/>
          <w:highlight w:val="none"/>
          <w:lang w:val="en-US" w:eastAsia="zh-CN"/>
        </w:rPr>
        <w:t>24条</w:t>
      </w:r>
      <w:r>
        <w:rPr>
          <w:rFonts w:hint="eastAsia" w:ascii="宋体"/>
          <w:color w:val="auto"/>
          <w:szCs w:val="21"/>
          <w:highlight w:val="none"/>
        </w:rPr>
        <w:t>规定执行。</w:t>
      </w:r>
    </w:p>
    <w:p>
      <w:pPr>
        <w:pStyle w:val="4"/>
        <w:shd w:val="clear" w:color="auto" w:fill="auto"/>
        <w:bidi w:val="0"/>
        <w:jc w:val="center"/>
        <w:rPr>
          <w:rFonts w:hint="eastAsia"/>
          <w:color w:val="auto"/>
          <w:sz w:val="28"/>
          <w:szCs w:val="28"/>
          <w:highlight w:val="none"/>
        </w:rPr>
      </w:pPr>
      <w:r>
        <w:rPr>
          <w:rFonts w:hint="eastAsia"/>
          <w:color w:val="auto"/>
          <w:sz w:val="28"/>
          <w:szCs w:val="28"/>
          <w:highlight w:val="none"/>
        </w:rPr>
        <w:t>（四）</w:t>
      </w:r>
      <w:bookmarkEnd w:id="30"/>
      <w:r>
        <w:rPr>
          <w:rFonts w:hint="eastAsia"/>
          <w:color w:val="auto"/>
          <w:sz w:val="28"/>
          <w:szCs w:val="28"/>
          <w:highlight w:val="none"/>
        </w:rPr>
        <w:t>投标文件的制作、上传及递交要求</w:t>
      </w:r>
    </w:p>
    <w:p>
      <w:pPr>
        <w:shd w:val="clear" w:color="auto" w:fill="auto"/>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24.</w:t>
      </w:r>
      <w:r>
        <w:rPr>
          <w:rFonts w:hint="eastAsia" w:ascii="宋体" w:hAnsi="宋体" w:eastAsia="宋体" w:cs="宋体"/>
          <w:b/>
          <w:bCs/>
          <w:color w:val="auto"/>
          <w:sz w:val="21"/>
          <w:szCs w:val="21"/>
          <w:highlight w:val="none"/>
        </w:rPr>
        <w:t>投标文件的制作要求</w:t>
      </w:r>
    </w:p>
    <w:p>
      <w:pPr>
        <w:pStyle w:val="8"/>
        <w:shd w:val="clear" w:color="auto" w:fill="auto"/>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t>（1）供应商应按照投标文件组成内容及项目招标需求和</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政府采购云平台要求制作投标文件，不按采购文件和</w:t>
      </w:r>
      <w:r>
        <w:rPr>
          <w:rFonts w:hint="eastAsia" w:ascii="宋体" w:hAnsi="宋体" w:eastAsia="宋体" w:cs="宋体"/>
          <w:b w:val="0"/>
          <w:bCs/>
          <w:color w:val="auto"/>
          <w:sz w:val="21"/>
          <w:szCs w:val="21"/>
          <w:highlight w:val="none"/>
          <w:lang w:eastAsia="zh-CN"/>
        </w:rPr>
        <w:t>新疆</w:t>
      </w:r>
      <w:r>
        <w:rPr>
          <w:rFonts w:hint="eastAsia" w:ascii="宋体" w:hAnsi="宋体" w:eastAsia="宋体" w:cs="宋体"/>
          <w:b w:val="0"/>
          <w:bCs/>
          <w:color w:val="auto"/>
          <w:sz w:val="21"/>
          <w:szCs w:val="21"/>
          <w:highlight w:val="none"/>
        </w:rPr>
        <w:t>政府采购云平台要求制作投标文件的将视情况处理（拒收等），由此产生的责任由供应商自行承担。</w:t>
      </w:r>
    </w:p>
    <w:p>
      <w:pPr>
        <w:pStyle w:val="8"/>
        <w:shd w:val="clear" w:color="auto" w:fill="auto"/>
        <w:snapToGrid w:val="0"/>
        <w:spacing w:line="360" w:lineRule="auto"/>
        <w:ind w:firstLine="426" w:firstLineChars="200"/>
        <w:rPr>
          <w:rFonts w:hint="eastAsia" w:ascii="宋体" w:hAnsi="宋体" w:eastAsia="宋体" w:cs="宋体"/>
          <w:b w:val="0"/>
          <w:color w:val="auto"/>
          <w:sz w:val="21"/>
          <w:szCs w:val="21"/>
          <w:highlight w:val="none"/>
        </w:rPr>
      </w:pPr>
      <w:r>
        <w:rPr>
          <w:rFonts w:hint="eastAsia" w:ascii="宋体" w:hAnsi="宋体" w:eastAsia="宋体" w:cs="宋体"/>
          <w:bCs/>
          <w:color w:val="auto"/>
          <w:sz w:val="21"/>
          <w:szCs w:val="21"/>
          <w:highlight w:val="none"/>
        </w:rPr>
        <w:t>电子投标文件部分：供应商应根据“政采云供应商项目采购-电子招投标操作指南”及本采购文件规定的格式和顺序编制电子投标文件并进行关联定位。本文件《第六章 投标文件格式》中有提供格式的，供应商应按照格式进行编制（格式中要求提供相关证明材料的还需后附相关证明材料），并按格式要求在指定位置根据要求进行签章，否则视为未提供；本文件《第六章投标文件格式》未提供格式的，请供应商自行拟定格式，并加盖单位公章，否则视为未提供。</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（2）供应商应对所提供的全部资料的真实性、有效性承担法律责任，电子投标文件中所须加盖公章部分均采用CA签章。</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（3）投标文件以及供应商与采购组织机构就有关投标事宜的所有来往函电，均应以中文汉语书写。除签字、盖章、专用名称等特殊情形外，以中文汉语以外的文字表述的投标文件视同未提供。</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（4）投标计量单位，采购文件已有明确规定的，使用采购文件规定的计量单位；采购文件没有规定的，应采用中华人民共和国法定计量单位（货币单位：人民币元）。</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（5）若供应商不按采购文件的要求提供资格审查材料，其风险由供应商自行承担。</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（6）与本次投标无关的内容请不要制作在内，确保投标文件有针对性、简洁明了。</w:t>
      </w:r>
    </w:p>
    <w:p>
      <w:pPr>
        <w:shd w:val="clear" w:color="auto" w:fill="auto"/>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25.</w:t>
      </w:r>
      <w:r>
        <w:rPr>
          <w:rFonts w:hint="eastAsia" w:ascii="宋体" w:hAnsi="宋体" w:eastAsia="宋体" w:cs="宋体"/>
          <w:b/>
          <w:bCs/>
          <w:color w:val="auto"/>
          <w:sz w:val="21"/>
          <w:szCs w:val="21"/>
          <w:highlight w:val="none"/>
        </w:rPr>
        <w:t>投标文件的上传</w:t>
      </w:r>
    </w:p>
    <w:p>
      <w:pPr>
        <w:pStyle w:val="8"/>
        <w:shd w:val="clear" w:color="auto" w:fill="auto"/>
        <w:snapToGrid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r>
        <w:rPr>
          <w:rFonts w:hint="eastAsia" w:ascii="宋体" w:hAnsi="宋体" w:eastAsia="宋体" w:cs="宋体"/>
          <w:b/>
          <w:bCs/>
          <w:color w:val="auto"/>
          <w:sz w:val="21"/>
          <w:szCs w:val="21"/>
          <w:highlight w:val="none"/>
          <w:lang w:bidi="zh-CN"/>
        </w:rPr>
        <w:t>电子加密投标文件（“.jmbs”格式）</w:t>
      </w:r>
      <w:r>
        <w:rPr>
          <w:rFonts w:hint="eastAsia" w:ascii="宋体" w:hAnsi="宋体" w:eastAsia="宋体" w:cs="宋体"/>
          <w:b/>
          <w:bCs/>
          <w:color w:val="auto"/>
          <w:sz w:val="21"/>
          <w:szCs w:val="21"/>
          <w:highlight w:val="none"/>
        </w:rPr>
        <w:t>：</w:t>
      </w:r>
    </w:p>
    <w:p>
      <w:pPr>
        <w:pStyle w:val="8"/>
        <w:shd w:val="clear" w:color="auto" w:fill="auto"/>
        <w:snapToGrid w:val="0"/>
        <w:spacing w:line="360" w:lineRule="auto"/>
        <w:ind w:firstLine="532" w:firstLineChars="250"/>
        <w:rPr>
          <w:rFonts w:hint="eastAsia" w:ascii="宋体" w:hAnsi="宋体" w:eastAsia="宋体" w:cs="宋体"/>
          <w:b w:val="0"/>
          <w:bCs/>
          <w:color w:val="auto"/>
          <w:sz w:val="21"/>
          <w:szCs w:val="21"/>
          <w:highlight w:val="none"/>
          <w:lang w:bidi="zh-CN"/>
        </w:rPr>
      </w:pPr>
      <w:r>
        <w:rPr>
          <w:rFonts w:hint="eastAsia" w:ascii="宋体" w:hAnsi="宋体" w:eastAsia="宋体" w:cs="宋体"/>
          <w:b w:val="0"/>
          <w:bCs/>
          <w:color w:val="auto"/>
          <w:sz w:val="21"/>
          <w:szCs w:val="21"/>
          <w:highlight w:val="none"/>
          <w:lang w:bidi="zh-CN"/>
        </w:rPr>
        <w:t>a.</w:t>
      </w:r>
      <w:r>
        <w:rPr>
          <w:rFonts w:hint="eastAsia" w:ascii="宋体" w:hAnsi="宋体" w:eastAsia="宋体" w:cs="宋体"/>
          <w:b w:val="0"/>
          <w:bCs/>
          <w:color w:val="auto"/>
          <w:kern w:val="0"/>
          <w:sz w:val="21"/>
          <w:szCs w:val="21"/>
          <w:highlight w:val="none"/>
        </w:rPr>
        <w:t xml:space="preserve"> </w:t>
      </w:r>
      <w:r>
        <w:rPr>
          <w:rFonts w:hint="eastAsia" w:ascii="宋体" w:hAnsi="宋体" w:eastAsia="宋体" w:cs="宋体"/>
          <w:b w:val="0"/>
          <w:bCs/>
          <w:color w:val="auto"/>
          <w:sz w:val="21"/>
          <w:szCs w:val="21"/>
          <w:highlight w:val="none"/>
          <w:lang w:bidi="zh-CN"/>
        </w:rPr>
        <w:t>供应商应在投标截止时间前将电子加密投标文件成功上传递交至新疆政府采购云平台，否则投标无效；</w:t>
      </w:r>
    </w:p>
    <w:p>
      <w:pPr>
        <w:pStyle w:val="8"/>
        <w:shd w:val="clear" w:color="auto" w:fill="auto"/>
        <w:snapToGrid w:val="0"/>
        <w:spacing w:line="360" w:lineRule="auto"/>
        <w:ind w:firstLine="532" w:firstLineChars="25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bidi="zh-CN"/>
        </w:rPr>
        <w:t>b.供应商成功上传电子加密投标文件后，可自行打印投标文件接收回执。</w:t>
      </w:r>
    </w:p>
    <w:p>
      <w:pPr>
        <w:shd w:val="clear" w:color="auto" w:fill="auto"/>
        <w:snapToGrid w:val="0"/>
        <w:spacing w:line="360" w:lineRule="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lang w:val="en-US" w:eastAsia="zh-CN"/>
        </w:rPr>
        <w:t>26.</w:t>
      </w:r>
      <w:r>
        <w:rPr>
          <w:rFonts w:hint="eastAsia" w:ascii="宋体" w:hAnsi="宋体" w:eastAsia="宋体" w:cs="宋体"/>
          <w:b/>
          <w:color w:val="auto"/>
          <w:sz w:val="21"/>
          <w:szCs w:val="21"/>
          <w:highlight w:val="none"/>
        </w:rPr>
        <w:t>投标文件的递交要求</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（1）供应商须按照采购文件和政采云平台的要求编制并加密投标文件。在投标文件递交截止时间以前完成投标文件的传输递交，截止时间后递交的投标文件，将被拒收。</w:t>
      </w:r>
    </w:p>
    <w:p>
      <w:pPr>
        <w:shd w:val="clear" w:color="auto" w:fill="auto"/>
        <w:tabs>
          <w:tab w:val="left" w:pos="1418"/>
        </w:tabs>
        <w:autoSpaceDE w:val="0"/>
        <w:autoSpaceDN w:val="0"/>
        <w:adjustRightInd w:val="0"/>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）如有特殊情况，采购组织机构延长截止时间和开标时间，采购组织机构和供应商的权利和义务将受到新的截止时间和开标时间的约束。</w:t>
      </w:r>
    </w:p>
    <w:p>
      <w:pPr>
        <w:shd w:val="clear" w:color="auto" w:fill="auto"/>
        <w:tabs>
          <w:tab w:val="left" w:pos="1418"/>
        </w:tabs>
        <w:autoSpaceDE w:val="0"/>
        <w:autoSpaceDN w:val="0"/>
        <w:adjustRightInd w:val="0"/>
        <w:snapToGrid w:val="0"/>
        <w:spacing w:line="360"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27．投标文件的补充、修改与撤回</w:t>
      </w:r>
    </w:p>
    <w:p>
      <w:pPr>
        <w:shd w:val="clear" w:color="auto" w:fill="auto"/>
        <w:tabs>
          <w:tab w:val="left" w:pos="960"/>
          <w:tab w:val="left" w:pos="1418"/>
        </w:tabs>
        <w:autoSpaceDE w:val="0"/>
        <w:autoSpaceDN w:val="0"/>
        <w:adjustRightInd w:val="0"/>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投标截止时间后传输递交的投标文件，“政府采购云平台”将予以拒收。投标截止时间后，供应商不得修改（补充）或撤回其投标文件。</w:t>
      </w:r>
    </w:p>
    <w:p>
      <w:pPr>
        <w:keepNext w:val="0"/>
        <w:keepLines w:val="0"/>
        <w:pageBreakBefore w:val="0"/>
        <w:widowControl w:val="0"/>
        <w:shd w:val="clear" w:color="auto" w:fill="auto"/>
        <w:kinsoku/>
        <w:wordWrap/>
        <w:overflowPunct/>
        <w:topLinePunct w:val="0"/>
        <w:autoSpaceDE/>
        <w:autoSpaceDN/>
        <w:bidi w:val="0"/>
        <w:adjustRightInd/>
        <w:snapToGrid/>
        <w:spacing w:before="313" w:beforeLines="100" w:after="313" w:afterLines="100" w:line="440" w:lineRule="exact"/>
        <w:jc w:val="center"/>
        <w:textAlignment w:val="auto"/>
        <w:outlineLvl w:val="2"/>
        <w:rPr>
          <w:rFonts w:hint="eastAsia" w:ascii="黑体" w:eastAsia="黑体"/>
          <w:color w:val="auto"/>
          <w:sz w:val="28"/>
          <w:szCs w:val="28"/>
          <w:highlight w:val="none"/>
        </w:rPr>
      </w:pPr>
      <w:bookmarkStart w:id="31" w:name="_Toc469495728"/>
      <w:r>
        <w:rPr>
          <w:rFonts w:hint="eastAsia" w:ascii="黑体" w:eastAsia="黑体"/>
          <w:color w:val="auto"/>
          <w:sz w:val="28"/>
          <w:szCs w:val="28"/>
          <w:highlight w:val="none"/>
        </w:rPr>
        <w:t>（五）开 标、评标和定标</w:t>
      </w:r>
      <w:bookmarkEnd w:id="31"/>
    </w:p>
    <w:p>
      <w:pPr>
        <w:shd w:val="clear" w:color="auto" w:fill="auto"/>
        <w:snapToGrid w:val="0"/>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28. 开标</w:t>
      </w:r>
    </w:p>
    <w:p>
      <w:pPr>
        <w:shd w:val="clear" w:color="auto" w:fill="auto"/>
        <w:snapToGrid w:val="0"/>
        <w:spacing w:line="360" w:lineRule="auto"/>
        <w:rPr>
          <w:rFonts w:hint="eastAsia" w:ascii="宋体" w:hAnsi="宋体" w:eastAsia="宋体" w:cs="宋体"/>
          <w:b/>
          <w:bCs/>
          <w:color w:val="auto"/>
          <w:sz w:val="21"/>
          <w:szCs w:val="21"/>
          <w:highlight w:val="none"/>
          <w:lang w:val="en-US" w:eastAsia="zh-CN"/>
        </w:rPr>
      </w:pPr>
      <w:bookmarkStart w:id="32" w:name="_Toc73975822"/>
      <w:r>
        <w:rPr>
          <w:rFonts w:hint="eastAsia" w:ascii="宋体" w:hAnsi="宋体" w:eastAsia="宋体" w:cs="宋体"/>
          <w:b/>
          <w:bCs/>
          <w:color w:val="auto"/>
          <w:sz w:val="21"/>
          <w:szCs w:val="21"/>
          <w:highlight w:val="none"/>
          <w:lang w:val="en-US" w:eastAsia="zh-CN"/>
        </w:rPr>
        <w:t>28.1开标邀请</w:t>
      </w:r>
      <w:bookmarkEnd w:id="32"/>
    </w:p>
    <w:p>
      <w:pPr>
        <w:pStyle w:val="14"/>
        <w:shd w:val="clear" w:color="auto" w:fill="auto"/>
        <w:snapToGrid w:val="0"/>
        <w:spacing w:line="360" w:lineRule="auto"/>
        <w:ind w:firstLine="426"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开标准备：本项目开标的准备工作由采购组织机构负责落实，开标过程由采购组织机构负责记录；</w:t>
      </w:r>
    </w:p>
    <w:p>
      <w:pPr>
        <w:pStyle w:val="14"/>
        <w:shd w:val="clear" w:color="auto" w:fill="auto"/>
        <w:snapToGrid w:val="0"/>
        <w:spacing w:line="360" w:lineRule="auto"/>
        <w:ind w:firstLine="426" w:firstLineChars="200"/>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开标主持：本项目开标由采购人或者采购代理机构主持；</w:t>
      </w:r>
    </w:p>
    <w:p>
      <w:pPr>
        <w:pStyle w:val="14"/>
        <w:shd w:val="clear" w:color="auto" w:fill="auto"/>
        <w:snapToGrid w:val="0"/>
        <w:spacing w:line="360" w:lineRule="auto"/>
        <w:ind w:firstLine="426"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lang w:val="en-US" w:eastAsia="zh-CN"/>
        </w:rPr>
        <w:t>3</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开标邀请：本项目采用电子交易，采购组织机构将按照采购文件规定的时间通过“</w:t>
      </w:r>
      <w:r>
        <w:rPr>
          <w:rFonts w:hint="eastAsia" w:ascii="宋体" w:hAnsi="宋体" w:eastAsia="宋体" w:cs="宋体"/>
          <w:b w:val="0"/>
          <w:color w:val="auto"/>
          <w:sz w:val="21"/>
          <w:szCs w:val="21"/>
          <w:highlight w:val="none"/>
          <w:lang w:eastAsia="zh-CN"/>
        </w:rPr>
        <w:t>新疆</w:t>
      </w:r>
      <w:r>
        <w:rPr>
          <w:rFonts w:hint="eastAsia" w:ascii="宋体" w:hAnsi="宋体" w:eastAsia="宋体" w:cs="宋体"/>
          <w:b w:val="0"/>
          <w:color w:val="auto"/>
          <w:sz w:val="21"/>
          <w:szCs w:val="21"/>
          <w:highlight w:val="none"/>
        </w:rPr>
        <w:t>政府采购云平台，网址：</w:t>
      </w:r>
      <w:r>
        <w:rPr>
          <w:rFonts w:hint="eastAsia" w:ascii="宋体" w:hAnsi="宋体" w:eastAsia="宋体" w:cs="宋体"/>
          <w:b w:val="0"/>
          <w:color w:val="auto"/>
          <w:sz w:val="21"/>
          <w:szCs w:val="21"/>
          <w:highlight w:val="none"/>
        </w:rPr>
        <w:fldChar w:fldCharType="begin"/>
      </w:r>
      <w:r>
        <w:rPr>
          <w:rFonts w:hint="eastAsia" w:ascii="宋体" w:hAnsi="宋体" w:eastAsia="宋体" w:cs="宋体"/>
          <w:b w:val="0"/>
          <w:color w:val="auto"/>
          <w:sz w:val="21"/>
          <w:szCs w:val="21"/>
          <w:highlight w:val="none"/>
        </w:rPr>
        <w:instrText xml:space="preserve">HYPERLINK "http://www.zcygov.cn"</w:instrText>
      </w:r>
      <w:r>
        <w:rPr>
          <w:rFonts w:hint="eastAsia" w:ascii="宋体" w:hAnsi="宋体" w:eastAsia="宋体" w:cs="宋体"/>
          <w:b w:val="0"/>
          <w:color w:val="auto"/>
          <w:sz w:val="21"/>
          <w:szCs w:val="21"/>
          <w:highlight w:val="none"/>
        </w:rPr>
        <w:fldChar w:fldCharType="separate"/>
      </w:r>
      <w:r>
        <w:rPr>
          <w:rStyle w:val="38"/>
          <w:rFonts w:hint="eastAsia" w:ascii="宋体" w:hAnsi="宋体" w:eastAsia="宋体" w:cs="宋体"/>
          <w:b w:val="0"/>
          <w:color w:val="auto"/>
          <w:sz w:val="21"/>
          <w:szCs w:val="21"/>
          <w:highlight w:val="none"/>
          <w:u w:val="none"/>
        </w:rPr>
        <w:t>www.zcygov.cn</w:t>
      </w:r>
      <w:r>
        <w:rPr>
          <w:rFonts w:hint="eastAsia" w:ascii="宋体" w:hAnsi="宋体" w:eastAsia="宋体" w:cs="宋体"/>
          <w:color w:val="auto"/>
          <w:sz w:val="21"/>
          <w:szCs w:val="21"/>
          <w:highlight w:val="none"/>
        </w:rPr>
        <w:fldChar w:fldCharType="end"/>
      </w:r>
      <w:r>
        <w:rPr>
          <w:rFonts w:hint="eastAsia" w:ascii="宋体" w:hAnsi="宋体" w:eastAsia="宋体" w:cs="宋体"/>
          <w:b w:val="0"/>
          <w:color w:val="auto"/>
          <w:sz w:val="21"/>
          <w:szCs w:val="21"/>
          <w:highlight w:val="none"/>
        </w:rPr>
        <w:t>”组织开标、开启投标响应文件，所有供应商均应当准时在线参加。</w:t>
      </w:r>
    </w:p>
    <w:p>
      <w:pPr>
        <w:pStyle w:val="14"/>
        <w:shd w:val="clear" w:color="auto" w:fill="auto"/>
        <w:snapToGrid w:val="0"/>
        <w:spacing w:line="360" w:lineRule="auto"/>
        <w:ind w:firstLine="426" w:firstLineChars="200"/>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lang w:val="en-US" w:eastAsia="zh-CN"/>
        </w:rPr>
        <w:t>4</w:t>
      </w:r>
      <w:r>
        <w:rPr>
          <w:rFonts w:hint="eastAsia" w:ascii="宋体" w:hAnsi="宋体" w:eastAsia="宋体" w:cs="宋体"/>
          <w:b w:val="0"/>
          <w:color w:val="auto"/>
          <w:sz w:val="21"/>
          <w:szCs w:val="21"/>
          <w:highlight w:val="none"/>
          <w:lang w:eastAsia="zh-CN"/>
        </w:rPr>
        <w:t>）</w:t>
      </w:r>
      <w:r>
        <w:rPr>
          <w:rFonts w:hint="eastAsia" w:ascii="宋体" w:hAnsi="宋体" w:eastAsia="宋体" w:cs="宋体"/>
          <w:b w:val="0"/>
          <w:color w:val="auto"/>
          <w:sz w:val="21"/>
          <w:szCs w:val="21"/>
          <w:highlight w:val="none"/>
        </w:rPr>
        <w:t>供应商对开标过程和开标记录有疑义，以及认为采购人、采购代理机构相关工作人员有需要回避的情形的，应当场提出询问或回避申请。供应商未参加开标的视同认可开标结果，事后不得对采购相关人员、开标过程和开标结果提出异议，同时投标供应商因未在线参加开标而导致投标文件无法按时解密等一切后果由供应商自行承担。</w:t>
      </w:r>
    </w:p>
    <w:p>
      <w:pPr>
        <w:shd w:val="clear" w:color="auto" w:fill="auto"/>
        <w:snapToGrid w:val="0"/>
        <w:spacing w:line="360" w:lineRule="auto"/>
        <w:outlineLvl w:val="2"/>
        <w:rPr>
          <w:rFonts w:hint="eastAsia" w:ascii="宋体" w:hAnsi="宋体" w:eastAsia="宋体" w:cs="宋体"/>
          <w:b/>
          <w:color w:val="auto"/>
          <w:sz w:val="21"/>
          <w:szCs w:val="21"/>
          <w:highlight w:val="none"/>
        </w:rPr>
      </w:pPr>
      <w:bookmarkStart w:id="33" w:name="_Toc73975823"/>
      <w:r>
        <w:rPr>
          <w:rFonts w:hint="eastAsia" w:ascii="宋体" w:hAnsi="宋体" w:eastAsia="宋体" w:cs="宋体"/>
          <w:b/>
          <w:color w:val="auto"/>
          <w:sz w:val="21"/>
          <w:szCs w:val="21"/>
          <w:highlight w:val="none"/>
          <w:lang w:val="en-US" w:eastAsia="zh-CN"/>
        </w:rPr>
        <w:t>28.2</w:t>
      </w:r>
      <w:r>
        <w:rPr>
          <w:rFonts w:hint="eastAsia" w:ascii="宋体" w:hAnsi="宋体" w:eastAsia="宋体" w:cs="宋体"/>
          <w:b/>
          <w:bCs/>
          <w:color w:val="auto"/>
          <w:sz w:val="21"/>
          <w:szCs w:val="21"/>
          <w:highlight w:val="none"/>
        </w:rPr>
        <w:t>开标程序（先资格、商务技术后报价）</w:t>
      </w:r>
      <w:bookmarkEnd w:id="33"/>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开标时间到后，主持人宣布开标会议开始。</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投标文件解密（</w:t>
      </w:r>
      <w:r>
        <w:rPr>
          <w:rFonts w:hint="eastAsia" w:ascii="宋体" w:hAnsi="宋体" w:eastAsia="宋体" w:cs="宋体"/>
          <w:b/>
          <w:color w:val="auto"/>
          <w:kern w:val="0"/>
          <w:sz w:val="21"/>
          <w:szCs w:val="21"/>
          <w:highlight w:val="none"/>
        </w:rPr>
        <w:t>解密规定见《供应商须知前附表》</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投标文件解密异常情况处理（</w:t>
      </w:r>
      <w:r>
        <w:rPr>
          <w:rFonts w:hint="eastAsia" w:ascii="宋体" w:hAnsi="宋体" w:eastAsia="宋体" w:cs="宋体"/>
          <w:b/>
          <w:color w:val="auto"/>
          <w:kern w:val="0"/>
          <w:sz w:val="21"/>
          <w:szCs w:val="21"/>
          <w:highlight w:val="none"/>
        </w:rPr>
        <w:t>处理办法见《供应商须知前附表》</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rPr>
        <w:t>。</w:t>
      </w:r>
    </w:p>
    <w:p>
      <w:pPr>
        <w:shd w:val="clear" w:color="auto" w:fill="auto"/>
        <w:snapToGrid w:val="0"/>
        <w:spacing w:line="360" w:lineRule="auto"/>
        <w:ind w:firstLine="426" w:firstLineChars="20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公布投标文件解密情况（投标文件成功解密的供应商名单等信息），</w:t>
      </w:r>
      <w:r>
        <w:rPr>
          <w:rFonts w:hint="eastAsia" w:ascii="宋体" w:hAnsi="宋体" w:eastAsia="宋体" w:cs="宋体"/>
          <w:b/>
          <w:bCs/>
          <w:color w:val="auto"/>
          <w:kern w:val="0"/>
          <w:sz w:val="21"/>
          <w:szCs w:val="21"/>
          <w:highlight w:val="none"/>
        </w:rPr>
        <w:t>组织签署《政府采购活动现场确认声明书》（疫情防控期间，将通过电子邮件形式组织签署），供应商应在20分钟内通过邮件形式将经签署的《政府采购活动现场确认声明书》发送至采购代理机构指定邮箱</w:t>
      </w:r>
      <w:r>
        <w:rPr>
          <w:rFonts w:hint="eastAsia" w:ascii="宋体" w:hAnsi="宋体" w:cs="宋体"/>
          <w:b/>
          <w:bCs/>
          <w:color w:val="auto"/>
          <w:kern w:val="0"/>
          <w:sz w:val="21"/>
          <w:szCs w:val="21"/>
          <w:highlight w:val="none"/>
          <w:lang w:val="en-US" w:eastAsia="zh-CN"/>
        </w:rPr>
        <w:t>179584851</w:t>
      </w:r>
      <w:r>
        <w:rPr>
          <w:rFonts w:hint="eastAsia" w:ascii="宋体" w:hAnsi="宋体" w:eastAsia="宋体" w:cs="宋体"/>
          <w:b/>
          <w:bCs/>
          <w:color w:val="auto"/>
          <w:kern w:val="0"/>
          <w:sz w:val="21"/>
          <w:szCs w:val="21"/>
          <w:highlight w:val="none"/>
          <w:lang w:val="en-US" w:eastAsia="zh-CN"/>
        </w:rPr>
        <w:t>@qq.com</w:t>
      </w:r>
      <w:r>
        <w:rPr>
          <w:rFonts w:hint="eastAsia" w:ascii="宋体" w:hAnsi="宋体" w:eastAsia="宋体" w:cs="宋体"/>
          <w:b/>
          <w:bCs/>
          <w:color w:val="auto"/>
          <w:kern w:val="0"/>
          <w:sz w:val="21"/>
          <w:szCs w:val="21"/>
          <w:highlight w:val="none"/>
        </w:rPr>
        <w:t>，逾期发送或未发送的视为无异议</w:t>
      </w:r>
      <w:r>
        <w:rPr>
          <w:rFonts w:hint="eastAsia" w:ascii="宋体" w:hAnsi="宋体" w:eastAsia="宋体" w:cs="宋体"/>
          <w:color w:val="auto"/>
          <w:kern w:val="0"/>
          <w:sz w:val="21"/>
          <w:szCs w:val="21"/>
          <w:highlight w:val="none"/>
        </w:rPr>
        <w:t>。</w:t>
      </w:r>
    </w:p>
    <w:p>
      <w:pPr>
        <w:shd w:val="clear" w:color="auto" w:fill="auto"/>
        <w:snapToGrid w:val="0"/>
        <w:spacing w:line="360" w:lineRule="auto"/>
        <w:ind w:firstLine="426"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开启标书信息（资格</w:t>
      </w:r>
      <w:r>
        <w:rPr>
          <w:rFonts w:hint="eastAsia" w:ascii="宋体" w:hAnsi="宋体" w:eastAsia="宋体" w:cs="宋体"/>
          <w:color w:val="auto"/>
          <w:kern w:val="0"/>
          <w:sz w:val="21"/>
          <w:szCs w:val="21"/>
          <w:highlight w:val="none"/>
          <w:lang w:eastAsia="zh-CN"/>
        </w:rPr>
        <w:t>证明</w:t>
      </w:r>
      <w:r>
        <w:rPr>
          <w:rFonts w:hint="eastAsia" w:ascii="宋体" w:hAnsi="宋体" w:eastAsia="宋体" w:cs="宋体"/>
          <w:color w:val="auto"/>
          <w:kern w:val="0"/>
          <w:sz w:val="21"/>
          <w:szCs w:val="21"/>
          <w:highlight w:val="none"/>
        </w:rPr>
        <w:t>文件、商务技术文件）。标书信息开启后，首先由采购人或采购代理机构</w:t>
      </w:r>
      <w:r>
        <w:rPr>
          <w:rFonts w:hint="eastAsia" w:ascii="宋体" w:hAnsi="宋体" w:eastAsia="宋体" w:cs="宋体"/>
          <w:color w:val="auto"/>
          <w:kern w:val="0"/>
          <w:sz w:val="21"/>
          <w:szCs w:val="21"/>
          <w:highlight w:val="none"/>
          <w:lang w:eastAsia="zh-CN"/>
        </w:rPr>
        <w:t>或评审小组</w:t>
      </w:r>
      <w:r>
        <w:rPr>
          <w:rFonts w:hint="eastAsia" w:ascii="宋体" w:hAnsi="宋体" w:eastAsia="宋体" w:cs="宋体"/>
          <w:color w:val="auto"/>
          <w:kern w:val="0"/>
          <w:sz w:val="21"/>
          <w:szCs w:val="21"/>
          <w:highlight w:val="none"/>
        </w:rPr>
        <w:t>依法对投标供应商的资格</w:t>
      </w:r>
      <w:r>
        <w:rPr>
          <w:rFonts w:hint="eastAsia" w:ascii="宋体" w:hAnsi="宋体" w:eastAsia="宋体" w:cs="宋体"/>
          <w:color w:val="auto"/>
          <w:kern w:val="0"/>
          <w:sz w:val="21"/>
          <w:szCs w:val="21"/>
          <w:highlight w:val="none"/>
          <w:lang w:eastAsia="zh-CN"/>
        </w:rPr>
        <w:t>证明</w:t>
      </w:r>
      <w:r>
        <w:rPr>
          <w:rFonts w:hint="eastAsia" w:ascii="宋体" w:hAnsi="宋体" w:eastAsia="宋体" w:cs="宋体"/>
          <w:color w:val="auto"/>
          <w:kern w:val="0"/>
          <w:sz w:val="21"/>
          <w:szCs w:val="21"/>
          <w:highlight w:val="none"/>
        </w:rPr>
        <w:t>文件进行审查， 审查结束公布投标供应商的资格符合情况。资格审查未获通过的供应商，其商务技术文件及报价文件不再进入评审。</w:t>
      </w:r>
    </w:p>
    <w:p>
      <w:pPr>
        <w:shd w:val="clear" w:color="auto" w:fill="auto"/>
        <w:snapToGrid w:val="0"/>
        <w:spacing w:line="360" w:lineRule="auto"/>
        <w:ind w:firstLine="426"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商务技术评审结束后，主持人公布商务技术评审无效投标供应商名单和商务技术评审有效投标供应商名单及其商务技术得分情况</w:t>
      </w:r>
      <w:r>
        <w:rPr>
          <w:rFonts w:hint="eastAsia" w:ascii="宋体" w:hAnsi="宋体" w:eastAsia="宋体" w:cs="宋体"/>
          <w:color w:val="auto"/>
          <w:sz w:val="21"/>
          <w:szCs w:val="21"/>
          <w:highlight w:val="none"/>
        </w:rPr>
        <w:t>。</w:t>
      </w:r>
      <w:r>
        <w:rPr>
          <w:rFonts w:hint="eastAsia" w:ascii="宋体" w:hAnsi="宋体" w:eastAsia="宋体" w:cs="宋体"/>
          <w:color w:val="auto"/>
          <w:kern w:val="0"/>
          <w:sz w:val="21"/>
          <w:szCs w:val="21"/>
          <w:highlight w:val="none"/>
        </w:rPr>
        <w:t>商务技术评审无效的供应商，其报价不再进入评审。</w:t>
      </w:r>
    </w:p>
    <w:p>
      <w:pPr>
        <w:shd w:val="clear" w:color="auto" w:fill="auto"/>
        <w:snapToGrid w:val="0"/>
        <w:spacing w:line="360" w:lineRule="auto"/>
        <w:ind w:firstLine="426"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开启有效投标供应商的报价，公布开标一览表有关内容，</w:t>
      </w:r>
      <w:r>
        <w:rPr>
          <w:rFonts w:hint="eastAsia" w:ascii="宋体" w:hAnsi="宋体" w:eastAsia="宋体" w:cs="宋体"/>
          <w:color w:val="auto"/>
          <w:sz w:val="21"/>
          <w:szCs w:val="21"/>
          <w:highlight w:val="none"/>
          <w:lang w:bidi="zh-CN"/>
        </w:rPr>
        <w:t>并【开启签字时段】，供应商对开标纪录进行在线签字确认（不予确认的应说明理由，否则视为无异议）</w:t>
      </w:r>
      <w:r>
        <w:rPr>
          <w:rFonts w:hint="eastAsia" w:ascii="宋体" w:hAnsi="宋体" w:eastAsia="宋体" w:cs="宋体"/>
          <w:color w:val="auto"/>
          <w:kern w:val="0"/>
          <w:sz w:val="21"/>
          <w:szCs w:val="21"/>
          <w:highlight w:val="none"/>
        </w:rPr>
        <w:t>。开标结束后，由评标委员会对报价的合理性、准确性等进行审查核实</w:t>
      </w:r>
      <w:r>
        <w:rPr>
          <w:rFonts w:hint="eastAsia" w:ascii="宋体" w:hAnsi="宋体" w:eastAsia="宋体" w:cs="宋体"/>
          <w:color w:val="auto"/>
          <w:sz w:val="21"/>
          <w:szCs w:val="21"/>
          <w:highlight w:val="none"/>
        </w:rPr>
        <w:t>。</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kern w:val="0"/>
          <w:sz w:val="21"/>
          <w:szCs w:val="21"/>
          <w:highlight w:val="none"/>
        </w:rPr>
        <w:t>评审结束后，采购代理机构在系统上公布评审结果。</w:t>
      </w:r>
    </w:p>
    <w:p>
      <w:pPr>
        <w:shd w:val="clear" w:color="auto" w:fill="auto"/>
        <w:snapToGrid w:val="0"/>
        <w:spacing w:line="360" w:lineRule="auto"/>
        <w:ind w:left="48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特别情况说明：</w:t>
      </w:r>
    </w:p>
    <w:p>
      <w:pPr>
        <w:shd w:val="clear" w:color="auto" w:fill="auto"/>
        <w:snapToGrid w:val="0"/>
        <w:spacing w:line="360" w:lineRule="auto"/>
        <w:ind w:firstLine="376" w:firstLineChars="177"/>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（1）本项目采用电子交易，如遇“</w:t>
      </w:r>
      <w:r>
        <w:rPr>
          <w:rFonts w:hint="eastAsia" w:ascii="宋体" w:hAnsi="宋体" w:eastAsia="宋体" w:cs="宋体"/>
          <w:b/>
          <w:color w:val="auto"/>
          <w:kern w:val="0"/>
          <w:sz w:val="21"/>
          <w:szCs w:val="21"/>
          <w:highlight w:val="none"/>
          <w:lang w:eastAsia="zh-CN"/>
        </w:rPr>
        <w:t>新疆</w:t>
      </w:r>
      <w:r>
        <w:rPr>
          <w:rFonts w:hint="eastAsia" w:ascii="宋体" w:hAnsi="宋体" w:eastAsia="宋体" w:cs="宋体"/>
          <w:b/>
          <w:color w:val="auto"/>
          <w:kern w:val="0"/>
          <w:sz w:val="21"/>
          <w:szCs w:val="21"/>
          <w:highlight w:val="none"/>
        </w:rPr>
        <w:t>政府采购云平台”电子化开标或评审程序调整的，按调整后程序执行。</w:t>
      </w:r>
    </w:p>
    <w:p>
      <w:pPr>
        <w:shd w:val="clear" w:color="auto" w:fill="auto"/>
        <w:snapToGrid w:val="0"/>
        <w:spacing w:line="360" w:lineRule="auto"/>
        <w:ind w:firstLine="376" w:firstLineChars="177"/>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（2）开标过程中需要相关当事人进行签字或盖章确认的材料将通过“政府采购云平台”进行，若因“政府采购云平台”技术问题无法进行签字或盖章确认的，采购组织机构将通过电子邮件等形式予以确认，</w:t>
      </w:r>
      <w:r>
        <w:rPr>
          <w:rFonts w:hint="eastAsia" w:ascii="宋体" w:hAnsi="宋体" w:eastAsia="宋体" w:cs="宋体"/>
          <w:b/>
          <w:color w:val="auto"/>
          <w:kern w:val="0"/>
          <w:sz w:val="21"/>
          <w:szCs w:val="21"/>
          <w:highlight w:val="none"/>
          <w:u w:val="single"/>
        </w:rPr>
        <w:t>请供应商保证办理投标事宜人员电话畅通、网络在线，签字或盖章确认的时间为20分钟。如未及时签字或盖章确认的，视为无异议</w:t>
      </w:r>
      <w:r>
        <w:rPr>
          <w:rFonts w:hint="eastAsia" w:ascii="宋体" w:hAnsi="宋体" w:eastAsia="宋体" w:cs="宋体"/>
          <w:b/>
          <w:color w:val="auto"/>
          <w:kern w:val="0"/>
          <w:sz w:val="21"/>
          <w:szCs w:val="21"/>
          <w:highlight w:val="none"/>
        </w:rPr>
        <w:t>。</w:t>
      </w:r>
    </w:p>
    <w:p>
      <w:pPr>
        <w:shd w:val="clear" w:color="auto" w:fill="auto"/>
        <w:snapToGrid w:val="0"/>
        <w:spacing w:line="360" w:lineRule="auto"/>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val="en-US" w:eastAsia="zh-CN"/>
        </w:rPr>
        <w:t>28.3</w:t>
      </w:r>
      <w:r>
        <w:rPr>
          <w:rFonts w:hint="eastAsia" w:ascii="宋体" w:hAnsi="宋体" w:eastAsia="宋体" w:cs="宋体"/>
          <w:b/>
          <w:color w:val="auto"/>
          <w:kern w:val="0"/>
          <w:sz w:val="21"/>
          <w:szCs w:val="21"/>
          <w:highlight w:val="none"/>
        </w:rPr>
        <w:t xml:space="preserve"> 投标供应商资格审查：</w:t>
      </w:r>
    </w:p>
    <w:p>
      <w:pPr>
        <w:shd w:val="clear" w:color="auto" w:fill="auto"/>
        <w:snapToGrid w:val="0"/>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Cs/>
          <w:color w:val="auto"/>
          <w:kern w:val="0"/>
          <w:sz w:val="21"/>
          <w:szCs w:val="21"/>
          <w:highlight w:val="none"/>
        </w:rPr>
        <w:t>开标（标书信息开启）后，采购人或采购代理机构</w:t>
      </w:r>
      <w:r>
        <w:rPr>
          <w:rFonts w:hint="eastAsia" w:ascii="宋体" w:hAnsi="宋体" w:eastAsia="宋体" w:cs="宋体"/>
          <w:bCs/>
          <w:color w:val="auto"/>
          <w:kern w:val="0"/>
          <w:sz w:val="21"/>
          <w:szCs w:val="21"/>
          <w:highlight w:val="none"/>
          <w:lang w:eastAsia="zh-CN"/>
        </w:rPr>
        <w:t>或</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bCs/>
          <w:color w:val="auto"/>
          <w:kern w:val="0"/>
          <w:sz w:val="21"/>
          <w:szCs w:val="21"/>
          <w:highlight w:val="none"/>
        </w:rPr>
        <w:t>首先依法对投标供应商的资格文件进行审查，审查各投标供应商的资格符合情况。</w:t>
      </w:r>
      <w:r>
        <w:rPr>
          <w:rFonts w:hint="eastAsia" w:ascii="宋体" w:hAnsi="宋体" w:eastAsia="宋体" w:cs="宋体"/>
          <w:color w:val="auto"/>
          <w:sz w:val="21"/>
          <w:szCs w:val="21"/>
          <w:highlight w:val="none"/>
        </w:rPr>
        <w:t>采购人或采购代理机构</w:t>
      </w:r>
      <w:r>
        <w:rPr>
          <w:rFonts w:hint="eastAsia" w:ascii="宋体" w:hAnsi="宋体" w:eastAsia="宋体" w:cs="宋体"/>
          <w:bCs/>
          <w:color w:val="auto"/>
          <w:kern w:val="0"/>
          <w:sz w:val="21"/>
          <w:szCs w:val="21"/>
          <w:highlight w:val="none"/>
          <w:lang w:eastAsia="zh-CN"/>
        </w:rPr>
        <w:t>或</w:t>
      </w:r>
      <w:r>
        <w:rPr>
          <w:rFonts w:hint="eastAsia" w:ascii="宋体" w:hAnsi="宋体" w:eastAsia="宋体" w:cs="宋体"/>
          <w:color w:val="auto"/>
          <w:kern w:val="0"/>
          <w:sz w:val="21"/>
          <w:szCs w:val="21"/>
          <w:highlight w:val="none"/>
          <w:lang w:eastAsia="zh-CN"/>
        </w:rPr>
        <w:t>评审小组</w:t>
      </w:r>
      <w:r>
        <w:rPr>
          <w:rFonts w:hint="eastAsia" w:ascii="宋体" w:hAnsi="宋体" w:eastAsia="宋体" w:cs="宋体"/>
          <w:color w:val="auto"/>
          <w:sz w:val="21"/>
          <w:szCs w:val="21"/>
          <w:highlight w:val="none"/>
        </w:rPr>
        <w:t>对投标供应商所提交的资格证明材料仅负审核的责任。如发现投标供应商所提交的资格证明材料不合法或与事实不符，采购人可取消其中标资格并追究投标供应商的法律责任。</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投标供应商提交的资格证明材料无法证明其符合采购文件规定的“投标供应商资格要求”的，采购人或采购代理机构将对其作“资格审查不合格”处理（无效投标），并不再将其投标提交评标委员会进行后续评审。</w:t>
      </w:r>
    </w:p>
    <w:p>
      <w:pPr>
        <w:pStyle w:val="8"/>
        <w:shd w:val="clear" w:color="auto" w:fill="auto"/>
        <w:snapToGrid w:val="0"/>
        <w:spacing w:line="360" w:lineRule="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w:t>
      </w:r>
      <w:r>
        <w:rPr>
          <w:rFonts w:hint="eastAsia" w:ascii="宋体" w:hAnsi="宋体" w:eastAsia="宋体" w:cs="宋体"/>
          <w:b w:val="0"/>
          <w:bCs/>
          <w:color w:val="auto"/>
          <w:kern w:val="0"/>
          <w:sz w:val="21"/>
          <w:szCs w:val="21"/>
          <w:highlight w:val="none"/>
        </w:rPr>
        <w:t>供应商</w:t>
      </w:r>
      <w:r>
        <w:rPr>
          <w:rFonts w:hint="eastAsia" w:ascii="宋体" w:hAnsi="宋体" w:eastAsia="宋体" w:cs="宋体"/>
          <w:b w:val="0"/>
          <w:bCs/>
          <w:color w:val="auto"/>
          <w:sz w:val="21"/>
          <w:szCs w:val="21"/>
          <w:highlight w:val="none"/>
        </w:rPr>
        <w:t>信用记录查询与使用：</w:t>
      </w:r>
      <w:r>
        <w:rPr>
          <w:rFonts w:hint="eastAsia" w:ascii="宋体" w:hAnsi="宋体" w:eastAsia="宋体" w:cs="宋体"/>
          <w:b w:val="0"/>
          <w:bCs/>
          <w:color w:val="auto"/>
          <w:kern w:val="0"/>
          <w:sz w:val="21"/>
          <w:szCs w:val="21"/>
          <w:highlight w:val="none"/>
        </w:rPr>
        <w:t>见《供应商须知前附表》。</w:t>
      </w:r>
    </w:p>
    <w:p>
      <w:pPr>
        <w:shd w:val="clear" w:color="auto" w:fill="auto"/>
        <w:snapToGrid w:val="0"/>
        <w:spacing w:line="360" w:lineRule="auto"/>
        <w:outlineLvl w:val="2"/>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29.评审工作的组织</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采购人或采购代理机构负责组织本项目的评审工作，并依据《政府采购货物和服务招标投标管理办法（财政部第87号令）》第四十五条的相关规定履行职责。</w:t>
      </w:r>
    </w:p>
    <w:p>
      <w:pPr>
        <w:shd w:val="clear" w:color="auto" w:fill="auto"/>
        <w:snapToGrid w:val="0"/>
        <w:spacing w:line="360" w:lineRule="auto"/>
        <w:outlineLvl w:val="2"/>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30. 评标委员会的组建</w:t>
      </w:r>
    </w:p>
    <w:p>
      <w:pPr>
        <w:widowControl/>
        <w:shd w:val="clear" w:color="auto" w:fill="auto"/>
        <w:spacing w:line="440" w:lineRule="exact"/>
        <w:ind w:firstLine="213" w:firstLineChars="100"/>
        <w:rPr>
          <w:rFonts w:hint="eastAsia" w:ascii="宋体"/>
          <w:b/>
          <w:bCs/>
          <w:color w:val="auto"/>
          <w:szCs w:val="21"/>
          <w:highlight w:val="none"/>
        </w:rPr>
      </w:pPr>
      <w:r>
        <w:rPr>
          <w:rFonts w:hint="eastAsia" w:ascii="宋体"/>
          <w:color w:val="auto"/>
          <w:szCs w:val="21"/>
          <w:highlight w:val="none"/>
          <w:lang w:val="en-US" w:eastAsia="zh-CN"/>
        </w:rPr>
        <w:t>30</w:t>
      </w:r>
      <w:r>
        <w:rPr>
          <w:rFonts w:hint="eastAsia" w:ascii="宋体"/>
          <w:color w:val="auto"/>
          <w:szCs w:val="21"/>
          <w:highlight w:val="none"/>
        </w:rPr>
        <w:t>.1</w:t>
      </w:r>
      <w:r>
        <w:rPr>
          <w:rFonts w:hint="eastAsia" w:ascii="宋体"/>
          <w:b/>
          <w:bCs/>
          <w:color w:val="auto"/>
          <w:szCs w:val="21"/>
          <w:highlight w:val="none"/>
        </w:rPr>
        <w:t>评标委员会由采购人或采购代理机构依法组建，成员由采购人代表和评审专家组成，成员人数为</w:t>
      </w:r>
      <w:r>
        <w:rPr>
          <w:rFonts w:hint="eastAsia" w:ascii="宋体"/>
          <w:b/>
          <w:bCs/>
          <w:color w:val="auto"/>
          <w:szCs w:val="21"/>
          <w:highlight w:val="none"/>
          <w:lang w:val="en-US" w:eastAsia="zh-CN"/>
        </w:rPr>
        <w:t>5</w:t>
      </w:r>
      <w:r>
        <w:rPr>
          <w:rFonts w:hint="eastAsia" w:ascii="宋体"/>
          <w:b/>
          <w:bCs/>
          <w:color w:val="auto"/>
          <w:szCs w:val="21"/>
          <w:highlight w:val="none"/>
        </w:rPr>
        <w:t>人，其中评审专家不少于成员总数的三分之二。</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30</w:t>
      </w:r>
      <w:r>
        <w:rPr>
          <w:rFonts w:hint="eastAsia" w:ascii="宋体"/>
          <w:color w:val="auto"/>
          <w:szCs w:val="21"/>
          <w:highlight w:val="none"/>
        </w:rPr>
        <w:t>.2评审专家从</w:t>
      </w:r>
      <w:r>
        <w:rPr>
          <w:rFonts w:hint="eastAsia" w:ascii="宋体"/>
          <w:color w:val="auto"/>
          <w:szCs w:val="21"/>
          <w:highlight w:val="none"/>
          <w:lang w:eastAsia="zh-CN"/>
        </w:rPr>
        <w:t>新疆</w:t>
      </w:r>
      <w:r>
        <w:rPr>
          <w:rFonts w:hint="eastAsia" w:ascii="宋体"/>
          <w:color w:val="auto"/>
          <w:szCs w:val="21"/>
          <w:highlight w:val="none"/>
        </w:rPr>
        <w:t>政府采购云平台专家库中通过随机方式抽取产生。评标委员会成员名单在采购结果公告前保密。</w:t>
      </w:r>
    </w:p>
    <w:p>
      <w:pPr>
        <w:widowControl/>
        <w:shd w:val="clear" w:color="auto" w:fill="auto"/>
        <w:spacing w:line="440" w:lineRule="exact"/>
        <w:ind w:firstLine="213" w:firstLineChars="1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31.评标委员会的职责</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.1审查、评价投标文件是否符合采购文件的商务、技术等实质性要求。</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.2要求供应商对投标文件有关事项作出澄清或者说明。</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.3对投标文件进行比较和评价。</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.4确定中标候选人名单，以及根据采购人委托直接确定中标人。</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31</w:t>
      </w:r>
      <w:r>
        <w:rPr>
          <w:rFonts w:hint="eastAsia" w:ascii="宋体"/>
          <w:color w:val="auto"/>
          <w:szCs w:val="21"/>
          <w:highlight w:val="none"/>
        </w:rPr>
        <w:t>.5向采购人、采购代理机构或者有关部门报告评审中发现的违法行为。</w:t>
      </w:r>
    </w:p>
    <w:p>
      <w:pPr>
        <w:widowControl/>
        <w:shd w:val="clear" w:color="auto" w:fill="auto"/>
        <w:spacing w:line="440" w:lineRule="exact"/>
        <w:ind w:firstLine="213" w:firstLineChars="1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32. 评标原则</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.1评标委员会将遵循公平、公正、科学的原则，对供应商提交的投标文件进行综合评审，评标委员会按照采购文件规定的评标细则进行评分。</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 xml:space="preserve">.2客观公正对待所有供应商，对所有投标评价均采用相同的程序和标准。 </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.3评标委员会成员对需要共同认定的事项存在争议的，按照少数服从多数的原则作出结论。持不同意见的评标委员会成员应当在评审报告上签署不同意见及理由，否则视为同意评审报告。</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32</w:t>
      </w:r>
      <w:r>
        <w:rPr>
          <w:rFonts w:hint="eastAsia" w:ascii="宋体"/>
          <w:color w:val="auto"/>
          <w:szCs w:val="21"/>
          <w:highlight w:val="none"/>
        </w:rPr>
        <w:t>.4 财政部令第87号《政府采购货物和服务招标投标管理办法》第三十一条规定：使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标委员会按照采购文件规定的方式确定一个供应商获得中标人推荐资格，采购文件未规定的采取随机抽取方式确定，其他同品牌供应商不作为中标候选人。</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 xml:space="preserve">非单一产品采购项目，采购人应当根据采购项目技术构成、产品价格比重等合理确定核心产品，并在采购文件中载明。多家供应商提供的核心产品品牌相同的，按前款规定处理。      </w:t>
      </w:r>
    </w:p>
    <w:p>
      <w:pPr>
        <w:widowControl/>
        <w:shd w:val="clear" w:color="auto" w:fill="auto"/>
        <w:spacing w:line="440" w:lineRule="exact"/>
        <w:ind w:firstLine="213" w:firstLineChars="100"/>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33. 评委纪律</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hAnsi="宋体" w:eastAsia="宋体" w:cs="宋体"/>
          <w:b/>
          <w:color w:val="auto"/>
          <w:sz w:val="21"/>
          <w:szCs w:val="21"/>
          <w:highlight w:val="none"/>
          <w:lang w:val="en-US" w:eastAsia="zh-CN"/>
        </w:rPr>
        <w:t>34.评标程序</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1 在评审专家中推选评标委员会组长，采购人代表不得担任评标委员会组长。</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2 评标委员会组长召集成员认真阅读采购文件以及相关补充、质疑、答复文件、项目书面说明等材料，熟悉采购项目的基本概况，采购项目的质量要求、数量、主要技术标准或服务需求，采购合同主要条款，投标文件无效情形，评审方法、评审依据、评审标准等。</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3 评审人员对符合资格的供应商的投标文件的有效性、符合性、完整性和响应程度进行审查，确定是否对采购文件作出实质性响应。</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4 评审人员按采购文件规定的评审方法和评审标准，依法独立对供应商投标文件进行评估、比较，并给予评价或打分，不受任何单位和个人的干预。</w:t>
      </w:r>
    </w:p>
    <w:p>
      <w:pPr>
        <w:widowControl/>
        <w:shd w:val="clear" w:color="auto" w:fill="auto"/>
        <w:spacing w:line="440" w:lineRule="exact"/>
        <w:ind w:firstLine="426"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综合评分法货物项目的价格分值占总分值的比重(即权值)为</w:t>
      </w:r>
      <w:r>
        <w:rPr>
          <w:rFonts w:hint="eastAsia" w:ascii="宋体" w:hAnsi="宋体" w:cs="宋体"/>
          <w:color w:val="auto"/>
          <w:kern w:val="0"/>
          <w:szCs w:val="21"/>
          <w:highlight w:val="none"/>
          <w:lang w:val="en-US" w:eastAsia="zh-CN"/>
        </w:rPr>
        <w:t>35</w:t>
      </w:r>
      <w:r>
        <w:rPr>
          <w:rFonts w:hint="eastAsia" w:ascii="宋体" w:hAnsi="宋体" w:eastAsia="宋体" w:cs="宋体"/>
          <w:color w:val="auto"/>
          <w:kern w:val="0"/>
          <w:szCs w:val="21"/>
          <w:highlight w:val="none"/>
        </w:rPr>
        <w:t>％，采购项目中含不同采购对象的，以占项目资金比例最高的采购对象确定其项目属性。其价格不列为评分因素，有特殊情况需要在上述规定范围外设定价格分权重的。</w:t>
      </w:r>
    </w:p>
    <w:p>
      <w:pPr>
        <w:widowControl/>
        <w:shd w:val="clear" w:color="auto" w:fill="auto"/>
        <w:spacing w:line="440" w:lineRule="exact"/>
        <w:ind w:firstLine="48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综合评分法中的价格分统一采用低价优先法计算，即满足</w:t>
      </w:r>
      <w:r>
        <w:rPr>
          <w:rFonts w:hint="eastAsia" w:ascii="宋体" w:hAnsi="宋体" w:eastAsia="宋体" w:cs="宋体"/>
          <w:color w:val="auto"/>
          <w:kern w:val="0"/>
          <w:szCs w:val="21"/>
          <w:highlight w:val="none"/>
          <w:lang w:eastAsia="zh-CN"/>
        </w:rPr>
        <w:t>招标</w:t>
      </w:r>
      <w:r>
        <w:rPr>
          <w:rFonts w:hint="eastAsia" w:ascii="宋体" w:hAnsi="宋体" w:eastAsia="宋体" w:cs="宋体"/>
          <w:color w:val="auto"/>
          <w:kern w:val="0"/>
          <w:szCs w:val="21"/>
          <w:highlight w:val="none"/>
        </w:rPr>
        <w:t>文件要求且最后报价最低的供应商的价格为</w:t>
      </w:r>
      <w:r>
        <w:rPr>
          <w:rFonts w:hint="eastAsia" w:ascii="宋体" w:hAnsi="宋体" w:eastAsia="宋体" w:cs="宋体"/>
          <w:color w:val="auto"/>
          <w:kern w:val="0"/>
          <w:szCs w:val="21"/>
          <w:highlight w:val="none"/>
          <w:lang w:eastAsia="zh-CN"/>
        </w:rPr>
        <w:t>招标</w:t>
      </w:r>
      <w:r>
        <w:rPr>
          <w:rFonts w:hint="eastAsia" w:ascii="宋体" w:hAnsi="宋体" w:eastAsia="宋体" w:cs="宋体"/>
          <w:color w:val="auto"/>
          <w:kern w:val="0"/>
          <w:szCs w:val="21"/>
          <w:highlight w:val="none"/>
        </w:rPr>
        <w:t>基准价，其价格分为满分。其他供应商的价格分统一按照下列公式计算：</w:t>
      </w:r>
    </w:p>
    <w:p>
      <w:pPr>
        <w:widowControl/>
        <w:shd w:val="clear" w:color="auto" w:fill="auto"/>
        <w:spacing w:line="440" w:lineRule="exact"/>
        <w:ind w:firstLine="48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投标</w:t>
      </w:r>
      <w:r>
        <w:rPr>
          <w:rFonts w:hint="eastAsia" w:ascii="宋体" w:hAnsi="宋体" w:eastAsia="宋体" w:cs="宋体"/>
          <w:color w:val="auto"/>
          <w:kern w:val="0"/>
          <w:szCs w:val="21"/>
          <w:highlight w:val="none"/>
        </w:rPr>
        <w:t>报价得分=（基准价/</w:t>
      </w:r>
      <w:r>
        <w:rPr>
          <w:rFonts w:hint="eastAsia" w:ascii="宋体" w:hAnsi="宋体" w:eastAsia="宋体" w:cs="宋体"/>
          <w:color w:val="auto"/>
          <w:kern w:val="0"/>
          <w:szCs w:val="21"/>
          <w:highlight w:val="none"/>
          <w:lang w:eastAsia="zh-CN"/>
        </w:rPr>
        <w:t>投标</w:t>
      </w:r>
      <w:r>
        <w:rPr>
          <w:rFonts w:hint="eastAsia" w:ascii="宋体" w:hAnsi="宋体" w:eastAsia="宋体" w:cs="宋体"/>
          <w:color w:val="auto"/>
          <w:kern w:val="0"/>
          <w:szCs w:val="21"/>
          <w:highlight w:val="none"/>
        </w:rPr>
        <w:t>报价）×价格权值×100</w:t>
      </w:r>
    </w:p>
    <w:p>
      <w:pPr>
        <w:widowControl/>
        <w:shd w:val="clear" w:color="auto" w:fill="auto"/>
        <w:spacing w:line="440" w:lineRule="exact"/>
        <w:ind w:firstLine="480"/>
        <w:rPr>
          <w:rFonts w:hint="eastAsia" w:ascii="宋体"/>
          <w:color w:val="auto"/>
          <w:szCs w:val="21"/>
          <w:highlight w:val="none"/>
          <w:lang w:val="en-US" w:eastAsia="zh-CN"/>
        </w:rPr>
      </w:pPr>
      <w:r>
        <w:rPr>
          <w:rFonts w:hint="eastAsia" w:ascii="宋体" w:hAnsi="宋体" w:eastAsia="宋体" w:cs="宋体"/>
          <w:color w:val="auto"/>
          <w:kern w:val="0"/>
          <w:szCs w:val="21"/>
          <w:highlight w:val="none"/>
        </w:rPr>
        <w:t>项目评审过程中，不得去掉最后报价中的最高报价和最低报价。</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5 评审人员对各供应商投标文件非实质性内容有疑议或异议，或者审查发现明显的文字或计算错误等，及时向评标委员会组长提出。经评标委员会商议认为需要供应商作出必要澄清、说明或者补正的，应当以在线询标形式要求供应商作出必要的澄清、说明或者补正。澄清、说明或者补正的内容应作为政府采购项目档案归档留存。</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6 评审人员需对采购方工作人员唱票或统计的评审结果进行确认，现场监督员应对评审结果签署监督意见。如发现分值汇总计算错误、分项评分超出评分标准范围、客观评分不一致以及存在评分畸高、畸低（其总评分偏离平</w:t>
      </w:r>
      <w:r>
        <w:rPr>
          <w:rFonts w:hint="eastAsia" w:ascii="宋体"/>
          <w:color w:val="auto"/>
          <w:szCs w:val="21"/>
          <w:highlight w:val="none"/>
        </w:rPr>
        <w:t>均分</w:t>
      </w:r>
      <w:r>
        <w:rPr>
          <w:rFonts w:hint="eastAsia" w:ascii="宋体"/>
          <w:color w:val="auto"/>
          <w:szCs w:val="21"/>
          <w:highlight w:val="none"/>
          <w:lang w:val="en-US" w:eastAsia="zh-CN"/>
        </w:rPr>
        <w:t>30</w:t>
      </w:r>
      <w:r>
        <w:rPr>
          <w:rFonts w:hint="eastAsia" w:ascii="宋体"/>
          <w:color w:val="auto"/>
          <w:szCs w:val="21"/>
          <w:highlight w:val="none"/>
        </w:rPr>
        <w:t>%以上的</w:t>
      </w:r>
      <w:r>
        <w:rPr>
          <w:rFonts w:hint="eastAsia" w:ascii="宋体"/>
          <w:color w:val="auto"/>
          <w:szCs w:val="21"/>
          <w:highlight w:val="none"/>
        </w:rPr>
        <w:t>）情形的，应由相关人员当场改正或作出书面说明；拒不改正又不作书面说明的，由现场监督员如实记载后存入项目档案资料。</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7 评标委员会根据评审汇总情况和采购文件规定确定中标候选供应商排序名单。</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 xml:space="preserve">8 起草评审报告，所有评审人员须在评审报告上签字确认，对自己的评审意见承担法律责任。 </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9 采购组织机构对评标委员会评审专家进行评价。</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lang w:val="en-US" w:eastAsia="zh-CN"/>
        </w:rPr>
        <w:t>34.</w:t>
      </w:r>
      <w:r>
        <w:rPr>
          <w:rFonts w:hint="eastAsia" w:ascii="宋体"/>
          <w:color w:val="auto"/>
          <w:szCs w:val="21"/>
          <w:highlight w:val="none"/>
        </w:rPr>
        <w:t>10 修改评审结果</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评标结果汇总完成后，除下列情形外，任何人不得修改评标结果：</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（1）分值汇总计算错误的；</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（2）分项评分超出评分标准范围的；</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（3）评标委员会成员对客观评审因素评分不一致的；</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（4）经评标委员会认定评分畸高、畸低的。</w:t>
      </w:r>
    </w:p>
    <w:p>
      <w:pPr>
        <w:widowControl/>
        <w:shd w:val="clear" w:color="auto" w:fill="auto"/>
        <w:spacing w:line="440" w:lineRule="exact"/>
        <w:ind w:firstLine="213" w:firstLineChars="100"/>
        <w:rPr>
          <w:rFonts w:hint="eastAsia" w:ascii="宋体"/>
          <w:color w:val="auto"/>
          <w:szCs w:val="21"/>
          <w:highlight w:val="none"/>
        </w:rPr>
      </w:pPr>
      <w:r>
        <w:rPr>
          <w:rFonts w:hint="eastAsia" w:ascii="宋体"/>
          <w:color w:val="auto"/>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hAnsi="宋体" w:eastAsia="宋体" w:cs="宋体"/>
          <w:b/>
          <w:color w:val="auto"/>
          <w:sz w:val="21"/>
          <w:szCs w:val="21"/>
          <w:highlight w:val="none"/>
          <w:lang w:val="en-US" w:eastAsia="zh-CN"/>
        </w:rPr>
        <w:t>35．澄清、说明或补正的形式</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35.1对于投标文件中含义不明确、同类问题表述不一致或者有明显文字和计算错误的内容，评标委员会将通过“政府采购云平台”在线询标的方式要求投标供应商在规定的时间内作出必要的澄清、说明或者补正，</w:t>
      </w:r>
      <w:r>
        <w:rPr>
          <w:rFonts w:hint="eastAsia" w:ascii="宋体"/>
          <w:b/>
          <w:bCs/>
          <w:color w:val="auto"/>
          <w:szCs w:val="21"/>
          <w:highlight w:val="none"/>
          <w:lang w:val="en-US" w:eastAsia="zh-CN"/>
        </w:rPr>
        <w:t>投标供应商澄清、说明或补正时间为20分钟</w:t>
      </w:r>
      <w:r>
        <w:rPr>
          <w:rFonts w:hint="eastAsia" w:ascii="宋体"/>
          <w:b w:val="0"/>
          <w:bCs w:val="0"/>
          <w:color w:val="auto"/>
          <w:szCs w:val="21"/>
          <w:highlight w:val="none"/>
          <w:lang w:val="en-US" w:eastAsia="zh-CN"/>
        </w:rPr>
        <w:t>。</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35.2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35.3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36．错误修正的原则</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投标文件报价出现前后不一致的，除采购文件另有规定外，按照下列规定修正：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36.1 投标函中表述的内容与报价表中不一致的，以报价表为准；报价表中的内容与报价明细表不一致的，以报价表为准；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36.2 投标文件中的大写金额和小写金额不一致的，以大写金额为准；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36.3 单价金额小数点或者百分比有明显错位的，以开标一览表的总价为准，并修改单价；</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36.4 总价金额与按单价汇总金额不一致的，以单价金额计算结果为准；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36.5 若用文字表示的数值与用数字表示的数值不一致，以文字表示的数值为准；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36.7 对不同文字文本投标文件的解释发生异议的，以中文文本为准；</w:t>
      </w:r>
    </w:p>
    <w:p>
      <w:pPr>
        <w:shd w:val="clear" w:color="auto" w:fill="auto"/>
        <w:spacing w:line="440" w:lineRule="exact"/>
        <w:ind w:firstLine="213" w:firstLineChars="100"/>
        <w:jc w:val="left"/>
        <w:rPr>
          <w:rFonts w:hint="eastAsia" w:ascii="宋体"/>
          <w:b/>
          <w:bCs/>
          <w:color w:val="auto"/>
          <w:szCs w:val="21"/>
          <w:highlight w:val="none"/>
          <w:lang w:val="en-US" w:eastAsia="zh-CN"/>
        </w:rPr>
      </w:pPr>
      <w:r>
        <w:rPr>
          <w:rFonts w:hint="eastAsia" w:ascii="宋体"/>
          <w:b w:val="0"/>
          <w:bCs w:val="0"/>
          <w:color w:val="auto"/>
          <w:szCs w:val="21"/>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w:t>
      </w:r>
      <w:r>
        <w:rPr>
          <w:rFonts w:hint="eastAsia" w:ascii="宋体"/>
          <w:b/>
          <w:bCs/>
          <w:color w:val="auto"/>
          <w:szCs w:val="21"/>
          <w:highlight w:val="none"/>
          <w:lang w:val="en-US" w:eastAsia="zh-CN"/>
        </w:rPr>
        <w:t>修正应当采用电子询标的形式，并加盖公章（电子印章）。</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37．无效投标文件</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有下列情形之一的，投标文件按无效标处理：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 报名的投标人与参加投标的投标人发生实质性变更的且未提供有效证明的；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37.2投标人提交两份或两份以上内容不同的投标文件，未声明哪一份有效的；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37.3 投标文件非投标人法定代表人签署的，未提供或提供无效的法定代表人授权书；</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37.4 未按招标文件规定装订；</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37.5 投标文件内容未按招标文件规定签字或盖章的；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37.6 投标文件组成漏项或未按规定的格式编制或投标文件正、副本份数不足或内容不全或内容字迹模糊辨认不清的等而导致评标活动无法正常进行；</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37.7 投标人未按招标文件变更通知更改投标文件的；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37.8 《开标一览表</w:t>
      </w:r>
      <w:r>
        <w:rPr>
          <w:rFonts w:hint="eastAsia" w:ascii="宋体" w:hAnsi="Times New Roman" w:eastAsia="宋体" w:cs="Times New Roman"/>
          <w:b w:val="0"/>
          <w:bCs w:val="0"/>
          <w:color w:val="auto"/>
          <w:szCs w:val="21"/>
          <w:highlight w:val="none"/>
          <w:lang w:val="en-US" w:eastAsia="zh-CN"/>
        </w:rPr>
        <w:t>》和《投标分项报价表》内容不完</w:t>
      </w:r>
      <w:r>
        <w:rPr>
          <w:rFonts w:hint="eastAsia" w:ascii="宋体"/>
          <w:b w:val="0"/>
          <w:bCs w:val="0"/>
          <w:color w:val="auto"/>
          <w:szCs w:val="21"/>
          <w:highlight w:val="none"/>
          <w:lang w:val="en-US" w:eastAsia="zh-CN"/>
        </w:rPr>
        <w:t>整且不接受修正意见或字迹不能辨认的或未提供；</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37.9 标项投标报价超过招标文件规定的预算金额或最高限价</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37.10 因投标人原因编制错误造成经评标委员会修正后的报价达到或超过投标报价的0.5%；</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37.11 投标人的报价明显低于其他通过符合性审查投标人的报价，有可能影响产品质量或者不能诚信履约的，且在规定时间内不能合理说明原因并提供证明材料的；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37.12 未实质性响应招标文件中条款要求的投标文件；</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37.13 不符合招标范围、技术规格、技术标准的要求无法满足采购人使用要求；</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37.14 投标文件附有采购人不能接受的条款；</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37.15 投标文件中提供了赠品或者与本项目采购无关的其他商品、服务；</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37.16 投标文件中承诺的投标有效期少于招标文件中载明的投标有效期；</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37.17投标人串通投标，妨碍其他投标人的竞争行为，损害采购人或者其他投标人的合法权益；</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37.18违反国家及政府部门相关法律、法规、文件规定或经评标委员会认定的其他属于重大偏离；</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38．废标</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38.1 符合招标文件规定废标情形的；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38.2 出现影响采购公正的违法、违规行为的；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38.3 供应商的报价均超过了采购预算（或最高限价），采购人不能支付的;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38.4 因重大变故，采购任务取消的。</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39．突发情况处理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39.1 采购过程中出现以下情形，导致电子交易平台无法正常运行，或者无法保证电子交易的公平、公正和安全时，采购组织机构可中止电子交易活动：</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（1）电子交易平台发生故障而无法登录访问的； </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（2）电子交易平台应用或数据库出现错误，不能进行正常操作的；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（3）电子交易平台发现严重安全漏洞，有潜在泄密危险的；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（4）病毒发作导致不能进行正常操作的； </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（5）其他无法保证电子交易的公平、公正和安全的情况。</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出现前款规定情形，不影响采购公平、公正性的，采购组织机构可以待上述情形消除后继续组织电子交易活动，也可以决定某些环节以纸质形式进行；影响或可能影响采购公平、公正性的，应当重新采购。</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39.2 采购代理机构或评审小组因不可抗力（不可抗力包括但不限于自然灾害、断电、传播疫病等）原因造成电子交易活动无法正常运行的，将采取以下措施：</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（1）短时间内能消除不可抗力因素的，采购代理机构或评审小组在消除不可抗力因素后继续组织电子交易活动；</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（2）长时间内无法消除不可抗力因素的，采购代理机构或评审小组将中止电子交易活动。中止电子交易活动的，采购人应当重新组织政府采购活动。</w:t>
      </w:r>
    </w:p>
    <w:p>
      <w:pPr>
        <w:shd w:val="clear" w:color="auto" w:fill="auto"/>
        <w:spacing w:line="440" w:lineRule="exact"/>
        <w:ind w:firstLine="213" w:firstLineChars="100"/>
        <w:jc w:val="left"/>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40.定标</w:t>
      </w:r>
    </w:p>
    <w:p>
      <w:pPr>
        <w:shd w:val="clear" w:color="auto" w:fill="auto"/>
        <w:spacing w:line="440" w:lineRule="exact"/>
        <w:ind w:firstLine="426" w:firstLineChars="200"/>
        <w:jc w:val="left"/>
        <w:rPr>
          <w:rFonts w:hint="eastAsia" w:ascii="宋体"/>
          <w:b w:val="0"/>
          <w:bCs w:val="0"/>
          <w:color w:val="auto"/>
          <w:szCs w:val="21"/>
          <w:highlight w:val="none"/>
          <w:lang w:val="en-US" w:eastAsia="zh-CN"/>
        </w:rPr>
      </w:pPr>
      <w:bookmarkStart w:id="34" w:name="_Toc469495729"/>
      <w:r>
        <w:rPr>
          <w:rFonts w:hint="eastAsia" w:ascii="宋体"/>
          <w:b w:val="0"/>
          <w:bCs w:val="0"/>
          <w:color w:val="auto"/>
          <w:szCs w:val="21"/>
          <w:highlight w:val="none"/>
          <w:lang w:val="en-US" w:eastAsia="zh-CN"/>
        </w:rPr>
        <w:t>4</w:t>
      </w:r>
      <w:r>
        <w:rPr>
          <w:rFonts w:hint="eastAsia" w:ascii="宋体" w:hAnsi="宋体" w:eastAsia="宋体" w:cs="宋体"/>
          <w:b/>
          <w:color w:val="auto"/>
          <w:sz w:val="21"/>
          <w:szCs w:val="21"/>
          <w:highlight w:val="none"/>
          <w:lang w:val="en-US" w:eastAsia="zh-CN"/>
        </w:rPr>
        <w:t>0</w:t>
      </w:r>
      <w:r>
        <w:rPr>
          <w:rFonts w:hint="eastAsia" w:ascii="宋体"/>
          <w:b w:val="0"/>
          <w:bCs w:val="0"/>
          <w:color w:val="auto"/>
          <w:szCs w:val="21"/>
          <w:highlight w:val="none"/>
          <w:lang w:val="en-US" w:eastAsia="zh-CN"/>
        </w:rPr>
        <w:t>.1采购结果确认（确定中标供应商）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采购结果确认（确定中标供应商）：本项目由采购人根据评标委员会提交的《评审报告》，通过“政府采购云平台”依法确认采购结果、确定中标供应商。具体流程如下：</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（1）采购代理机构将在评审结束后2个工作日内将评审报告送采购人。</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 xml:space="preserve">（2）采购人将在收到评审报告之日起5个工作日内，在评审报告推荐的中标候选供应商名单中按顺序确定中标供应商，并将确认意见以书面形式回复采购代理机构。 </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40.2</w:t>
      </w:r>
      <w:r>
        <w:rPr>
          <w:rFonts w:hint="eastAsia" w:ascii="宋体"/>
          <w:b/>
          <w:bCs/>
          <w:color w:val="auto"/>
          <w:szCs w:val="21"/>
          <w:highlight w:val="none"/>
          <w:lang w:val="en-US" w:eastAsia="zh-CN"/>
        </w:rPr>
        <w:t>采购结果经采购人确认后2个工作日内，采购代理机构将在新疆政府采购网（www.zjzfcg.gov.cn）、克州公共资源交易中心网上公告采购结果，中标公告期限为1个工作日。</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41. 中标通知书</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41.1</w:t>
      </w:r>
      <w:r>
        <w:rPr>
          <w:rFonts w:hint="eastAsia" w:ascii="宋体" w:hAnsi="宋体" w:eastAsia="宋体" w:cs="宋体"/>
          <w:color w:val="auto"/>
          <w:szCs w:val="21"/>
          <w:highlight w:val="none"/>
        </w:rPr>
        <w:t>在</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通知书发出前，招标人将</w:t>
      </w:r>
      <w:r>
        <w:rPr>
          <w:rFonts w:hint="eastAsia" w:ascii="宋体" w:hAnsi="宋体" w:eastAsia="宋体" w:cs="宋体"/>
          <w:color w:val="auto"/>
          <w:szCs w:val="21"/>
          <w:highlight w:val="none"/>
          <w:lang w:eastAsia="zh-CN"/>
        </w:rPr>
        <w:t>中标</w:t>
      </w:r>
      <w:r>
        <w:rPr>
          <w:rFonts w:hint="eastAsia" w:ascii="宋体" w:hAnsi="宋体" w:eastAsia="宋体" w:cs="宋体"/>
          <w:color w:val="auto"/>
          <w:szCs w:val="21"/>
          <w:highlight w:val="none"/>
        </w:rPr>
        <w:t>侯选人的情况在</w:t>
      </w:r>
      <w:r>
        <w:rPr>
          <w:rFonts w:hint="eastAsia" w:ascii="宋体" w:hAnsi="宋体" w:eastAsia="宋体" w:cs="宋体"/>
          <w:color w:val="auto"/>
          <w:szCs w:val="21"/>
          <w:highlight w:val="none"/>
          <w:lang w:eastAsia="zh-CN"/>
        </w:rPr>
        <w:t>新疆政府采购网、</w:t>
      </w:r>
      <w:r>
        <w:rPr>
          <w:rFonts w:hint="eastAsia" w:ascii="宋体" w:hAnsi="宋体" w:eastAsia="宋体" w:cs="宋体"/>
          <w:color w:val="auto"/>
          <w:szCs w:val="21"/>
          <w:highlight w:val="none"/>
          <w:lang w:val="en-US" w:eastAsia="zh-CN"/>
        </w:rPr>
        <w:t>克州公共资源交易中心网</w:t>
      </w:r>
      <w:r>
        <w:rPr>
          <w:rFonts w:hint="eastAsia" w:ascii="宋体" w:hAnsi="宋体" w:eastAsia="宋体" w:cs="宋体"/>
          <w:color w:val="auto"/>
          <w:szCs w:val="21"/>
          <w:highlight w:val="none"/>
        </w:rPr>
        <w:t>予以公示，</w:t>
      </w:r>
      <w:r>
        <w:rPr>
          <w:rFonts w:hint="eastAsia" w:ascii="宋体" w:hAnsi="宋体" w:eastAsia="宋体" w:cs="宋体"/>
          <w:b/>
          <w:bCs/>
          <w:color w:val="auto"/>
          <w:szCs w:val="21"/>
          <w:highlight w:val="none"/>
        </w:rPr>
        <w:t>公示期为</w:t>
      </w:r>
      <w:r>
        <w:rPr>
          <w:rFonts w:hint="eastAsia" w:ascii="宋体" w:hAnsi="宋体" w:eastAsia="宋体" w:cs="宋体"/>
          <w:b/>
          <w:bCs/>
          <w:color w:val="auto"/>
          <w:szCs w:val="21"/>
          <w:highlight w:val="none"/>
          <w:lang w:eastAsia="zh-CN"/>
        </w:rPr>
        <w:t>一</w:t>
      </w:r>
      <w:r>
        <w:rPr>
          <w:rFonts w:hint="eastAsia" w:ascii="宋体" w:hAnsi="宋体" w:eastAsia="宋体" w:cs="宋体"/>
          <w:b/>
          <w:bCs/>
          <w:color w:val="auto"/>
          <w:szCs w:val="21"/>
          <w:highlight w:val="none"/>
        </w:rPr>
        <w:t>个工作日。</w:t>
      </w:r>
      <w:r>
        <w:rPr>
          <w:rFonts w:hint="eastAsia" w:ascii="宋体" w:hAnsi="宋体" w:eastAsia="宋体" w:cs="宋体"/>
          <w:b/>
          <w:bCs/>
          <w:color w:val="auto"/>
          <w:szCs w:val="21"/>
          <w:highlight w:val="none"/>
          <w:lang w:eastAsia="zh-CN"/>
        </w:rPr>
        <w:t>待公示期结束后，</w:t>
      </w:r>
      <w:r>
        <w:rPr>
          <w:rFonts w:hint="eastAsia" w:ascii="宋体"/>
          <w:b/>
          <w:bCs/>
          <w:color w:val="auto"/>
          <w:szCs w:val="21"/>
          <w:highlight w:val="none"/>
          <w:lang w:val="en-US" w:eastAsia="zh-CN"/>
        </w:rPr>
        <w:t>采购组织机构向中标人发出中标通知书。</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41.2中标通知书作为签订合同的重要依据，对采购人和中标供应商均具有法律效力。采购人改变中标结果或者中标供应商放弃中标项目的都应承担法律责任。中标供应商不得向他人转让中标项目，也不得将中标项目肢解后分别向他人转让。</w:t>
      </w:r>
    </w:p>
    <w:p>
      <w:pPr>
        <w:pStyle w:val="49"/>
        <w:ind w:left="0" w:leftChars="0" w:firstLine="0" w:firstLineChars="0"/>
        <w:rPr>
          <w:rFonts w:hint="eastAsia" w:ascii="宋体"/>
          <w:b w:val="0"/>
          <w:bCs w:val="0"/>
          <w:color w:val="auto"/>
          <w:szCs w:val="21"/>
          <w:highlight w:val="none"/>
          <w:lang w:val="en-US" w:eastAsia="zh-CN"/>
        </w:rPr>
      </w:pPr>
    </w:p>
    <w:p>
      <w:pPr>
        <w:shd w:val="clear" w:color="auto" w:fill="auto"/>
        <w:spacing w:before="156" w:beforeLines="50" w:line="440" w:lineRule="exact"/>
        <w:ind w:firstLine="3113" w:firstLineChars="1100"/>
        <w:jc w:val="both"/>
        <w:outlineLvl w:val="2"/>
        <w:rPr>
          <w:rFonts w:hint="eastAsia" w:ascii="黑体" w:eastAsia="黑体"/>
          <w:color w:val="auto"/>
          <w:sz w:val="24"/>
          <w:highlight w:val="none"/>
        </w:rPr>
      </w:pPr>
      <w:r>
        <w:rPr>
          <w:rFonts w:hint="eastAsia" w:ascii="黑体" w:eastAsia="黑体"/>
          <w:color w:val="auto"/>
          <w:sz w:val="28"/>
          <w:szCs w:val="28"/>
          <w:highlight w:val="none"/>
        </w:rPr>
        <w:t>（六）合同的授予</w:t>
      </w:r>
      <w:bookmarkEnd w:id="34"/>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bookmarkStart w:id="35" w:name="_Toc73975842"/>
      <w:bookmarkStart w:id="36" w:name="_Toc469495730"/>
      <w:r>
        <w:rPr>
          <w:rFonts w:hint="eastAsia" w:ascii="宋体"/>
          <w:b w:val="0"/>
          <w:bCs w:val="0"/>
          <w:color w:val="auto"/>
          <w:szCs w:val="21"/>
          <w:highlight w:val="none"/>
          <w:lang w:val="en-US" w:eastAsia="zh-CN"/>
        </w:rPr>
        <w:t>42．履约保证金</w:t>
      </w:r>
      <w:bookmarkEnd w:id="35"/>
    </w:p>
    <w:p>
      <w:pPr>
        <w:widowControl/>
        <w:spacing w:line="440" w:lineRule="exact"/>
        <w:ind w:firstLine="213" w:firstLineChars="100"/>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42.1 中标供应商在签订合同后5个工作日内向采购人交纳中标价</w:t>
      </w:r>
      <w:r>
        <w:rPr>
          <w:rFonts w:hint="eastAsia" w:ascii="宋体"/>
          <w:b/>
          <w:bCs/>
          <w:color w:val="auto"/>
          <w:szCs w:val="21"/>
          <w:highlight w:val="none"/>
          <w:lang w:val="en-US" w:eastAsia="zh-CN"/>
        </w:rPr>
        <w:t>10%的履约保证金</w:t>
      </w:r>
      <w:r>
        <w:rPr>
          <w:rFonts w:hint="eastAsia" w:ascii="宋体"/>
          <w:b w:val="0"/>
          <w:bCs w:val="0"/>
          <w:color w:val="auto"/>
          <w:szCs w:val="21"/>
          <w:highlight w:val="none"/>
          <w:lang w:val="en-US" w:eastAsia="zh-CN"/>
        </w:rPr>
        <w:t>（</w:t>
      </w:r>
      <w:r>
        <w:rPr>
          <w:rFonts w:hint="eastAsia" w:ascii="宋体" w:hAnsi="宋体" w:cs="宋体"/>
          <w:color w:val="auto"/>
          <w:kern w:val="0"/>
          <w:szCs w:val="21"/>
          <w:lang w:eastAsia="zh-CN"/>
        </w:rPr>
        <w:t>本项目履约保证金接收保函形式</w:t>
      </w:r>
      <w:r>
        <w:rPr>
          <w:rFonts w:hint="eastAsia" w:ascii="宋体"/>
          <w:b w:val="0"/>
          <w:bCs w:val="0"/>
          <w:color w:val="auto"/>
          <w:szCs w:val="21"/>
          <w:highlight w:val="none"/>
          <w:lang w:val="en-US" w:eastAsia="zh-CN"/>
        </w:rPr>
        <w:t>；若以电汇、银行转账方式提交的，必须转到采购人的指定账户）。</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42.2 签订合同后，如中标供应商不按合同约定履约的，履约保证金不予退还，履约保证金不足以赔偿损失的，按实际损失赔偿。</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42.3 如果中标供应商在供货期内没有涉及采购人的应付而未付金额或违约行为，采购人在项目验收合格后或提前终止合同后全额无息退还履约保证金。</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bookmarkStart w:id="37" w:name="_Toc73975843"/>
      <w:r>
        <w:rPr>
          <w:rFonts w:hint="eastAsia" w:ascii="宋体"/>
          <w:b w:val="0"/>
          <w:bCs w:val="0"/>
          <w:color w:val="auto"/>
          <w:szCs w:val="21"/>
          <w:highlight w:val="none"/>
          <w:lang w:val="en-US" w:eastAsia="zh-CN"/>
        </w:rPr>
        <w:t>43．签订合同及公告</w:t>
      </w:r>
      <w:bookmarkEnd w:id="37"/>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43.1采购人在中标通知书发出之日起30日内与中标供应商签订合同。</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43.2中标供应商拖延、拒签合同的,取消中标资格。</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43.3 采购文件、中标供应商的投标文件及评标过程中有关澄清文件等均作为签订合同的依据。所签订的合同不得对采购文件和中标供应商的投标文件的内容作实质性修改。</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43.4采购人应当自政府采购合同签订之日起2个工作日内，在省级以上财政部门指定的政府采购信息发布媒体及相关网站上公告。</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43.5采购人应当自政府采购合同签订之日起7个工作日内，将政府采购合同副本报同级人民政府财政部门备案以及采购代理机构存档。</w:t>
      </w:r>
    </w:p>
    <w:p>
      <w:pPr>
        <w:shd w:val="clear" w:color="auto" w:fill="auto"/>
        <w:adjustRightInd w:val="0"/>
        <w:snapToGrid w:val="0"/>
        <w:spacing w:line="440" w:lineRule="exact"/>
        <w:jc w:val="center"/>
        <w:outlineLvl w:val="2"/>
        <w:rPr>
          <w:rFonts w:hint="eastAsia" w:ascii="黑体" w:eastAsia="黑体"/>
          <w:color w:val="auto"/>
          <w:sz w:val="28"/>
          <w:szCs w:val="28"/>
          <w:highlight w:val="none"/>
        </w:rPr>
      </w:pPr>
      <w:r>
        <w:rPr>
          <w:rFonts w:hint="eastAsia" w:ascii="黑体" w:eastAsia="黑体"/>
          <w:color w:val="auto"/>
          <w:sz w:val="28"/>
          <w:szCs w:val="28"/>
          <w:highlight w:val="none"/>
        </w:rPr>
        <w:t>（七）纪律和监督</w:t>
      </w:r>
      <w:bookmarkEnd w:id="36"/>
    </w:p>
    <w:p>
      <w:pPr>
        <w:shd w:val="clear" w:color="auto" w:fill="auto"/>
        <w:spacing w:line="440" w:lineRule="exact"/>
        <w:ind w:firstLine="312" w:firstLineChars="147"/>
        <w:jc w:val="left"/>
        <w:rPr>
          <w:rFonts w:hint="eastAsia" w:ascii="宋体"/>
          <w:b/>
          <w:color w:val="auto"/>
          <w:szCs w:val="21"/>
          <w:highlight w:val="none"/>
        </w:rPr>
      </w:pPr>
      <w:r>
        <w:rPr>
          <w:rFonts w:hint="eastAsia" w:ascii="宋体"/>
          <w:b/>
          <w:color w:val="auto"/>
          <w:szCs w:val="21"/>
          <w:highlight w:val="none"/>
          <w:lang w:val="en-US" w:eastAsia="zh-CN"/>
        </w:rPr>
        <w:t>44</w:t>
      </w:r>
      <w:r>
        <w:rPr>
          <w:rFonts w:hint="eastAsia" w:ascii="宋体"/>
          <w:b/>
          <w:color w:val="auto"/>
          <w:szCs w:val="21"/>
          <w:highlight w:val="none"/>
        </w:rPr>
        <w:t xml:space="preserve">. 对招标人的纪律要求 </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lang w:val="en-US" w:eastAsia="zh-CN"/>
        </w:rPr>
        <w:t>44</w:t>
      </w:r>
      <w:r>
        <w:rPr>
          <w:rFonts w:hint="eastAsia" w:ascii="宋体"/>
          <w:color w:val="auto"/>
          <w:kern w:val="10"/>
          <w:szCs w:val="21"/>
          <w:highlight w:val="none"/>
        </w:rPr>
        <w:t xml:space="preserve">.1招标人不得泄漏招标投标活动中应当保密的情况和资料，不得与投标人串通损害国家利益，社会公共利益或者他人合法权益。 </w:t>
      </w:r>
    </w:p>
    <w:p>
      <w:pPr>
        <w:shd w:val="clear" w:color="auto" w:fill="auto"/>
        <w:spacing w:line="440" w:lineRule="exact"/>
        <w:ind w:firstLine="312" w:firstLineChars="147"/>
        <w:jc w:val="left"/>
        <w:rPr>
          <w:rFonts w:hint="eastAsia" w:ascii="宋体"/>
          <w:b/>
          <w:color w:val="auto"/>
          <w:szCs w:val="21"/>
          <w:highlight w:val="none"/>
        </w:rPr>
      </w:pPr>
      <w:r>
        <w:rPr>
          <w:rFonts w:hint="eastAsia" w:ascii="宋体"/>
          <w:b/>
          <w:color w:val="auto"/>
          <w:szCs w:val="21"/>
          <w:highlight w:val="none"/>
          <w:lang w:val="en-US" w:eastAsia="zh-CN"/>
        </w:rPr>
        <w:t>45</w:t>
      </w:r>
      <w:r>
        <w:rPr>
          <w:rFonts w:hint="eastAsia" w:ascii="宋体"/>
          <w:b/>
          <w:color w:val="auto"/>
          <w:szCs w:val="21"/>
          <w:highlight w:val="none"/>
        </w:rPr>
        <w:t xml:space="preserve">. 对投标人的纪律要求 </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lang w:val="en-US" w:eastAsia="zh-CN"/>
        </w:rPr>
        <w:t>45</w:t>
      </w:r>
      <w:r>
        <w:rPr>
          <w:rFonts w:hint="eastAsia" w:ascii="宋体"/>
          <w:color w:val="auto"/>
          <w:kern w:val="10"/>
          <w:szCs w:val="21"/>
          <w:highlight w:val="none"/>
        </w:rPr>
        <w:t>.1投标人不得相互串通投标或者与招标人串通投标，不得向招标人或者评标委员会成员行贿谋取中标，不得以他人名义投标或者以其他方式弄虚作假骗取中标；投标人不得以任何方式干扰、影响评标工作。</w:t>
      </w:r>
    </w:p>
    <w:p>
      <w:pPr>
        <w:shd w:val="clear" w:color="auto" w:fill="auto"/>
        <w:spacing w:line="440" w:lineRule="exact"/>
        <w:ind w:firstLine="312" w:firstLineChars="147"/>
        <w:jc w:val="left"/>
        <w:rPr>
          <w:rFonts w:hint="eastAsia" w:ascii="宋体"/>
          <w:b/>
          <w:color w:val="auto"/>
          <w:szCs w:val="21"/>
          <w:highlight w:val="none"/>
        </w:rPr>
      </w:pPr>
      <w:r>
        <w:rPr>
          <w:rFonts w:hint="eastAsia" w:ascii="宋体"/>
          <w:b/>
          <w:color w:val="auto"/>
          <w:szCs w:val="21"/>
          <w:highlight w:val="none"/>
          <w:lang w:val="en-US" w:eastAsia="zh-CN"/>
        </w:rPr>
        <w:t>46</w:t>
      </w:r>
      <w:r>
        <w:rPr>
          <w:rFonts w:hint="eastAsia" w:ascii="宋体"/>
          <w:b/>
          <w:color w:val="auto"/>
          <w:szCs w:val="21"/>
          <w:highlight w:val="none"/>
        </w:rPr>
        <w:t xml:space="preserve">. 对评标委员会成员的纪律要求 </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lang w:val="en-US" w:eastAsia="zh-CN"/>
        </w:rPr>
        <w:t>46</w:t>
      </w:r>
      <w:r>
        <w:rPr>
          <w:rFonts w:hint="eastAsia" w:ascii="宋体"/>
          <w:color w:val="auto"/>
          <w:kern w:val="10"/>
          <w:szCs w:val="21"/>
          <w:highlight w:val="none"/>
        </w:rPr>
        <w:t>.1评标委员会成员不得收受他人的财物或者其他好处，不得向他人透漏对投标文件的评审和比较、中标候选人的推荐情况以及评标有关的其他情况。</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lang w:val="en-US" w:eastAsia="zh-CN"/>
        </w:rPr>
        <w:t>46</w:t>
      </w:r>
      <w:r>
        <w:rPr>
          <w:rFonts w:hint="eastAsia" w:ascii="宋体"/>
          <w:color w:val="auto"/>
          <w:kern w:val="10"/>
          <w:szCs w:val="21"/>
          <w:highlight w:val="none"/>
        </w:rPr>
        <w:t xml:space="preserve">.2在评标活动中，评标委员会成员不得擅离职守，影响评标程序正常进行，不得使用第三章“评标办法”没有规定的评审因素和标准进行评标。 </w:t>
      </w:r>
    </w:p>
    <w:p>
      <w:pPr>
        <w:shd w:val="clear" w:color="auto" w:fill="auto"/>
        <w:adjustRightInd w:val="0"/>
        <w:snapToGrid w:val="0"/>
        <w:spacing w:line="440" w:lineRule="exact"/>
        <w:ind w:firstLine="319" w:firstLineChars="150"/>
        <w:rPr>
          <w:rFonts w:hint="eastAsia" w:ascii="宋体"/>
          <w:b/>
          <w:color w:val="auto"/>
          <w:szCs w:val="21"/>
          <w:highlight w:val="none"/>
        </w:rPr>
      </w:pPr>
      <w:r>
        <w:rPr>
          <w:rFonts w:hint="eastAsia" w:ascii="宋体"/>
          <w:b/>
          <w:color w:val="auto"/>
          <w:szCs w:val="21"/>
          <w:highlight w:val="none"/>
          <w:lang w:val="en-US" w:eastAsia="zh-CN"/>
        </w:rPr>
        <w:t>47</w:t>
      </w:r>
      <w:r>
        <w:rPr>
          <w:rFonts w:hint="eastAsia" w:ascii="宋体"/>
          <w:b/>
          <w:color w:val="auto"/>
          <w:szCs w:val="21"/>
          <w:highlight w:val="none"/>
        </w:rPr>
        <w:t xml:space="preserve">. 对与评标活动有关的工作人员的纪律要求 </w:t>
      </w:r>
    </w:p>
    <w:p>
      <w:pPr>
        <w:shd w:val="clear" w:color="auto" w:fill="auto"/>
        <w:adjustRightInd w:val="0"/>
        <w:snapToGrid w:val="0"/>
        <w:spacing w:line="440" w:lineRule="exact"/>
        <w:ind w:firstLine="319" w:firstLineChars="150"/>
        <w:rPr>
          <w:rFonts w:hint="eastAsia" w:ascii="宋体"/>
          <w:color w:val="auto"/>
          <w:kern w:val="10"/>
          <w:szCs w:val="21"/>
          <w:highlight w:val="none"/>
        </w:rPr>
      </w:pPr>
      <w:r>
        <w:rPr>
          <w:rFonts w:hint="eastAsia" w:ascii="宋体"/>
          <w:color w:val="auto"/>
          <w:kern w:val="10"/>
          <w:szCs w:val="21"/>
          <w:highlight w:val="none"/>
        </w:rPr>
        <w:t>4</w:t>
      </w:r>
      <w:r>
        <w:rPr>
          <w:rFonts w:hint="eastAsia" w:ascii="宋体"/>
          <w:color w:val="auto"/>
          <w:kern w:val="10"/>
          <w:szCs w:val="21"/>
          <w:highlight w:val="none"/>
          <w:lang w:val="en-US" w:eastAsia="zh-CN"/>
        </w:rPr>
        <w:t>7</w:t>
      </w:r>
      <w:r>
        <w:rPr>
          <w:rFonts w:hint="eastAsia" w:ascii="宋体"/>
          <w:color w:val="auto"/>
          <w:kern w:val="10"/>
          <w:szCs w:val="21"/>
          <w:highlight w:val="none"/>
        </w:rPr>
        <w:t>.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hd w:val="clear" w:color="auto" w:fill="auto"/>
        <w:spacing w:before="156" w:beforeLines="50" w:after="156" w:afterLines="50" w:line="500" w:lineRule="exact"/>
        <w:jc w:val="center"/>
        <w:rPr>
          <w:rFonts w:hint="eastAsia" w:ascii="黑体" w:hAnsi="宋体" w:eastAsia="黑体"/>
          <w:color w:val="auto"/>
          <w:sz w:val="28"/>
          <w:szCs w:val="28"/>
          <w:highlight w:val="none"/>
        </w:rPr>
      </w:pPr>
      <w:r>
        <w:rPr>
          <w:rFonts w:hint="eastAsia" w:ascii="黑体" w:eastAsia="黑体"/>
          <w:color w:val="auto"/>
          <w:sz w:val="28"/>
          <w:szCs w:val="28"/>
          <w:highlight w:val="none"/>
        </w:rPr>
        <w:t>（八）</w:t>
      </w:r>
      <w:r>
        <w:rPr>
          <w:rFonts w:hint="eastAsia" w:ascii="黑体" w:hAnsi="宋体" w:eastAsia="黑体"/>
          <w:color w:val="auto"/>
          <w:sz w:val="28"/>
          <w:szCs w:val="28"/>
          <w:highlight w:val="none"/>
        </w:rPr>
        <w:t>质疑与投诉</w:t>
      </w:r>
    </w:p>
    <w:p>
      <w:pPr>
        <w:shd w:val="clear" w:color="auto" w:fill="auto"/>
        <w:spacing w:line="440" w:lineRule="exact"/>
        <w:ind w:firstLine="312" w:firstLineChars="147"/>
        <w:jc w:val="left"/>
        <w:rPr>
          <w:rFonts w:hint="eastAsia" w:ascii="宋体" w:hAnsi="Times New Roman" w:eastAsia="宋体" w:cs="Times New Roman"/>
          <w:b/>
          <w:color w:val="auto"/>
          <w:szCs w:val="21"/>
          <w:highlight w:val="none"/>
          <w:lang w:val="en-US" w:eastAsia="zh-CN"/>
        </w:rPr>
      </w:pPr>
      <w:r>
        <w:rPr>
          <w:rFonts w:hint="eastAsia" w:ascii="宋体" w:hAnsi="Times New Roman" w:eastAsia="宋体" w:cs="Times New Roman"/>
          <w:b/>
          <w:color w:val="auto"/>
          <w:szCs w:val="21"/>
          <w:highlight w:val="none"/>
          <w:lang w:val="en-US" w:eastAsia="zh-CN"/>
        </w:rPr>
        <w:t>48．质疑和投诉</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48.1.供应商认为采购文件、采购过程和中标结果使自己的权益受到损害的，可以在知道或者应知其权益受到损害之日起七个工作日内，以书面形式向采购人提出质疑。供应商应当在法定质疑期内一次性提出针对同一采购程序环节的质疑。供应商应知其权益受到损害之日，是指：</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（一）对可以质疑的采购文件提出质疑的，为收到采购文件之日或者采购文件公告期限届满之日；</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（二）对采购过程提出质疑的，为各采购程序环节结束之日；</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（三）对中标结果提出质疑的，为中标结果公告期限届满之日。</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48.2供应商提出质疑应当提交质疑函和必要的证明材料。质疑函应当包括下列内容：供应商的姓名或者名称、地址、邮编、联系人及联系电话；质疑项目的名称、编号；具体、明确的质疑事项和与质疑事项相关的请求；事实依据；必要的法律依据；提出质疑的日期。（具体格式详见附件）</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供应商为自然人的，应当由本人签字；供应商为法人或者其他组织的，应当由法定代表人、主要负责人，或者其授权代表签字或者盖章，并加盖公章。</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48.3供应商质疑、投诉应当有明确的请求和必要的证明材料。供应商投诉的事项不得超出已质疑事项的范围。采购人及采购代理机构按《政府采购质疑和投诉办法》进行处理供应商质疑事项。</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48.4质疑供应商对采购人、采购代理机构的质疑答复不满意，或者采购人、采购代理机构未在规定期限内作出答复的，供应商可以在答复期满后15个工作日内向同级财政部门提起投诉。</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48.5</w:t>
      </w:r>
      <w:r>
        <w:rPr>
          <w:rFonts w:hint="eastAsia" w:ascii="宋体" w:hAnsi="Times New Roman" w:eastAsia="宋体" w:cs="Times New Roman"/>
          <w:b w:val="0"/>
          <w:bCs w:val="0"/>
          <w:color w:val="auto"/>
          <w:szCs w:val="21"/>
          <w:highlight w:val="none"/>
          <w:lang w:val="en-US" w:eastAsia="zh-CN"/>
        </w:rPr>
        <w:t>供应商有下列情形之一的，采购代理机构上报至克州财政局政府采购办，</w:t>
      </w:r>
      <w:r>
        <w:rPr>
          <w:rFonts w:hint="eastAsia" w:ascii="宋体"/>
          <w:b w:val="0"/>
          <w:bCs w:val="0"/>
          <w:color w:val="auto"/>
          <w:szCs w:val="21"/>
          <w:highlight w:val="none"/>
          <w:lang w:val="en-US" w:eastAsia="zh-CN"/>
        </w:rPr>
        <w:t>将其列入不良行为记录名单：</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（一）一年内三次以上质疑均查无实据的；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（二）捏造事实或者提供虚假质疑材料的。</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（三）以非法手段取得证明材料。证据来源的合法性存在明显疑问，质疑人无法证明其取得方式合法的，视为以非法手段取得证明材料。</w:t>
      </w:r>
    </w:p>
    <w:p>
      <w:pPr>
        <w:shd w:val="clear" w:color="auto" w:fill="auto"/>
        <w:spacing w:line="360" w:lineRule="exact"/>
        <w:jc w:val="center"/>
        <w:rPr>
          <w:rFonts w:hint="eastAsia" w:ascii="黑体" w:eastAsia="黑体"/>
          <w:color w:val="auto"/>
          <w:sz w:val="30"/>
          <w:szCs w:val="30"/>
          <w:highlight w:val="none"/>
        </w:rPr>
      </w:pPr>
    </w:p>
    <w:p>
      <w:pPr>
        <w:pStyle w:val="49"/>
        <w:shd w:val="clear" w:color="auto" w:fill="auto"/>
        <w:rPr>
          <w:rFonts w:hint="eastAsia" w:ascii="黑体" w:eastAsia="黑体"/>
          <w:color w:val="auto"/>
          <w:sz w:val="30"/>
          <w:szCs w:val="30"/>
          <w:highlight w:val="none"/>
        </w:rPr>
      </w:pPr>
    </w:p>
    <w:p>
      <w:pPr>
        <w:pStyle w:val="49"/>
        <w:shd w:val="clear" w:color="auto" w:fill="auto"/>
        <w:rPr>
          <w:rFonts w:hint="eastAsia" w:ascii="黑体" w:eastAsia="黑体"/>
          <w:color w:val="auto"/>
          <w:sz w:val="30"/>
          <w:szCs w:val="30"/>
          <w:highlight w:val="none"/>
        </w:rPr>
      </w:pPr>
    </w:p>
    <w:p>
      <w:pPr>
        <w:pStyle w:val="49"/>
        <w:shd w:val="clear" w:color="auto" w:fill="auto"/>
        <w:rPr>
          <w:rFonts w:hint="eastAsia" w:ascii="黑体" w:eastAsia="黑体"/>
          <w:color w:val="auto"/>
          <w:sz w:val="30"/>
          <w:szCs w:val="30"/>
          <w:highlight w:val="none"/>
        </w:rPr>
      </w:pPr>
    </w:p>
    <w:p>
      <w:pPr>
        <w:pStyle w:val="49"/>
        <w:shd w:val="clear" w:color="auto" w:fill="auto"/>
        <w:rPr>
          <w:rFonts w:hint="eastAsia" w:ascii="黑体" w:eastAsia="黑体"/>
          <w:color w:val="auto"/>
          <w:sz w:val="30"/>
          <w:szCs w:val="30"/>
          <w:highlight w:val="none"/>
        </w:rPr>
      </w:pPr>
    </w:p>
    <w:p>
      <w:pPr>
        <w:shd w:val="clear" w:color="auto" w:fill="auto"/>
        <w:jc w:val="left"/>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pStyle w:val="27"/>
        <w:rPr>
          <w:rFonts w:hint="eastAsia" w:ascii="宋体" w:hAnsi="宋体" w:eastAsia="宋体" w:cs="宋体"/>
          <w:b/>
          <w:bCs/>
          <w:color w:val="auto"/>
          <w:sz w:val="21"/>
          <w:szCs w:val="21"/>
          <w:highlight w:val="none"/>
          <w:lang w:eastAsia="zh-CN"/>
        </w:rPr>
      </w:pPr>
    </w:p>
    <w:p>
      <w:pPr>
        <w:pStyle w:val="27"/>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p>
    <w:p>
      <w:pPr>
        <w:pStyle w:val="2"/>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2"/>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2"/>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2"/>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2"/>
        <w:rPr>
          <w:rFonts w:hint="eastAsia" w:ascii="宋体" w:hAnsi="宋体" w:eastAsia="宋体" w:cs="宋体"/>
          <w:b/>
          <w:bCs/>
          <w:color w:val="auto"/>
          <w:sz w:val="21"/>
          <w:szCs w:val="21"/>
          <w:highlight w:val="none"/>
          <w:lang w:eastAsia="zh-CN"/>
        </w:rPr>
      </w:pPr>
    </w:p>
    <w:p>
      <w:pPr>
        <w:rPr>
          <w:rFonts w:hint="eastAsia" w:ascii="宋体" w:hAnsi="宋体" w:eastAsia="宋体" w:cs="宋体"/>
          <w:b/>
          <w:bCs/>
          <w:color w:val="auto"/>
          <w:sz w:val="21"/>
          <w:szCs w:val="21"/>
          <w:highlight w:val="none"/>
          <w:lang w:eastAsia="zh-CN"/>
        </w:rPr>
      </w:pPr>
    </w:p>
    <w:p>
      <w:pPr>
        <w:pStyle w:val="2"/>
        <w:rPr>
          <w:rFonts w:hint="eastAsia"/>
          <w:color w:val="auto"/>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pStyle w:val="49"/>
        <w:rPr>
          <w:rFonts w:hint="eastAsia" w:ascii="宋体" w:hAnsi="宋体" w:eastAsia="宋体" w:cs="宋体"/>
          <w:b/>
          <w:bCs/>
          <w:color w:val="auto"/>
          <w:sz w:val="21"/>
          <w:szCs w:val="21"/>
          <w:highlight w:val="none"/>
          <w:lang w:eastAsia="zh-CN"/>
        </w:rPr>
      </w:pPr>
    </w:p>
    <w:p>
      <w:pPr>
        <w:shd w:val="clear" w:color="auto" w:fill="auto"/>
        <w:jc w:val="left"/>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附件：</w:t>
      </w:r>
    </w:p>
    <w:p>
      <w:pPr>
        <w:shd w:val="clear" w:color="auto" w:fill="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32"/>
          <w:szCs w:val="32"/>
          <w:highlight w:val="none"/>
          <w:lang w:eastAsia="zh-CN"/>
        </w:rPr>
        <w:t>政府采购投诉书（范本）、质疑函范本</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政府采购投诉书（范本）</w:t>
      </w:r>
    </w:p>
    <w:p>
      <w:pPr>
        <w:pStyle w:val="49"/>
        <w:rPr>
          <w:rFonts w:hint="eastAsia"/>
          <w:color w:val="auto"/>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委托代理人姓名：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职务：</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住址：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被投诉人：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我公司参加了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年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日被投诉人组织的</w:t>
      </w:r>
      <w:r>
        <w:rPr>
          <w:rFonts w:hint="eastAsia" w:ascii="宋体" w:hAnsi="宋体" w:eastAsia="宋体" w:cs="宋体"/>
          <w:color w:val="auto"/>
          <w:sz w:val="21"/>
          <w:szCs w:val="21"/>
          <w:highlight w:val="none"/>
          <w:u w:val="single"/>
        </w:rPr>
        <w:t>（采购人）（项目名称）（项目编号）</w:t>
      </w:r>
      <w:r>
        <w:rPr>
          <w:rFonts w:hint="eastAsia" w:ascii="宋体" w:hAnsi="宋体" w:eastAsia="宋体" w:cs="宋体"/>
          <w:color w:val="auto"/>
          <w:sz w:val="21"/>
          <w:szCs w:val="21"/>
          <w:highlight w:val="none"/>
        </w:rPr>
        <w:t>的采购活动，我公司认为该项目的</w:t>
      </w:r>
      <w:r>
        <w:rPr>
          <w:rFonts w:hint="eastAsia" w:ascii="宋体" w:hAnsi="宋体" w:eastAsia="宋体" w:cs="宋体"/>
          <w:color w:val="auto"/>
          <w:sz w:val="21"/>
          <w:szCs w:val="21"/>
          <w:highlight w:val="none"/>
          <w:u w:val="single"/>
        </w:rPr>
        <w:t>（采购文件/采购过程/中标（</w:t>
      </w:r>
      <w:r>
        <w:rPr>
          <w:rFonts w:hint="eastAsia" w:ascii="宋体" w:hAnsi="宋体" w:eastAsia="宋体" w:cs="宋体"/>
          <w:color w:val="auto"/>
          <w:sz w:val="21"/>
          <w:szCs w:val="21"/>
          <w:highlight w:val="none"/>
          <w:u w:val="single"/>
          <w:lang w:eastAsia="zh-CN"/>
        </w:rPr>
        <w:t>中标</w:t>
      </w:r>
      <w:r>
        <w:rPr>
          <w:rFonts w:hint="eastAsia" w:ascii="宋体" w:hAnsi="宋体" w:eastAsia="宋体" w:cs="宋体"/>
          <w:color w:val="auto"/>
          <w:sz w:val="21"/>
          <w:szCs w:val="21"/>
          <w:highlight w:val="none"/>
          <w:u w:val="single"/>
        </w:rPr>
        <w:t>）结果）</w:t>
      </w:r>
      <w:r>
        <w:rPr>
          <w:rFonts w:hint="eastAsia" w:ascii="宋体" w:hAnsi="宋体" w:eastAsia="宋体" w:cs="宋体"/>
          <w:color w:val="auto"/>
          <w:sz w:val="21"/>
          <w:szCs w:val="21"/>
          <w:highlight w:val="none"/>
        </w:rPr>
        <w:t>损害了我公司权益，对此，我公司于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日向</w:t>
      </w:r>
      <w:r>
        <w:rPr>
          <w:rFonts w:hint="eastAsia" w:ascii="宋体" w:hAnsi="宋体" w:eastAsia="宋体" w:cs="宋体"/>
          <w:color w:val="auto"/>
          <w:sz w:val="21"/>
          <w:szCs w:val="21"/>
          <w:highlight w:val="none"/>
          <w:u w:val="single"/>
        </w:rPr>
        <w:t>（采购人或者政府采购代理机构）</w:t>
      </w:r>
      <w:r>
        <w:rPr>
          <w:rFonts w:hint="eastAsia" w:ascii="宋体" w:hAnsi="宋体" w:eastAsia="宋体" w:cs="宋体"/>
          <w:color w:val="auto"/>
          <w:sz w:val="21"/>
          <w:szCs w:val="21"/>
          <w:highlight w:val="none"/>
        </w:rPr>
        <w:t>提出了质疑，</w:t>
      </w:r>
      <w:r>
        <w:rPr>
          <w:rFonts w:hint="eastAsia" w:ascii="宋体" w:hAnsi="宋体" w:eastAsia="宋体" w:cs="宋体"/>
          <w:color w:val="auto"/>
          <w:sz w:val="21"/>
          <w:szCs w:val="21"/>
          <w:highlight w:val="none"/>
          <w:u w:val="single"/>
        </w:rPr>
        <w:t>（其于    年  月  日作出书面答复，因对其作出的答复不满意）/（被质疑人未在法定期内予以答复，按照政府采购有关规定）</w:t>
      </w:r>
      <w:r>
        <w:rPr>
          <w:rFonts w:hint="eastAsia" w:ascii="宋体" w:hAnsi="宋体" w:eastAsia="宋体" w:cs="宋体"/>
          <w:color w:val="auto"/>
          <w:sz w:val="21"/>
          <w:szCs w:val="21"/>
          <w:highlight w:val="none"/>
        </w:rPr>
        <w:t>，现向贵机关提起投诉：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u w:val="single"/>
        </w:rPr>
        <w:t>具体的投诉事项及事实依据；</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u w:val="single"/>
        </w:rPr>
        <w:t>质疑和质疑答复情况简要描述；</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u w:val="single"/>
        </w:rPr>
        <w:t>投诉请求。</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1.质疑书和质疑答复书；</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2.证据材料（需注明证据来源），证人的姓名、住址和联系方式等；</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3.营业执照；</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4.法定代表人身份证明函</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5.法定代表人授权委托书（包含法定代表人和委托代理人的身份证复印件）；</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6.政府采购监管部门认为应当提供的其它材料。</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投诉供应商：（盖章）</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法定代表人（或主要负责人）：（签字）</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3408" w:firstLineChars="16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widowControl w:val="0"/>
        <w:shd w:val="clear" w:color="auto" w:fill="auto"/>
        <w:kinsoku/>
        <w:wordWrap/>
        <w:overflowPunct/>
        <w:topLinePunct w:val="0"/>
        <w:autoSpaceDE/>
        <w:autoSpaceDN/>
        <w:bidi w:val="0"/>
        <w:adjustRightInd/>
        <w:snapToGrid/>
        <w:spacing w:line="400" w:lineRule="exact"/>
        <w:jc w:val="right"/>
        <w:textAlignment w:val="auto"/>
        <w:rPr>
          <w:rFonts w:hint="eastAsia" w:ascii="宋体" w:hAnsi="宋体" w:eastAsia="宋体" w:cs="宋体"/>
          <w:b/>
          <w:bCs/>
          <w:color w:val="auto"/>
          <w:sz w:val="32"/>
          <w:szCs w:val="32"/>
          <w:highlight w:val="none"/>
        </w:rPr>
      </w:pPr>
      <w:r>
        <w:rPr>
          <w:rFonts w:hint="eastAsia" w:ascii="宋体" w:hAnsi="宋体" w:eastAsia="宋体" w:cs="宋体"/>
          <w:color w:val="auto"/>
          <w:sz w:val="21"/>
          <w:szCs w:val="21"/>
          <w:highlight w:val="none"/>
        </w:rPr>
        <w:t>本投诉书正本叁份，副本</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份并附电子文档。</w:t>
      </w:r>
      <w:bookmarkStart w:id="38" w:name="_Toc17515"/>
    </w:p>
    <w:p>
      <w:pPr>
        <w:shd w:val="clear" w:color="auto" w:fill="auto"/>
        <w:ind w:left="7951" w:hanging="5814" w:hangingChars="1800"/>
        <w:jc w:val="center"/>
        <w:outlineLvl w:val="0"/>
        <w:rPr>
          <w:rFonts w:hint="eastAsia" w:ascii="宋体" w:hAnsi="宋体" w:eastAsia="宋体" w:cs="宋体"/>
          <w:b/>
          <w:bCs/>
          <w:color w:val="auto"/>
          <w:sz w:val="32"/>
          <w:szCs w:val="32"/>
          <w:highlight w:val="none"/>
        </w:rPr>
      </w:pPr>
    </w:p>
    <w:p>
      <w:pPr>
        <w:shd w:val="clear" w:color="auto" w:fill="auto"/>
        <w:ind w:left="7951" w:hanging="5814" w:hangingChars="1800"/>
        <w:jc w:val="center"/>
        <w:outlineLvl w:val="0"/>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t>投诉相关说明</w:t>
      </w:r>
      <w:bookmarkEnd w:id="38"/>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投诉人应当满足《政府采购法》、《政府采购法实施条例》和《政府采购供应商投诉处理办法》的相关规定。</w:t>
      </w:r>
    </w:p>
    <w:p>
      <w:pPr>
        <w:keepNext w:val="0"/>
        <w:keepLines w:val="0"/>
        <w:pageBreakBefore w:val="0"/>
        <w:numPr>
          <w:ilvl w:val="0"/>
          <w:numId w:val="7"/>
        </w:numPr>
        <w:shd w:val="clear" w:color="auto" w:fill="auto"/>
        <w:kinsoku/>
        <w:wordWrap/>
        <w:overflowPunct/>
        <w:topLinePunct w:val="0"/>
        <w:autoSpaceDE/>
        <w:autoSpaceDN/>
        <w:bidi w:val="0"/>
        <w:adjustRightInd/>
        <w:snapToGrid/>
        <w:spacing w:line="400" w:lineRule="exact"/>
        <w:ind w:left="4055" w:leftChars="304" w:hanging="3408" w:hangingChars="1600"/>
        <w:textAlignment w:val="auto"/>
        <w:outlineLvl w:val="0"/>
        <w:rPr>
          <w:rFonts w:hint="eastAsia" w:ascii="宋体" w:hAnsi="宋体" w:eastAsia="宋体" w:cs="宋体"/>
          <w:b/>
          <w:bCs/>
          <w:color w:val="auto"/>
          <w:sz w:val="21"/>
          <w:szCs w:val="21"/>
          <w:highlight w:val="none"/>
        </w:rPr>
      </w:pPr>
      <w:bookmarkStart w:id="39" w:name="_Toc11499"/>
      <w:r>
        <w:rPr>
          <w:rFonts w:hint="eastAsia" w:ascii="宋体" w:hAnsi="宋体" w:eastAsia="宋体" w:cs="宋体"/>
          <w:b/>
          <w:bCs/>
          <w:color w:val="auto"/>
          <w:sz w:val="21"/>
          <w:szCs w:val="21"/>
          <w:highlight w:val="none"/>
        </w:rPr>
        <w:t>质疑前置及时间要求</w:t>
      </w:r>
      <w:bookmarkEnd w:id="39"/>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sz w:val="21"/>
          <w:szCs w:val="21"/>
          <w:highlight w:val="none"/>
        </w:rPr>
        <w:t>《中华人民共和国政府采购法》</w:t>
      </w:r>
      <w:r>
        <w:rPr>
          <w:rFonts w:hint="eastAsia" w:ascii="宋体" w:hAnsi="宋体" w:eastAsia="宋体" w:cs="宋体"/>
          <w:color w:val="auto"/>
          <w:kern w:val="0"/>
          <w:sz w:val="21"/>
          <w:szCs w:val="21"/>
          <w:highlight w:val="none"/>
          <w:shd w:val="clear" w:color="auto" w:fill="FFFFFF"/>
        </w:rPr>
        <w:t>第五十一条：供应商对政府采购活动事项有疑问的，可以向采购人提出询问，采购人应当及时作出答复，但答复的内容不得涉及商业秘密。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shd w:val="clear" w:color="auto" w:fill="FFFFFF"/>
        </w:rPr>
        <w:t xml:space="preserve"> 第五十二条：供应商认为采购文件、采购过程和中标、</w:t>
      </w:r>
      <w:r>
        <w:rPr>
          <w:rFonts w:hint="eastAsia" w:ascii="宋体" w:hAnsi="宋体" w:eastAsia="宋体" w:cs="宋体"/>
          <w:color w:val="auto"/>
          <w:kern w:val="0"/>
          <w:sz w:val="21"/>
          <w:szCs w:val="21"/>
          <w:highlight w:val="none"/>
          <w:shd w:val="clear" w:color="auto" w:fill="FFFFFF"/>
          <w:lang w:eastAsia="zh-CN"/>
        </w:rPr>
        <w:t>中标</w:t>
      </w:r>
      <w:r>
        <w:rPr>
          <w:rFonts w:hint="eastAsia" w:ascii="宋体" w:hAnsi="宋体" w:eastAsia="宋体" w:cs="宋体"/>
          <w:color w:val="auto"/>
          <w:kern w:val="0"/>
          <w:sz w:val="21"/>
          <w:szCs w:val="21"/>
          <w:highlight w:val="none"/>
          <w:shd w:val="clear" w:color="auto" w:fill="FFFFFF"/>
        </w:rPr>
        <w:t>结果使自己的权益受到损害的，可以在知道或者应知其权益受到损害之日起七个工作日内，以书面形式向采购人提出质疑。</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第五十三条：采购人应当在收到供应商的书面质疑后七个工作日内作出答复，并以书面形式通知质疑供应商和其他有关供应商，但答复的内容不得涉及商业秘密。</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第五十五条:质疑供应商对采购人、采购代理机构的答复不满意或者采购人、采购代理机构未在规定的时间内作出答复的，可以在答复期满后十五个工作日内向同级政府采购监督管理部门投诉。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widowControl/>
        <w:shd w:val="clear" w:color="auto" w:fill="auto"/>
        <w:kinsoku/>
        <w:wordWrap/>
        <w:overflowPunct/>
        <w:topLinePunct w:val="0"/>
        <w:autoSpaceDE/>
        <w:autoSpaceDN/>
        <w:bidi w:val="0"/>
        <w:adjustRightInd/>
        <w:snapToGrid/>
        <w:spacing w:line="400" w:lineRule="exact"/>
        <w:ind w:firstLine="420"/>
        <w:jc w:val="left"/>
        <w:textAlignment w:val="auto"/>
        <w:rPr>
          <w:rFonts w:hint="eastAsia" w:ascii="宋体" w:hAnsi="宋体" w:eastAsia="宋体" w:cs="宋体"/>
          <w:color w:val="auto"/>
          <w:kern w:val="0"/>
          <w:sz w:val="21"/>
          <w:szCs w:val="21"/>
          <w:highlight w:val="none"/>
          <w:shd w:val="clear" w:color="auto" w:fill="FFFFFF"/>
        </w:rPr>
      </w:pPr>
      <w:r>
        <w:rPr>
          <w:rFonts w:hint="eastAsia" w:ascii="宋体" w:hAnsi="宋体" w:eastAsia="宋体" w:cs="宋体"/>
          <w:color w:val="auto"/>
          <w:kern w:val="0"/>
          <w:sz w:val="21"/>
          <w:szCs w:val="21"/>
          <w:highlight w:val="none"/>
          <w:shd w:val="clear" w:color="auto" w:fill="FFFFFF"/>
        </w:rPr>
        <w:t xml:space="preserve">  《政府采购实施条例》第五十五条：供应商质疑、投诉应当有明确的请求和必要的证明材料。供应商投诉的事项不得超出质疑事项的范围。</w:t>
      </w:r>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 xml:space="preserve"> </w:t>
      </w:r>
      <w:bookmarkStart w:id="40" w:name="_Toc13508"/>
      <w:r>
        <w:rPr>
          <w:rFonts w:hint="eastAsia" w:ascii="宋体" w:hAnsi="宋体" w:eastAsia="宋体" w:cs="宋体"/>
          <w:b/>
          <w:bCs/>
          <w:color w:val="auto"/>
          <w:sz w:val="21"/>
          <w:szCs w:val="21"/>
          <w:highlight w:val="none"/>
        </w:rPr>
        <w:t>二、书面方式</w:t>
      </w:r>
      <w:bookmarkEnd w:id="40"/>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834"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《政府采购供应商投诉处理办法》第八条：投诉人投诉</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时，应当提交投诉书，并按照被投诉人以及与投诉事项有关的供应商数量提供投诉书的副本。</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834"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投诉书应当包括下列主要内容：</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投诉人和被投诉人的名称、地址、电话等；</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具体的投诉事项及事实依据；</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质疑和质疑答复情况及相关证明材料；</w:t>
      </w:r>
    </w:p>
    <w:p>
      <w:pPr>
        <w:keepNext w:val="0"/>
        <w:keepLines w:val="0"/>
        <w:pageBreakBefore w:val="0"/>
        <w:numPr>
          <w:ilvl w:val="0"/>
          <w:numId w:val="8"/>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提起投诉的日期。</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投诉书应当署名。投诉人为自然人，应当由本人签字；投诉人为法人或者其他组织的，应当由法定代表人或者主要负责人签字并加盖公章。</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九条：投诉人可以委托代理人办理投诉事务。代理人办理投书事务时，除提交投诉书外，还应当向同级财政部门提交投诉人的授权委托书，授权委托书应当载明委托代理的具体权限和事项。</w:t>
      </w:r>
    </w:p>
    <w:p>
      <w:pPr>
        <w:keepNext w:val="0"/>
        <w:keepLines w:val="0"/>
        <w:pageBreakBefore w:val="0"/>
        <w:shd w:val="clear" w:color="auto" w:fill="auto"/>
        <w:kinsoku/>
        <w:wordWrap/>
        <w:overflowPunct/>
        <w:topLinePunct w:val="0"/>
        <w:autoSpaceDE/>
        <w:autoSpaceDN/>
        <w:bidi w:val="0"/>
        <w:adjustRightInd/>
        <w:snapToGrid/>
        <w:spacing w:line="400" w:lineRule="exact"/>
        <w:ind w:firstLine="645"/>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《政府采购供应商投诉处理办法》第十条：投诉人提起投诉应当符合下列条件：</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投诉人是参与所投诉政府采购活动的供应商；</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提起投诉诉前已依法进行质疑；</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投诉书内容符合本办法的规定；</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在投诉有效期内提起投诉；</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属于本级财政部门管辖；</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同一投诉事项未经财政部门投诉处理；</w:t>
      </w:r>
    </w:p>
    <w:p>
      <w:pPr>
        <w:keepNext w:val="0"/>
        <w:keepLines w:val="0"/>
        <w:pageBreakBefore w:val="0"/>
        <w:numPr>
          <w:ilvl w:val="0"/>
          <w:numId w:val="9"/>
        </w:numPr>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国务院财政部门规定的其他条件。</w:t>
      </w:r>
    </w:p>
    <w:p>
      <w:pPr>
        <w:keepNext w:val="0"/>
        <w:keepLines w:val="0"/>
        <w:pageBreakBefore w:val="0"/>
        <w:shd w:val="clear" w:color="auto" w:fill="auto"/>
        <w:kinsoku/>
        <w:wordWrap/>
        <w:overflowPunct/>
        <w:topLinePunct w:val="0"/>
        <w:autoSpaceDE/>
        <w:autoSpaceDN/>
        <w:bidi w:val="0"/>
        <w:adjustRightInd/>
        <w:snapToGrid/>
        <w:spacing w:line="400" w:lineRule="exact"/>
        <w:ind w:left="5760" w:hanging="3834" w:hangingChars="18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shd w:val="clear" w:color="auto" w:fill="auto"/>
        <w:outlineLvl w:val="0"/>
        <w:rPr>
          <w:rFonts w:hint="eastAsia"/>
          <w:color w:val="auto"/>
          <w:sz w:val="21"/>
          <w:szCs w:val="21"/>
          <w:highlight w:val="none"/>
        </w:rPr>
      </w:pPr>
      <w:r>
        <w:rPr>
          <w:rFonts w:hint="eastAsia"/>
          <w:color w:val="auto"/>
          <w:sz w:val="21"/>
          <w:szCs w:val="21"/>
          <w:highlight w:val="none"/>
        </w:rPr>
        <w:t xml:space="preserve"> </w:t>
      </w:r>
      <w:r>
        <w:rPr>
          <w:rFonts w:hint="eastAsia" w:ascii="宋体" w:hAnsi="宋体" w:eastAsia="宋体" w:cs="宋体"/>
          <w:b/>
          <w:bCs/>
          <w:color w:val="auto"/>
          <w:sz w:val="21"/>
          <w:szCs w:val="21"/>
          <w:highlight w:val="none"/>
        </w:rPr>
        <w:t xml:space="preserve">   </w:t>
      </w:r>
      <w:bookmarkStart w:id="41" w:name="_Toc5978"/>
      <w:r>
        <w:rPr>
          <w:rFonts w:hint="eastAsia" w:ascii="宋体" w:hAnsi="宋体" w:eastAsia="宋体" w:cs="宋体"/>
          <w:b/>
          <w:bCs/>
          <w:color w:val="auto"/>
          <w:sz w:val="21"/>
          <w:szCs w:val="21"/>
          <w:highlight w:val="none"/>
        </w:rPr>
        <w:t>三、虚假、恶意投诉法律责任</w:t>
      </w:r>
      <w:bookmarkEnd w:id="41"/>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第七十三条：供应商捏造实施、提供虚假材料或者以非法手段取得证明材料进行投诉的，由财政部门列入不良行为记录名单，禁止其1至3年内参加政府采购活动。</w:t>
      </w:r>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《政府采购供应商投诉处理办法》第二十六条：投诉人有下列情形之一的，属于虚假、恶意投诉，财政部门应当驳回投诉，将其列入不良行为记录名单，并依法予以处罚：</w:t>
      </w:r>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（一）1年内3次以上投诉均查无实据的；</w:t>
      </w:r>
    </w:p>
    <w:p>
      <w:pPr>
        <w:keepNext w:val="0"/>
        <w:keepLines w:val="0"/>
        <w:pageBreakBefore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（二）捏造事实或者提供虚假投诉材料的。</w:t>
      </w: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keepNext w:val="0"/>
        <w:keepLines w:val="0"/>
        <w:pageBreakBefore w:val="0"/>
        <w:shd w:val="clear" w:color="auto" w:fill="auto"/>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1"/>
          <w:szCs w:val="21"/>
          <w:highlight w:val="none"/>
        </w:rPr>
      </w:pPr>
    </w:p>
    <w:p>
      <w:pPr>
        <w:shd w:val="clear" w:color="auto" w:fill="auto"/>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递交投诉书地址：</w:t>
      </w:r>
      <w:r>
        <w:rPr>
          <w:rFonts w:hint="eastAsia" w:ascii="宋体" w:hAnsi="宋体" w:cs="宋体"/>
          <w:color w:val="auto"/>
          <w:sz w:val="21"/>
          <w:szCs w:val="21"/>
          <w:highlight w:val="none"/>
          <w:lang w:val="en-US" w:eastAsia="zh-CN"/>
        </w:rPr>
        <w:t>阿图什市</w:t>
      </w:r>
      <w:r>
        <w:rPr>
          <w:rFonts w:hint="eastAsia" w:ascii="宋体" w:hAnsi="宋体" w:eastAsia="宋体" w:cs="宋体"/>
          <w:color w:val="auto"/>
          <w:sz w:val="21"/>
          <w:szCs w:val="21"/>
          <w:highlight w:val="none"/>
          <w:lang w:val="en-US" w:eastAsia="zh-CN"/>
        </w:rPr>
        <w:t>财政局政府采购办</w:t>
      </w:r>
      <w:r>
        <w:rPr>
          <w:rFonts w:hint="eastAsia" w:ascii="宋体" w:hAnsi="宋体" w:eastAsia="宋体" w:cs="宋体"/>
          <w:color w:val="auto"/>
          <w:sz w:val="21"/>
          <w:szCs w:val="21"/>
          <w:highlight w:val="none"/>
        </w:rPr>
        <w:t>监管办公室</w:t>
      </w:r>
    </w:p>
    <w:p>
      <w:pPr>
        <w:shd w:val="clear" w:color="auto" w:fill="auto"/>
        <w:jc w:val="right"/>
        <w:rPr>
          <w:rFonts w:hint="eastAsia" w:ascii="宋体" w:hAnsi="宋体" w:eastAsia="宋体" w:cs="宋体"/>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pStyle w:val="27"/>
        <w:rPr>
          <w:rFonts w:hint="eastAsia" w:ascii="宋体" w:hAnsi="宋体" w:eastAsia="宋体" w:cs="宋体"/>
          <w:b/>
          <w:bCs/>
          <w:color w:val="auto"/>
          <w:sz w:val="44"/>
          <w:szCs w:val="44"/>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both"/>
        <w:textAlignment w:val="auto"/>
        <w:outlineLvl w:val="0"/>
        <w:rPr>
          <w:rFonts w:hint="eastAsia" w:ascii="宋体" w:hAnsi="宋体" w:eastAsia="宋体" w:cs="宋体"/>
          <w:b/>
          <w:bCs/>
          <w:color w:val="auto"/>
          <w:sz w:val="32"/>
          <w:szCs w:val="32"/>
          <w:highlight w:val="none"/>
        </w:rPr>
      </w:pPr>
      <w:bookmarkStart w:id="42" w:name="_Toc1697"/>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p>
    <w:p>
      <w:pPr>
        <w:keepNext w:val="0"/>
        <w:keepLines w:val="0"/>
        <w:pageBreakBefore w:val="0"/>
        <w:widowControl w:val="0"/>
        <w:shd w:val="clear" w:color="auto" w:fill="auto"/>
        <w:kinsoku/>
        <w:wordWrap/>
        <w:overflowPunct/>
        <w:topLinePunct w:val="0"/>
        <w:autoSpaceDE/>
        <w:autoSpaceDN/>
        <w:bidi w:val="0"/>
        <w:spacing w:line="540" w:lineRule="exact"/>
        <w:jc w:val="center"/>
        <w:textAlignment w:val="auto"/>
        <w:outlineLvl w:val="0"/>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质疑函范本</w:t>
      </w:r>
      <w:bookmarkEnd w:id="42"/>
    </w:p>
    <w:p>
      <w:pPr>
        <w:keepNext w:val="0"/>
        <w:keepLines w:val="0"/>
        <w:pageBreakBefore w:val="0"/>
        <w:widowControl w:val="0"/>
        <w:shd w:val="clear" w:color="auto" w:fill="auto"/>
        <w:kinsoku/>
        <w:wordWrap/>
        <w:overflowPunct/>
        <w:topLinePunct w:val="0"/>
        <w:autoSpaceDE/>
        <w:autoSpaceDN/>
        <w:bidi w:val="0"/>
        <w:adjustRightInd w:val="0"/>
        <w:snapToGrid w:val="0"/>
        <w:spacing w:beforeLines="100" w:line="540" w:lineRule="exact"/>
        <w:ind w:firstLine="426" w:firstLineChars="200"/>
        <w:textAlignment w:val="auto"/>
        <w:outlineLvl w:val="0"/>
        <w:rPr>
          <w:rFonts w:hint="eastAsia" w:ascii="宋体" w:hAnsi="宋体" w:eastAsia="宋体" w:cs="宋体"/>
          <w:bCs/>
          <w:color w:val="auto"/>
          <w:sz w:val="21"/>
          <w:szCs w:val="21"/>
          <w:highlight w:val="none"/>
        </w:rPr>
      </w:pPr>
      <w:bookmarkStart w:id="43" w:name="_Toc9061"/>
      <w:r>
        <w:rPr>
          <w:rFonts w:hint="eastAsia" w:ascii="宋体" w:hAnsi="宋体" w:eastAsia="宋体" w:cs="宋体"/>
          <w:bCs/>
          <w:color w:val="auto"/>
          <w:sz w:val="21"/>
          <w:szCs w:val="21"/>
          <w:highlight w:val="none"/>
        </w:rPr>
        <w:t>一、质疑供应商基本信息</w:t>
      </w:r>
      <w:bookmarkEnd w:id="43"/>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质疑供应商：</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授权代表：</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地址： </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邮编：</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outlineLvl w:val="0"/>
        <w:rPr>
          <w:rFonts w:hint="eastAsia" w:ascii="宋体" w:hAnsi="宋体" w:eastAsia="宋体" w:cs="宋体"/>
          <w:bCs/>
          <w:color w:val="auto"/>
          <w:sz w:val="21"/>
          <w:szCs w:val="21"/>
          <w:highlight w:val="none"/>
        </w:rPr>
      </w:pPr>
      <w:bookmarkStart w:id="44" w:name="_Toc15938"/>
      <w:r>
        <w:rPr>
          <w:rFonts w:hint="eastAsia" w:ascii="宋体" w:hAnsi="宋体" w:eastAsia="宋体" w:cs="宋体"/>
          <w:bCs/>
          <w:color w:val="auto"/>
          <w:sz w:val="21"/>
          <w:szCs w:val="21"/>
          <w:highlight w:val="none"/>
        </w:rPr>
        <w:t>二、质疑项目基本情况</w:t>
      </w:r>
      <w:bookmarkEnd w:id="44"/>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质疑项目的名称：</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质疑项目的编号：</w:t>
      </w:r>
      <w:r>
        <w:rPr>
          <w:rFonts w:hint="eastAsia" w:ascii="宋体" w:hAnsi="宋体" w:eastAsia="宋体" w:cs="宋体"/>
          <w:color w:val="auto"/>
          <w:sz w:val="21"/>
          <w:szCs w:val="21"/>
          <w:highlight w:val="none"/>
          <w:u w:val="dotted"/>
        </w:rPr>
        <w:t xml:space="preserve">               </w:t>
      </w:r>
      <w:r>
        <w:rPr>
          <w:rFonts w:hint="eastAsia" w:ascii="宋体" w:hAnsi="宋体" w:eastAsia="宋体" w:cs="宋体"/>
          <w:color w:val="auto"/>
          <w:sz w:val="21"/>
          <w:szCs w:val="21"/>
          <w:highlight w:val="none"/>
        </w:rPr>
        <w:t>包号：</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采购人名称：</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采购文件获取日期：</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outlineLvl w:val="0"/>
        <w:rPr>
          <w:rFonts w:hint="eastAsia" w:ascii="宋体" w:hAnsi="宋体" w:eastAsia="宋体" w:cs="宋体"/>
          <w:bCs/>
          <w:color w:val="auto"/>
          <w:sz w:val="21"/>
          <w:szCs w:val="21"/>
          <w:highlight w:val="none"/>
        </w:rPr>
      </w:pPr>
      <w:bookmarkStart w:id="45" w:name="_Toc18271"/>
      <w:r>
        <w:rPr>
          <w:rFonts w:hint="eastAsia" w:ascii="宋体" w:hAnsi="宋体" w:eastAsia="宋体" w:cs="宋体"/>
          <w:bCs/>
          <w:color w:val="auto"/>
          <w:sz w:val="21"/>
          <w:szCs w:val="21"/>
          <w:highlight w:val="none"/>
        </w:rPr>
        <w:t>三、质疑事项具体内容</w:t>
      </w:r>
      <w:bookmarkEnd w:id="45"/>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质疑事项1：</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事实依据：</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法律依据：</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质疑事项2</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outlineLvl w:val="0"/>
        <w:rPr>
          <w:rFonts w:hint="eastAsia" w:ascii="宋体" w:hAnsi="宋体" w:eastAsia="宋体" w:cs="宋体"/>
          <w:bCs/>
          <w:color w:val="auto"/>
          <w:sz w:val="21"/>
          <w:szCs w:val="21"/>
          <w:highlight w:val="none"/>
        </w:rPr>
      </w:pPr>
      <w:bookmarkStart w:id="46" w:name="_Toc22365"/>
      <w:r>
        <w:rPr>
          <w:rFonts w:hint="eastAsia" w:ascii="宋体" w:hAnsi="宋体" w:eastAsia="宋体" w:cs="宋体"/>
          <w:bCs/>
          <w:color w:val="auto"/>
          <w:sz w:val="21"/>
          <w:szCs w:val="21"/>
          <w:highlight w:val="none"/>
        </w:rPr>
        <w:t>四、与质疑事项相关的质疑请求</w:t>
      </w:r>
      <w:bookmarkEnd w:id="46"/>
    </w:p>
    <w:p>
      <w:pPr>
        <w:keepNext w:val="0"/>
        <w:keepLines w:val="0"/>
        <w:pageBreakBefore w:val="0"/>
        <w:widowControl w:val="0"/>
        <w:shd w:val="clear" w:color="auto" w:fill="auto"/>
        <w:kinsoku/>
        <w:wordWrap/>
        <w:overflowPunct/>
        <w:topLinePunct w:val="0"/>
        <w:autoSpaceDE/>
        <w:autoSpaceDN/>
        <w:bidi w:val="0"/>
        <w:adjustRightInd w:val="0"/>
        <w:snapToGrid w:val="0"/>
        <w:spacing w:line="540" w:lineRule="exact"/>
        <w:ind w:firstLine="426" w:firstLineChars="200"/>
        <w:textAlignment w:val="auto"/>
        <w:rPr>
          <w:rFonts w:hint="eastAsia" w:ascii="宋体" w:hAnsi="宋体" w:eastAsia="宋体" w:cs="宋体"/>
          <w:color w:val="auto"/>
          <w:sz w:val="21"/>
          <w:szCs w:val="21"/>
          <w:highlight w:val="none"/>
          <w:u w:val="dotted"/>
        </w:rPr>
      </w:pPr>
      <w:r>
        <w:rPr>
          <w:rFonts w:hint="eastAsia" w:ascii="宋体" w:hAnsi="宋体" w:eastAsia="宋体" w:cs="宋体"/>
          <w:color w:val="auto"/>
          <w:sz w:val="21"/>
          <w:szCs w:val="21"/>
          <w:highlight w:val="none"/>
        </w:rPr>
        <w:t>请求：</w:t>
      </w:r>
      <w:r>
        <w:rPr>
          <w:rFonts w:hint="eastAsia" w:ascii="宋体" w:hAnsi="宋体" w:eastAsia="宋体" w:cs="宋体"/>
          <w:color w:val="auto"/>
          <w:sz w:val="21"/>
          <w:szCs w:val="21"/>
          <w:highlight w:val="none"/>
          <w:u w:val="dotted"/>
        </w:rPr>
        <w:t xml:space="preserve">                                               </w:t>
      </w:r>
    </w:p>
    <w:p>
      <w:pPr>
        <w:keepNext w:val="0"/>
        <w:keepLines w:val="0"/>
        <w:pageBreakBefore w:val="0"/>
        <w:widowControl w:val="0"/>
        <w:shd w:val="clear" w:color="auto" w:fill="auto"/>
        <w:kinsoku/>
        <w:wordWrap/>
        <w:overflowPunct/>
        <w:topLinePunct w:val="0"/>
        <w:autoSpaceDE/>
        <w:autoSpaceDN/>
        <w:bidi w:val="0"/>
        <w:spacing w:line="540" w:lineRule="exact"/>
        <w:ind w:firstLine="426"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签字(签章)：                   公章：                      </w:t>
      </w:r>
    </w:p>
    <w:p>
      <w:pPr>
        <w:keepNext w:val="0"/>
        <w:keepLines w:val="0"/>
        <w:pageBreakBefore w:val="0"/>
        <w:widowControl w:val="0"/>
        <w:shd w:val="clear" w:color="auto" w:fill="auto"/>
        <w:kinsoku/>
        <w:wordWrap/>
        <w:overflowPunct/>
        <w:topLinePunct w:val="0"/>
        <w:autoSpaceDE/>
        <w:autoSpaceDN/>
        <w:bidi w:val="0"/>
        <w:spacing w:line="540" w:lineRule="exact"/>
        <w:ind w:firstLine="426"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 xml:space="preserve">日期：    </w:t>
      </w:r>
    </w:p>
    <w:p>
      <w:pPr>
        <w:pStyle w:val="49"/>
        <w:shd w:val="clear" w:color="auto" w:fill="auto"/>
        <w:ind w:left="0" w:leftChars="0" w:firstLine="0" w:firstLineChars="0"/>
        <w:rPr>
          <w:rFonts w:hint="eastAsia" w:ascii="黑体" w:eastAsia="黑体"/>
          <w:color w:val="auto"/>
          <w:sz w:val="30"/>
          <w:szCs w:val="30"/>
          <w:highlight w:val="none"/>
        </w:rPr>
      </w:pPr>
    </w:p>
    <w:p>
      <w:pPr>
        <w:pageBreakBefore/>
        <w:shd w:val="clear" w:color="auto" w:fill="auto"/>
        <w:spacing w:line="440" w:lineRule="exact"/>
        <w:jc w:val="center"/>
        <w:outlineLvl w:val="0"/>
        <w:rPr>
          <w:rFonts w:hint="eastAsia" w:ascii="黑体" w:eastAsia="黑体"/>
          <w:color w:val="auto"/>
          <w:sz w:val="30"/>
          <w:szCs w:val="30"/>
          <w:highlight w:val="none"/>
        </w:rPr>
      </w:pPr>
      <w:bookmarkStart w:id="47" w:name="_Toc469495731"/>
      <w:r>
        <w:rPr>
          <w:rFonts w:hint="eastAsia" w:ascii="黑体" w:eastAsia="黑体"/>
          <w:color w:val="auto"/>
          <w:sz w:val="30"/>
          <w:szCs w:val="30"/>
          <w:highlight w:val="none"/>
        </w:rPr>
        <w:t>第三章  评标办法</w:t>
      </w:r>
      <w:bookmarkEnd w:id="47"/>
    </w:p>
    <w:p>
      <w:pPr>
        <w:shd w:val="clear" w:color="auto" w:fill="auto"/>
        <w:jc w:val="center"/>
        <w:outlineLvl w:val="1"/>
        <w:rPr>
          <w:rFonts w:hint="eastAsia" w:ascii="宋体" w:hAnsi="Times New Roman" w:eastAsia="宋体" w:cs="Times New Roman"/>
          <w:b/>
          <w:color w:val="auto"/>
          <w:sz w:val="28"/>
          <w:szCs w:val="28"/>
          <w:highlight w:val="none"/>
        </w:rPr>
      </w:pPr>
      <w:bookmarkStart w:id="48" w:name="_Toc469495733"/>
      <w:bookmarkStart w:id="49" w:name="_Toc362983802"/>
      <w:bookmarkStart w:id="50" w:name="_Toc363135205"/>
      <w:bookmarkStart w:id="51" w:name="_Toc267320058"/>
      <w:r>
        <w:rPr>
          <w:rFonts w:hint="eastAsia" w:ascii="宋体" w:hAnsi="Times New Roman" w:eastAsia="宋体" w:cs="Times New Roman"/>
          <w:b/>
          <w:color w:val="auto"/>
          <w:sz w:val="28"/>
          <w:szCs w:val="28"/>
          <w:highlight w:val="none"/>
        </w:rPr>
        <w:t>一</w:t>
      </w:r>
      <w:r>
        <w:rPr>
          <w:rFonts w:hint="eastAsia" w:ascii="宋体" w:hAnsi="Times New Roman" w:eastAsia="宋体" w:cs="Times New Roman"/>
          <w:b/>
          <w:color w:val="auto"/>
          <w:sz w:val="28"/>
          <w:szCs w:val="28"/>
          <w:highlight w:val="none"/>
          <w:lang w:val="en-US" w:eastAsia="zh-CN"/>
        </w:rPr>
        <w:t xml:space="preserve">  </w:t>
      </w:r>
      <w:r>
        <w:rPr>
          <w:rFonts w:hint="eastAsia" w:ascii="宋体" w:hAnsi="Times New Roman" w:eastAsia="宋体" w:cs="Times New Roman"/>
          <w:b/>
          <w:color w:val="auto"/>
          <w:sz w:val="28"/>
          <w:szCs w:val="28"/>
          <w:highlight w:val="none"/>
        </w:rPr>
        <w:t>总  则</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1、一般规定</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1.1本项目的招标按照《中华人民共和国政府采购法》、《政府采购货物和服务招标投标管理办法》及政府采购的有关规定进行。</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1.2评标必须遵循邀请、公平、公正、诚实信用的原则。</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1.3招标代理机构组织招标、开标、评标工作，全过程接受政府采购有关部门的监督、管理和指导。</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1.4评标按照招标文件规定的内容进行，采取符合招标文件要求的最低评标价法；</w:t>
      </w:r>
    </w:p>
    <w:p>
      <w:pPr>
        <w:shd w:val="clear" w:color="auto" w:fill="auto"/>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1.5本办法的评标对象是指投标人按照招标文件要求提供的有效投标文件，包括投标人应评标委员会要求对原投标文件作出的正式书面澄清文件。</w:t>
      </w:r>
    </w:p>
    <w:p>
      <w:pPr>
        <w:shd w:val="clear" w:color="auto" w:fill="auto"/>
        <w:tabs>
          <w:tab w:val="left" w:pos="567"/>
          <w:tab w:val="left" w:pos="1145"/>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2、评标组织机构的组成</w:t>
      </w:r>
    </w:p>
    <w:p>
      <w:pPr>
        <w:widowControl/>
        <w:shd w:val="clear" w:color="auto" w:fill="auto"/>
        <w:spacing w:line="440" w:lineRule="exact"/>
        <w:ind w:firstLine="480"/>
        <w:rPr>
          <w:rFonts w:hint="eastAsia" w:ascii="宋体" w:hAnsi="宋体" w:eastAsia="宋体" w:cs="宋体"/>
          <w:b/>
          <w:bCs/>
          <w:color w:val="auto"/>
          <w:kern w:val="0"/>
          <w:szCs w:val="21"/>
          <w:highlight w:val="none"/>
        </w:rPr>
      </w:pPr>
      <w:r>
        <w:rPr>
          <w:rFonts w:hint="eastAsia" w:ascii="宋体" w:hAnsi="宋体" w:eastAsia="宋体" w:cs="宋体"/>
          <w:b/>
          <w:bCs/>
          <w:color w:val="auto"/>
          <w:szCs w:val="21"/>
          <w:highlight w:val="none"/>
        </w:rPr>
        <w:t>2.1</w:t>
      </w:r>
      <w:r>
        <w:rPr>
          <w:rFonts w:hint="eastAsia" w:ascii="宋体" w:hAnsi="宋体" w:eastAsia="宋体" w:cs="宋体"/>
          <w:color w:val="auto"/>
          <w:spacing w:val="-2"/>
          <w:sz w:val="24"/>
          <w:szCs w:val="24"/>
          <w:highlight w:val="none"/>
        </w:rPr>
        <w:t xml:space="preserve"> </w:t>
      </w:r>
      <w:r>
        <w:rPr>
          <w:rFonts w:hint="eastAsia" w:ascii="宋体" w:hAnsi="宋体" w:eastAsia="宋体" w:cs="宋体"/>
          <w:b/>
          <w:bCs/>
          <w:color w:val="auto"/>
          <w:kern w:val="0"/>
          <w:szCs w:val="21"/>
          <w:highlight w:val="none"/>
          <w:lang w:bidi="ar-SA"/>
        </w:rPr>
        <w:t>评标委员会由采购人代表和有关技术、经济等方面的专家组成，成员人数应当为</w:t>
      </w:r>
      <w:r>
        <w:rPr>
          <w:rFonts w:hint="eastAsia" w:ascii="宋体" w:hAnsi="宋体" w:cs="宋体"/>
          <w:b/>
          <w:bCs/>
          <w:color w:val="auto"/>
          <w:kern w:val="0"/>
          <w:szCs w:val="21"/>
          <w:highlight w:val="none"/>
          <w:lang w:val="en-US" w:eastAsia="zh-CN" w:bidi="ar-SA"/>
        </w:rPr>
        <w:t>5</w:t>
      </w:r>
      <w:r>
        <w:rPr>
          <w:rFonts w:hint="eastAsia" w:ascii="宋体" w:hAnsi="宋体" w:eastAsia="宋体" w:cs="宋体"/>
          <w:b/>
          <w:bCs/>
          <w:color w:val="auto"/>
          <w:kern w:val="0"/>
          <w:szCs w:val="21"/>
          <w:highlight w:val="none"/>
          <w:lang w:bidi="ar-SA"/>
        </w:rPr>
        <w:t>人。</w:t>
      </w:r>
      <w:r>
        <w:rPr>
          <w:rFonts w:hint="eastAsia" w:ascii="宋体" w:hAnsi="宋体" w:eastAsia="宋体" w:cs="宋体"/>
          <w:color w:val="auto"/>
          <w:kern w:val="0"/>
          <w:szCs w:val="21"/>
          <w:highlight w:val="none"/>
          <w:lang w:bidi="ar-SA"/>
        </w:rPr>
        <w:t>其中，技术、经济等方面的专家不得少于成员总数的三分之二。采购数额在1000万元以上、技术复杂的项目，评标委员会中技术、经济方面的专家人数应当为七人以上单数。采购人应当从同级或上一级财政部门设立的政府采购评审专家库中，通过随机方式抽取评标专家。采购人对技术复杂、专业性极强的采购项目，通过随机方式难以确定合适评标专家的，经设区的市、自治州以上人民政府财政部门同意，可以采取选择性方式确定评标专家。</w:t>
      </w:r>
    </w:p>
    <w:p>
      <w:pPr>
        <w:shd w:val="clear" w:color="auto" w:fill="auto"/>
        <w:tabs>
          <w:tab w:val="left" w:pos="567"/>
          <w:tab w:val="left" w:pos="1145"/>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2.2评标工作组由招标人及有关专家组成，由评标委员会确认，并接受其领导。</w:t>
      </w:r>
    </w:p>
    <w:p>
      <w:pPr>
        <w:shd w:val="clear" w:color="auto" w:fill="auto"/>
        <w:tabs>
          <w:tab w:val="left" w:pos="567"/>
          <w:tab w:val="left" w:pos="1145"/>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2.3评标委员会应相对独立工作，负责评标、撰写技术、商务评标报告。采购代理机构负责评标过程中资料的保管、发放、回收，整理、汇总评标资料。</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3、评标委员会职责</w:t>
      </w:r>
    </w:p>
    <w:p>
      <w:pPr>
        <w:pStyle w:val="53"/>
        <w:shd w:val="clear" w:color="auto" w:fill="auto"/>
        <w:spacing w:before="0" w:beforeAutospacing="0" w:after="0" w:afterAutospacing="0" w:line="440" w:lineRule="exact"/>
        <w:ind w:firstLine="542"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3.1审查投标文件是否符合招标文件要求，并作出评价；</w:t>
      </w:r>
    </w:p>
    <w:p>
      <w:pPr>
        <w:pStyle w:val="53"/>
        <w:shd w:val="clear" w:color="auto" w:fill="auto"/>
        <w:spacing w:before="0" w:beforeAutospacing="0" w:after="0" w:afterAutospacing="0" w:line="440" w:lineRule="exact"/>
        <w:ind w:firstLine="542"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3.2要求投标人对投标文件有关事项作出解释或者澄清；</w:t>
      </w:r>
    </w:p>
    <w:p>
      <w:pPr>
        <w:pStyle w:val="53"/>
        <w:shd w:val="clear" w:color="auto" w:fill="auto"/>
        <w:spacing w:before="0" w:beforeAutospacing="0" w:after="0" w:afterAutospacing="0" w:line="440" w:lineRule="exact"/>
        <w:ind w:firstLine="542"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3.3推荐中标候选人名单；</w:t>
      </w:r>
    </w:p>
    <w:p>
      <w:pPr>
        <w:pStyle w:val="53"/>
        <w:shd w:val="clear" w:color="auto" w:fill="auto"/>
        <w:spacing w:before="0" w:beforeAutospacing="0" w:after="0" w:afterAutospacing="0" w:line="440" w:lineRule="exact"/>
        <w:ind w:firstLine="542" w:firstLineChars="255"/>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3.4向招标人、招标代理机构或者有关部门报告非法干预评标工作的行为。</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4、评标委员会义务</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4.1遵纪守法，客观、公正、廉洁地履行职责；</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4.2按照招标文件规定的评标方法和评标标准进行评标，对评审意见承担个人责任；</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4.3对评标过程和结果，以及投标人的商业秘密保密；</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4.4参与评标报告的起草；</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4.5配合有关部门的投诉处理工作；</w:t>
      </w:r>
    </w:p>
    <w:p>
      <w:pPr>
        <w:shd w:val="clear" w:color="auto" w:fill="auto"/>
        <w:tabs>
          <w:tab w:val="left" w:pos="567"/>
          <w:tab w:val="left" w:pos="600"/>
        </w:tabs>
        <w:spacing w:line="440" w:lineRule="exact"/>
        <w:ind w:firstLine="542" w:firstLineChars="255"/>
        <w:rPr>
          <w:rFonts w:hint="eastAsia" w:ascii="宋体" w:hAnsi="宋体" w:eastAsia="宋体" w:cs="宋体"/>
          <w:color w:val="auto"/>
          <w:szCs w:val="21"/>
          <w:highlight w:val="none"/>
        </w:rPr>
      </w:pPr>
      <w:r>
        <w:rPr>
          <w:rFonts w:hint="eastAsia" w:ascii="宋体" w:hAnsi="宋体" w:eastAsia="宋体" w:cs="宋体"/>
          <w:color w:val="auto"/>
          <w:szCs w:val="21"/>
          <w:highlight w:val="none"/>
        </w:rPr>
        <w:t>4.6配合招标人、招标代理机构答复投标供应商提出的质疑。</w:t>
      </w:r>
    </w:p>
    <w:p>
      <w:pPr>
        <w:shd w:val="clear" w:color="auto" w:fill="auto"/>
        <w:tabs>
          <w:tab w:val="left" w:pos="1547"/>
        </w:tabs>
        <w:spacing w:line="440" w:lineRule="exact"/>
        <w:ind w:firstLine="542" w:firstLineChars="255"/>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 评标程序</w:t>
      </w:r>
    </w:p>
    <w:p>
      <w:pPr>
        <w:pStyle w:val="23"/>
        <w:shd w:val="clear" w:color="auto" w:fill="auto"/>
        <w:tabs>
          <w:tab w:val="left" w:pos="720"/>
          <w:tab w:val="clear" w:pos="0"/>
        </w:tabs>
        <w:spacing w:line="440" w:lineRule="exact"/>
        <w:ind w:firstLine="542" w:firstLineChars="255"/>
        <w:rPr>
          <w:rFonts w:hint="eastAsia" w:ascii="宋体" w:hAnsi="宋体" w:eastAsia="宋体" w:cs="宋体"/>
          <w:bCs/>
          <w:color w:val="auto"/>
          <w:szCs w:val="21"/>
          <w:highlight w:val="none"/>
          <w:lang w:bidi="ar-SA"/>
        </w:rPr>
      </w:pPr>
      <w:r>
        <w:rPr>
          <w:rFonts w:hint="eastAsia" w:ascii="宋体" w:hAnsi="宋体" w:eastAsia="宋体" w:cs="宋体"/>
          <w:bCs/>
          <w:color w:val="auto"/>
          <w:szCs w:val="21"/>
          <w:highlight w:val="none"/>
          <w:lang w:bidi="ar-SA"/>
        </w:rPr>
        <w:t>5.1本次评标首先由评标委员会对投标人的投标文件进行初审，对未能通过初审的投标文件作无效标处理；</w:t>
      </w:r>
    </w:p>
    <w:p>
      <w:pPr>
        <w:shd w:val="clear" w:color="auto" w:fill="auto"/>
        <w:tabs>
          <w:tab w:val="left" w:pos="720"/>
        </w:tabs>
        <w:spacing w:line="440" w:lineRule="exact"/>
        <w:ind w:firstLine="542" w:firstLineChars="255"/>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5.2对通过初审的投标人的投标文件进行详细的比较和评价。如需要，进行必要的澄清工作；</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rPr>
        <w:t>5.3评标报告与推荐</w:t>
      </w:r>
      <w:r>
        <w:rPr>
          <w:rFonts w:hint="eastAsia" w:ascii="宋体" w:hAnsi="宋体" w:cs="宋体"/>
          <w:bCs/>
          <w:color w:val="auto"/>
          <w:szCs w:val="21"/>
          <w:lang w:val="en-US" w:eastAsia="zh-CN"/>
        </w:rPr>
        <w:t>中标</w:t>
      </w:r>
      <w:r>
        <w:rPr>
          <w:rFonts w:hint="eastAsia" w:ascii="宋体" w:hAnsi="宋体" w:eastAsia="宋体" w:cs="宋体"/>
          <w:bCs/>
          <w:color w:val="auto"/>
          <w:szCs w:val="21"/>
        </w:rPr>
        <w:t>候选人</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rPr>
        <w:t>5.</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小组各成员应当独立对每个有效响应的文件进行评价、打分，然后汇总每个供应商每项评分因素的得分。</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rPr>
        <w:t>综合评分法</w:t>
      </w:r>
      <w:r>
        <w:rPr>
          <w:rFonts w:hint="eastAsia" w:ascii="宋体" w:hAnsi="宋体" w:cs="宋体"/>
          <w:bCs/>
          <w:color w:val="auto"/>
          <w:szCs w:val="21"/>
          <w:lang w:val="en-US" w:eastAsia="zh-CN"/>
        </w:rPr>
        <w:t>货物采购</w:t>
      </w:r>
      <w:r>
        <w:rPr>
          <w:rFonts w:hint="eastAsia" w:ascii="宋体" w:hAnsi="宋体" w:eastAsia="宋体" w:cs="宋体"/>
          <w:bCs/>
          <w:color w:val="auto"/>
          <w:szCs w:val="21"/>
        </w:rPr>
        <w:t>项目的价格分值占总分值的比重(即权值)为</w:t>
      </w:r>
      <w:r>
        <w:rPr>
          <w:rFonts w:hint="eastAsia" w:ascii="宋体" w:hAnsi="宋体" w:cs="宋体"/>
          <w:bCs/>
          <w:color w:val="auto"/>
          <w:szCs w:val="21"/>
          <w:lang w:val="en-US" w:eastAsia="zh-CN"/>
        </w:rPr>
        <w:t>35</w:t>
      </w:r>
      <w:r>
        <w:rPr>
          <w:rFonts w:hint="eastAsia" w:ascii="宋体" w:hAnsi="宋体" w:eastAsia="宋体" w:cs="宋体"/>
          <w:bCs/>
          <w:color w:val="auto"/>
          <w:szCs w:val="21"/>
        </w:rPr>
        <w:t>％，采购项目中含不同采购对象的，以占项目资金比例最高的采购对象确定其项目属性。其价格不列为评分因素，有特殊情况需要在上述规定范围外设定价格分权重的。</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rPr>
        <w:t>综合评分法中的价格分统一采用低价优先法计算，即满足</w:t>
      </w:r>
      <w:r>
        <w:rPr>
          <w:rFonts w:hint="eastAsia" w:ascii="宋体" w:hAnsi="宋体" w:eastAsia="宋体" w:cs="宋体"/>
          <w:bCs/>
          <w:color w:val="auto"/>
          <w:szCs w:val="21"/>
          <w:lang w:eastAsia="zh-CN"/>
        </w:rPr>
        <w:t>招标文件</w:t>
      </w:r>
      <w:r>
        <w:rPr>
          <w:rFonts w:hint="eastAsia" w:ascii="宋体" w:hAnsi="宋体" w:eastAsia="宋体" w:cs="宋体"/>
          <w:bCs/>
          <w:color w:val="auto"/>
          <w:szCs w:val="21"/>
        </w:rPr>
        <w:t>要求且最后报价最低的供应商的价格为</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基准价，其价格分为满分。其他供应商的价格分统一按照下列公式计算：</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报价得分=（</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基准价/最后</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报价）×价格权值×100</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rPr>
        <w:t>项目评审过程中，不得去掉最后报价中的最高报价和最低报价。</w:t>
      </w:r>
    </w:p>
    <w:p>
      <w:pPr>
        <w:pStyle w:val="23"/>
        <w:tabs>
          <w:tab w:val="left" w:pos="720"/>
          <w:tab w:val="clear" w:pos="0"/>
        </w:tabs>
        <w:spacing w:line="440" w:lineRule="exact"/>
        <w:ind w:firstLine="542" w:firstLineChars="255"/>
        <w:rPr>
          <w:rFonts w:hint="eastAsia" w:ascii="宋体" w:hAnsi="宋体" w:eastAsia="宋体" w:cs="宋体"/>
          <w:bCs/>
          <w:color w:val="auto"/>
          <w:szCs w:val="21"/>
        </w:rPr>
      </w:pP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小组应当根据综合评分情况，按照评审得分由高到低顺序推荐3名以上</w:t>
      </w:r>
      <w:r>
        <w:rPr>
          <w:rFonts w:hint="eastAsia" w:ascii="宋体" w:hAnsi="宋体" w:cs="宋体"/>
          <w:bCs/>
          <w:color w:val="auto"/>
          <w:szCs w:val="21"/>
          <w:lang w:val="en-US" w:eastAsia="zh-CN"/>
        </w:rPr>
        <w:t>中标</w:t>
      </w:r>
      <w:r>
        <w:rPr>
          <w:rFonts w:hint="eastAsia" w:ascii="宋体" w:hAnsi="宋体" w:eastAsia="宋体" w:cs="宋体"/>
          <w:bCs/>
          <w:color w:val="auto"/>
          <w:szCs w:val="21"/>
        </w:rPr>
        <w:t>候选供应商符合《政府采购竞争性</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采购方式管理暂行办法》法第二十五条</w:t>
      </w:r>
      <w:r>
        <w:rPr>
          <w:rFonts w:hint="eastAsia" w:ascii="宋体" w:hAnsi="宋体" w:eastAsia="宋体" w:cs="宋体"/>
          <w:bCs/>
          <w:color w:val="auto"/>
          <w:szCs w:val="21"/>
          <w:lang w:eastAsia="zh-CN"/>
        </w:rPr>
        <w:t>招标</w:t>
      </w:r>
      <w:r>
        <w:rPr>
          <w:rFonts w:hint="eastAsia" w:ascii="宋体" w:hAnsi="宋体" w:eastAsia="宋体" w:cs="宋体"/>
          <w:bCs/>
          <w:color w:val="auto"/>
          <w:szCs w:val="21"/>
        </w:rPr>
        <w:t>小组应当根据综合评分情况，按照评审得分由高到低顺序推荐3名以上</w:t>
      </w:r>
      <w:r>
        <w:rPr>
          <w:rFonts w:hint="eastAsia" w:ascii="宋体" w:hAnsi="宋体" w:cs="宋体"/>
          <w:bCs/>
          <w:color w:val="auto"/>
          <w:szCs w:val="21"/>
          <w:lang w:val="en-US" w:eastAsia="zh-CN"/>
        </w:rPr>
        <w:t>中标</w:t>
      </w:r>
      <w:r>
        <w:rPr>
          <w:rFonts w:hint="eastAsia" w:ascii="宋体" w:hAnsi="宋体" w:eastAsia="宋体" w:cs="宋体"/>
          <w:bCs/>
          <w:color w:val="auto"/>
          <w:szCs w:val="21"/>
        </w:rPr>
        <w:t>候选供应商。符合本办法第二十一条第三款情形的，可以推荐2家</w:t>
      </w:r>
      <w:r>
        <w:rPr>
          <w:rFonts w:hint="eastAsia" w:ascii="宋体" w:hAnsi="宋体" w:cs="宋体"/>
          <w:bCs/>
          <w:color w:val="auto"/>
          <w:szCs w:val="21"/>
          <w:lang w:val="en-US" w:eastAsia="zh-CN"/>
        </w:rPr>
        <w:t>中标</w:t>
      </w:r>
      <w:r>
        <w:rPr>
          <w:rFonts w:hint="eastAsia" w:ascii="宋体" w:hAnsi="宋体" w:eastAsia="宋体" w:cs="宋体"/>
          <w:bCs/>
          <w:color w:val="auto"/>
          <w:szCs w:val="21"/>
        </w:rPr>
        <w:t>候选供应商。评审得分相同的，按照最后报价由低到高的顺序推荐。评审得分且最后报价相同的，按照技术指标优劣顺序推荐。</w:t>
      </w:r>
    </w:p>
    <w:p>
      <w:pPr>
        <w:shd w:val="clear" w:color="auto" w:fill="auto"/>
        <w:jc w:val="center"/>
        <w:outlineLvl w:val="1"/>
        <w:rPr>
          <w:rFonts w:hint="eastAsia" w:ascii="宋体"/>
          <w:b/>
          <w:color w:val="auto"/>
          <w:sz w:val="28"/>
          <w:szCs w:val="28"/>
          <w:highlight w:val="none"/>
        </w:rPr>
      </w:pPr>
    </w:p>
    <w:p>
      <w:pPr>
        <w:shd w:val="clear" w:color="auto" w:fill="auto"/>
        <w:jc w:val="center"/>
        <w:outlineLvl w:val="1"/>
        <w:rPr>
          <w:rFonts w:hint="eastAsia" w:ascii="宋体"/>
          <w:b/>
          <w:color w:val="auto"/>
          <w:sz w:val="28"/>
          <w:szCs w:val="28"/>
          <w:highlight w:val="none"/>
        </w:rPr>
      </w:pPr>
    </w:p>
    <w:p>
      <w:pPr>
        <w:shd w:val="clear" w:color="auto" w:fill="auto"/>
        <w:jc w:val="center"/>
        <w:outlineLvl w:val="1"/>
        <w:rPr>
          <w:rFonts w:hint="eastAsia" w:ascii="宋体"/>
          <w:b/>
          <w:color w:val="auto"/>
          <w:sz w:val="28"/>
          <w:szCs w:val="28"/>
          <w:highlight w:val="none"/>
        </w:rPr>
      </w:pPr>
    </w:p>
    <w:p>
      <w:pPr>
        <w:shd w:val="clear" w:color="auto" w:fill="auto"/>
        <w:jc w:val="both"/>
        <w:outlineLvl w:val="1"/>
        <w:rPr>
          <w:rFonts w:hint="eastAsia" w:ascii="宋体"/>
          <w:b/>
          <w:color w:val="auto"/>
          <w:sz w:val="28"/>
          <w:szCs w:val="28"/>
          <w:highlight w:val="none"/>
        </w:rPr>
      </w:pPr>
    </w:p>
    <w:p>
      <w:pPr>
        <w:shd w:val="clear" w:color="auto" w:fill="auto"/>
        <w:jc w:val="both"/>
        <w:outlineLvl w:val="1"/>
        <w:rPr>
          <w:rFonts w:hint="eastAsia" w:ascii="宋体"/>
          <w:b/>
          <w:color w:val="auto"/>
          <w:sz w:val="28"/>
          <w:szCs w:val="28"/>
          <w:highlight w:val="none"/>
        </w:rPr>
      </w:pPr>
    </w:p>
    <w:p>
      <w:pPr>
        <w:shd w:val="clear" w:color="auto" w:fill="auto"/>
        <w:jc w:val="center"/>
        <w:outlineLvl w:val="1"/>
        <w:rPr>
          <w:rFonts w:hint="eastAsia" w:ascii="宋体"/>
          <w:b/>
          <w:color w:val="auto"/>
          <w:sz w:val="28"/>
          <w:szCs w:val="28"/>
          <w:highlight w:val="none"/>
        </w:rPr>
      </w:pPr>
      <w:r>
        <w:rPr>
          <w:rFonts w:hint="eastAsia" w:ascii="宋体"/>
          <w:b/>
          <w:color w:val="auto"/>
          <w:sz w:val="28"/>
          <w:szCs w:val="28"/>
          <w:highlight w:val="none"/>
        </w:rPr>
        <w:t>二  投标文件初审</w:t>
      </w:r>
      <w:bookmarkEnd w:id="48"/>
      <w:bookmarkEnd w:id="49"/>
    </w:p>
    <w:p>
      <w:pPr>
        <w:shd w:val="clear" w:color="auto" w:fill="auto"/>
        <w:spacing w:line="400" w:lineRule="exact"/>
        <w:ind w:firstLine="312" w:firstLineChars="147"/>
        <w:rPr>
          <w:rFonts w:hint="eastAsia" w:ascii="宋体"/>
          <w:b/>
          <w:color w:val="auto"/>
          <w:szCs w:val="21"/>
          <w:highlight w:val="none"/>
        </w:rPr>
      </w:pPr>
      <w:r>
        <w:rPr>
          <w:rFonts w:hint="eastAsia" w:ascii="宋体"/>
          <w:b/>
          <w:color w:val="auto"/>
          <w:szCs w:val="21"/>
          <w:highlight w:val="none"/>
          <w:lang w:val="en-US" w:eastAsia="zh-CN"/>
        </w:rPr>
        <w:t>6</w:t>
      </w:r>
      <w:r>
        <w:rPr>
          <w:rFonts w:hint="eastAsia" w:ascii="宋体"/>
          <w:b/>
          <w:color w:val="auto"/>
          <w:szCs w:val="21"/>
          <w:highlight w:val="none"/>
        </w:rPr>
        <w:t>.资格性审查:</w:t>
      </w:r>
    </w:p>
    <w:p>
      <w:pPr>
        <w:shd w:val="clear" w:color="auto" w:fill="auto"/>
        <w:spacing w:line="400" w:lineRule="exact"/>
        <w:ind w:firstLine="312" w:firstLineChars="147"/>
        <w:rPr>
          <w:rFonts w:hint="eastAsia"/>
          <w:color w:val="auto"/>
          <w:szCs w:val="21"/>
          <w:highlight w:val="none"/>
        </w:rPr>
      </w:pPr>
      <w:r>
        <w:rPr>
          <w:rFonts w:hint="eastAsia" w:ascii="宋体"/>
          <w:color w:val="auto"/>
          <w:szCs w:val="21"/>
          <w:highlight w:val="none"/>
          <w:lang w:val="en-US" w:eastAsia="zh-CN"/>
        </w:rPr>
        <w:t>6</w:t>
      </w:r>
      <w:r>
        <w:rPr>
          <w:rFonts w:hint="eastAsia" w:ascii="宋体"/>
          <w:color w:val="auto"/>
          <w:szCs w:val="21"/>
          <w:highlight w:val="none"/>
        </w:rPr>
        <w:t>.1</w:t>
      </w:r>
      <w:r>
        <w:rPr>
          <w:rFonts w:hint="eastAsia"/>
          <w:color w:val="auto"/>
          <w:szCs w:val="21"/>
          <w:highlight w:val="none"/>
        </w:rPr>
        <w:t>评审细则</w:t>
      </w:r>
    </w:p>
    <w:tbl>
      <w:tblPr>
        <w:tblStyle w:val="28"/>
        <w:tblW w:w="9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10"/>
        <w:gridCol w:w="5542"/>
        <w:gridCol w:w="1305"/>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6" w:type="dxa"/>
            <w:vMerge w:val="restart"/>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项目</w:t>
            </w:r>
          </w:p>
        </w:tc>
        <w:tc>
          <w:tcPr>
            <w:tcW w:w="5952" w:type="dxa"/>
            <w:gridSpan w:val="2"/>
            <w:vMerge w:val="restart"/>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评审内容</w:t>
            </w:r>
          </w:p>
        </w:tc>
        <w:tc>
          <w:tcPr>
            <w:tcW w:w="2501" w:type="dxa"/>
            <w:gridSpan w:val="2"/>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lang w:val="en-US" w:eastAsia="zh-CN" w:bidi="ar-SA"/>
              </w:rPr>
            </w:pPr>
          </w:p>
        </w:tc>
        <w:tc>
          <w:tcPr>
            <w:tcW w:w="5952" w:type="dxa"/>
            <w:gridSpan w:val="2"/>
            <w:vMerge w:val="continue"/>
            <w:noWrap w:val="0"/>
            <w:vAlign w:val="top"/>
          </w:tcPr>
          <w:p>
            <w:pPr>
              <w:shd w:val="clear" w:color="auto" w:fill="auto"/>
              <w:rPr>
                <w:rFonts w:hint="eastAsia" w:ascii="宋体" w:hAnsi="宋体" w:eastAsia="宋体" w:cs="宋体"/>
                <w:bCs/>
                <w:color w:val="auto"/>
                <w:kern w:val="2"/>
                <w:sz w:val="21"/>
                <w:szCs w:val="21"/>
                <w:lang w:val="en-US" w:eastAsia="zh-CN" w:bidi="ar-SA"/>
              </w:rPr>
            </w:pPr>
          </w:p>
        </w:tc>
        <w:tc>
          <w:tcPr>
            <w:tcW w:w="1305" w:type="dxa"/>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是否合格</w:t>
            </w:r>
          </w:p>
        </w:tc>
        <w:tc>
          <w:tcPr>
            <w:tcW w:w="1196" w:type="dxa"/>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886" w:type="dxa"/>
            <w:vMerge w:val="restart"/>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审</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查</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标</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准</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(适</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用</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于</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资</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格</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后</w:t>
            </w:r>
          </w:p>
          <w:p>
            <w:pPr>
              <w:shd w:val="clear" w:color="auto" w:fill="auto"/>
              <w:jc w:val="center"/>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审)</w:t>
            </w: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1</w:t>
            </w:r>
          </w:p>
        </w:tc>
        <w:tc>
          <w:tcPr>
            <w:tcW w:w="5542" w:type="dxa"/>
            <w:noWrap w:val="0"/>
            <w:vAlign w:val="center"/>
          </w:tcPr>
          <w:p>
            <w:pPr>
              <w:tabs>
                <w:tab w:val="left" w:pos="720"/>
              </w:tabs>
              <w:spacing w:line="440" w:lineRule="exact"/>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Cs w:val="21"/>
              </w:rPr>
              <w:t>具备</w:t>
            </w:r>
            <w:r>
              <w:rPr>
                <w:rFonts w:hint="eastAsia" w:ascii="宋体" w:hAnsi="宋体" w:eastAsia="宋体" w:cs="宋体"/>
                <w:color w:val="auto"/>
                <w:szCs w:val="21"/>
                <w:lang w:val="en-US" w:eastAsia="zh-CN"/>
              </w:rPr>
              <w:t>合格有效的</w:t>
            </w:r>
            <w:r>
              <w:rPr>
                <w:rFonts w:hint="eastAsia" w:ascii="宋体" w:hAnsi="宋体" w:eastAsia="宋体" w:cs="宋体"/>
                <w:color w:val="auto"/>
                <w:szCs w:val="21"/>
              </w:rPr>
              <w:t>三证合一营业执照</w:t>
            </w:r>
            <w:r>
              <w:rPr>
                <w:rFonts w:hint="eastAsia" w:ascii="宋体" w:hAnsi="宋体" w:eastAsia="宋体" w:cs="宋体"/>
                <w:color w:val="auto"/>
                <w:szCs w:val="21"/>
                <w:lang w:eastAsia="zh-CN"/>
              </w:rPr>
              <w:t>；</w:t>
            </w:r>
          </w:p>
        </w:tc>
        <w:tc>
          <w:tcPr>
            <w:tcW w:w="1305"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lang w:val="en-US" w:eastAsia="zh-CN" w:bidi="ar-SA"/>
              </w:rPr>
            </w:pP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2</w:t>
            </w:r>
          </w:p>
        </w:tc>
        <w:tc>
          <w:tcPr>
            <w:tcW w:w="5542" w:type="dxa"/>
            <w:noWrap w:val="0"/>
            <w:vAlign w:val="center"/>
          </w:tcPr>
          <w:p>
            <w:pPr>
              <w:tabs>
                <w:tab w:val="left" w:pos="720"/>
              </w:tabs>
              <w:spacing w:line="440" w:lineRule="exact"/>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szCs w:val="21"/>
                <w:lang w:eastAsia="zh-CN"/>
              </w:rPr>
              <w:t>法定代表人投标需提供法定代表人资格证明书，委托代理人投标需提供法定代表人授权委托书；</w:t>
            </w:r>
          </w:p>
        </w:tc>
        <w:tc>
          <w:tcPr>
            <w:tcW w:w="1305"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lang w:val="en-US" w:eastAsia="zh-CN" w:bidi="ar-SA"/>
              </w:rPr>
            </w:pP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3</w:t>
            </w:r>
          </w:p>
        </w:tc>
        <w:tc>
          <w:tcPr>
            <w:tcW w:w="5542" w:type="dxa"/>
            <w:noWrap w:val="0"/>
            <w:vAlign w:val="center"/>
          </w:tcPr>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360" w:lineRule="auto"/>
              <w:ind w:left="0" w:right="0"/>
              <w:jc w:val="both"/>
              <w:textAlignment w:val="auto"/>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提供投标人（被授权人）投标截止时间前半年内任意1个月的社保证明；</w:t>
            </w:r>
          </w:p>
        </w:tc>
        <w:tc>
          <w:tcPr>
            <w:tcW w:w="1305"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lang w:val="en-US" w:eastAsia="zh-CN" w:bidi="ar-SA"/>
              </w:rPr>
            </w:pP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4</w:t>
            </w:r>
          </w:p>
        </w:tc>
        <w:tc>
          <w:tcPr>
            <w:tcW w:w="5542" w:type="dxa"/>
            <w:noWrap w:val="0"/>
            <w:vAlign w:val="center"/>
          </w:tcPr>
          <w:p>
            <w:pPr>
              <w:tabs>
                <w:tab w:val="left" w:pos="720"/>
              </w:tabs>
              <w:spacing w:line="440" w:lineRule="exact"/>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企业需提供未被“信用中国”（www.creditchina.gov.cn）、中国政府采购网（www.ccgp.gov.cn）列入失信被执行人、重大税收违法案件当事人名单、政府采购严重违法失信行为记录名单（提供查询结果网页截图并加盖供应商公章）；</w:t>
            </w:r>
            <w:r>
              <w:rPr>
                <w:rFonts w:hint="eastAsia" w:ascii="宋体" w:hAnsi="宋体" w:eastAsia="宋体" w:cs="宋体"/>
                <w:color w:val="auto"/>
                <w:szCs w:val="21"/>
              </w:rPr>
              <w:t>  </w:t>
            </w:r>
          </w:p>
        </w:tc>
        <w:tc>
          <w:tcPr>
            <w:tcW w:w="1305"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86" w:type="dxa"/>
            <w:vMerge w:val="continue"/>
            <w:noWrap w:val="0"/>
            <w:vAlign w:val="center"/>
          </w:tcPr>
          <w:p>
            <w:pPr>
              <w:shd w:val="clear" w:color="auto" w:fill="auto"/>
              <w:rPr>
                <w:rFonts w:hint="eastAsia" w:ascii="宋体" w:hAnsi="宋体" w:eastAsia="宋体" w:cs="宋体"/>
                <w:bCs/>
                <w:color w:val="auto"/>
                <w:kern w:val="2"/>
                <w:sz w:val="21"/>
                <w:szCs w:val="21"/>
                <w:lang w:val="en-US" w:eastAsia="zh-CN" w:bidi="ar-SA"/>
              </w:rPr>
            </w:pPr>
          </w:p>
        </w:tc>
        <w:tc>
          <w:tcPr>
            <w:tcW w:w="410" w:type="dxa"/>
            <w:noWrap w:val="0"/>
            <w:vAlign w:val="center"/>
          </w:tcPr>
          <w:p>
            <w:pPr>
              <w:keepNext w:val="0"/>
              <w:keepLines w:val="0"/>
              <w:pageBreakBefore w:val="0"/>
              <w:widowControl/>
              <w:shd w:val="clear" w:color="auto" w:fill="auto"/>
              <w:kinsoku/>
              <w:wordWrap/>
              <w:overflowPunct/>
              <w:topLinePunct w:val="0"/>
              <w:autoSpaceDE/>
              <w:autoSpaceDN/>
              <w:bidi w:val="0"/>
              <w:adjustRightInd/>
              <w:snapToGrid/>
              <w:spacing w:line="360" w:lineRule="exact"/>
              <w:jc w:val="left"/>
              <w:textAlignment w:val="auto"/>
              <w:outlineLvl w:val="9"/>
              <w:rPr>
                <w:rFonts w:hint="default" w:ascii="宋体" w:hAnsi="宋体" w:eastAsia="宋体" w:cs="宋体"/>
                <w:bCs/>
                <w:color w:val="auto"/>
                <w:kern w:val="2"/>
                <w:sz w:val="21"/>
                <w:szCs w:val="21"/>
                <w:lang w:val="en-US" w:eastAsia="zh-CN" w:bidi="ar-SA"/>
              </w:rPr>
            </w:pPr>
            <w:r>
              <w:rPr>
                <w:rFonts w:hint="eastAsia" w:ascii="宋体" w:hAnsi="宋体" w:cs="宋体"/>
                <w:bCs/>
                <w:color w:val="auto"/>
                <w:kern w:val="2"/>
                <w:sz w:val="21"/>
                <w:szCs w:val="21"/>
                <w:lang w:val="en-US" w:eastAsia="zh-CN" w:bidi="ar-SA"/>
              </w:rPr>
              <w:t>5</w:t>
            </w:r>
          </w:p>
        </w:tc>
        <w:tc>
          <w:tcPr>
            <w:tcW w:w="5542" w:type="dxa"/>
            <w:noWrap w:val="0"/>
            <w:vAlign w:val="center"/>
          </w:tcPr>
          <w:p>
            <w:pPr>
              <w:tabs>
                <w:tab w:val="left" w:pos="720"/>
              </w:tabs>
              <w:spacing w:line="440" w:lineRule="exact"/>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投标保证金收据或保函等票据；</w:t>
            </w:r>
          </w:p>
        </w:tc>
        <w:tc>
          <w:tcPr>
            <w:tcW w:w="1305"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c>
          <w:tcPr>
            <w:tcW w:w="1196" w:type="dxa"/>
            <w:noWrap w:val="0"/>
            <w:vAlign w:val="top"/>
          </w:tcPr>
          <w:p>
            <w:pPr>
              <w:shd w:val="clear" w:color="auto" w:fill="auto"/>
              <w:jc w:val="left"/>
              <w:rPr>
                <w:rFonts w:hint="eastAsia" w:ascii="宋体" w:hAnsi="宋体" w:eastAsia="宋体" w:cs="宋体"/>
                <w:bCs/>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886" w:type="dxa"/>
            <w:vMerge w:val="continue"/>
            <w:noWrap w:val="0"/>
            <w:vAlign w:val="center"/>
          </w:tcPr>
          <w:p>
            <w:pPr>
              <w:shd w:val="clear" w:color="auto" w:fill="auto"/>
              <w:jc w:val="center"/>
              <w:rPr>
                <w:rFonts w:hint="eastAsia" w:ascii="宋体" w:hAnsi="宋体" w:eastAsia="宋体" w:cs="宋体"/>
                <w:bCs/>
                <w:color w:val="auto"/>
                <w:kern w:val="2"/>
                <w:sz w:val="21"/>
                <w:szCs w:val="21"/>
                <w:lang w:val="en-US" w:eastAsia="zh-CN" w:bidi="ar-SA"/>
              </w:rPr>
            </w:pPr>
          </w:p>
        </w:tc>
        <w:tc>
          <w:tcPr>
            <w:tcW w:w="8453" w:type="dxa"/>
            <w:gridSpan w:val="4"/>
            <w:noWrap w:val="0"/>
            <w:vAlign w:val="center"/>
          </w:tcPr>
          <w:p>
            <w:pPr>
              <w:shd w:val="clear" w:color="auto" w:fill="auto"/>
              <w:jc w:val="left"/>
              <w:rPr>
                <w:rFonts w:hint="eastAsia" w:ascii="宋体" w:hAnsi="宋体" w:eastAsia="宋体" w:cs="宋体"/>
                <w:bCs/>
                <w:color w:val="auto"/>
                <w:kern w:val="2"/>
                <w:sz w:val="21"/>
                <w:szCs w:val="21"/>
                <w:lang w:val="en-US" w:eastAsia="zh-CN" w:bidi="ar-SA"/>
              </w:rPr>
            </w:pPr>
            <w:r>
              <w:rPr>
                <w:rFonts w:hint="eastAsia" w:ascii="宋体" w:hAnsi="宋体" w:eastAsia="宋体" w:cs="宋体"/>
                <w:bCs/>
                <w:color w:val="auto"/>
                <w:kern w:val="2"/>
                <w:sz w:val="21"/>
                <w:szCs w:val="21"/>
                <w:lang w:val="en-US" w:eastAsia="zh-CN" w:bidi="ar-SA"/>
              </w:rPr>
              <w:t>评审结果“√”表示合格；“×”表示不合格，一项不合格结果为不合格，如不合格，请在结果中写明原因。</w:t>
            </w:r>
          </w:p>
        </w:tc>
      </w:tr>
    </w:tbl>
    <w:p>
      <w:pPr>
        <w:shd w:val="clear" w:color="auto" w:fill="auto"/>
        <w:spacing w:before="156" w:beforeLines="50" w:line="440" w:lineRule="exact"/>
        <w:ind w:firstLine="213" w:firstLineChars="100"/>
        <w:rPr>
          <w:rFonts w:hint="eastAsia" w:ascii="宋体" w:hAnsi="宋体"/>
          <w:b/>
          <w:color w:val="auto"/>
          <w:szCs w:val="21"/>
          <w:highlight w:val="none"/>
        </w:rPr>
      </w:pPr>
      <w:r>
        <w:rPr>
          <w:rFonts w:hint="eastAsia" w:ascii="宋体" w:hAnsi="宋体"/>
          <w:b/>
          <w:color w:val="auto"/>
          <w:szCs w:val="21"/>
          <w:highlight w:val="none"/>
          <w:lang w:val="en-US" w:eastAsia="zh-CN"/>
        </w:rPr>
        <w:t>6</w:t>
      </w:r>
      <w:r>
        <w:rPr>
          <w:rFonts w:hint="eastAsia" w:ascii="宋体" w:hAnsi="宋体"/>
          <w:b/>
          <w:color w:val="auto"/>
          <w:szCs w:val="21"/>
          <w:highlight w:val="none"/>
        </w:rPr>
        <w:t>.2如评标专家在检验电子标书过程中，如果由于投标人自身原因导致评标专家无法查看并检验电子标书中以上相关资料的，否决其投标。即使投标单位将原件携带至现场的，同样按无效投标处理。</w:t>
      </w:r>
    </w:p>
    <w:p>
      <w:pPr>
        <w:shd w:val="clear" w:color="auto" w:fill="auto"/>
        <w:spacing w:before="156" w:beforeLines="50" w:line="440" w:lineRule="exact"/>
        <w:ind w:firstLine="213" w:firstLineChars="100"/>
        <w:rPr>
          <w:rFonts w:hint="eastAsia" w:ascii="宋体"/>
          <w:b/>
          <w:color w:val="auto"/>
          <w:szCs w:val="21"/>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p>
    <w:p>
      <w:pPr>
        <w:shd w:val="clear" w:color="auto" w:fill="auto"/>
        <w:spacing w:before="156" w:beforeLines="50" w:line="440" w:lineRule="exact"/>
        <w:ind w:firstLine="213" w:firstLineChars="100"/>
        <w:rPr>
          <w:rFonts w:hint="eastAsia" w:ascii="宋体"/>
          <w:b/>
          <w:color w:val="auto"/>
          <w:szCs w:val="21"/>
          <w:highlight w:val="none"/>
        </w:rPr>
      </w:pPr>
      <w:r>
        <w:rPr>
          <w:rFonts w:hint="eastAsia" w:ascii="宋体"/>
          <w:b/>
          <w:color w:val="auto"/>
          <w:szCs w:val="21"/>
          <w:highlight w:val="none"/>
          <w:lang w:val="en-US" w:eastAsia="zh-CN"/>
        </w:rPr>
        <w:t>7</w:t>
      </w:r>
      <w:r>
        <w:rPr>
          <w:rFonts w:hint="eastAsia" w:ascii="宋体"/>
          <w:b/>
          <w:color w:val="auto"/>
          <w:szCs w:val="21"/>
          <w:highlight w:val="none"/>
        </w:rPr>
        <w:t>.符合性审查</w:t>
      </w:r>
    </w:p>
    <w:p>
      <w:pPr>
        <w:shd w:val="clear" w:color="auto" w:fill="auto"/>
        <w:spacing w:line="440" w:lineRule="exact"/>
        <w:ind w:firstLine="319" w:firstLineChars="150"/>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．1评审细则</w:t>
      </w:r>
    </w:p>
    <w:tbl>
      <w:tblPr>
        <w:tblStyle w:val="28"/>
        <w:tblpPr w:leftFromText="180" w:rightFromText="180" w:vertAnchor="text" w:horzAnchor="page" w:tblpX="1293" w:tblpY="544"/>
        <w:tblW w:w="949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2"/>
        <w:gridCol w:w="495"/>
        <w:gridCol w:w="6579"/>
        <w:gridCol w:w="753"/>
        <w:gridCol w:w="7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 w:hRule="atLeast"/>
        </w:trPr>
        <w:tc>
          <w:tcPr>
            <w:tcW w:w="922" w:type="dxa"/>
            <w:tcBorders>
              <w:top w:val="single" w:color="auto" w:sz="4" w:space="0"/>
              <w:left w:val="single" w:color="auto" w:sz="4" w:space="0"/>
            </w:tcBorders>
            <w:noWrap w:val="0"/>
            <w:vAlign w:val="center"/>
          </w:tcPr>
          <w:p>
            <w:pPr>
              <w:jc w:val="center"/>
              <w:rPr>
                <w:rFonts w:hint="eastAsia" w:ascii="宋体" w:hAnsi="宋体" w:cs="宋体"/>
                <w:b/>
                <w:color w:val="auto"/>
                <w:sz w:val="24"/>
              </w:rPr>
            </w:pPr>
            <w:r>
              <w:rPr>
                <w:rFonts w:hint="eastAsia" w:ascii="宋体" w:hAnsi="宋体" w:cs="宋体"/>
                <w:b/>
                <w:color w:val="auto"/>
                <w:sz w:val="24"/>
              </w:rPr>
              <w:t>项目</w:t>
            </w:r>
          </w:p>
        </w:tc>
        <w:tc>
          <w:tcPr>
            <w:tcW w:w="7074" w:type="dxa"/>
            <w:gridSpan w:val="2"/>
            <w:tcBorders>
              <w:top w:val="single" w:color="auto" w:sz="4" w:space="0"/>
            </w:tcBorders>
            <w:noWrap w:val="0"/>
            <w:vAlign w:val="center"/>
          </w:tcPr>
          <w:p>
            <w:pPr>
              <w:jc w:val="center"/>
              <w:rPr>
                <w:rFonts w:hint="eastAsia" w:ascii="宋体" w:hAnsi="宋体" w:cs="宋体"/>
                <w:b/>
                <w:color w:val="auto"/>
                <w:sz w:val="24"/>
              </w:rPr>
            </w:pPr>
            <w:r>
              <w:rPr>
                <w:rFonts w:hint="eastAsia" w:ascii="宋体" w:hAnsi="宋体" w:cs="宋体"/>
                <w:b/>
                <w:color w:val="auto"/>
                <w:sz w:val="24"/>
              </w:rPr>
              <w:t>评审内容</w:t>
            </w:r>
          </w:p>
        </w:tc>
        <w:tc>
          <w:tcPr>
            <w:tcW w:w="1502" w:type="dxa"/>
            <w:gridSpan w:val="2"/>
            <w:tcBorders>
              <w:top w:val="single" w:color="auto" w:sz="4" w:space="0"/>
              <w:right w:val="single" w:color="auto" w:sz="4" w:space="0"/>
            </w:tcBorders>
            <w:noWrap w:val="0"/>
            <w:vAlign w:val="center"/>
          </w:tcPr>
          <w:p>
            <w:pPr>
              <w:jc w:val="center"/>
              <w:rPr>
                <w:rFonts w:hint="eastAsia" w:ascii="宋体" w:hAnsi="宋体" w:cs="宋体"/>
                <w:b/>
                <w:color w:val="auto"/>
                <w:sz w:val="24"/>
              </w:rPr>
            </w:pPr>
            <w:r>
              <w:rPr>
                <w:rFonts w:hint="eastAsia" w:ascii="宋体" w:hAnsi="宋体" w:cs="宋体"/>
                <w:b/>
                <w:color w:val="auto"/>
                <w:sz w:val="24"/>
              </w:rPr>
              <w:t>评审意见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922" w:type="dxa"/>
            <w:tcBorders>
              <w:left w:val="single" w:color="auto" w:sz="4" w:space="0"/>
              <w:bottom w:val="single" w:color="auto" w:sz="4" w:space="0"/>
            </w:tcBorders>
            <w:noWrap w:val="0"/>
            <w:vAlign w:val="center"/>
          </w:tcPr>
          <w:p>
            <w:pPr>
              <w:rPr>
                <w:rFonts w:hint="eastAsia" w:ascii="宋体" w:hAnsi="宋体" w:cs="宋体"/>
                <w:color w:val="auto"/>
              </w:rPr>
            </w:pPr>
          </w:p>
        </w:tc>
        <w:tc>
          <w:tcPr>
            <w:tcW w:w="7074" w:type="dxa"/>
            <w:gridSpan w:val="2"/>
            <w:tcBorders>
              <w:bottom w:val="single" w:color="auto" w:sz="4" w:space="0"/>
            </w:tcBorders>
            <w:noWrap w:val="0"/>
            <w:vAlign w:val="top"/>
          </w:tcPr>
          <w:p>
            <w:pPr>
              <w:rPr>
                <w:rFonts w:hint="eastAsia" w:ascii="宋体" w:hAnsi="宋体" w:cs="宋体"/>
                <w:color w:val="auto"/>
              </w:rPr>
            </w:pPr>
          </w:p>
        </w:tc>
        <w:tc>
          <w:tcPr>
            <w:tcW w:w="753" w:type="dxa"/>
            <w:noWrap w:val="0"/>
            <w:vAlign w:val="center"/>
          </w:tcPr>
          <w:p>
            <w:pPr>
              <w:jc w:val="center"/>
              <w:rPr>
                <w:rFonts w:hint="eastAsia" w:ascii="宋体" w:hAnsi="宋体" w:cs="宋体"/>
                <w:b/>
                <w:color w:val="auto"/>
                <w:sz w:val="24"/>
              </w:rPr>
            </w:pPr>
            <w:r>
              <w:rPr>
                <w:rFonts w:hint="eastAsia" w:ascii="宋体" w:hAnsi="宋体" w:cs="宋体"/>
                <w:color w:val="auto"/>
                <w:spacing w:val="-2"/>
                <w:szCs w:val="21"/>
              </w:rPr>
              <w:t>√</w:t>
            </w:r>
          </w:p>
        </w:tc>
        <w:tc>
          <w:tcPr>
            <w:tcW w:w="749" w:type="dxa"/>
            <w:tcBorders>
              <w:right w:val="single" w:color="auto" w:sz="4" w:space="0"/>
            </w:tcBorders>
            <w:noWrap w:val="0"/>
            <w:vAlign w:val="center"/>
          </w:tcPr>
          <w:p>
            <w:pPr>
              <w:ind w:firstLine="209" w:firstLineChars="100"/>
              <w:rPr>
                <w:rFonts w:hint="eastAsia" w:ascii="宋体" w:hAnsi="宋体" w:cs="宋体"/>
                <w:b/>
                <w:color w:val="auto"/>
                <w:sz w:val="24"/>
              </w:rPr>
            </w:pPr>
            <w:r>
              <w:rPr>
                <w:rFonts w:hint="eastAsia" w:ascii="宋体" w:hAnsi="宋体" w:cs="宋体"/>
                <w:color w:val="auto"/>
                <w:spacing w:val="-2"/>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2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auto"/>
                <w:szCs w:val="21"/>
              </w:rPr>
            </w:pPr>
            <w:r>
              <w:rPr>
                <w:rFonts w:hint="eastAsia" w:ascii="宋体" w:hAnsi="宋体" w:cs="宋体"/>
                <w:color w:val="auto"/>
                <w:szCs w:val="21"/>
              </w:rPr>
              <w:t>审</w:t>
            </w:r>
          </w:p>
          <w:p>
            <w:pPr>
              <w:jc w:val="center"/>
              <w:rPr>
                <w:rFonts w:hint="eastAsia" w:ascii="宋体" w:hAnsi="宋体" w:cs="宋体"/>
                <w:color w:val="auto"/>
                <w:szCs w:val="21"/>
              </w:rPr>
            </w:pPr>
            <w:r>
              <w:rPr>
                <w:rFonts w:hint="eastAsia" w:ascii="宋体" w:hAnsi="宋体" w:cs="宋体"/>
                <w:color w:val="auto"/>
                <w:szCs w:val="21"/>
              </w:rPr>
              <w:t>查</w:t>
            </w:r>
          </w:p>
          <w:p>
            <w:pPr>
              <w:jc w:val="center"/>
              <w:rPr>
                <w:rFonts w:hint="eastAsia" w:ascii="宋体" w:hAnsi="宋体" w:cs="宋体"/>
                <w:color w:val="auto"/>
                <w:szCs w:val="21"/>
              </w:rPr>
            </w:pPr>
            <w:r>
              <w:rPr>
                <w:rFonts w:hint="eastAsia" w:ascii="宋体" w:hAnsi="宋体" w:cs="宋体"/>
                <w:color w:val="auto"/>
                <w:szCs w:val="21"/>
              </w:rPr>
              <w:t>标</w:t>
            </w:r>
          </w:p>
          <w:p>
            <w:pPr>
              <w:jc w:val="center"/>
              <w:rPr>
                <w:rFonts w:hint="eastAsia" w:ascii="宋体" w:hAnsi="宋体" w:cs="宋体"/>
                <w:color w:val="auto"/>
                <w:szCs w:val="21"/>
              </w:rPr>
            </w:pPr>
            <w:r>
              <w:rPr>
                <w:rFonts w:hint="eastAsia" w:ascii="宋体" w:hAnsi="宋体" w:cs="宋体"/>
                <w:color w:val="auto"/>
                <w:szCs w:val="21"/>
              </w:rPr>
              <w:t>准</w:t>
            </w:r>
          </w:p>
        </w:tc>
        <w:tc>
          <w:tcPr>
            <w:tcW w:w="49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1</w:t>
            </w:r>
          </w:p>
        </w:tc>
        <w:tc>
          <w:tcPr>
            <w:tcW w:w="6579" w:type="dxa"/>
            <w:tcBorders>
              <w:top w:val="single" w:color="auto" w:sz="4" w:space="0"/>
              <w:left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由政府立项核准、审批的采购项目, 报价</w:t>
            </w:r>
            <w:r>
              <w:rPr>
                <w:rFonts w:hint="eastAsia" w:ascii="宋体" w:hAnsi="Times New Roman" w:eastAsia="宋体" w:cs="Times New Roman"/>
                <w:color w:val="auto"/>
                <w:szCs w:val="21"/>
                <w:highlight w:val="none"/>
                <w:lang w:val="en-US" w:eastAsia="zh-CN"/>
              </w:rPr>
              <w:t>未</w:t>
            </w:r>
            <w:r>
              <w:rPr>
                <w:rFonts w:hint="eastAsia" w:ascii="宋体" w:hAnsi="Times New Roman" w:eastAsia="宋体" w:cs="Times New Roman"/>
                <w:color w:val="auto"/>
                <w:szCs w:val="21"/>
                <w:highlight w:val="none"/>
              </w:rPr>
              <w:t>高于设定的采购</w:t>
            </w:r>
            <w:r>
              <w:rPr>
                <w:rFonts w:hint="eastAsia" w:ascii="宋体" w:cs="Times New Roman"/>
                <w:color w:val="auto"/>
                <w:szCs w:val="21"/>
                <w:highlight w:val="none"/>
                <w:lang w:val="en-US" w:eastAsia="zh-CN"/>
              </w:rPr>
              <w:t>最高限价</w:t>
            </w:r>
            <w:r>
              <w:rPr>
                <w:rFonts w:hint="eastAsia" w:ascii="宋体" w:hAnsi="Times New Roman" w:eastAsia="宋体" w:cs="Times New Roman"/>
                <w:color w:val="auto"/>
                <w:szCs w:val="21"/>
                <w:highlight w:val="none"/>
              </w:rPr>
              <w:t>的；</w:t>
            </w:r>
          </w:p>
        </w:tc>
        <w:tc>
          <w:tcPr>
            <w:tcW w:w="753" w:type="dxa"/>
            <w:tcBorders>
              <w:left w:val="single" w:color="auto" w:sz="4" w:space="0"/>
              <w:right w:val="single" w:color="auto" w:sz="4" w:space="0"/>
            </w:tcBorders>
            <w:noWrap w:val="0"/>
            <w:vAlign w:val="top"/>
          </w:tcPr>
          <w:p>
            <w:pPr>
              <w:jc w:val="center"/>
              <w:rPr>
                <w:rFonts w:hint="eastAsia" w:ascii="宋体" w:hAnsi="宋体" w:cs="宋体"/>
                <w:b/>
                <w:color w:val="auto"/>
                <w:szCs w:val="21"/>
              </w:rPr>
            </w:pPr>
          </w:p>
        </w:tc>
        <w:tc>
          <w:tcPr>
            <w:tcW w:w="749" w:type="dxa"/>
            <w:tcBorders>
              <w:left w:val="single" w:color="auto" w:sz="4" w:space="0"/>
              <w:right w:val="single" w:color="auto" w:sz="4" w:space="0"/>
            </w:tcBorders>
            <w:noWrap w:val="0"/>
            <w:vAlign w:val="top"/>
          </w:tcPr>
          <w:p>
            <w:pPr>
              <w:jc w:val="center"/>
              <w:rPr>
                <w:rFonts w:hint="eastAsia" w:ascii="宋体" w:hAnsi="宋体" w:cs="宋体"/>
                <w:b/>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2</w:t>
            </w:r>
          </w:p>
        </w:tc>
        <w:tc>
          <w:tcPr>
            <w:tcW w:w="657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法定代表人身份证明及授权委托书有效，且符合招标文件规定的格式。</w:t>
            </w:r>
          </w:p>
        </w:tc>
        <w:tc>
          <w:tcPr>
            <w:tcW w:w="753" w:type="dxa"/>
            <w:tcBorders>
              <w:left w:val="single" w:color="auto" w:sz="4" w:space="0"/>
            </w:tcBorders>
            <w:noWrap w:val="0"/>
            <w:vAlign w:val="top"/>
          </w:tcPr>
          <w:p>
            <w:pPr>
              <w:rPr>
                <w:rFonts w:hint="eastAsia" w:ascii="宋体" w:hAnsi="宋体" w:cs="宋体"/>
                <w:color w:val="auto"/>
                <w:szCs w:val="21"/>
              </w:rPr>
            </w:pPr>
          </w:p>
        </w:tc>
        <w:tc>
          <w:tcPr>
            <w:tcW w:w="749" w:type="dxa"/>
            <w:tcBorders>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3</w:t>
            </w:r>
          </w:p>
        </w:tc>
        <w:tc>
          <w:tcPr>
            <w:tcW w:w="6579" w:type="dxa"/>
            <w:tcBorders>
              <w:top w:val="single" w:color="auto" w:sz="4" w:space="0"/>
              <w:left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只有一个方案投标。</w:t>
            </w:r>
          </w:p>
        </w:tc>
        <w:tc>
          <w:tcPr>
            <w:tcW w:w="753" w:type="dxa"/>
            <w:tcBorders>
              <w:left w:val="single" w:color="auto" w:sz="4" w:space="0"/>
            </w:tcBorders>
            <w:noWrap w:val="0"/>
            <w:vAlign w:val="top"/>
          </w:tcPr>
          <w:p>
            <w:pPr>
              <w:rPr>
                <w:rFonts w:hint="eastAsia" w:ascii="宋体" w:hAnsi="宋体" w:cs="宋体"/>
                <w:color w:val="auto"/>
                <w:szCs w:val="21"/>
              </w:rPr>
            </w:pPr>
          </w:p>
        </w:tc>
        <w:tc>
          <w:tcPr>
            <w:tcW w:w="749" w:type="dxa"/>
            <w:tcBorders>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lef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4</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投标文件内容齐全、无遗漏。</w:t>
            </w:r>
          </w:p>
        </w:tc>
        <w:tc>
          <w:tcPr>
            <w:tcW w:w="753" w:type="dxa"/>
            <w:tcBorders>
              <w:left w:val="single" w:color="auto" w:sz="4" w:space="0"/>
            </w:tcBorders>
            <w:noWrap w:val="0"/>
            <w:vAlign w:val="top"/>
          </w:tcPr>
          <w:p>
            <w:pPr>
              <w:rPr>
                <w:rFonts w:hint="eastAsia" w:ascii="宋体" w:hAnsi="宋体" w:cs="宋体"/>
                <w:color w:val="auto"/>
                <w:szCs w:val="21"/>
              </w:rPr>
            </w:pPr>
          </w:p>
        </w:tc>
        <w:tc>
          <w:tcPr>
            <w:tcW w:w="749" w:type="dxa"/>
            <w:tcBorders>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left w:val="single" w:color="auto" w:sz="4" w:space="0"/>
              <w:bottom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5</w:t>
            </w:r>
          </w:p>
        </w:tc>
        <w:tc>
          <w:tcPr>
            <w:tcW w:w="6579" w:type="dxa"/>
            <w:tcBorders>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对招标文件规定的招标内容全部作出响应。</w:t>
            </w:r>
          </w:p>
        </w:tc>
        <w:tc>
          <w:tcPr>
            <w:tcW w:w="753" w:type="dxa"/>
            <w:tcBorders>
              <w:left w:val="single" w:color="auto" w:sz="4" w:space="0"/>
              <w:bottom w:val="single" w:color="auto" w:sz="4" w:space="0"/>
            </w:tcBorders>
            <w:noWrap w:val="0"/>
            <w:vAlign w:val="top"/>
          </w:tcPr>
          <w:p>
            <w:pPr>
              <w:rPr>
                <w:rFonts w:hint="eastAsia" w:ascii="宋体" w:hAnsi="宋体" w:cs="宋体"/>
                <w:color w:val="auto"/>
                <w:szCs w:val="21"/>
              </w:rPr>
            </w:pPr>
          </w:p>
        </w:tc>
        <w:tc>
          <w:tcPr>
            <w:tcW w:w="749" w:type="dxa"/>
            <w:tcBorders>
              <w:bottom w:val="single" w:color="auto" w:sz="4" w:space="0"/>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6</w:t>
            </w:r>
          </w:p>
        </w:tc>
        <w:tc>
          <w:tcPr>
            <w:tcW w:w="657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满足招标文件提出的技术和质量要求。</w:t>
            </w:r>
          </w:p>
        </w:tc>
        <w:tc>
          <w:tcPr>
            <w:tcW w:w="753"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rPr>
            </w:pP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top w:val="single" w:color="auto" w:sz="4" w:space="0"/>
              <w:left w:val="single" w:color="auto" w:sz="4" w:space="0"/>
            </w:tcBorders>
            <w:noWrap w:val="0"/>
            <w:vAlign w:val="center"/>
          </w:tcPr>
          <w:p>
            <w:pPr>
              <w:shd w:val="clear" w:color="auto" w:fill="auto"/>
              <w:spacing w:line="400" w:lineRule="exact"/>
              <w:jc w:val="center"/>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7</w:t>
            </w:r>
          </w:p>
        </w:tc>
        <w:tc>
          <w:tcPr>
            <w:tcW w:w="6579" w:type="dxa"/>
            <w:tcBorders>
              <w:top w:val="single" w:color="auto" w:sz="4" w:space="0"/>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lang w:val="en-US" w:eastAsia="zh-CN"/>
              </w:rPr>
              <w:t>供货</w:t>
            </w:r>
            <w:r>
              <w:rPr>
                <w:rFonts w:hint="eastAsia" w:ascii="宋体" w:hAnsi="Times New Roman" w:eastAsia="宋体" w:cs="Times New Roman"/>
                <w:color w:val="auto"/>
                <w:szCs w:val="21"/>
                <w:highlight w:val="none"/>
              </w:rPr>
              <w:t>期限满足招标文件要求。</w:t>
            </w:r>
          </w:p>
        </w:tc>
        <w:tc>
          <w:tcPr>
            <w:tcW w:w="753" w:type="dxa"/>
            <w:tcBorders>
              <w:top w:val="single" w:color="auto" w:sz="4" w:space="0"/>
              <w:left w:val="single" w:color="auto" w:sz="4" w:space="0"/>
            </w:tcBorders>
            <w:noWrap w:val="0"/>
            <w:vAlign w:val="top"/>
          </w:tcPr>
          <w:p>
            <w:pPr>
              <w:rPr>
                <w:rFonts w:hint="eastAsia" w:ascii="宋体" w:hAnsi="宋体" w:cs="宋体"/>
                <w:color w:val="auto"/>
                <w:szCs w:val="21"/>
              </w:rPr>
            </w:pPr>
          </w:p>
        </w:tc>
        <w:tc>
          <w:tcPr>
            <w:tcW w:w="749" w:type="dxa"/>
            <w:tcBorders>
              <w:top w:val="single" w:color="auto" w:sz="4" w:space="0"/>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lef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8</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lang w:eastAsia="zh-CN"/>
              </w:rPr>
              <w:t>投标文件</w:t>
            </w:r>
            <w:r>
              <w:rPr>
                <w:rFonts w:hint="eastAsia" w:ascii="宋体" w:hAnsi="Times New Roman" w:eastAsia="宋体" w:cs="Times New Roman"/>
                <w:color w:val="auto"/>
                <w:szCs w:val="21"/>
                <w:highlight w:val="none"/>
                <w:lang w:val="en-US" w:eastAsia="zh-CN"/>
              </w:rPr>
              <w:t>未</w:t>
            </w:r>
            <w:r>
              <w:rPr>
                <w:rFonts w:hint="eastAsia" w:ascii="宋体" w:hAnsi="Times New Roman" w:eastAsia="宋体" w:cs="Times New Roman"/>
                <w:color w:val="auto"/>
                <w:szCs w:val="21"/>
                <w:highlight w:val="none"/>
              </w:rPr>
              <w:t>含有采购人不能接受的附加条件；</w:t>
            </w:r>
          </w:p>
        </w:tc>
        <w:tc>
          <w:tcPr>
            <w:tcW w:w="753" w:type="dxa"/>
            <w:tcBorders>
              <w:left w:val="single" w:color="auto" w:sz="4" w:space="0"/>
            </w:tcBorders>
            <w:noWrap w:val="0"/>
            <w:vAlign w:val="top"/>
          </w:tcPr>
          <w:p>
            <w:pPr>
              <w:rPr>
                <w:rFonts w:hint="eastAsia" w:ascii="宋体" w:hAnsi="宋体" w:cs="宋体"/>
                <w:color w:val="auto"/>
                <w:szCs w:val="21"/>
              </w:rPr>
            </w:pPr>
          </w:p>
        </w:tc>
        <w:tc>
          <w:tcPr>
            <w:tcW w:w="749" w:type="dxa"/>
            <w:tcBorders>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lef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9</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投标有效期满足招标文件要求。</w:t>
            </w:r>
          </w:p>
        </w:tc>
        <w:tc>
          <w:tcPr>
            <w:tcW w:w="753" w:type="dxa"/>
            <w:tcBorders>
              <w:left w:val="single" w:color="auto" w:sz="4" w:space="0"/>
            </w:tcBorders>
            <w:noWrap w:val="0"/>
            <w:vAlign w:val="top"/>
          </w:tcPr>
          <w:p>
            <w:pPr>
              <w:rPr>
                <w:rFonts w:hint="eastAsia" w:ascii="宋体" w:hAnsi="宋体" w:cs="宋体"/>
                <w:color w:val="auto"/>
                <w:szCs w:val="21"/>
              </w:rPr>
            </w:pPr>
          </w:p>
        </w:tc>
        <w:tc>
          <w:tcPr>
            <w:tcW w:w="749" w:type="dxa"/>
            <w:tcBorders>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trPr>
        <w:tc>
          <w:tcPr>
            <w:tcW w:w="922" w:type="dxa"/>
            <w:vMerge w:val="continue"/>
            <w:tcBorders>
              <w:left w:val="single" w:color="auto" w:sz="4" w:space="0"/>
              <w:right w:val="single" w:color="auto" w:sz="4" w:space="0"/>
            </w:tcBorders>
            <w:noWrap w:val="0"/>
            <w:vAlign w:val="center"/>
          </w:tcPr>
          <w:p>
            <w:pPr>
              <w:rPr>
                <w:rFonts w:hint="eastAsia" w:ascii="宋体" w:hAnsi="宋体" w:cs="宋体"/>
                <w:color w:val="auto"/>
              </w:rPr>
            </w:pPr>
          </w:p>
        </w:tc>
        <w:tc>
          <w:tcPr>
            <w:tcW w:w="495" w:type="dxa"/>
            <w:tcBorders>
              <w:lef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z w:val="20"/>
                <w:szCs w:val="20"/>
              </w:rPr>
              <w:t>10</w:t>
            </w:r>
          </w:p>
        </w:tc>
        <w:tc>
          <w:tcPr>
            <w:tcW w:w="6579" w:type="dxa"/>
            <w:tcBorders>
              <w:right w:val="single" w:color="auto" w:sz="4" w:space="0"/>
            </w:tcBorders>
            <w:noWrap w:val="0"/>
            <w:vAlign w:val="center"/>
          </w:tcPr>
          <w:p>
            <w:pPr>
              <w:shd w:val="clear" w:color="auto" w:fill="auto"/>
              <w:spacing w:line="400" w:lineRule="exact"/>
              <w:jc w:val="left"/>
              <w:rPr>
                <w:rFonts w:hint="eastAsia" w:ascii="宋体" w:hAnsi="Times New Roman" w:eastAsia="宋体" w:cs="Times New Roman"/>
                <w:color w:val="auto"/>
                <w:szCs w:val="21"/>
                <w:highlight w:val="none"/>
                <w:lang w:eastAsia="zh-CN"/>
              </w:rPr>
            </w:pPr>
            <w:r>
              <w:rPr>
                <w:rFonts w:hint="eastAsia" w:ascii="宋体" w:hAnsi="Times New Roman" w:eastAsia="宋体" w:cs="Times New Roman"/>
                <w:color w:val="auto"/>
                <w:szCs w:val="21"/>
                <w:highlight w:val="none"/>
              </w:rPr>
              <w:t>投标人详细地址、联系人、电话</w:t>
            </w:r>
            <w:r>
              <w:rPr>
                <w:rFonts w:hint="eastAsia" w:ascii="宋体" w:hAnsi="Times New Roman" w:eastAsia="宋体" w:cs="Times New Roman"/>
                <w:color w:val="auto"/>
                <w:szCs w:val="21"/>
                <w:highlight w:val="none"/>
                <w:lang w:eastAsia="zh-CN"/>
              </w:rPr>
              <w:t>。</w:t>
            </w:r>
          </w:p>
        </w:tc>
        <w:tc>
          <w:tcPr>
            <w:tcW w:w="753" w:type="dxa"/>
            <w:tcBorders>
              <w:left w:val="single" w:color="auto" w:sz="4" w:space="0"/>
            </w:tcBorders>
            <w:noWrap w:val="0"/>
            <w:vAlign w:val="top"/>
          </w:tcPr>
          <w:p>
            <w:pPr>
              <w:rPr>
                <w:rFonts w:hint="eastAsia" w:ascii="宋体" w:hAnsi="宋体" w:cs="宋体"/>
                <w:color w:val="auto"/>
                <w:szCs w:val="21"/>
              </w:rPr>
            </w:pPr>
          </w:p>
        </w:tc>
        <w:tc>
          <w:tcPr>
            <w:tcW w:w="749" w:type="dxa"/>
            <w:tcBorders>
              <w:right w:val="single" w:color="auto" w:sz="4" w:space="0"/>
            </w:tcBorders>
            <w:noWrap w:val="0"/>
            <w:vAlign w:val="top"/>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7996" w:type="dxa"/>
            <w:gridSpan w:val="3"/>
            <w:tcBorders>
              <w:left w:val="single" w:color="auto" w:sz="4" w:space="0"/>
              <w:right w:val="single" w:color="auto" w:sz="4" w:space="0"/>
            </w:tcBorders>
            <w:noWrap w:val="0"/>
            <w:vAlign w:val="center"/>
          </w:tcPr>
          <w:p>
            <w:pPr>
              <w:jc w:val="center"/>
              <w:rPr>
                <w:rFonts w:hint="eastAsia" w:ascii="宋体" w:hAnsi="宋体" w:cs="宋体"/>
                <w:color w:val="auto"/>
                <w:sz w:val="20"/>
                <w:szCs w:val="20"/>
              </w:rPr>
            </w:pPr>
            <w:r>
              <w:rPr>
                <w:rFonts w:hint="eastAsia" w:ascii="宋体" w:hAnsi="宋体" w:cs="宋体"/>
                <w:color w:val="auto"/>
                <w:spacing w:val="-2"/>
                <w:szCs w:val="21"/>
                <w:lang w:eastAsia="zh-CN"/>
              </w:rPr>
              <w:t>评审结果：须写通过或者不通过</w:t>
            </w:r>
          </w:p>
        </w:tc>
        <w:tc>
          <w:tcPr>
            <w:tcW w:w="1502" w:type="dxa"/>
            <w:gridSpan w:val="2"/>
            <w:tcBorders>
              <w:left w:val="single" w:color="auto" w:sz="4" w:space="0"/>
              <w:right w:val="single" w:color="auto" w:sz="4" w:space="0"/>
            </w:tcBorders>
            <w:noWrap w:val="0"/>
            <w:vAlign w:val="center"/>
          </w:tcPr>
          <w:p>
            <w:pPr>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3" w:hRule="atLeast"/>
        </w:trPr>
        <w:tc>
          <w:tcPr>
            <w:tcW w:w="9498" w:type="dxa"/>
            <w:gridSpan w:val="5"/>
            <w:tcBorders>
              <w:left w:val="single" w:color="auto" w:sz="4" w:space="0"/>
              <w:bottom w:val="single" w:color="auto" w:sz="4" w:space="0"/>
              <w:right w:val="single" w:color="auto" w:sz="4" w:space="0"/>
            </w:tcBorders>
            <w:noWrap w:val="0"/>
            <w:vAlign w:val="center"/>
          </w:tcPr>
          <w:p>
            <w:pPr>
              <w:ind w:firstLine="375" w:firstLineChars="180"/>
              <w:rPr>
                <w:rFonts w:hint="eastAsia" w:ascii="宋体" w:hAnsi="宋体" w:cs="宋体"/>
                <w:color w:val="auto"/>
                <w:szCs w:val="21"/>
              </w:rPr>
            </w:pPr>
            <w:r>
              <w:rPr>
                <w:rFonts w:hint="eastAsia" w:ascii="宋体" w:hAnsi="宋体" w:cs="宋体"/>
                <w:color w:val="auto"/>
                <w:spacing w:val="-2"/>
                <w:szCs w:val="21"/>
              </w:rPr>
              <w:t xml:space="preserve">结论：通过评审打“√”，未通过评审打“×”   </w:t>
            </w:r>
            <w:r>
              <w:rPr>
                <w:rFonts w:hint="eastAsia" w:ascii="宋体" w:hAnsi="宋体" w:cs="宋体"/>
                <w:color w:val="auto"/>
                <w:szCs w:val="21"/>
              </w:rPr>
              <w:t>注：如有一项不合格，作废标处理。</w:t>
            </w:r>
          </w:p>
        </w:tc>
      </w:tr>
    </w:tbl>
    <w:p>
      <w:pPr>
        <w:shd w:val="clear" w:color="auto" w:fill="auto"/>
        <w:spacing w:line="400" w:lineRule="exact"/>
        <w:rPr>
          <w:rFonts w:hint="eastAsia" w:ascii="宋体"/>
          <w:color w:val="auto"/>
          <w:szCs w:val="21"/>
          <w:highlight w:val="none"/>
          <w:lang w:val="en-US" w:eastAsia="zh-CN"/>
        </w:rPr>
      </w:pPr>
    </w:p>
    <w:p>
      <w:pPr>
        <w:shd w:val="clear" w:color="auto" w:fill="auto"/>
        <w:spacing w:line="400" w:lineRule="exact"/>
        <w:ind w:firstLine="513" w:firstLineChars="241"/>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.2评委会判定投标文件的响应性只根据投标文件本身的内容，而不寻求外部的证据，但投标有不真实不正确的内容时除外。</w:t>
      </w:r>
    </w:p>
    <w:p>
      <w:pPr>
        <w:shd w:val="clear" w:color="auto" w:fill="auto"/>
        <w:spacing w:line="400" w:lineRule="exact"/>
        <w:ind w:firstLine="513" w:firstLineChars="241"/>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.3如果投标文件实质上没有响应</w:t>
      </w:r>
      <w:r>
        <w:rPr>
          <w:rFonts w:hint="eastAsia" w:ascii="宋体"/>
          <w:color w:val="auto"/>
          <w:szCs w:val="21"/>
          <w:highlight w:val="none"/>
          <w:lang w:eastAsia="zh-CN"/>
        </w:rPr>
        <w:t>采购文件</w:t>
      </w:r>
      <w:r>
        <w:rPr>
          <w:rFonts w:hint="eastAsia" w:ascii="宋体"/>
          <w:color w:val="auto"/>
          <w:szCs w:val="21"/>
          <w:highlight w:val="none"/>
        </w:rPr>
        <w:t>的要求，评委会将予以拒绝，投标人不得通过修正或撤销不符合要求的偏离或保留，而使其投标成为实质上响应的投标。</w:t>
      </w:r>
    </w:p>
    <w:p>
      <w:pPr>
        <w:shd w:val="clear" w:color="auto" w:fill="auto"/>
        <w:spacing w:line="400" w:lineRule="exact"/>
        <w:ind w:firstLine="426" w:firstLineChars="200"/>
        <w:rPr>
          <w:rFonts w:hint="eastAsia" w:ascii="宋体"/>
          <w:color w:val="auto"/>
          <w:szCs w:val="21"/>
          <w:highlight w:val="none"/>
        </w:rPr>
      </w:pPr>
      <w:r>
        <w:rPr>
          <w:rFonts w:hint="eastAsia" w:ascii="宋体"/>
          <w:color w:val="auto"/>
          <w:szCs w:val="21"/>
          <w:highlight w:val="none"/>
        </w:rPr>
        <w:t xml:space="preserve"> </w:t>
      </w:r>
      <w:r>
        <w:rPr>
          <w:rFonts w:hint="eastAsia" w:ascii="宋体"/>
          <w:color w:val="auto"/>
          <w:szCs w:val="21"/>
          <w:highlight w:val="none"/>
          <w:lang w:val="en-US" w:eastAsia="zh-CN"/>
        </w:rPr>
        <w:t>7</w:t>
      </w:r>
      <w:r>
        <w:rPr>
          <w:rFonts w:hint="eastAsia" w:ascii="宋体"/>
          <w:color w:val="auto"/>
          <w:szCs w:val="21"/>
          <w:highlight w:val="none"/>
        </w:rPr>
        <w:t>.4投标人可在现场20分钟内对评标委员会的评审结论提出异议，评标委员会根据</w:t>
      </w:r>
      <w:r>
        <w:rPr>
          <w:rFonts w:hint="eastAsia" w:ascii="宋体"/>
          <w:color w:val="auto"/>
          <w:szCs w:val="21"/>
          <w:highlight w:val="none"/>
          <w:lang w:eastAsia="zh-CN"/>
        </w:rPr>
        <w:t>采购文件</w:t>
      </w:r>
      <w:r>
        <w:rPr>
          <w:rFonts w:hint="eastAsia" w:ascii="宋体"/>
          <w:color w:val="auto"/>
          <w:szCs w:val="21"/>
          <w:highlight w:val="none"/>
        </w:rPr>
        <w:t>及有关规定对投标人的异议进行复议</w:t>
      </w:r>
    </w:p>
    <w:p>
      <w:pPr>
        <w:shd w:val="clear" w:color="auto" w:fill="auto"/>
        <w:spacing w:line="400" w:lineRule="exact"/>
        <w:ind w:firstLine="532" w:firstLineChars="250"/>
        <w:rPr>
          <w:rFonts w:hint="eastAsia" w:ascii="宋体"/>
          <w:color w:val="auto"/>
          <w:szCs w:val="21"/>
          <w:highlight w:val="none"/>
        </w:rPr>
      </w:pPr>
      <w:r>
        <w:rPr>
          <w:rFonts w:hint="eastAsia" w:ascii="宋体"/>
          <w:color w:val="auto"/>
          <w:szCs w:val="21"/>
          <w:highlight w:val="none"/>
          <w:lang w:val="en-US" w:eastAsia="zh-CN"/>
        </w:rPr>
        <w:t>7</w:t>
      </w:r>
      <w:r>
        <w:rPr>
          <w:rFonts w:hint="eastAsia" w:ascii="宋体"/>
          <w:color w:val="auto"/>
          <w:szCs w:val="21"/>
          <w:highlight w:val="none"/>
        </w:rPr>
        <w:t>.5只有通过初审的投标人才能进入下一步评标程序。</w:t>
      </w:r>
    </w:p>
    <w:p>
      <w:pPr>
        <w:shd w:val="clear" w:color="auto" w:fill="auto"/>
        <w:spacing w:line="400" w:lineRule="exact"/>
        <w:ind w:firstLine="426" w:firstLineChars="200"/>
        <w:rPr>
          <w:rFonts w:hint="eastAsia" w:ascii="宋体" w:hAnsi="宋体"/>
          <w:b/>
          <w:color w:val="auto"/>
          <w:szCs w:val="21"/>
          <w:highlight w:val="none"/>
        </w:rPr>
      </w:pPr>
      <w:r>
        <w:rPr>
          <w:rFonts w:hint="eastAsia" w:ascii="宋体" w:hAnsi="宋体"/>
          <w:b/>
          <w:color w:val="auto"/>
          <w:szCs w:val="21"/>
          <w:highlight w:val="none"/>
        </w:rPr>
        <w:t>温馨提示：投标文件资格审查资料请精心准备,如评标专家在检验电子标书过程中，如果由于投标人自身原因导致评标专家无法查看并检验电子标书中以上相关资料的，按无效投标处理。即使投标单位将原件携带至现场的，同样按无效投标处理。</w:t>
      </w:r>
      <w:bookmarkStart w:id="52" w:name="_Toc362983803"/>
      <w:bookmarkStart w:id="53" w:name="_Toc469495734"/>
    </w:p>
    <w:p>
      <w:pPr>
        <w:shd w:val="clear" w:color="auto" w:fill="auto"/>
        <w:spacing w:line="400" w:lineRule="exact"/>
        <w:ind w:firstLine="3113" w:firstLineChars="1100"/>
        <w:rPr>
          <w:rFonts w:hint="eastAsia" w:ascii="宋体"/>
          <w:b/>
          <w:color w:val="auto"/>
          <w:sz w:val="28"/>
          <w:szCs w:val="28"/>
          <w:highlight w:val="none"/>
        </w:rPr>
      </w:pPr>
    </w:p>
    <w:p>
      <w:pPr>
        <w:shd w:val="clear" w:color="auto" w:fill="auto"/>
        <w:spacing w:line="400" w:lineRule="exact"/>
        <w:ind w:firstLine="3113" w:firstLineChars="1100"/>
        <w:rPr>
          <w:rFonts w:hint="eastAsia" w:ascii="宋体"/>
          <w:b/>
          <w:color w:val="auto"/>
          <w:sz w:val="24"/>
          <w:highlight w:val="none"/>
        </w:rPr>
      </w:pPr>
      <w:r>
        <w:rPr>
          <w:rFonts w:hint="eastAsia" w:ascii="宋体"/>
          <w:b/>
          <w:color w:val="auto"/>
          <w:sz w:val="28"/>
          <w:szCs w:val="28"/>
          <w:highlight w:val="none"/>
        </w:rPr>
        <w:t>三  投标文件的澄清和补正</w:t>
      </w:r>
      <w:bookmarkEnd w:id="52"/>
      <w:bookmarkEnd w:id="53"/>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8．澄清、说明或补正的形式</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8.1对于投标文件中含义不明确、同类问题表述不一致或者有明显文字和计算错误的内容，评标委员会将通过“政府采购云平台”在线询标的方式要求投标供应商在规定的时间内作出必要的澄清、说明或者补正，投标供应商澄清、说明或补正时间为20分钟。</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8.2投标供应商的澄清、说明或者补正应当通过“政府采购云平台”在线答复的方式提交，并加盖公章（电子印章），或者由法定代表人（负责人）或其授权的代表签字。投标供应商的澄清、说明或者补正不得超出投标文件的范围或者改变投标文件的实质性内容，不接受投标供应商主动对投标文件的澄清、说明或者补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8.3上述询标、澄清、说明和补正工作如因客观原因无法通过“政府采购云平台”在线进行的，将采用电子邮件等形式进行，请供应商保证办理投标事宜人员电话畅通、网络在线。如未及时进行澄清、说明或者补正的，视为放弃澄清、说明或者补正的权利。</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9．错误修正的原则</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电子交易平台客户端里开标一览表录入的投标报价或优惠率与扫描上传的报价文件信息不一致的，以扫描上传的报价文件信息为准进行修正。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投标文件报价出现前后不一致的，除采购文件另有规定外，按照下列规定修正：</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9.1 投标函中表述的内容与报价表中不一致的，以报价表为准；报价表中的内容与报价明细表不一致的，以报价表为准；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9.2 投标文件中的大写金额和小写金额不一致的，以大写金额为准；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9.3 单价金额小数点或者百分比有明显错位的，以开标一览表的总价为准，并修改单价；</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9.4 总价金额与按单价汇总金额不一致的，以单价金额计算结果为准；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9.5 若用文字表示的数值与用数字表示的数值不一致，以文字表示的数值为准；</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9.6 如有多报（指数量超出采购文件需求）、重报（指同一货物重复报价），其投标总价在评标过程中不予调整，如其中标，其合同价按其投标单价予以调整；</w:t>
      </w:r>
    </w:p>
    <w:p>
      <w:pPr>
        <w:shd w:val="clear" w:color="auto" w:fill="auto"/>
        <w:spacing w:line="440" w:lineRule="exact"/>
        <w:ind w:firstLine="213" w:firstLineChars="100"/>
        <w:jc w:val="left"/>
        <w:rPr>
          <w:rFonts w:hint="eastAsia" w:ascii="宋体"/>
          <w:b w:val="0"/>
          <w:bCs w:val="0"/>
          <w:color w:val="auto"/>
          <w:szCs w:val="21"/>
          <w:highlight w:val="none"/>
          <w:lang w:val="en-US" w:eastAsia="zh-CN"/>
        </w:rPr>
      </w:pPr>
      <w:r>
        <w:rPr>
          <w:rFonts w:hint="eastAsia" w:ascii="宋体"/>
          <w:b w:val="0"/>
          <w:bCs w:val="0"/>
          <w:color w:val="auto"/>
          <w:szCs w:val="21"/>
          <w:highlight w:val="none"/>
          <w:lang w:val="en-US" w:eastAsia="zh-CN"/>
        </w:rPr>
        <w:t>9.7 对不同文字文本投标文件的解释发生异议的，以中文文本为准；</w:t>
      </w:r>
    </w:p>
    <w:p>
      <w:pPr>
        <w:shd w:val="clear" w:color="auto" w:fill="auto"/>
        <w:spacing w:line="440" w:lineRule="exact"/>
        <w:ind w:firstLine="213" w:firstLineChars="100"/>
        <w:jc w:val="left"/>
        <w:rPr>
          <w:rFonts w:hint="eastAsia" w:ascii="宋体"/>
          <w:color w:val="auto"/>
          <w:szCs w:val="21"/>
          <w:highlight w:val="none"/>
        </w:rPr>
      </w:pPr>
      <w:r>
        <w:rPr>
          <w:rFonts w:hint="eastAsia" w:ascii="宋体"/>
          <w:b w:val="0"/>
          <w:bCs w:val="0"/>
          <w:color w:val="auto"/>
          <w:szCs w:val="21"/>
          <w:highlight w:val="none"/>
          <w:lang w:val="en-US" w:eastAsia="zh-CN"/>
        </w:rPr>
        <w:t>同时出现两种以上不一致的，按照前款规定的顺序修正。按上述修正错误的原则及方法调整或修正投标文件的投标报价，供应商确认后，以调整或修正后的投标报价为准。如供应商拒绝调整或修正的，其投标文件按无效标处理。修正应当采用电子询标的形式，并加盖公章（电子印章）。</w:t>
      </w:r>
    </w:p>
    <w:p>
      <w:pPr>
        <w:shd w:val="clear" w:color="auto" w:fill="auto"/>
        <w:spacing w:line="400" w:lineRule="exact"/>
        <w:jc w:val="center"/>
        <w:outlineLvl w:val="1"/>
        <w:rPr>
          <w:rFonts w:hint="eastAsia" w:ascii="宋体"/>
          <w:b/>
          <w:color w:val="auto"/>
          <w:sz w:val="24"/>
          <w:highlight w:val="none"/>
        </w:rPr>
        <w:sectPr>
          <w:pgSz w:w="11905" w:h="16838"/>
          <w:pgMar w:top="1440" w:right="1797" w:bottom="1440" w:left="1797" w:header="850" w:footer="992" w:gutter="0"/>
          <w:pgNumType w:fmt="decimal"/>
          <w:cols w:space="720" w:num="1"/>
          <w:rtlGutter w:val="0"/>
          <w:docGrid w:type="linesAndChars" w:linePitch="325" w:charSpace="635"/>
        </w:sectPr>
      </w:pPr>
      <w:bookmarkStart w:id="54" w:name="_Toc469495735"/>
    </w:p>
    <w:p>
      <w:pPr>
        <w:shd w:val="clear" w:color="auto" w:fill="auto"/>
        <w:spacing w:line="400" w:lineRule="exact"/>
        <w:jc w:val="center"/>
        <w:outlineLvl w:val="1"/>
        <w:rPr>
          <w:rFonts w:hint="eastAsia" w:ascii="宋体"/>
          <w:b/>
          <w:color w:val="auto"/>
          <w:sz w:val="24"/>
          <w:highlight w:val="none"/>
        </w:rPr>
      </w:pPr>
      <w:r>
        <w:rPr>
          <w:rFonts w:hint="eastAsia" w:ascii="宋体"/>
          <w:b/>
          <w:color w:val="auto"/>
          <w:sz w:val="24"/>
          <w:highlight w:val="none"/>
        </w:rPr>
        <w:t>四 比较与评价</w:t>
      </w:r>
      <w:bookmarkEnd w:id="54"/>
    </w:p>
    <w:p>
      <w:pPr>
        <w:shd w:val="clear" w:color="auto" w:fill="auto"/>
        <w:tabs>
          <w:tab w:val="left" w:pos="720"/>
        </w:tabs>
        <w:spacing w:line="440" w:lineRule="exact"/>
        <w:ind w:firstLine="542" w:firstLineChars="255"/>
        <w:rPr>
          <w:rFonts w:hint="eastAsia" w:ascii="宋体" w:hAnsi="宋体" w:eastAsia="宋体" w:cs="宋体"/>
          <w:color w:val="auto"/>
          <w:szCs w:val="21"/>
          <w:highlight w:val="none"/>
          <w:lang w:bidi="ar-SA"/>
        </w:rPr>
      </w:pPr>
      <w:bookmarkStart w:id="55" w:name="_Toc362983805"/>
      <w:bookmarkStart w:id="56" w:name="_Toc469495736"/>
      <w:r>
        <w:rPr>
          <w:rFonts w:hint="eastAsia" w:ascii="宋体" w:hAnsi="宋体" w:eastAsia="宋体" w:cs="宋体"/>
          <w:color w:val="auto"/>
          <w:szCs w:val="21"/>
          <w:highlight w:val="none"/>
          <w:lang w:val="en-US" w:eastAsia="zh-CN" w:bidi="ar-SA"/>
        </w:rPr>
        <w:t>10.1</w:t>
      </w:r>
      <w:r>
        <w:rPr>
          <w:rFonts w:hint="eastAsia" w:ascii="宋体" w:hAnsi="宋体" w:eastAsia="宋体" w:cs="宋体"/>
          <w:color w:val="auto"/>
          <w:szCs w:val="21"/>
          <w:highlight w:val="none"/>
          <w:lang w:bidi="ar-SA"/>
        </w:rPr>
        <w:t>评标委员会按招标文件中规定的评标方法和标准，对资格性检查和符合性检查合格的投标文件进行商务和技术评估、综合比较与评价。</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val="en-US" w:eastAsia="zh-CN" w:bidi="ar-SA"/>
        </w:rPr>
        <w:t>10.2</w:t>
      </w:r>
      <w:r>
        <w:rPr>
          <w:rFonts w:hint="eastAsia" w:ascii="宋体" w:hAnsi="宋体" w:eastAsia="宋体" w:cs="宋体"/>
          <w:color w:val="auto"/>
          <w:szCs w:val="21"/>
          <w:highlight w:val="none"/>
          <w:lang w:bidi="ar-SA"/>
        </w:rPr>
        <w:t>评标委员会根据商务和技术评估的结果，采用综合评分法，分别对投标文件的商务、技术、价格等内容进行打分。其中，商务评估、技术评估、价格评估的评分权值（详见附件1）。</w:t>
      </w:r>
    </w:p>
    <w:p>
      <w:pPr>
        <w:shd w:val="clear" w:color="auto" w:fill="auto"/>
        <w:spacing w:line="440" w:lineRule="exact"/>
        <w:ind w:firstLine="546" w:firstLineChars="257"/>
        <w:rPr>
          <w:rFonts w:hint="eastAsia" w:ascii="宋体" w:hAnsi="宋体" w:eastAsia="宋体" w:cs="宋体"/>
          <w:bCs/>
          <w:color w:val="auto"/>
          <w:szCs w:val="21"/>
          <w:highlight w:val="none"/>
          <w:lang w:bidi="ar-SA"/>
        </w:rPr>
      </w:pPr>
      <w:r>
        <w:rPr>
          <w:rFonts w:hint="eastAsia" w:ascii="宋体" w:hAnsi="宋体" w:eastAsia="宋体" w:cs="宋体"/>
          <w:color w:val="auto"/>
          <w:szCs w:val="21"/>
          <w:highlight w:val="none"/>
          <w:lang w:val="en-US" w:eastAsia="zh-CN" w:bidi="ar-SA"/>
        </w:rPr>
        <w:t>10.</w:t>
      </w:r>
      <w:r>
        <w:rPr>
          <w:rFonts w:hint="eastAsia" w:ascii="宋体" w:hAnsi="宋体" w:eastAsia="宋体" w:cs="宋体"/>
          <w:bCs/>
          <w:color w:val="auto"/>
          <w:szCs w:val="21"/>
          <w:highlight w:val="none"/>
          <w:lang w:val="en-US" w:eastAsia="zh-CN" w:bidi="ar-SA"/>
        </w:rPr>
        <w:t>2.1</w:t>
      </w:r>
      <w:r>
        <w:rPr>
          <w:rFonts w:hint="eastAsia" w:ascii="宋体" w:hAnsi="宋体" w:eastAsia="宋体" w:cs="宋体"/>
          <w:bCs/>
          <w:color w:val="auto"/>
          <w:szCs w:val="21"/>
          <w:highlight w:val="none"/>
          <w:lang w:bidi="ar-SA"/>
        </w:rPr>
        <w:t>评委打分办法</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bCs/>
          <w:color w:val="auto"/>
          <w:szCs w:val="21"/>
          <w:highlight w:val="none"/>
          <w:lang w:bidi="ar-SA"/>
        </w:rPr>
        <w:t>（1）</w:t>
      </w:r>
      <w:r>
        <w:rPr>
          <w:rFonts w:hint="eastAsia" w:ascii="宋体" w:hAnsi="宋体" w:eastAsia="宋体" w:cs="宋体"/>
          <w:color w:val="auto"/>
          <w:szCs w:val="21"/>
          <w:highlight w:val="none"/>
          <w:lang w:bidi="ar-SA"/>
        </w:rPr>
        <w:t>参加评分的评委应尽力体现客观、实事求是，避免学派偏见和个人偏好。</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（2）衡量、对比的依据，应以招标文件、投标文件、提供的正式试验数据、质询澄清中的文字为准，口头回答和收集的资料只作为参考。</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（3）评分主要是为比较各投标人的价格、商务和技术综合排序。</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（4）评委打分采取记名形式。</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（5）各评委根据提供的技术打分表独立自主打分，任何人不得要求评委统一打分或统一确定等次顺序。</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（6）对打分表中的每项条款，各评委应根据投标文件、澄清材料、招标文件要求，按满足的程度给投标人打分。</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（7）评分程序</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1)就投标人的投标文件对照整理出商务、技术评标因素对比表、偏差表，并在经过校核的基础上逐项打分。</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2)各评委独立完成打分后，将评分表交给代理机构，由代理机构组织进行分数统计。</w:t>
      </w:r>
    </w:p>
    <w:p>
      <w:pPr>
        <w:shd w:val="clear" w:color="auto" w:fill="auto"/>
        <w:spacing w:line="440" w:lineRule="exact"/>
        <w:ind w:firstLine="546" w:firstLineChars="257"/>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3)最终汇总表中各投标人得分应为评委打分的算术平均值。</w:t>
      </w:r>
    </w:p>
    <w:p>
      <w:pPr>
        <w:numPr>
          <w:ilvl w:val="0"/>
          <w:numId w:val="0"/>
        </w:numPr>
        <w:shd w:val="clear" w:color="auto" w:fill="auto"/>
        <w:spacing w:line="500" w:lineRule="exact"/>
        <w:ind w:firstLine="426" w:firstLineChars="200"/>
        <w:jc w:val="left"/>
        <w:rPr>
          <w:rFonts w:hint="eastAsia" w:ascii="宋体" w:hAnsi="宋体" w:eastAsia="宋体" w:cs="宋体"/>
          <w:color w:val="auto"/>
          <w:szCs w:val="21"/>
          <w:highlight w:val="none"/>
          <w:lang w:bidi="ar-SA"/>
        </w:rPr>
      </w:pPr>
      <w:r>
        <w:rPr>
          <w:rFonts w:hint="eastAsia" w:ascii="宋体" w:hAnsi="宋体" w:eastAsia="宋体" w:cs="宋体"/>
          <w:color w:val="auto"/>
          <w:szCs w:val="21"/>
          <w:highlight w:val="none"/>
          <w:lang w:bidi="ar-SA"/>
        </w:rPr>
        <w:t>（8）评分标准和细则（综合评分法评分标准）</w:t>
      </w:r>
    </w:p>
    <w:tbl>
      <w:tblPr>
        <w:tblStyle w:val="28"/>
        <w:tblpPr w:leftFromText="180" w:rightFromText="180" w:vertAnchor="text" w:horzAnchor="margin" w:tblpXSpec="center" w:tblpY="83"/>
        <w:tblW w:w="9038" w:type="dxa"/>
        <w:tblCellSpacing w:w="0"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5"/>
        <w:gridCol w:w="1392"/>
        <w:gridCol w:w="985"/>
        <w:gridCol w:w="5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tblCellSpacing w:w="0" w:type="dxa"/>
        </w:trPr>
        <w:tc>
          <w:tcPr>
            <w:tcW w:w="815"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序号</w:t>
            </w:r>
          </w:p>
        </w:tc>
        <w:tc>
          <w:tcPr>
            <w:tcW w:w="1392"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评审项目</w:t>
            </w:r>
          </w:p>
        </w:tc>
        <w:tc>
          <w:tcPr>
            <w:tcW w:w="985"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标准分</w:t>
            </w:r>
          </w:p>
        </w:tc>
        <w:tc>
          <w:tcPr>
            <w:tcW w:w="5846"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b/>
                <w:bCs/>
                <w:color w:val="auto"/>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5" w:hRule="atLeast"/>
          <w:tblCellSpacing w:w="0" w:type="dxa"/>
        </w:trPr>
        <w:tc>
          <w:tcPr>
            <w:tcW w:w="815"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1</w:t>
            </w:r>
          </w:p>
        </w:tc>
        <w:tc>
          <w:tcPr>
            <w:tcW w:w="1392"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投标报价</w:t>
            </w:r>
          </w:p>
        </w:tc>
        <w:tc>
          <w:tcPr>
            <w:tcW w:w="985" w:type="dxa"/>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30分</w:t>
            </w:r>
          </w:p>
        </w:tc>
        <w:tc>
          <w:tcPr>
            <w:tcW w:w="5846" w:type="dxa"/>
            <w:tcBorders>
              <w:tl2br w:val="nil"/>
              <w:tr2bl w:val="nil"/>
            </w:tcBorders>
            <w:noWrap w:val="0"/>
            <w:vAlign w:val="center"/>
          </w:tcPr>
          <w:p>
            <w:pPr>
              <w:widowControl/>
              <w:spacing w:line="240" w:lineRule="auto"/>
              <w:jc w:val="left"/>
              <w:rPr>
                <w:rFonts w:hint="eastAsia" w:asciiTheme="minorEastAsia" w:hAnsiTheme="minorEastAsia" w:eastAsiaTheme="minorEastAsia" w:cstheme="minorEastAsia"/>
                <w:color w:val="auto"/>
                <w:szCs w:val="21"/>
                <w:highlight w:val="none"/>
                <w:lang w:bidi="ar-SA"/>
              </w:rPr>
            </w:pPr>
            <w:r>
              <w:rPr>
                <w:rFonts w:hint="eastAsia" w:asciiTheme="minorEastAsia" w:hAnsiTheme="minorEastAsia" w:eastAsiaTheme="minorEastAsia" w:cstheme="minorEastAsia"/>
                <w:color w:val="auto"/>
                <w:szCs w:val="21"/>
                <w:highlight w:val="none"/>
                <w:lang w:bidi="ar-SA"/>
              </w:rPr>
              <w:t>满足文件要求且最低价格为基准价，其价格分为满分，其他投标人的价格分按公式计算：报价得分＝（基准价／报价）x价格权值x100。【说明：给予小型、微型企业的价格给予6％-10％的扣除，用扣除后的价格参与评审，本项目具体扣除比例为6％。（小数点后保留二位小数，第三位四舍五入）。</w:t>
            </w:r>
          </w:p>
          <w:p>
            <w:pPr>
              <w:widowControl/>
              <w:spacing w:line="240" w:lineRule="auto"/>
              <w:jc w:val="left"/>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Cs w:val="21"/>
                <w:highlight w:val="none"/>
                <w:lang w:bidi="ar-SA"/>
              </w:rPr>
              <w:t>（投标总报价超过采购预算价的按废标处理。）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6" w:hRule="atLeast"/>
          <w:tblCellSpacing w:w="0" w:type="dxa"/>
        </w:trPr>
        <w:tc>
          <w:tcPr>
            <w:tcW w:w="815" w:type="dxa"/>
            <w:tcBorders>
              <w:tl2br w:val="nil"/>
              <w:tr2bl w:val="nil"/>
            </w:tcBorders>
            <w:noWrap w:val="0"/>
            <w:vAlign w:val="center"/>
          </w:tcPr>
          <w:p>
            <w:pPr>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2</w:t>
            </w:r>
          </w:p>
        </w:tc>
        <w:tc>
          <w:tcPr>
            <w:tcW w:w="1392" w:type="dxa"/>
            <w:tcBorders>
              <w:tl2br w:val="nil"/>
              <w:tr2bl w:val="nil"/>
            </w:tcBorders>
            <w:noWrap w:val="0"/>
            <w:vAlign w:val="center"/>
          </w:tcPr>
          <w:p>
            <w:pPr>
              <w:rPr>
                <w:rFonts w:hint="eastAsia" w:asciiTheme="minorEastAsia" w:hAnsiTheme="minorEastAsia" w:eastAsiaTheme="minorEastAsia" w:cstheme="minorEastAsia"/>
                <w:color w:val="auto"/>
                <w:szCs w:val="21"/>
                <w:shd w:val="clear" w:color="auto" w:fill="auto"/>
                <w:lang w:eastAsia="zh-CN"/>
              </w:rPr>
            </w:pPr>
            <w:r>
              <w:rPr>
                <w:rFonts w:hint="eastAsia" w:asciiTheme="minorEastAsia" w:hAnsiTheme="minorEastAsia" w:eastAsiaTheme="minorEastAsia" w:cstheme="minorEastAsia"/>
                <w:color w:val="auto"/>
                <w:szCs w:val="21"/>
                <w:shd w:val="clear" w:color="auto" w:fill="auto"/>
                <w:lang w:eastAsia="zh-CN"/>
              </w:rPr>
              <w:t>产品性能技术参数及相关要求</w:t>
            </w:r>
          </w:p>
        </w:tc>
        <w:tc>
          <w:tcPr>
            <w:tcW w:w="985" w:type="dxa"/>
            <w:tcBorders>
              <w:tl2br w:val="nil"/>
              <w:tr2bl w:val="nil"/>
            </w:tcBorders>
            <w:noWrap w:val="0"/>
            <w:vAlign w:val="center"/>
          </w:tcPr>
          <w:p>
            <w:pPr>
              <w:widowControl/>
              <w:spacing w:line="240" w:lineRule="auto"/>
              <w:jc w:val="center"/>
              <w:rPr>
                <w:rFonts w:hint="default"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35分</w:t>
            </w:r>
          </w:p>
        </w:tc>
        <w:tc>
          <w:tcPr>
            <w:tcW w:w="5846" w:type="dxa"/>
            <w:tcBorders>
              <w:tl2br w:val="nil"/>
              <w:tr2bl w:val="nil"/>
            </w:tcBorders>
            <w:noWrap w:val="0"/>
            <w:vAlign w:val="center"/>
          </w:tcPr>
          <w:p>
            <w:pPr>
              <w:pStyle w:val="82"/>
              <w:numPr>
                <w:ilvl w:val="0"/>
                <w:numId w:val="0"/>
              </w:numPr>
              <w:tabs>
                <w:tab w:val="center" w:pos="2284"/>
              </w:tabs>
              <w:ind w:leftChars="0"/>
              <w:jc w:val="left"/>
              <w:rPr>
                <w:rFonts w:hint="eastAsia" w:asciiTheme="minorEastAsia" w:hAnsiTheme="minorEastAsia" w:eastAsiaTheme="minorEastAsia" w:cstheme="minorEastAsia"/>
                <w:color w:val="auto"/>
                <w:kern w:val="0"/>
                <w:sz w:val="21"/>
                <w:szCs w:val="21"/>
                <w:lang w:val="en-US" w:eastAsia="zh-CN"/>
              </w:rPr>
            </w:pPr>
          </w:p>
          <w:p>
            <w:pPr>
              <w:pStyle w:val="82"/>
              <w:numPr>
                <w:ilvl w:val="0"/>
                <w:numId w:val="0"/>
              </w:numPr>
              <w:tabs>
                <w:tab w:val="center" w:pos="2284"/>
              </w:tabs>
              <w:ind w:leftChars="0"/>
              <w:jc w:val="left"/>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1．技术指标、参数完全符合招标文件技术指标、参数要求的得25分。</w:t>
            </w:r>
          </w:p>
          <w:p>
            <w:pPr>
              <w:pStyle w:val="82"/>
              <w:numPr>
                <w:ilvl w:val="0"/>
                <w:numId w:val="0"/>
              </w:numPr>
              <w:tabs>
                <w:tab w:val="center" w:pos="2284"/>
              </w:tabs>
              <w:ind w:leftChars="0"/>
              <w:jc w:val="left"/>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2．投标人技术指标、参数高于招标文件规定的相应技术指标、参数的，每有一项加1分，共10分（并提供真实相关证明资料（加盖公章的检测报告），否则不计分值）</w:t>
            </w:r>
          </w:p>
          <w:p>
            <w:pPr>
              <w:pStyle w:val="82"/>
              <w:numPr>
                <w:ilvl w:val="0"/>
                <w:numId w:val="0"/>
              </w:numPr>
              <w:tabs>
                <w:tab w:val="center" w:pos="2284"/>
              </w:tabs>
              <w:ind w:leftChars="0"/>
              <w:jc w:val="left"/>
              <w:rPr>
                <w:rFonts w:hint="eastAsia" w:asciiTheme="minorEastAsia" w:hAnsiTheme="minorEastAsia" w:eastAsiaTheme="minorEastAsia" w:cstheme="minorEastAsia"/>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2" w:hRule="atLeast"/>
          <w:tblCellSpacing w:w="0" w:type="dxa"/>
        </w:trPr>
        <w:tc>
          <w:tcPr>
            <w:tcW w:w="815" w:type="dxa"/>
            <w:tcBorders>
              <w:tl2br w:val="nil"/>
              <w:tr2bl w:val="nil"/>
            </w:tcBorders>
            <w:noWrap w:val="0"/>
            <w:vAlign w:val="center"/>
          </w:tcPr>
          <w:p>
            <w:pPr>
              <w:widowControl/>
              <w:spacing w:line="240" w:lineRule="auto"/>
              <w:ind w:firstLine="106" w:firstLineChars="50"/>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3</w:t>
            </w:r>
          </w:p>
        </w:tc>
        <w:tc>
          <w:tcPr>
            <w:tcW w:w="1392" w:type="dxa"/>
            <w:tcBorders>
              <w:tl2br w:val="nil"/>
              <w:tr2bl w:val="nil"/>
            </w:tcBorders>
            <w:noWrap w:val="0"/>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val="en-US" w:eastAsia="zh-CN"/>
              </w:rPr>
              <w:t>实施方案</w:t>
            </w:r>
          </w:p>
        </w:tc>
        <w:tc>
          <w:tcPr>
            <w:tcW w:w="985" w:type="dxa"/>
            <w:tcBorders>
              <w:tl2br w:val="nil"/>
              <w:tr2bl w:val="nil"/>
            </w:tcBorders>
            <w:noWrap w:val="0"/>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val="en-US" w:eastAsia="zh-CN"/>
              </w:rPr>
              <w:t>10分</w:t>
            </w:r>
          </w:p>
        </w:tc>
        <w:tc>
          <w:tcPr>
            <w:tcW w:w="5846" w:type="dxa"/>
            <w:tcBorders>
              <w:tl2br w:val="nil"/>
              <w:tr2bl w:val="nil"/>
            </w:tcBorders>
            <w:noWrap w:val="0"/>
            <w:vAlign w:val="center"/>
          </w:tcPr>
          <w:p>
            <w:pPr>
              <w:jc w:val="left"/>
              <w:rPr>
                <w:rFonts w:hint="eastAsia"/>
                <w:color w:val="auto"/>
                <w:lang w:val="en-US" w:eastAsia="zh-CN"/>
              </w:rPr>
            </w:pPr>
          </w:p>
          <w:p>
            <w:pPr>
              <w:jc w:val="left"/>
              <w:rPr>
                <w:rFonts w:hint="eastAsia"/>
                <w:color w:val="auto"/>
                <w:lang w:val="en-US" w:eastAsia="zh-CN"/>
              </w:rPr>
            </w:pPr>
            <w:r>
              <w:rPr>
                <w:rFonts w:hint="eastAsia"/>
                <w:color w:val="auto"/>
                <w:lang w:val="en-US" w:eastAsia="zh-CN"/>
              </w:rPr>
              <w:t>1．投标单位有合理的、详细的、流程清晰的、切实可行的、完整的项目实施方案；进行评价打分，优得5分，一般得2分，</w:t>
            </w:r>
          </w:p>
          <w:p>
            <w:pPr>
              <w:jc w:val="left"/>
              <w:rPr>
                <w:rFonts w:hint="eastAsia"/>
                <w:color w:val="auto"/>
                <w:lang w:val="en-US" w:eastAsia="zh-CN"/>
              </w:rPr>
            </w:pPr>
            <w:r>
              <w:rPr>
                <w:rFonts w:hint="eastAsia"/>
                <w:color w:val="auto"/>
                <w:lang w:val="en-US" w:eastAsia="zh-CN"/>
              </w:rPr>
              <w:t>2．投标人在充分响应招标文件要求的前提下做出相关违约惩罚措施或服务承诺，措施或承诺可行、合理的，进行评价打分。（提供书面材料）优得5分，一般得2分。</w:t>
            </w:r>
          </w:p>
          <w:p>
            <w:pPr>
              <w:pStyle w:val="5"/>
              <w:numPr>
                <w:ilvl w:val="1"/>
                <w:numId w:val="0"/>
              </w:numPr>
              <w:rPr>
                <w:rFonts w:hint="eastAsia"/>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tblCellSpacing w:w="0" w:type="dxa"/>
        </w:trPr>
        <w:tc>
          <w:tcPr>
            <w:tcW w:w="815" w:type="dxa"/>
            <w:vMerge w:val="restart"/>
            <w:tcBorders>
              <w:tl2br w:val="nil"/>
              <w:tr2bl w:val="nil"/>
            </w:tcBorders>
            <w:noWrap w:val="0"/>
            <w:vAlign w:val="center"/>
          </w:tcPr>
          <w:p>
            <w:pPr>
              <w:widowControl/>
              <w:spacing w:line="240" w:lineRule="auto"/>
              <w:ind w:firstLine="106" w:firstLineChars="50"/>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4</w:t>
            </w:r>
          </w:p>
        </w:tc>
        <w:tc>
          <w:tcPr>
            <w:tcW w:w="1392" w:type="dxa"/>
            <w:vMerge w:val="restart"/>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val="en-US" w:eastAsia="zh-CN"/>
              </w:rPr>
              <w:t>质量保证及售后服务承诺</w:t>
            </w:r>
          </w:p>
        </w:tc>
        <w:tc>
          <w:tcPr>
            <w:tcW w:w="985" w:type="dxa"/>
            <w:vMerge w:val="restart"/>
            <w:tcBorders>
              <w:tl2br w:val="nil"/>
              <w:tr2bl w:val="nil"/>
            </w:tcBorders>
            <w:noWrap w:val="0"/>
            <w:vAlign w:val="center"/>
          </w:tcPr>
          <w:p>
            <w:pPr>
              <w:widowControl/>
              <w:spacing w:line="240" w:lineRule="auto"/>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20分</w:t>
            </w:r>
          </w:p>
        </w:tc>
        <w:tc>
          <w:tcPr>
            <w:tcW w:w="5846" w:type="dxa"/>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对投标人根据本项目所提供的售后服务方案进行分，售后方案内容详实，科学合理的得10分，售后方案内容简单、科学合理性一般的得5分。（共10分）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4" w:hRule="atLeast"/>
          <w:tblCellSpacing w:w="0" w:type="dxa"/>
        </w:trPr>
        <w:tc>
          <w:tcPr>
            <w:tcW w:w="815" w:type="dxa"/>
            <w:vMerge w:val="continue"/>
            <w:tcBorders>
              <w:tl2br w:val="nil"/>
              <w:tr2bl w:val="nil"/>
            </w:tcBorders>
            <w:noWrap w:val="0"/>
            <w:vAlign w:val="center"/>
          </w:tcPr>
          <w:p>
            <w:pPr>
              <w:jc w:val="left"/>
              <w:rPr>
                <w:color w:val="auto"/>
              </w:rPr>
            </w:pPr>
          </w:p>
        </w:tc>
        <w:tc>
          <w:tcPr>
            <w:tcW w:w="1392" w:type="dxa"/>
            <w:vMerge w:val="continue"/>
            <w:tcBorders>
              <w:tl2br w:val="nil"/>
              <w:tr2bl w:val="nil"/>
            </w:tcBorders>
            <w:noWrap w:val="0"/>
            <w:vAlign w:val="center"/>
          </w:tcPr>
          <w:p>
            <w:pPr>
              <w:jc w:val="left"/>
              <w:rPr>
                <w:color w:val="auto"/>
              </w:rPr>
            </w:pPr>
          </w:p>
        </w:tc>
        <w:tc>
          <w:tcPr>
            <w:tcW w:w="985" w:type="dxa"/>
            <w:vMerge w:val="continue"/>
            <w:tcBorders>
              <w:tl2br w:val="nil"/>
              <w:tr2bl w:val="nil"/>
            </w:tcBorders>
            <w:noWrap w:val="0"/>
            <w:vAlign w:val="center"/>
          </w:tcPr>
          <w:p>
            <w:pPr>
              <w:jc w:val="left"/>
              <w:rPr>
                <w:color w:val="auto"/>
              </w:rPr>
            </w:pPr>
          </w:p>
        </w:tc>
        <w:tc>
          <w:tcPr>
            <w:tcW w:w="5846" w:type="dxa"/>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质保期满足招标文件要求的得2分，每延长一年加1分，最多加2分。（共4分）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tblCellSpacing w:w="0" w:type="dxa"/>
        </w:trPr>
        <w:tc>
          <w:tcPr>
            <w:tcW w:w="815" w:type="dxa"/>
            <w:vMerge w:val="continue"/>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p>
        </w:tc>
        <w:tc>
          <w:tcPr>
            <w:tcW w:w="1392" w:type="dxa"/>
            <w:vMerge w:val="continue"/>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p>
        </w:tc>
        <w:tc>
          <w:tcPr>
            <w:tcW w:w="985" w:type="dxa"/>
            <w:vMerge w:val="continue"/>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p>
        </w:tc>
        <w:tc>
          <w:tcPr>
            <w:tcW w:w="5846" w:type="dxa"/>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供应商要具备快速解决设备故障的服务能力，满足招标文件售后服务承诺响应时间并承诺出现产品质量问题和机械故障在4小时务承诺内排除故障的得2分。每提前1个小时派专业人员到达现场，加0.5分，最多加2分。（共4分）（提供加盖公章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tblCellSpacing w:w="0" w:type="dxa"/>
        </w:trPr>
        <w:tc>
          <w:tcPr>
            <w:tcW w:w="815" w:type="dxa"/>
            <w:vMerge w:val="continue"/>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p>
        </w:tc>
        <w:tc>
          <w:tcPr>
            <w:tcW w:w="1392" w:type="dxa"/>
            <w:vMerge w:val="continue"/>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p>
        </w:tc>
        <w:tc>
          <w:tcPr>
            <w:tcW w:w="985" w:type="dxa"/>
            <w:vMerge w:val="continue"/>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p>
        </w:tc>
        <w:tc>
          <w:tcPr>
            <w:tcW w:w="5846" w:type="dxa"/>
            <w:tcBorders>
              <w:tl2br w:val="nil"/>
              <w:tr2bl w:val="nil"/>
            </w:tcBorders>
            <w:noWrap w:val="0"/>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根据实际情况，提供实质性的优惠措施（备品备件，零部件等）价格最低且备件、零部件最全的为第一名得3分，第二名得2分，第三名得0.5分。（共2分）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blCellSpacing w:w="0" w:type="dxa"/>
        </w:trPr>
        <w:tc>
          <w:tcPr>
            <w:tcW w:w="815" w:type="dxa"/>
            <w:tcBorders>
              <w:tl2br w:val="nil"/>
              <w:tr2bl w:val="nil"/>
            </w:tcBorders>
            <w:noWrap w:val="0"/>
            <w:vAlign w:val="center"/>
          </w:tcPr>
          <w:p>
            <w:pPr>
              <w:widowControl/>
              <w:spacing w:line="240" w:lineRule="auto"/>
              <w:ind w:firstLine="106" w:firstLineChars="50"/>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lang w:val="en-US" w:eastAsia="zh-CN"/>
              </w:rPr>
              <w:t>5</w:t>
            </w:r>
          </w:p>
        </w:tc>
        <w:tc>
          <w:tcPr>
            <w:tcW w:w="1392" w:type="dxa"/>
            <w:tcBorders>
              <w:tl2br w:val="nil"/>
              <w:tr2bl w:val="nil"/>
            </w:tcBorders>
            <w:noWrap w:val="0"/>
            <w:vAlign w:val="center"/>
          </w:tcPr>
          <w:p>
            <w:pPr>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标书制作</w:t>
            </w:r>
          </w:p>
        </w:tc>
        <w:tc>
          <w:tcPr>
            <w:tcW w:w="985" w:type="dxa"/>
            <w:tcBorders>
              <w:tl2br w:val="nil"/>
              <w:tr2bl w:val="nil"/>
            </w:tcBorders>
            <w:noWrap w:val="0"/>
            <w:vAlign w:val="center"/>
          </w:tcPr>
          <w:p>
            <w:pPr>
              <w:jc w:val="center"/>
              <w:rPr>
                <w:rFonts w:hint="eastAsia"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rPr>
              <w:t>分</w:t>
            </w:r>
          </w:p>
        </w:tc>
        <w:tc>
          <w:tcPr>
            <w:tcW w:w="5846" w:type="dxa"/>
            <w:tcBorders>
              <w:tl2br w:val="nil"/>
              <w:tr2bl w:val="nil"/>
            </w:tcBorders>
            <w:noWrap w:val="0"/>
            <w:vAlign w:val="top"/>
          </w:tcPr>
          <w:p>
            <w:pPr>
              <w:rPr>
                <w:rFonts w:hint="eastAsia"/>
                <w:color w:val="auto"/>
                <w:lang w:val="en-US" w:eastAsia="zh-CN"/>
              </w:rPr>
            </w:pPr>
          </w:p>
          <w:p>
            <w:pPr>
              <w:rPr>
                <w:rFonts w:hint="eastAsia"/>
                <w:color w:val="auto"/>
                <w:lang w:val="en-US" w:eastAsia="zh-CN"/>
              </w:rPr>
            </w:pPr>
            <w:r>
              <w:rPr>
                <w:rFonts w:hint="eastAsia"/>
                <w:color w:val="auto"/>
                <w:lang w:val="en-US" w:eastAsia="zh-CN"/>
              </w:rPr>
              <w:t>投标文件按照招标文件要求的格式、内容及顺序填写（包括目录、页码、签字、总体编排等项目），整齐美观，优得5分，一般得2分。</w:t>
            </w:r>
          </w:p>
          <w:p>
            <w:pPr>
              <w:pStyle w:val="5"/>
              <w:numPr>
                <w:ilvl w:val="1"/>
                <w:numId w:val="0"/>
              </w:numPr>
              <w:rPr>
                <w:rFonts w:hint="eastAsia"/>
                <w:color w:val="auto"/>
                <w:lang w:val="en-US" w:eastAsia="zh-CN"/>
              </w:rPr>
            </w:pPr>
          </w:p>
        </w:tc>
      </w:tr>
    </w:tbl>
    <w:p>
      <w:pPr>
        <w:rPr>
          <w:rFonts w:hint="eastAsia"/>
          <w:color w:val="auto"/>
          <w:lang w:val="en-US" w:eastAsia="zh-CN"/>
        </w:rPr>
      </w:pP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备注:</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根据《政府采购服务和服务招投标管理办法》第87号令第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2、供应商在评标过程中，所进行的力图影响评标结果的不符合招标规则的活动，可能导致其被取消中标资格。</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3、与招标文件有重大偏离的投标文件将被拒绝。</w:t>
      </w:r>
    </w:p>
    <w:p>
      <w:pPr>
        <w:shd w:val="clear" w:color="auto" w:fill="auto"/>
        <w:snapToGrid w:val="0"/>
        <w:spacing w:line="400" w:lineRule="exact"/>
        <w:ind w:firstLine="426"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附：对于商务部分（投标报价）的评分，按以下方法进行：价格分统一采用低价优先法计算，即满足招标文件要求且评标价格最低的报价为评标基准价，其价格分为满分。其他投标人的价格分统一按照下列公式计算：报价得分=(评标基准价／评标价格)×</w:t>
      </w:r>
      <w:r>
        <w:rPr>
          <w:rFonts w:hint="eastAsia" w:ascii="宋体" w:hAnsi="宋体" w:cs="宋体"/>
          <w:color w:val="auto"/>
          <w:szCs w:val="21"/>
          <w:highlight w:val="none"/>
          <w:lang w:val="en-US" w:eastAsia="zh-CN"/>
        </w:rPr>
        <w:t>35</w:t>
      </w:r>
      <w:r>
        <w:rPr>
          <w:rFonts w:hint="eastAsia" w:ascii="宋体" w:hAnsi="宋体" w:eastAsia="宋体" w:cs="宋体"/>
          <w:color w:val="auto"/>
          <w:szCs w:val="21"/>
          <w:highlight w:val="none"/>
          <w:lang w:val="en-US" w:eastAsia="zh-CN"/>
        </w:rPr>
        <w:t>%×100</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各评标委员会成员对每个投标人的上述指标的打分（除报价外）的算术平均分，加上经计算的报价得分，即为该投标人的最终综合评估分。评标委员会将按投标人得分顺序由高到低依次排名，得分相同的，按投标报价由低到高顺序排列。得分及报价相同的，按技术指标优劣顺序排列。得分最高的前一名至前三名投标人将成为</w:t>
      </w:r>
      <w:r>
        <w:rPr>
          <w:rFonts w:hint="eastAsia" w:ascii="宋体" w:hAnsi="宋体" w:cs="宋体"/>
          <w:color w:val="auto"/>
          <w:szCs w:val="21"/>
          <w:highlight w:val="none"/>
          <w:lang w:val="en-US" w:eastAsia="zh-CN"/>
        </w:rPr>
        <w:t>中标</w:t>
      </w:r>
      <w:r>
        <w:rPr>
          <w:rFonts w:hint="eastAsia" w:ascii="宋体" w:hAnsi="宋体" w:eastAsia="宋体" w:cs="宋体"/>
          <w:color w:val="auto"/>
          <w:szCs w:val="21"/>
          <w:highlight w:val="none"/>
          <w:lang w:val="en-US" w:eastAsia="zh-CN"/>
        </w:rPr>
        <w:t>候选人。</w:t>
      </w:r>
    </w:p>
    <w:p>
      <w:pPr>
        <w:shd w:val="clear" w:color="auto" w:fill="auto"/>
        <w:snapToGrid w:val="0"/>
        <w:spacing w:line="400" w:lineRule="exact"/>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5、最低报价不作为评标的唯一依据。采购人不承诺将合同授予报价最低的投标人。</w:t>
      </w:r>
    </w:p>
    <w:p>
      <w:pPr>
        <w:shd w:val="clear" w:color="auto" w:fill="auto"/>
        <w:spacing w:before="156" w:beforeLines="50" w:line="400" w:lineRule="exact"/>
        <w:jc w:val="left"/>
        <w:outlineLvl w:val="1"/>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6、经评标委员会评议，认为投标报价过高、超出采购人预算的项目，可以不确立中标人，做为废标处理。</w:t>
      </w:r>
    </w:p>
    <w:p>
      <w:pPr>
        <w:shd w:val="clear" w:color="auto" w:fill="auto"/>
        <w:spacing w:before="156" w:beforeLines="50" w:line="400" w:lineRule="exact"/>
        <w:jc w:val="center"/>
        <w:outlineLvl w:val="1"/>
        <w:rPr>
          <w:rFonts w:hint="eastAsia" w:ascii="宋体"/>
          <w:b w:val="0"/>
          <w:bCs/>
          <w:color w:val="auto"/>
          <w:sz w:val="24"/>
          <w:highlight w:val="none"/>
        </w:rPr>
      </w:pPr>
      <w:r>
        <w:rPr>
          <w:rFonts w:hint="eastAsia" w:ascii="宋体"/>
          <w:b w:val="0"/>
          <w:bCs/>
          <w:color w:val="auto"/>
          <w:sz w:val="24"/>
          <w:highlight w:val="none"/>
        </w:rPr>
        <w:t>五</w:t>
      </w:r>
      <w:r>
        <w:rPr>
          <w:rFonts w:hint="eastAsia" w:ascii="宋体"/>
          <w:b w:val="0"/>
          <w:bCs/>
          <w:color w:val="auto"/>
          <w:sz w:val="24"/>
          <w:highlight w:val="none"/>
          <w:lang w:eastAsia="zh-CN"/>
        </w:rPr>
        <w:t>、</w:t>
      </w:r>
      <w:r>
        <w:rPr>
          <w:rFonts w:hint="eastAsia" w:ascii="宋体"/>
          <w:b w:val="0"/>
          <w:bCs/>
          <w:color w:val="auto"/>
          <w:sz w:val="24"/>
          <w:highlight w:val="none"/>
        </w:rPr>
        <w:t>推荐中标候选人</w:t>
      </w:r>
    </w:p>
    <w:p>
      <w:pPr>
        <w:shd w:val="clear" w:color="auto" w:fill="auto"/>
        <w:snapToGrid w:val="0"/>
        <w:spacing w:line="400" w:lineRule="exact"/>
        <w:ind w:firstLine="426" w:firstLineChars="200"/>
        <w:rPr>
          <w:rFonts w:hint="eastAsia" w:ascii="宋体"/>
          <w:b w:val="0"/>
          <w:bCs/>
          <w:color w:val="auto"/>
          <w:szCs w:val="21"/>
          <w:highlight w:val="none"/>
        </w:rPr>
      </w:pPr>
      <w:r>
        <w:rPr>
          <w:rFonts w:hint="eastAsia" w:ascii="宋体"/>
          <w:b w:val="0"/>
          <w:bCs/>
          <w:color w:val="auto"/>
          <w:szCs w:val="21"/>
          <w:highlight w:val="none"/>
          <w:lang w:val="en-US" w:eastAsia="zh-CN"/>
        </w:rPr>
        <w:t>11.1</w:t>
      </w:r>
      <w:r>
        <w:rPr>
          <w:rFonts w:hint="eastAsia" w:ascii="宋体" w:hAnsi="宋体"/>
          <w:b w:val="0"/>
          <w:bCs/>
          <w:color w:val="auto"/>
          <w:szCs w:val="21"/>
          <w:highlight w:val="none"/>
        </w:rPr>
        <w:t>评标委员会推荐</w:t>
      </w:r>
      <w:r>
        <w:rPr>
          <w:rFonts w:hint="eastAsia" w:ascii="宋体" w:hAnsi="宋体"/>
          <w:b w:val="0"/>
          <w:bCs/>
          <w:color w:val="auto"/>
          <w:szCs w:val="21"/>
          <w:highlight w:val="none"/>
          <w:lang w:val="en-US" w:eastAsia="zh-CN"/>
        </w:rPr>
        <w:t>3</w:t>
      </w:r>
      <w:r>
        <w:rPr>
          <w:rFonts w:hint="eastAsia" w:ascii="宋体" w:hAnsi="宋体"/>
          <w:b w:val="0"/>
          <w:bCs/>
          <w:color w:val="auto"/>
          <w:szCs w:val="21"/>
          <w:highlight w:val="none"/>
        </w:rPr>
        <w:t>名中标候选人，并标明排序。</w:t>
      </w:r>
    </w:p>
    <w:p>
      <w:pPr>
        <w:shd w:val="clear" w:color="auto" w:fill="auto"/>
        <w:spacing w:line="400" w:lineRule="exact"/>
        <w:ind w:firstLine="416" w:firstLineChars="196"/>
        <w:rPr>
          <w:rFonts w:hint="eastAsia" w:ascii="宋体" w:hAnsi="宋体"/>
          <w:b w:val="0"/>
          <w:bCs/>
          <w:color w:val="auto"/>
          <w:szCs w:val="21"/>
          <w:highlight w:val="none"/>
        </w:rPr>
      </w:pPr>
      <w:r>
        <w:rPr>
          <w:rFonts w:hint="eastAsia" w:ascii="宋体" w:hAnsi="宋体"/>
          <w:b w:val="0"/>
          <w:bCs/>
          <w:color w:val="auto"/>
          <w:szCs w:val="21"/>
          <w:highlight w:val="none"/>
          <w:lang w:val="en-US" w:eastAsia="zh-CN"/>
        </w:rPr>
        <w:t>11.2</w:t>
      </w:r>
      <w:r>
        <w:rPr>
          <w:rFonts w:hint="eastAsia" w:ascii="宋体" w:hAnsi="宋体"/>
          <w:b w:val="0"/>
          <w:bCs/>
          <w:color w:val="auto"/>
          <w:szCs w:val="21"/>
          <w:highlight w:val="none"/>
        </w:rPr>
        <w:t>如出现报价相同情况，则由招标人现场抽签确定中标候选人排名顺序。</w:t>
      </w:r>
    </w:p>
    <w:p>
      <w:pPr>
        <w:shd w:val="clear" w:color="auto" w:fill="auto"/>
        <w:snapToGrid w:val="0"/>
        <w:spacing w:line="400" w:lineRule="exact"/>
        <w:ind w:firstLine="426" w:firstLineChars="200"/>
        <w:rPr>
          <w:rFonts w:hint="eastAsia" w:ascii="宋体" w:hAnsi="宋体"/>
          <w:b w:val="0"/>
          <w:bCs/>
          <w:color w:val="auto"/>
          <w:szCs w:val="21"/>
          <w:highlight w:val="none"/>
        </w:rPr>
      </w:pPr>
      <w:r>
        <w:rPr>
          <w:rFonts w:hint="eastAsia" w:ascii="宋体" w:hAnsi="宋体"/>
          <w:b w:val="0"/>
          <w:bCs/>
          <w:color w:val="auto"/>
          <w:szCs w:val="21"/>
          <w:highlight w:val="none"/>
          <w:lang w:val="en-US" w:eastAsia="zh-CN"/>
        </w:rPr>
        <w:t>12.</w:t>
      </w:r>
      <w:r>
        <w:rPr>
          <w:rFonts w:hint="eastAsia" w:ascii="宋体" w:hAnsi="宋体"/>
          <w:b w:val="0"/>
          <w:bCs/>
          <w:color w:val="auto"/>
          <w:szCs w:val="21"/>
          <w:highlight w:val="none"/>
        </w:rPr>
        <w:t>无效投标条款</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lang w:val="en-US" w:eastAsia="zh-CN"/>
        </w:rPr>
        <w:t>12</w:t>
      </w:r>
      <w:r>
        <w:rPr>
          <w:rFonts w:hint="eastAsia" w:ascii="宋体" w:hAnsi="宋体" w:cs="宋体"/>
          <w:b w:val="0"/>
          <w:bCs/>
          <w:color w:val="auto"/>
          <w:szCs w:val="21"/>
          <w:highlight w:val="none"/>
        </w:rPr>
        <w:t>.1投标文件有下列情形之一的,其投标文件拒收:</w:t>
      </w:r>
    </w:p>
    <w:p>
      <w:pPr>
        <w:shd w:val="clear" w:color="auto" w:fill="auto"/>
        <w:snapToGrid w:val="0"/>
        <w:spacing w:line="400" w:lineRule="exact"/>
        <w:ind w:firstLine="426" w:firstLineChars="200"/>
        <w:jc w:val="left"/>
        <w:rPr>
          <w:rFonts w:hint="eastAsia" w:ascii="宋体" w:hAnsi="宋体" w:cs="宋体"/>
          <w:b w:val="0"/>
          <w:bCs/>
          <w:color w:val="auto"/>
          <w:szCs w:val="21"/>
          <w:highlight w:val="none"/>
        </w:rPr>
      </w:pP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lang w:val="en-US" w:eastAsia="zh-CN"/>
        </w:rPr>
        <w:t>1</w:t>
      </w:r>
      <w:r>
        <w:rPr>
          <w:rFonts w:hint="eastAsia" w:ascii="宋体" w:hAnsi="宋体" w:eastAsia="宋体" w:cs="宋体"/>
          <w:b w:val="0"/>
          <w:bCs/>
          <w:color w:val="auto"/>
          <w:szCs w:val="21"/>
          <w:highlight w:val="none"/>
          <w:lang w:eastAsia="zh-CN"/>
        </w:rPr>
        <w:t>）</w:t>
      </w:r>
      <w:r>
        <w:rPr>
          <w:rFonts w:hint="eastAsia" w:ascii="宋体" w:hAnsi="宋体" w:cs="宋体"/>
          <w:b w:val="0"/>
          <w:bCs/>
          <w:color w:val="auto"/>
          <w:szCs w:val="21"/>
          <w:highlight w:val="none"/>
        </w:rPr>
        <w:t>未在开标截止时间前通过网上招标投标系统递交有效电子投标文件的，开标系统不予接收。</w:t>
      </w:r>
    </w:p>
    <w:p>
      <w:pPr>
        <w:shd w:val="clear" w:color="auto" w:fill="auto"/>
        <w:snapToGrid w:val="0"/>
        <w:spacing w:line="400" w:lineRule="exact"/>
        <w:ind w:firstLine="426" w:firstLineChars="200"/>
        <w:jc w:val="left"/>
        <w:rPr>
          <w:rFonts w:hint="eastAsia" w:ascii="宋体" w:hAnsi="宋体"/>
          <w:b w:val="0"/>
          <w:bCs/>
          <w:color w:val="auto"/>
          <w:szCs w:val="21"/>
          <w:highlight w:val="none"/>
        </w:rPr>
      </w:pPr>
      <w:r>
        <w:rPr>
          <w:rFonts w:hint="eastAsia" w:ascii="宋体" w:hAnsi="宋体" w:cs="宋体"/>
          <w:b w:val="0"/>
          <w:bCs/>
          <w:color w:val="auto"/>
          <w:szCs w:val="21"/>
          <w:highlight w:val="none"/>
        </w:rPr>
        <w:t>（2）</w:t>
      </w:r>
      <w:r>
        <w:rPr>
          <w:rFonts w:hint="eastAsia" w:ascii="宋体" w:hAnsi="宋体"/>
          <w:b w:val="0"/>
          <w:bCs/>
          <w:color w:val="auto"/>
          <w:szCs w:val="21"/>
          <w:highlight w:val="none"/>
        </w:rPr>
        <w:t>所有投标人应在规定时间里完成投标文件的解密工作【投标人</w:t>
      </w:r>
      <w:r>
        <w:rPr>
          <w:rFonts w:hint="eastAsia" w:ascii="宋体" w:hAnsi="宋体"/>
          <w:b w:val="0"/>
          <w:bCs/>
          <w:color w:val="auto"/>
          <w:szCs w:val="21"/>
          <w:highlight w:val="none"/>
          <w:lang w:eastAsia="zh-CN"/>
        </w:rPr>
        <w:t>使用</w:t>
      </w:r>
      <w:r>
        <w:rPr>
          <w:rFonts w:hint="eastAsia" w:ascii="宋体" w:hAnsi="宋体"/>
          <w:b w:val="0"/>
          <w:bCs/>
          <w:color w:val="auto"/>
          <w:szCs w:val="21"/>
          <w:highlight w:val="none"/>
        </w:rPr>
        <w:t>其有效加密</w:t>
      </w:r>
    </w:p>
    <w:p>
      <w:pPr>
        <w:shd w:val="clear" w:color="auto" w:fill="auto"/>
        <w:snapToGrid w:val="0"/>
        <w:spacing w:line="400" w:lineRule="exact"/>
        <w:jc w:val="left"/>
        <w:rPr>
          <w:rFonts w:hint="eastAsia" w:ascii="宋体" w:hAnsi="宋体" w:cs="宋体"/>
          <w:b w:val="0"/>
          <w:bCs/>
          <w:color w:val="auto"/>
          <w:szCs w:val="21"/>
          <w:highlight w:val="none"/>
        </w:rPr>
      </w:pPr>
      <w:r>
        <w:rPr>
          <w:rFonts w:hint="eastAsia" w:ascii="宋体" w:hAnsi="宋体"/>
          <w:b w:val="0"/>
          <w:bCs/>
          <w:color w:val="auto"/>
          <w:szCs w:val="21"/>
          <w:highlight w:val="none"/>
        </w:rPr>
        <w:t>锁（CA锁）</w:t>
      </w:r>
      <w:r>
        <w:rPr>
          <w:rFonts w:hint="eastAsia" w:ascii="宋体" w:hAnsi="宋体"/>
          <w:b w:val="0"/>
          <w:bCs/>
          <w:color w:val="auto"/>
          <w:szCs w:val="21"/>
          <w:highlight w:val="none"/>
          <w:lang w:eastAsia="zh-CN"/>
        </w:rPr>
        <w:t>进行</w:t>
      </w:r>
      <w:r>
        <w:rPr>
          <w:rFonts w:hint="eastAsia" w:ascii="宋体" w:hAnsi="宋体"/>
          <w:b w:val="0"/>
          <w:bCs/>
          <w:color w:val="auto"/>
          <w:szCs w:val="21"/>
          <w:highlight w:val="none"/>
        </w:rPr>
        <w:t>解密（因投标人原因未能提供有效CA锁对其投标文件进行解密的，其投标文件按无效标处理），以网上招投标系统解密倒计时为准】，因系统原因未能成功解密的投标文件，可导入</w:t>
      </w:r>
      <w:r>
        <w:rPr>
          <w:rFonts w:hint="eastAsia" w:ascii="宋体" w:hAnsi="宋体"/>
          <w:b w:val="0"/>
          <w:bCs/>
          <w:color w:val="auto"/>
          <w:szCs w:val="21"/>
          <w:highlight w:val="none"/>
          <w:lang w:eastAsia="zh-CN"/>
        </w:rPr>
        <w:t>备份投标文件</w:t>
      </w:r>
      <w:r>
        <w:rPr>
          <w:rFonts w:hint="eastAsia" w:ascii="宋体" w:hAnsi="宋体"/>
          <w:b w:val="0"/>
          <w:bCs/>
          <w:color w:val="auto"/>
          <w:szCs w:val="21"/>
          <w:highlight w:val="none"/>
        </w:rPr>
        <w:t>。</w:t>
      </w:r>
      <w:r>
        <w:rPr>
          <w:rFonts w:hint="eastAsia" w:ascii="宋体" w:hAnsi="宋体"/>
          <w:b w:val="0"/>
          <w:bCs/>
          <w:color w:val="auto"/>
          <w:szCs w:val="21"/>
          <w:highlight w:val="none"/>
          <w:lang w:eastAsia="zh-CN"/>
        </w:rPr>
        <w:t>备份投标文件</w:t>
      </w:r>
      <w:r>
        <w:rPr>
          <w:rFonts w:hint="eastAsia" w:ascii="宋体" w:hAnsi="宋体"/>
          <w:b w:val="0"/>
          <w:bCs/>
          <w:color w:val="auto"/>
          <w:szCs w:val="21"/>
          <w:highlight w:val="none"/>
        </w:rPr>
        <w:t>也无法导入的，则投标文件被否决。</w:t>
      </w:r>
    </w:p>
    <w:p>
      <w:pPr>
        <w:shd w:val="clear" w:color="auto" w:fill="auto"/>
        <w:snapToGrid w:val="0"/>
        <w:spacing w:line="400" w:lineRule="exact"/>
        <w:rPr>
          <w:rFonts w:hint="eastAsia" w:ascii="宋体" w:hAnsi="宋体" w:cs="宋体"/>
          <w:b w:val="0"/>
          <w:bCs/>
          <w:color w:val="auto"/>
          <w:szCs w:val="21"/>
          <w:highlight w:val="none"/>
        </w:rPr>
      </w:pPr>
      <w:r>
        <w:rPr>
          <w:rFonts w:hint="eastAsia" w:ascii="宋体" w:hAnsi="宋体" w:cs="宋体"/>
          <w:b w:val="0"/>
          <w:bCs/>
          <w:color w:val="auto"/>
          <w:szCs w:val="21"/>
          <w:highlight w:val="none"/>
        </w:rPr>
        <w:t xml:space="preserve">  </w:t>
      </w:r>
      <w:r>
        <w:rPr>
          <w:rFonts w:hint="eastAsia" w:ascii="宋体" w:hAnsi="宋体" w:cs="宋体"/>
          <w:b w:val="0"/>
          <w:bCs/>
          <w:color w:val="auto"/>
          <w:szCs w:val="21"/>
          <w:highlight w:val="none"/>
          <w:lang w:val="en-US" w:eastAsia="zh-CN"/>
        </w:rPr>
        <w:t>12</w:t>
      </w:r>
      <w:r>
        <w:rPr>
          <w:rFonts w:hint="eastAsia" w:ascii="宋体" w:hAnsi="宋体" w:cs="宋体"/>
          <w:b w:val="0"/>
          <w:bCs/>
          <w:color w:val="auto"/>
          <w:szCs w:val="21"/>
          <w:highlight w:val="none"/>
        </w:rPr>
        <w:t>.2投标人有下列情形之一的,资格审查后其投标作无效投标处理：</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(1)法定代表人参加开标会议未携带有效的法定代表人身份证明原件和本人身份证的；委托代理人参加开标会议未携带有效的法定代表人授权书和本人身份证；</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(2)投标人为本项目提供招标代理服务的；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(3)投标人与在本项目代理机构存在相互任职或工作的；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(4)投标保证金未按规定要求缴纳的；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(5)</w:t>
      </w:r>
      <w:r>
        <w:rPr>
          <w:rFonts w:hint="eastAsia" w:ascii="宋体" w:hAnsi="宋体"/>
          <w:b w:val="0"/>
          <w:bCs/>
          <w:color w:val="auto"/>
          <w:szCs w:val="21"/>
          <w:highlight w:val="none"/>
        </w:rPr>
        <w:t>评标专家无法查看并检验电子标书中相关资料的；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(6)投标人超出营业范围投标的；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(7)联合体投标未提交联合体协议的；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(8)被暂停营业的；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(9)被暂停或取消投标资格的；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(10)财产被接管或冻结的；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(11)投标人单位负责人为同一人或者存在控股、管理关系的不同单位的；</w:t>
      </w:r>
    </w:p>
    <w:p>
      <w:pPr>
        <w:shd w:val="clear" w:color="auto" w:fill="auto"/>
        <w:snapToGrid w:val="0"/>
        <w:spacing w:line="400" w:lineRule="exact"/>
        <w:ind w:firstLine="319" w:firstLineChars="150"/>
        <w:jc w:val="left"/>
        <w:rPr>
          <w:rFonts w:hint="eastAsia" w:ascii="宋体" w:hAnsi="宋体" w:cs="宋体"/>
          <w:b w:val="0"/>
          <w:bCs/>
          <w:color w:val="auto"/>
          <w:szCs w:val="21"/>
          <w:highlight w:val="none"/>
        </w:rPr>
      </w:pP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lang w:val="en-US" w:eastAsia="zh-CN"/>
        </w:rPr>
        <w:t>12</w:t>
      </w:r>
      <w:r>
        <w:rPr>
          <w:rFonts w:hint="eastAsia" w:ascii="宋体" w:hAnsi="宋体" w:eastAsia="宋体" w:cs="宋体"/>
          <w:b w:val="0"/>
          <w:bCs/>
          <w:color w:val="auto"/>
          <w:szCs w:val="21"/>
          <w:highlight w:val="none"/>
          <w:lang w:eastAsia="zh-CN"/>
        </w:rPr>
        <w:t>）</w:t>
      </w:r>
      <w:r>
        <w:rPr>
          <w:rFonts w:hint="eastAsia" w:ascii="宋体" w:hAnsi="宋体" w:eastAsia="宋体" w:cs="宋体"/>
          <w:b w:val="0"/>
          <w:bCs/>
          <w:color w:val="auto"/>
          <w:szCs w:val="21"/>
          <w:highlight w:val="none"/>
        </w:rPr>
        <w:t>投</w:t>
      </w:r>
      <w:r>
        <w:rPr>
          <w:rFonts w:hint="eastAsia" w:ascii="宋体" w:hAnsi="宋体" w:cs="宋体"/>
          <w:b w:val="0"/>
          <w:bCs/>
          <w:color w:val="auto"/>
          <w:szCs w:val="21"/>
          <w:highlight w:val="none"/>
        </w:rPr>
        <w:t>标人基本资格条件和特定资格条件中有一项及以上不符合要求的；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（13）投标人使用相同的MAC地址进行报名的；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（14）其它情形，经评标委员会委提出按无效投标处理，并经公共资源交易监督部门核准的；</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（15）投标人使用相同IP地址报名的，一经发现，监管部门将进一步核实，查实后按串通投标处理；</w:t>
      </w:r>
    </w:p>
    <w:p>
      <w:pPr>
        <w:shd w:val="clear" w:color="auto" w:fill="auto"/>
        <w:snapToGrid w:val="0"/>
        <w:spacing w:line="400" w:lineRule="exact"/>
        <w:ind w:firstLine="426" w:firstLineChars="200"/>
        <w:rPr>
          <w:rFonts w:hint="eastAsia" w:ascii="宋体" w:hAnsi="宋体" w:cs="宋体"/>
          <w:b w:val="0"/>
          <w:bCs/>
          <w:color w:val="auto"/>
          <w:szCs w:val="21"/>
          <w:highlight w:val="none"/>
        </w:rPr>
      </w:pPr>
      <w:r>
        <w:rPr>
          <w:rFonts w:hint="eastAsia" w:ascii="宋体" w:hAnsi="宋体" w:cs="宋体"/>
          <w:b w:val="0"/>
          <w:bCs/>
          <w:color w:val="auto"/>
          <w:szCs w:val="21"/>
          <w:highlight w:val="none"/>
        </w:rPr>
        <w:t>（16）</w:t>
      </w:r>
      <w:r>
        <w:rPr>
          <w:rFonts w:hint="eastAsia" w:ascii="宋体" w:hAnsi="宋体" w:cs="宋体"/>
          <w:b w:val="0"/>
          <w:bCs/>
          <w:color w:val="auto"/>
          <w:szCs w:val="21"/>
          <w:highlight w:val="none"/>
          <w:lang w:eastAsia="zh-CN"/>
        </w:rPr>
        <w:t>采购文件</w:t>
      </w:r>
      <w:r>
        <w:rPr>
          <w:rFonts w:hint="eastAsia" w:ascii="宋体" w:hAnsi="宋体" w:cs="宋体"/>
          <w:b w:val="0"/>
          <w:bCs/>
          <w:color w:val="auto"/>
          <w:szCs w:val="21"/>
          <w:highlight w:val="none"/>
        </w:rPr>
        <w:t>规定的其它无效投标情形。</w:t>
      </w:r>
    </w:p>
    <w:p>
      <w:pPr>
        <w:shd w:val="clear" w:color="auto" w:fill="auto"/>
        <w:snapToGrid w:val="0"/>
        <w:spacing w:line="400" w:lineRule="exact"/>
        <w:ind w:firstLine="426" w:firstLineChars="200"/>
        <w:jc w:val="left"/>
        <w:rPr>
          <w:rFonts w:hint="eastAsia" w:ascii="宋体" w:hAnsi="宋体" w:cs="宋体"/>
          <w:b w:val="0"/>
          <w:bCs/>
          <w:color w:val="auto"/>
          <w:szCs w:val="21"/>
          <w:highlight w:val="none"/>
        </w:rPr>
      </w:pPr>
      <w:r>
        <w:rPr>
          <w:rFonts w:hint="eastAsia" w:ascii="宋体" w:hAnsi="宋体" w:cs="宋体"/>
          <w:b w:val="0"/>
          <w:bCs/>
          <w:color w:val="auto"/>
          <w:szCs w:val="21"/>
          <w:highlight w:val="none"/>
          <w:lang w:val="en-US" w:eastAsia="zh-CN"/>
        </w:rPr>
        <w:t>12</w:t>
      </w:r>
      <w:r>
        <w:rPr>
          <w:rFonts w:hint="eastAsia" w:ascii="宋体" w:hAnsi="宋体" w:cs="宋体"/>
          <w:b w:val="0"/>
          <w:bCs/>
          <w:color w:val="auto"/>
          <w:szCs w:val="21"/>
          <w:highlight w:val="none"/>
        </w:rPr>
        <w:t>.3 投标人有下列情形之一的,符合性审查后其投标按无效投标处理：</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(1)投标文件签字、盖章不全，经评标委员会一致认定对开评标内容有实质性影响并经监督部门核准的；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2</w:t>
      </w:r>
      <w:r>
        <w:rPr>
          <w:rFonts w:hint="eastAsia" w:ascii="宋体" w:hAnsi="宋体" w:eastAsia="宋体" w:cs="宋体"/>
          <w:b w:val="0"/>
          <w:bCs/>
          <w:color w:val="auto"/>
          <w:szCs w:val="21"/>
          <w:highlight w:val="none"/>
        </w:rPr>
        <w:t>)未按规定的格式填写，实质性内容不全或关键字迹模糊、无法辨认; 经监督部门核准的；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3</w:t>
      </w:r>
      <w:r>
        <w:rPr>
          <w:rFonts w:hint="eastAsia" w:ascii="宋体" w:hAnsi="宋体" w:eastAsia="宋体" w:cs="宋体"/>
          <w:b w:val="0"/>
          <w:bCs/>
          <w:color w:val="auto"/>
          <w:szCs w:val="21"/>
          <w:highlight w:val="none"/>
        </w:rPr>
        <w:t>)同一投标人提交两个以上不同的投标文件或者投标报价，但</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规定提交备选方案的除外；</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4</w:t>
      </w:r>
      <w:r>
        <w:rPr>
          <w:rFonts w:hint="eastAsia" w:ascii="宋体" w:hAnsi="宋体" w:eastAsia="宋体" w:cs="宋体"/>
          <w:b w:val="0"/>
          <w:bCs/>
          <w:color w:val="auto"/>
          <w:szCs w:val="21"/>
          <w:highlight w:val="none"/>
        </w:rPr>
        <w:t>)投标文件没有对</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的实质性要求和条件作出响应;</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5</w:t>
      </w:r>
      <w:r>
        <w:rPr>
          <w:rFonts w:hint="eastAsia" w:ascii="宋体" w:hAnsi="宋体" w:eastAsia="宋体" w:cs="宋体"/>
          <w:b w:val="0"/>
          <w:bCs/>
          <w:color w:val="auto"/>
          <w:szCs w:val="21"/>
          <w:highlight w:val="none"/>
        </w:rPr>
        <w:t>)投标报价超出规定的投标限价或公布的采购预算的；注：投标人的投标报价各项单价均不得高于</w:t>
      </w:r>
      <w:r>
        <w:rPr>
          <w:rFonts w:hint="eastAsia" w:ascii="宋体" w:hAnsi="宋体" w:eastAsia="宋体" w:cs="宋体"/>
          <w:b w:val="0"/>
          <w:bCs/>
          <w:color w:val="auto"/>
          <w:szCs w:val="21"/>
          <w:highlight w:val="none"/>
          <w:lang w:eastAsia="zh-CN"/>
        </w:rPr>
        <w:t>招标文件</w:t>
      </w:r>
      <w:r>
        <w:rPr>
          <w:rFonts w:hint="eastAsia" w:ascii="宋体" w:hAnsi="宋体" w:eastAsia="宋体" w:cs="宋体"/>
          <w:b w:val="0"/>
          <w:bCs/>
          <w:color w:val="auto"/>
          <w:szCs w:val="21"/>
          <w:highlight w:val="none"/>
        </w:rPr>
        <w:t>给定的单价最高限价，否则，其投标文件将按无效投标处理。</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6</w:t>
      </w:r>
      <w:r>
        <w:rPr>
          <w:rFonts w:hint="eastAsia" w:ascii="宋体" w:hAnsi="宋体" w:eastAsia="宋体" w:cs="宋体"/>
          <w:b w:val="0"/>
          <w:bCs/>
          <w:color w:val="auto"/>
          <w:szCs w:val="21"/>
          <w:highlight w:val="none"/>
        </w:rPr>
        <w:t>)不按评标委员会要求澄清、说明或补正的，或者评标委员会根据</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的规定对</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的计算错误进行修正后，投标人不接受修正的投标报价的。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7</w:t>
      </w:r>
      <w:r>
        <w:rPr>
          <w:rFonts w:hint="eastAsia" w:ascii="宋体" w:hAnsi="宋体" w:eastAsia="宋体" w:cs="宋体"/>
          <w:b w:val="0"/>
          <w:bCs/>
          <w:color w:val="auto"/>
          <w:szCs w:val="21"/>
          <w:highlight w:val="none"/>
        </w:rPr>
        <w:t>）其它情形，经评标委员会委提出按无效投标处理，并经公共资源交易监督部门核准的；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8</w:t>
      </w:r>
      <w:r>
        <w:rPr>
          <w:rFonts w:hint="eastAsia" w:ascii="宋体" w:hAnsi="宋体" w:eastAsia="宋体" w:cs="宋体"/>
          <w:b w:val="0"/>
          <w:bCs/>
          <w:color w:val="auto"/>
          <w:szCs w:val="21"/>
          <w:highlight w:val="none"/>
        </w:rPr>
        <w:t>）未按照</w:t>
      </w:r>
      <w:r>
        <w:rPr>
          <w:rFonts w:hint="eastAsia" w:ascii="宋体" w:hAnsi="宋体" w:eastAsia="宋体" w:cs="宋体"/>
          <w:b w:val="0"/>
          <w:bCs/>
          <w:color w:val="auto"/>
          <w:szCs w:val="21"/>
          <w:highlight w:val="none"/>
          <w:lang w:eastAsia="zh-CN"/>
        </w:rPr>
        <w:t>招标文件</w:t>
      </w:r>
      <w:r>
        <w:rPr>
          <w:rFonts w:hint="eastAsia" w:ascii="宋体" w:hAnsi="宋体" w:eastAsia="宋体" w:cs="宋体"/>
          <w:b w:val="0"/>
          <w:bCs/>
          <w:color w:val="auto"/>
          <w:szCs w:val="21"/>
          <w:highlight w:val="none"/>
        </w:rPr>
        <w:t>的规定提交投标保证金的；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9</w:t>
      </w:r>
      <w:r>
        <w:rPr>
          <w:rFonts w:hint="eastAsia" w:ascii="宋体" w:hAnsi="宋体" w:eastAsia="宋体" w:cs="宋体"/>
          <w:b w:val="0"/>
          <w:bCs/>
          <w:color w:val="auto"/>
          <w:szCs w:val="21"/>
          <w:highlight w:val="none"/>
        </w:rPr>
        <w:t>）投标文件含有采购人不能接受的附加条件的;</w:t>
      </w:r>
    </w:p>
    <w:p>
      <w:pPr>
        <w:shd w:val="clear" w:color="auto" w:fill="auto"/>
        <w:snapToGrid w:val="0"/>
        <w:spacing w:line="400" w:lineRule="exact"/>
        <w:ind w:firstLine="426" w:firstLineChars="200"/>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val="en-US" w:eastAsia="zh-CN"/>
        </w:rPr>
        <w:t>10</w:t>
      </w:r>
      <w:r>
        <w:rPr>
          <w:rFonts w:hint="eastAsia" w:ascii="宋体" w:hAnsi="宋体" w:eastAsia="宋体" w:cs="宋体"/>
          <w:b w:val="0"/>
          <w:bCs/>
          <w:color w:val="auto"/>
          <w:szCs w:val="21"/>
          <w:highlight w:val="none"/>
        </w:rPr>
        <w:t>）</w:t>
      </w:r>
      <w:r>
        <w:rPr>
          <w:rFonts w:hint="eastAsia" w:ascii="宋体" w:hAnsi="宋体" w:eastAsia="宋体" w:cs="宋体"/>
          <w:b w:val="0"/>
          <w:bCs/>
          <w:color w:val="auto"/>
          <w:szCs w:val="21"/>
          <w:highlight w:val="none"/>
          <w:lang w:eastAsia="zh-CN"/>
        </w:rPr>
        <w:t>采购文件</w:t>
      </w:r>
      <w:r>
        <w:rPr>
          <w:rFonts w:hint="eastAsia" w:ascii="宋体" w:hAnsi="宋体" w:eastAsia="宋体" w:cs="宋体"/>
          <w:b w:val="0"/>
          <w:bCs/>
          <w:color w:val="auto"/>
          <w:szCs w:val="21"/>
          <w:highlight w:val="none"/>
        </w:rPr>
        <w:t>规定的其它无效投标情形。</w:t>
      </w:r>
    </w:p>
    <w:p>
      <w:pPr>
        <w:shd w:val="clear" w:color="auto" w:fill="auto"/>
        <w:snapToGrid w:val="0"/>
        <w:spacing w:line="400" w:lineRule="exact"/>
        <w:ind w:firstLine="426"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.4 投标人有下列情形之一的, 详细评审后其投标按无效投标处理：</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投标产品不符合必须强制执行的国家标准的；</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投标人有串通投标、弄虚作假、行贿等违法行为；</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投标文件含有违反国家法律、法规的内容，或附有招标人不能接受的条件的；</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在同一项目（或同一标段）中有多个投标人有效投标报价接近最高限价，且评标委员会认为报价出现异常的，可以宣布其投标无效；</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（5）报价明显低于其他投标人，且不能证明报价合理性的投标无效；</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（6）拒不确认评标委员会评审修正的投标无效；</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（7）其它情形，经评标委员会委提出按无效投标处理，并经公共资源交易监督部门核准的；</w:t>
      </w:r>
    </w:p>
    <w:p>
      <w:pPr>
        <w:shd w:val="clear" w:color="auto" w:fill="auto"/>
        <w:snapToGrid w:val="0"/>
        <w:spacing w:line="4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r>
        <w:rPr>
          <w:rFonts w:hint="eastAsia" w:ascii="宋体" w:hAnsi="宋体" w:eastAsia="宋体" w:cs="宋体"/>
          <w:color w:val="auto"/>
          <w:szCs w:val="21"/>
          <w:highlight w:val="none"/>
          <w:lang w:eastAsia="zh-CN"/>
        </w:rPr>
        <w:t>采购文件</w:t>
      </w:r>
      <w:r>
        <w:rPr>
          <w:rFonts w:hint="eastAsia" w:ascii="宋体" w:hAnsi="宋体" w:eastAsia="宋体" w:cs="宋体"/>
          <w:color w:val="auto"/>
          <w:szCs w:val="21"/>
          <w:highlight w:val="none"/>
        </w:rPr>
        <w:t>规定的其它无效投标情形。</w:t>
      </w:r>
      <w:bookmarkEnd w:id="50"/>
      <w:bookmarkEnd w:id="51"/>
      <w:bookmarkEnd w:id="55"/>
      <w:bookmarkEnd w:id="56"/>
      <w:bookmarkStart w:id="57" w:name="OLE_LINK4"/>
    </w:p>
    <w:p>
      <w:pPr>
        <w:pStyle w:val="2"/>
        <w:rPr>
          <w:rFonts w:hint="eastAsia"/>
          <w:color w:val="auto"/>
          <w:lang w:val="en-US" w:eastAsia="zh-CN"/>
        </w:rPr>
        <w:sectPr>
          <w:pgSz w:w="11905" w:h="16838"/>
          <w:pgMar w:top="1440" w:right="1797" w:bottom="1440" w:left="1797" w:header="850" w:footer="992" w:gutter="0"/>
          <w:pgNumType w:fmt="decimal"/>
          <w:cols w:space="720" w:num="1"/>
          <w:rtlGutter w:val="0"/>
          <w:docGrid w:type="linesAndChars" w:linePitch="325" w:charSpace="635"/>
        </w:sectPr>
      </w:pPr>
    </w:p>
    <w:p>
      <w:pPr>
        <w:pStyle w:val="3"/>
        <w:rPr>
          <w:rFonts w:hint="eastAsia"/>
          <w:color w:val="auto"/>
          <w:lang w:val="en-US" w:eastAsia="zh-CN"/>
        </w:rPr>
      </w:pPr>
    </w:p>
    <w:p>
      <w:pPr>
        <w:numPr>
          <w:ilvl w:val="0"/>
          <w:numId w:val="10"/>
        </w:numPr>
        <w:jc w:val="center"/>
        <w:rPr>
          <w:rFonts w:hint="eastAsia" w:ascii="Times New Roman" w:hAnsi="Times New Roman" w:eastAsia="宋体" w:cs="Times New Roman"/>
          <w:b/>
          <w:bCs/>
          <w:color w:val="auto"/>
          <w:sz w:val="32"/>
          <w:szCs w:val="40"/>
          <w:lang w:val="en-US" w:eastAsia="zh-CN"/>
        </w:rPr>
      </w:pPr>
      <w:r>
        <w:rPr>
          <w:rFonts w:hint="eastAsia" w:ascii="Times New Roman" w:hAnsi="Times New Roman" w:eastAsia="宋体" w:cs="Times New Roman"/>
          <w:b/>
          <w:bCs/>
          <w:color w:val="auto"/>
          <w:sz w:val="32"/>
          <w:szCs w:val="40"/>
          <w:lang w:val="en-US" w:eastAsia="zh-CN"/>
        </w:rPr>
        <w:t>采购内容及技术要求</w:t>
      </w:r>
    </w:p>
    <w:p>
      <w:pPr>
        <w:jc w:val="center"/>
        <w:rPr>
          <w:rFonts w:hint="eastAsia"/>
          <w:color w:val="auto"/>
          <w:lang w:val="en-US" w:eastAsia="zh-CN"/>
        </w:rPr>
      </w:pPr>
      <w:r>
        <w:rPr>
          <w:rFonts w:hint="eastAsia"/>
          <w:b/>
          <w:bCs/>
          <w:color w:val="auto"/>
          <w:sz w:val="32"/>
          <w:szCs w:val="40"/>
        </w:rPr>
        <w:t>课桌椅、床</w:t>
      </w:r>
    </w:p>
    <w:tbl>
      <w:tblPr>
        <w:tblStyle w:val="29"/>
        <w:tblpPr w:leftFromText="180" w:rightFromText="180" w:vertAnchor="text" w:horzAnchor="page" w:tblpX="1078" w:tblpY="587"/>
        <w:tblOverlap w:val="never"/>
        <w:tblW w:w="9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845"/>
        <w:gridCol w:w="6877"/>
        <w:gridCol w:w="757"/>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756" w:type="dxa"/>
          </w:tcPr>
          <w:p>
            <w:pPr>
              <w:ind w:left="0" w:leftChars="0"/>
              <w:jc w:val="center"/>
              <w:rPr>
                <w:rFonts w:hint="eastAsia" w:eastAsiaTheme="minorEastAsia"/>
                <w:b/>
                <w:bCs/>
                <w:color w:val="auto"/>
                <w:vertAlign w:val="baseline"/>
                <w:lang w:eastAsia="zh-CN"/>
              </w:rPr>
            </w:pPr>
            <w:r>
              <w:rPr>
                <w:rFonts w:hint="eastAsia"/>
                <w:b/>
                <w:bCs/>
                <w:color w:val="auto"/>
                <w:vertAlign w:val="baseline"/>
                <w:lang w:eastAsia="zh-CN"/>
              </w:rPr>
              <w:t>序号</w:t>
            </w:r>
          </w:p>
        </w:tc>
        <w:tc>
          <w:tcPr>
            <w:tcW w:w="845" w:type="dxa"/>
          </w:tcPr>
          <w:p>
            <w:pPr>
              <w:ind w:left="0" w:leftChars="0"/>
              <w:jc w:val="center"/>
              <w:rPr>
                <w:rFonts w:hint="eastAsia" w:eastAsiaTheme="minorEastAsia"/>
                <w:b/>
                <w:bCs/>
                <w:color w:val="auto"/>
                <w:vertAlign w:val="baseline"/>
                <w:lang w:eastAsia="zh-CN"/>
              </w:rPr>
            </w:pPr>
            <w:r>
              <w:rPr>
                <w:rFonts w:hint="eastAsia"/>
                <w:b/>
                <w:bCs/>
                <w:color w:val="auto"/>
                <w:vertAlign w:val="baseline"/>
                <w:lang w:eastAsia="zh-CN"/>
              </w:rPr>
              <w:t>名称</w:t>
            </w:r>
          </w:p>
        </w:tc>
        <w:tc>
          <w:tcPr>
            <w:tcW w:w="6877" w:type="dxa"/>
          </w:tcPr>
          <w:p>
            <w:pPr>
              <w:ind w:left="0" w:leftChars="0"/>
              <w:jc w:val="center"/>
              <w:rPr>
                <w:rFonts w:hint="eastAsia" w:eastAsiaTheme="minorEastAsia"/>
                <w:b/>
                <w:bCs/>
                <w:color w:val="auto"/>
                <w:vertAlign w:val="baseline"/>
                <w:lang w:eastAsia="zh-CN"/>
              </w:rPr>
            </w:pPr>
            <w:r>
              <w:rPr>
                <w:rFonts w:hint="eastAsia"/>
                <w:b/>
                <w:bCs/>
                <w:color w:val="auto"/>
                <w:vertAlign w:val="baseline"/>
                <w:lang w:eastAsia="zh-CN"/>
              </w:rPr>
              <w:t>参数</w:t>
            </w:r>
          </w:p>
        </w:tc>
        <w:tc>
          <w:tcPr>
            <w:tcW w:w="757" w:type="dxa"/>
          </w:tcPr>
          <w:p>
            <w:pPr>
              <w:ind w:left="0" w:leftChars="0"/>
              <w:jc w:val="center"/>
              <w:rPr>
                <w:rFonts w:hint="eastAsia" w:eastAsiaTheme="minorEastAsia"/>
                <w:b/>
                <w:bCs/>
                <w:color w:val="auto"/>
                <w:vertAlign w:val="baseline"/>
                <w:lang w:eastAsia="zh-CN"/>
              </w:rPr>
            </w:pPr>
            <w:r>
              <w:rPr>
                <w:rFonts w:hint="eastAsia"/>
                <w:b/>
                <w:bCs/>
                <w:color w:val="auto"/>
                <w:vertAlign w:val="baseline"/>
                <w:lang w:eastAsia="zh-CN"/>
              </w:rPr>
              <w:t>数量</w:t>
            </w:r>
          </w:p>
        </w:tc>
        <w:tc>
          <w:tcPr>
            <w:tcW w:w="720" w:type="dxa"/>
          </w:tcPr>
          <w:p>
            <w:pPr>
              <w:ind w:left="0" w:leftChars="0"/>
              <w:jc w:val="center"/>
              <w:rPr>
                <w:rFonts w:hint="eastAsia" w:eastAsiaTheme="minorEastAsia"/>
                <w:b/>
                <w:bCs/>
                <w:color w:val="auto"/>
                <w:vertAlign w:val="baseline"/>
                <w:lang w:eastAsia="zh-CN"/>
              </w:rPr>
            </w:pPr>
            <w:r>
              <w:rPr>
                <w:rFonts w:hint="eastAsia"/>
                <w:b/>
                <w:bCs/>
                <w:color w:val="auto"/>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756" w:type="dxa"/>
          </w:tcPr>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eastAsiaTheme="minorEastAsia"/>
                <w:color w:val="auto"/>
                <w:vertAlign w:val="baseline"/>
                <w:lang w:val="en-US" w:eastAsia="zh-CN"/>
              </w:rPr>
            </w:pPr>
            <w:r>
              <w:rPr>
                <w:rFonts w:hint="eastAsia"/>
                <w:color w:val="auto"/>
                <w:vertAlign w:val="baseline"/>
                <w:lang w:val="en-US" w:eastAsia="zh-CN"/>
              </w:rPr>
              <w:t>1</w:t>
            </w:r>
          </w:p>
        </w:tc>
        <w:tc>
          <w:tcPr>
            <w:tcW w:w="845" w:type="dxa"/>
          </w:tcPr>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eastAsiaTheme="minorEastAsia"/>
                <w:color w:val="auto"/>
                <w:vertAlign w:val="baseline"/>
                <w:lang w:eastAsia="zh-CN"/>
              </w:rPr>
            </w:pPr>
            <w:r>
              <w:rPr>
                <w:rFonts w:hint="eastAsia"/>
                <w:color w:val="auto"/>
                <w:vertAlign w:val="baseline"/>
                <w:lang w:eastAsia="zh-CN"/>
              </w:rPr>
              <w:t>课桌椅</w:t>
            </w:r>
          </w:p>
        </w:tc>
        <w:tc>
          <w:tcPr>
            <w:tcW w:w="6877" w:type="dxa"/>
          </w:tcPr>
          <w:p>
            <w:pPr>
              <w:ind w:left="0" w:leftChars="0"/>
              <w:jc w:val="left"/>
              <w:rPr>
                <w:rFonts w:hint="eastAsia"/>
                <w:color w:val="auto"/>
                <w:vertAlign w:val="baseline"/>
              </w:rPr>
            </w:pPr>
            <w:r>
              <w:rPr>
                <w:rFonts w:hint="eastAsia"/>
                <w:color w:val="auto"/>
                <w:vertAlign w:val="baseline"/>
              </w:rPr>
              <w:t>一、课桌</w:t>
            </w:r>
          </w:p>
          <w:p>
            <w:pPr>
              <w:ind w:left="0" w:leftChars="0"/>
              <w:jc w:val="left"/>
              <w:rPr>
                <w:rFonts w:hint="eastAsia"/>
                <w:color w:val="auto"/>
                <w:vertAlign w:val="baseline"/>
              </w:rPr>
            </w:pPr>
            <w:r>
              <w:rPr>
                <w:rFonts w:hint="eastAsia"/>
                <w:color w:val="auto"/>
                <w:vertAlign w:val="baseline"/>
              </w:rPr>
              <w:t>▲面板</w:t>
            </w:r>
          </w:p>
          <w:p>
            <w:pPr>
              <w:ind w:left="0" w:leftChars="0"/>
              <w:jc w:val="left"/>
              <w:rPr>
                <w:rFonts w:hint="eastAsia"/>
                <w:color w:val="auto"/>
                <w:vertAlign w:val="baseline"/>
              </w:rPr>
            </w:pPr>
            <w:r>
              <w:rPr>
                <w:rFonts w:hint="eastAsia"/>
                <w:color w:val="auto"/>
                <w:vertAlign w:val="baseline"/>
              </w:rPr>
              <w:t>1.材质：采用ABS耐冲击塑料一体射出成型。</w:t>
            </w:r>
          </w:p>
          <w:p>
            <w:pPr>
              <w:ind w:left="0" w:leftChars="0"/>
              <w:jc w:val="left"/>
              <w:rPr>
                <w:rFonts w:hint="eastAsia"/>
                <w:color w:val="auto"/>
                <w:vertAlign w:val="baseline"/>
              </w:rPr>
            </w:pPr>
            <w:r>
              <w:rPr>
                <w:rFonts w:hint="eastAsia"/>
                <w:color w:val="auto"/>
                <w:vertAlign w:val="baseline"/>
              </w:rPr>
              <w:t>2.尺寸：645×445mm±2mm。</w:t>
            </w:r>
          </w:p>
          <w:p>
            <w:pPr>
              <w:ind w:left="0" w:leftChars="0"/>
              <w:jc w:val="left"/>
              <w:rPr>
                <w:rFonts w:hint="eastAsia"/>
                <w:color w:val="auto"/>
                <w:vertAlign w:val="baseline"/>
              </w:rPr>
            </w:pPr>
            <w:r>
              <w:rPr>
                <w:rFonts w:hint="eastAsia"/>
                <w:color w:val="auto"/>
                <w:vertAlign w:val="baseline"/>
              </w:rPr>
              <w:t>3.功能：(A)靠胸前处有一内弧造型设计。</w:t>
            </w:r>
          </w:p>
          <w:p>
            <w:pPr>
              <w:ind w:left="0" w:leftChars="0"/>
              <w:jc w:val="left"/>
              <w:rPr>
                <w:rFonts w:hint="eastAsia"/>
                <w:color w:val="auto"/>
                <w:vertAlign w:val="baseline"/>
              </w:rPr>
            </w:pPr>
            <w:r>
              <w:rPr>
                <w:rFonts w:hint="eastAsia"/>
                <w:color w:val="auto"/>
                <w:vertAlign w:val="baseline"/>
              </w:rPr>
              <w:t xml:space="preserve">        (B)面板上有一个笔槽。</w:t>
            </w:r>
          </w:p>
          <w:p>
            <w:pPr>
              <w:ind w:left="0" w:leftChars="0"/>
              <w:jc w:val="left"/>
              <w:rPr>
                <w:rFonts w:hint="eastAsia"/>
                <w:color w:val="auto"/>
                <w:vertAlign w:val="baseline"/>
              </w:rPr>
            </w:pPr>
            <w:r>
              <w:rPr>
                <w:rFonts w:hint="eastAsia"/>
                <w:color w:val="auto"/>
                <w:vertAlign w:val="baseline"/>
              </w:rPr>
              <w:t xml:space="preserve">        (C)面板左右有不妨碍手臂平放之防滑挡条。</w:t>
            </w:r>
          </w:p>
          <w:p>
            <w:pPr>
              <w:ind w:left="0" w:leftChars="0"/>
              <w:jc w:val="left"/>
              <w:rPr>
                <w:rFonts w:hint="eastAsia"/>
                <w:color w:val="auto"/>
                <w:vertAlign w:val="baseline"/>
              </w:rPr>
            </w:pPr>
            <w:r>
              <w:rPr>
                <w:rFonts w:hint="eastAsia"/>
                <w:color w:val="auto"/>
                <w:vertAlign w:val="baseline"/>
              </w:rPr>
              <w:t xml:space="preserve">        (D)表面细纹咬花，不反光。</w:t>
            </w:r>
          </w:p>
          <w:p>
            <w:pPr>
              <w:ind w:left="0" w:leftChars="0"/>
              <w:jc w:val="left"/>
              <w:rPr>
                <w:rFonts w:hint="eastAsia"/>
                <w:color w:val="auto"/>
                <w:vertAlign w:val="baseline"/>
              </w:rPr>
            </w:pPr>
            <w:r>
              <w:rPr>
                <w:rFonts w:hint="eastAsia"/>
                <w:color w:val="auto"/>
                <w:vertAlign w:val="baseline"/>
              </w:rPr>
              <w:t>4.面板底部有强化承重之设计，镶入两支强化承重方管，并与面板底部平齐。</w:t>
            </w:r>
          </w:p>
          <w:p>
            <w:pPr>
              <w:ind w:left="0" w:leftChars="0"/>
              <w:jc w:val="left"/>
              <w:rPr>
                <w:rFonts w:hint="eastAsia"/>
                <w:color w:val="auto"/>
                <w:vertAlign w:val="baseline"/>
              </w:rPr>
            </w:pPr>
            <w:r>
              <w:rPr>
                <w:rFonts w:hint="eastAsia"/>
                <w:color w:val="auto"/>
                <w:vertAlign w:val="baseline"/>
              </w:rPr>
              <w:t>书箱</w:t>
            </w:r>
          </w:p>
          <w:p>
            <w:pPr>
              <w:ind w:left="0" w:leftChars="0"/>
              <w:jc w:val="left"/>
              <w:rPr>
                <w:rFonts w:hint="eastAsia"/>
                <w:color w:val="auto"/>
                <w:vertAlign w:val="baseline"/>
              </w:rPr>
            </w:pPr>
            <w:r>
              <w:rPr>
                <w:rFonts w:hint="eastAsia"/>
                <w:color w:val="auto"/>
                <w:vertAlign w:val="baseline"/>
              </w:rPr>
              <w:t>1.材质：采用pp耐冲击、高韧性塑料一体射出成型。</w:t>
            </w:r>
          </w:p>
          <w:p>
            <w:pPr>
              <w:ind w:left="0" w:leftChars="0"/>
              <w:jc w:val="left"/>
              <w:rPr>
                <w:rFonts w:hint="eastAsia"/>
                <w:color w:val="auto"/>
                <w:vertAlign w:val="baseline"/>
              </w:rPr>
            </w:pPr>
            <w:r>
              <w:rPr>
                <w:rFonts w:hint="eastAsia"/>
                <w:color w:val="auto"/>
                <w:vertAlign w:val="baseline"/>
              </w:rPr>
              <w:t>2.尺寸：510×347×125mm±2mm。</w:t>
            </w:r>
          </w:p>
          <w:p>
            <w:pPr>
              <w:ind w:left="0" w:leftChars="0"/>
              <w:jc w:val="left"/>
              <w:rPr>
                <w:rFonts w:hint="eastAsia"/>
                <w:color w:val="auto"/>
                <w:vertAlign w:val="baseline"/>
              </w:rPr>
            </w:pPr>
            <w:r>
              <w:rPr>
                <w:rFonts w:hint="eastAsia"/>
                <w:color w:val="auto"/>
                <w:vertAlign w:val="baseline"/>
              </w:rPr>
              <w:t>3.功能：书箱底部有32条排水槽缝并往后倾斜2°的设计，表面细纹咬花、不反光，书箱边角采用90°垂直设计，增加置物空间及书本平整摆放。</w:t>
            </w:r>
          </w:p>
          <w:p>
            <w:pPr>
              <w:ind w:left="0" w:leftChars="0"/>
              <w:jc w:val="left"/>
              <w:rPr>
                <w:rFonts w:hint="eastAsia"/>
                <w:color w:val="auto"/>
                <w:vertAlign w:val="baseline"/>
              </w:rPr>
            </w:pPr>
            <w:r>
              <w:rPr>
                <w:rFonts w:hint="eastAsia"/>
                <w:color w:val="auto"/>
                <w:vertAlign w:val="baseline"/>
              </w:rPr>
              <w:t>桌钢架</w:t>
            </w:r>
          </w:p>
          <w:p>
            <w:pPr>
              <w:ind w:left="0" w:leftChars="0"/>
              <w:jc w:val="left"/>
              <w:rPr>
                <w:rFonts w:hint="eastAsia"/>
                <w:color w:val="auto"/>
                <w:vertAlign w:val="baseline"/>
              </w:rPr>
            </w:pPr>
            <w:r>
              <w:rPr>
                <w:rFonts w:hint="eastAsia"/>
                <w:color w:val="auto"/>
                <w:vertAlign w:val="baseline"/>
              </w:rPr>
              <w:t>1.材质及形状：椭圆型钢管。</w:t>
            </w:r>
          </w:p>
          <w:p>
            <w:pPr>
              <w:ind w:left="0" w:leftChars="0"/>
              <w:jc w:val="left"/>
              <w:rPr>
                <w:rFonts w:hint="eastAsia"/>
                <w:color w:val="auto"/>
                <w:vertAlign w:val="baseline"/>
              </w:rPr>
            </w:pPr>
            <w:r>
              <w:rPr>
                <w:rFonts w:hint="eastAsia"/>
                <w:color w:val="auto"/>
                <w:vertAlign w:val="baseline"/>
              </w:rPr>
              <w:t>2.尺寸： 60.5×30.4×1.3mm，49.5×25.8×1.2mm，40×20×1.5mm。采用全周满焊焊接而成，结构牢固，长期使用也不会产生摇晃、松散的现象。</w:t>
            </w:r>
          </w:p>
          <w:p>
            <w:pPr>
              <w:ind w:left="0" w:leftChars="0"/>
              <w:jc w:val="left"/>
              <w:rPr>
                <w:rFonts w:hint="eastAsia"/>
                <w:color w:val="auto"/>
                <w:vertAlign w:val="baseline"/>
              </w:rPr>
            </w:pPr>
            <w:r>
              <w:rPr>
                <w:rFonts w:hint="eastAsia"/>
                <w:color w:val="auto"/>
                <w:vertAlign w:val="baseline"/>
              </w:rPr>
              <w:t>3.表面涂装：钢管架焊接后，表面须经高温粉体烤漆处理, 附着力特强，涂层光滑均匀，色泽一致，涂层平整光滑、清晰，长时间使用也不会产生表面漆剥落现象。</w:t>
            </w:r>
          </w:p>
          <w:p>
            <w:pPr>
              <w:ind w:left="0" w:leftChars="0"/>
              <w:jc w:val="left"/>
              <w:rPr>
                <w:rFonts w:hint="eastAsia"/>
                <w:color w:val="auto"/>
                <w:vertAlign w:val="baseline"/>
              </w:rPr>
            </w:pPr>
            <w:r>
              <w:rPr>
                <w:rFonts w:hint="eastAsia"/>
                <w:color w:val="auto"/>
                <w:vertAlign w:val="baseline"/>
              </w:rPr>
              <w:t>4.功能：左右钢架内安装机械升降器，升降器由传动轴连接，通过手摇方式可同时升降，仅需数秒即可调出所需的高度，钢管表面需刻有课桌椅型号，刻度需经高压冲床冲压而成，升降高度需符合国家GB/T 3976-2014标准。</w:t>
            </w:r>
          </w:p>
          <w:p>
            <w:pPr>
              <w:ind w:left="0" w:leftChars="0"/>
              <w:jc w:val="left"/>
              <w:rPr>
                <w:rFonts w:hint="eastAsia"/>
                <w:color w:val="auto"/>
                <w:vertAlign w:val="baseline"/>
              </w:rPr>
            </w:pPr>
            <w:r>
              <w:rPr>
                <w:rFonts w:hint="eastAsia"/>
                <w:color w:val="auto"/>
                <w:vertAlign w:val="baseline"/>
              </w:rPr>
              <w:t>脚套</w:t>
            </w:r>
          </w:p>
          <w:p>
            <w:pPr>
              <w:ind w:left="0" w:leftChars="0"/>
              <w:jc w:val="left"/>
              <w:rPr>
                <w:rFonts w:hint="eastAsia"/>
                <w:color w:val="auto"/>
                <w:vertAlign w:val="baseline"/>
              </w:rPr>
            </w:pPr>
            <w:r>
              <w:rPr>
                <w:rFonts w:hint="eastAsia"/>
                <w:color w:val="auto"/>
                <w:vertAlign w:val="baseline"/>
              </w:rPr>
              <w:t>1.材质：采用pp耐冲击、高韧性塑料一体射出成型。</w:t>
            </w:r>
          </w:p>
          <w:p>
            <w:pPr>
              <w:ind w:left="0" w:leftChars="0"/>
              <w:jc w:val="left"/>
              <w:rPr>
                <w:rFonts w:hint="eastAsia"/>
                <w:color w:val="auto"/>
                <w:vertAlign w:val="baseline"/>
              </w:rPr>
            </w:pPr>
            <w:r>
              <w:rPr>
                <w:rFonts w:hint="eastAsia"/>
                <w:color w:val="auto"/>
                <w:vertAlign w:val="baseline"/>
              </w:rPr>
              <w:t>2.尺寸：80mm×71mm×42mm±2mm。</w:t>
            </w:r>
          </w:p>
          <w:p>
            <w:pPr>
              <w:ind w:left="0" w:leftChars="0"/>
              <w:jc w:val="left"/>
              <w:rPr>
                <w:rFonts w:hint="eastAsia"/>
                <w:color w:val="auto"/>
                <w:vertAlign w:val="baseline"/>
              </w:rPr>
            </w:pPr>
            <w:r>
              <w:rPr>
                <w:rFonts w:hint="eastAsia"/>
                <w:color w:val="auto"/>
                <w:vertAlign w:val="baseline"/>
              </w:rPr>
              <w:t>3.功能：贴地脚垫宽大与地面接触平稳安全，采用扁头十字螺丝锁付方式固定，长期使用也不脱落。</w:t>
            </w:r>
          </w:p>
          <w:p>
            <w:pPr>
              <w:ind w:left="0" w:leftChars="0"/>
              <w:jc w:val="left"/>
              <w:rPr>
                <w:rFonts w:hint="eastAsia"/>
                <w:color w:val="auto"/>
                <w:vertAlign w:val="baseline"/>
              </w:rPr>
            </w:pPr>
            <w:r>
              <w:rPr>
                <w:rFonts w:hint="eastAsia"/>
                <w:color w:val="auto"/>
                <w:vertAlign w:val="baseline"/>
              </w:rPr>
              <w:t>小挂勾</w:t>
            </w:r>
          </w:p>
          <w:p>
            <w:pPr>
              <w:ind w:left="0" w:leftChars="0"/>
              <w:jc w:val="left"/>
              <w:rPr>
                <w:rFonts w:hint="eastAsia"/>
                <w:color w:val="auto"/>
                <w:vertAlign w:val="baseline"/>
              </w:rPr>
            </w:pPr>
            <w:r>
              <w:rPr>
                <w:rFonts w:hint="eastAsia"/>
                <w:color w:val="auto"/>
                <w:vertAlign w:val="baseline"/>
              </w:rPr>
              <w:t>1.材质：采用pp耐冲击、高韧性塑料一体射出成型。</w:t>
            </w:r>
          </w:p>
          <w:p>
            <w:pPr>
              <w:ind w:left="0" w:leftChars="0"/>
              <w:jc w:val="left"/>
              <w:rPr>
                <w:rFonts w:hint="eastAsia"/>
                <w:color w:val="auto"/>
                <w:vertAlign w:val="baseline"/>
              </w:rPr>
            </w:pPr>
            <w:r>
              <w:rPr>
                <w:rFonts w:hint="eastAsia"/>
                <w:color w:val="auto"/>
                <w:vertAlign w:val="baseline"/>
              </w:rPr>
              <w:t>2.尺寸：35mm×33mm×50mm±2mm。</w:t>
            </w:r>
          </w:p>
          <w:p>
            <w:pPr>
              <w:ind w:left="0" w:leftChars="0"/>
              <w:jc w:val="left"/>
              <w:rPr>
                <w:rFonts w:hint="eastAsia"/>
                <w:color w:val="auto"/>
                <w:vertAlign w:val="baseline"/>
              </w:rPr>
            </w:pPr>
            <w:r>
              <w:rPr>
                <w:rFonts w:hint="eastAsia"/>
                <w:color w:val="auto"/>
                <w:vertAlign w:val="baseline"/>
              </w:rPr>
              <w:t>功能：增加额外挂物位置，不可超出桌沿。</w:t>
            </w:r>
          </w:p>
          <w:p>
            <w:pPr>
              <w:ind w:left="0" w:leftChars="0"/>
              <w:jc w:val="left"/>
              <w:rPr>
                <w:rFonts w:hint="eastAsia"/>
                <w:color w:val="auto"/>
                <w:vertAlign w:val="baseline"/>
              </w:rPr>
            </w:pPr>
            <w:r>
              <w:rPr>
                <w:rFonts w:hint="eastAsia"/>
                <w:color w:val="auto"/>
                <w:vertAlign w:val="baseline"/>
              </w:rPr>
              <w:t>二、课椅</w:t>
            </w:r>
          </w:p>
          <w:p>
            <w:pPr>
              <w:ind w:left="0" w:leftChars="0"/>
              <w:jc w:val="left"/>
              <w:rPr>
                <w:rFonts w:hint="eastAsia"/>
                <w:color w:val="auto"/>
                <w:vertAlign w:val="baseline"/>
              </w:rPr>
            </w:pPr>
            <w:r>
              <w:rPr>
                <w:rFonts w:hint="eastAsia"/>
                <w:color w:val="auto"/>
                <w:vertAlign w:val="baseline"/>
              </w:rPr>
              <w:t>靠背</w:t>
            </w:r>
          </w:p>
          <w:p>
            <w:pPr>
              <w:ind w:left="0" w:leftChars="0"/>
              <w:jc w:val="left"/>
              <w:rPr>
                <w:rFonts w:hint="eastAsia"/>
                <w:color w:val="auto"/>
                <w:vertAlign w:val="baseline"/>
              </w:rPr>
            </w:pPr>
            <w:r>
              <w:rPr>
                <w:rFonts w:hint="eastAsia"/>
                <w:color w:val="auto"/>
                <w:vertAlign w:val="baseline"/>
              </w:rPr>
              <w:t>1.材质：采用pp耐冲击、高韧性塑料一体射出成型。</w:t>
            </w:r>
          </w:p>
          <w:p>
            <w:pPr>
              <w:ind w:left="0" w:leftChars="0"/>
              <w:jc w:val="left"/>
              <w:rPr>
                <w:rFonts w:hint="eastAsia"/>
                <w:color w:val="auto"/>
                <w:vertAlign w:val="baseline"/>
              </w:rPr>
            </w:pPr>
            <w:r>
              <w:rPr>
                <w:rFonts w:hint="eastAsia"/>
                <w:color w:val="auto"/>
                <w:vertAlign w:val="baseline"/>
              </w:rPr>
              <w:t>2.尺寸：410mm×348mm±2mm。</w:t>
            </w:r>
          </w:p>
          <w:p>
            <w:pPr>
              <w:ind w:left="0" w:leftChars="0"/>
              <w:jc w:val="left"/>
              <w:rPr>
                <w:rFonts w:hint="eastAsia"/>
                <w:color w:val="auto"/>
                <w:vertAlign w:val="baseline"/>
              </w:rPr>
            </w:pPr>
            <w:r>
              <w:rPr>
                <w:rFonts w:hint="eastAsia"/>
                <w:color w:val="auto"/>
                <w:vertAlign w:val="baseline"/>
              </w:rPr>
              <w:t>3.功能：表面细纹咬花，防滑、不反光，经特殊工艺安装，表面不裸漏螺丝钉，无法拆卸。</w:t>
            </w:r>
          </w:p>
          <w:p>
            <w:pPr>
              <w:ind w:left="0" w:leftChars="0"/>
              <w:jc w:val="left"/>
              <w:rPr>
                <w:rFonts w:hint="eastAsia"/>
                <w:color w:val="auto"/>
                <w:vertAlign w:val="baseline"/>
              </w:rPr>
            </w:pPr>
            <w:r>
              <w:rPr>
                <w:rFonts w:hint="eastAsia"/>
                <w:color w:val="auto"/>
                <w:vertAlign w:val="baseline"/>
              </w:rPr>
              <w:t>坐垫</w:t>
            </w:r>
          </w:p>
          <w:p>
            <w:pPr>
              <w:ind w:left="0" w:leftChars="0"/>
              <w:jc w:val="left"/>
              <w:rPr>
                <w:rFonts w:hint="eastAsia"/>
                <w:color w:val="auto"/>
                <w:vertAlign w:val="baseline"/>
              </w:rPr>
            </w:pPr>
            <w:r>
              <w:rPr>
                <w:rFonts w:hint="eastAsia"/>
                <w:color w:val="auto"/>
                <w:vertAlign w:val="baseline"/>
              </w:rPr>
              <w:t>1.材质：采用pp耐冲击、高韧性塑料一体射出成型。</w:t>
            </w:r>
          </w:p>
          <w:p>
            <w:pPr>
              <w:ind w:left="0" w:leftChars="0"/>
              <w:jc w:val="left"/>
              <w:rPr>
                <w:rFonts w:hint="eastAsia"/>
                <w:color w:val="auto"/>
                <w:vertAlign w:val="baseline"/>
              </w:rPr>
            </w:pPr>
            <w:r>
              <w:rPr>
                <w:rFonts w:hint="eastAsia"/>
                <w:color w:val="auto"/>
                <w:vertAlign w:val="baseline"/>
              </w:rPr>
              <w:t>2.尺寸：400mm×370mm±2mm。</w:t>
            </w:r>
          </w:p>
          <w:p>
            <w:pPr>
              <w:ind w:left="0" w:leftChars="0"/>
              <w:jc w:val="left"/>
              <w:rPr>
                <w:rFonts w:hint="eastAsia"/>
                <w:color w:val="auto"/>
                <w:vertAlign w:val="baseline"/>
              </w:rPr>
            </w:pPr>
            <w:r>
              <w:rPr>
                <w:rFonts w:hint="eastAsia"/>
                <w:color w:val="auto"/>
                <w:vertAlign w:val="baseline"/>
              </w:rPr>
              <w:t>3. 功能：表面细纹咬花，防滑、不反光。</w:t>
            </w:r>
          </w:p>
          <w:p>
            <w:pPr>
              <w:ind w:left="0" w:leftChars="0"/>
              <w:jc w:val="left"/>
              <w:rPr>
                <w:rFonts w:hint="eastAsia"/>
                <w:color w:val="auto"/>
                <w:vertAlign w:val="baseline"/>
              </w:rPr>
            </w:pPr>
            <w:r>
              <w:rPr>
                <w:rFonts w:hint="eastAsia"/>
                <w:color w:val="auto"/>
                <w:vertAlign w:val="baseline"/>
              </w:rPr>
              <w:t>钢管</w:t>
            </w:r>
          </w:p>
          <w:p>
            <w:pPr>
              <w:ind w:left="0" w:leftChars="0"/>
              <w:jc w:val="left"/>
              <w:rPr>
                <w:rFonts w:hint="eastAsia"/>
                <w:color w:val="auto"/>
                <w:vertAlign w:val="baseline"/>
              </w:rPr>
            </w:pPr>
            <w:r>
              <w:rPr>
                <w:rFonts w:hint="eastAsia"/>
                <w:color w:val="auto"/>
                <w:vertAlign w:val="baseline"/>
              </w:rPr>
              <w:t>1.材质及形状：椭圆型钢管。</w:t>
            </w:r>
          </w:p>
          <w:p>
            <w:pPr>
              <w:ind w:left="0" w:leftChars="0"/>
              <w:jc w:val="left"/>
              <w:rPr>
                <w:rFonts w:hint="eastAsia"/>
                <w:color w:val="auto"/>
                <w:vertAlign w:val="baseline"/>
              </w:rPr>
            </w:pPr>
            <w:r>
              <w:rPr>
                <w:rFonts w:hint="eastAsia"/>
                <w:color w:val="auto"/>
                <w:vertAlign w:val="baseline"/>
              </w:rPr>
              <w:t>2.尺寸：30.4×60.5×1.3mm，25.8×49.5×1.2mm，20×40×1.5mm，17×34×1.5mm。采用全周满焊焊接而成，结构牢固，长期使用也不会产生摇晃、松散的现象。</w:t>
            </w:r>
          </w:p>
          <w:p>
            <w:pPr>
              <w:ind w:left="0" w:leftChars="0"/>
              <w:jc w:val="left"/>
              <w:rPr>
                <w:rFonts w:hint="eastAsia"/>
                <w:color w:val="auto"/>
                <w:vertAlign w:val="baseline"/>
              </w:rPr>
            </w:pPr>
            <w:r>
              <w:rPr>
                <w:rFonts w:hint="eastAsia"/>
                <w:color w:val="auto"/>
                <w:vertAlign w:val="baseline"/>
              </w:rPr>
              <w:t>3.表面涂装：钢管架焊接后，表面须经高温粉体烤漆处理, 附着力特强，涂层光滑均匀，色泽一致，涂层平整光滑、清晰，,长时间使用也不会产生表面漆剥落现象。</w:t>
            </w:r>
          </w:p>
          <w:p>
            <w:pPr>
              <w:ind w:left="0" w:leftChars="0"/>
              <w:jc w:val="left"/>
              <w:rPr>
                <w:rFonts w:hint="eastAsia"/>
                <w:color w:val="auto"/>
                <w:vertAlign w:val="baseline"/>
              </w:rPr>
            </w:pPr>
            <w:r>
              <w:rPr>
                <w:rFonts w:hint="eastAsia"/>
                <w:color w:val="auto"/>
                <w:vertAlign w:val="baseline"/>
              </w:rPr>
              <w:t>4.功能：左右钢架内安装机械升降器，升降器由传动轴连接，通过手摇方式可同时升降，仅需数秒即可调出所需的高度，钢管表面需刻有课桌椅型号，刻度需经高压冲床冲压而成，升降高度需符合国家相关标准。</w:t>
            </w:r>
          </w:p>
          <w:p>
            <w:pPr>
              <w:ind w:left="0" w:leftChars="0"/>
              <w:jc w:val="left"/>
              <w:rPr>
                <w:rFonts w:hint="eastAsia"/>
                <w:color w:val="auto"/>
                <w:vertAlign w:val="baseline"/>
              </w:rPr>
            </w:pPr>
            <w:r>
              <w:rPr>
                <w:rFonts w:hint="eastAsia"/>
                <w:color w:val="auto"/>
                <w:vertAlign w:val="baseline"/>
              </w:rPr>
              <w:t>脚套</w:t>
            </w:r>
          </w:p>
          <w:p>
            <w:pPr>
              <w:ind w:left="0" w:leftChars="0"/>
              <w:jc w:val="left"/>
              <w:rPr>
                <w:rFonts w:hint="eastAsia"/>
                <w:color w:val="auto"/>
                <w:vertAlign w:val="baseline"/>
              </w:rPr>
            </w:pPr>
            <w:r>
              <w:rPr>
                <w:rFonts w:hint="eastAsia"/>
                <w:color w:val="auto"/>
                <w:vertAlign w:val="baseline"/>
              </w:rPr>
              <w:t>1.材质：采用pp耐冲击、高韧性塑料一体射出成型。</w:t>
            </w:r>
          </w:p>
          <w:p>
            <w:pPr>
              <w:ind w:left="0" w:leftChars="0"/>
              <w:jc w:val="left"/>
              <w:rPr>
                <w:rFonts w:hint="eastAsia"/>
                <w:color w:val="auto"/>
                <w:vertAlign w:val="baseline"/>
              </w:rPr>
            </w:pPr>
            <w:r>
              <w:rPr>
                <w:rFonts w:hint="eastAsia"/>
                <w:color w:val="auto"/>
                <w:vertAlign w:val="baseline"/>
              </w:rPr>
              <w:t>2.尺寸：80mm×71mm×42mm±2mm。</w:t>
            </w:r>
          </w:p>
          <w:p>
            <w:pPr>
              <w:ind w:left="0" w:leftChars="0"/>
              <w:jc w:val="left"/>
              <w:rPr>
                <w:rFonts w:hint="eastAsia"/>
                <w:color w:val="auto"/>
                <w:vertAlign w:val="baseline"/>
              </w:rPr>
            </w:pPr>
            <w:r>
              <w:rPr>
                <w:rFonts w:hint="eastAsia"/>
                <w:color w:val="auto"/>
                <w:vertAlign w:val="baseline"/>
              </w:rPr>
              <w:t>3.功能：贴地脚垫宽大与地面接触平稳安全，采用扁头十字螺丝锁付方式固定，长期使用也不脱落</w:t>
            </w:r>
          </w:p>
        </w:tc>
        <w:tc>
          <w:tcPr>
            <w:tcW w:w="757" w:type="dxa"/>
          </w:tcPr>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default" w:eastAsiaTheme="minorEastAsia"/>
                <w:color w:val="auto"/>
                <w:vertAlign w:val="baseline"/>
                <w:lang w:val="en-US" w:eastAsia="zh-CN"/>
              </w:rPr>
            </w:pPr>
            <w:r>
              <w:rPr>
                <w:rFonts w:hint="eastAsia"/>
                <w:color w:val="auto"/>
                <w:vertAlign w:val="baseline"/>
                <w:lang w:val="en-US" w:eastAsia="zh-CN"/>
              </w:rPr>
              <w:t>2500</w:t>
            </w:r>
          </w:p>
        </w:tc>
        <w:tc>
          <w:tcPr>
            <w:tcW w:w="720" w:type="dxa"/>
          </w:tcPr>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eastAsiaTheme="minorEastAsia"/>
                <w:color w:val="auto"/>
                <w:vertAlign w:val="baseline"/>
                <w:lang w:eastAsia="zh-CN"/>
              </w:rPr>
            </w:pPr>
            <w:r>
              <w:rPr>
                <w:rFonts w:hint="eastAsia"/>
                <w:color w:val="auto"/>
                <w:vertAlign w:val="baseline"/>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trPr>
        <w:tc>
          <w:tcPr>
            <w:tcW w:w="756" w:type="dxa"/>
          </w:tcPr>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eastAsiaTheme="minorEastAsia"/>
                <w:color w:val="auto"/>
                <w:vertAlign w:val="baseline"/>
                <w:lang w:val="en-US" w:eastAsia="zh-CN"/>
              </w:rPr>
            </w:pPr>
            <w:r>
              <w:rPr>
                <w:rFonts w:hint="eastAsia"/>
                <w:color w:val="auto"/>
                <w:vertAlign w:val="baseline"/>
                <w:lang w:val="en-US" w:eastAsia="zh-CN"/>
              </w:rPr>
              <w:t>2</w:t>
            </w:r>
          </w:p>
        </w:tc>
        <w:tc>
          <w:tcPr>
            <w:tcW w:w="845" w:type="dxa"/>
          </w:tcPr>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eastAsiaTheme="minorEastAsia"/>
                <w:color w:val="auto"/>
                <w:vertAlign w:val="baseline"/>
                <w:lang w:eastAsia="zh-CN"/>
              </w:rPr>
            </w:pPr>
            <w:r>
              <w:rPr>
                <w:rFonts w:hint="eastAsia"/>
                <w:color w:val="auto"/>
                <w:vertAlign w:val="baseline"/>
                <w:lang w:eastAsia="zh-CN"/>
              </w:rPr>
              <w:t>电脑桌</w:t>
            </w:r>
          </w:p>
        </w:tc>
        <w:tc>
          <w:tcPr>
            <w:tcW w:w="6877" w:type="dxa"/>
          </w:tcPr>
          <w:p>
            <w:pPr>
              <w:ind w:left="0" w:leftChars="0"/>
              <w:jc w:val="left"/>
              <w:rPr>
                <w:rFonts w:hint="eastAsia"/>
                <w:color w:val="auto"/>
                <w:vertAlign w:val="baseline"/>
              </w:rPr>
            </w:pPr>
            <w:r>
              <w:rPr>
                <w:rFonts w:hint="eastAsia"/>
                <w:color w:val="auto"/>
                <w:vertAlign w:val="baseline"/>
              </w:rPr>
              <w:t xml:space="preserve">双人位1600*600*750mm；                                    </w:t>
            </w:r>
          </w:p>
          <w:p>
            <w:pPr>
              <w:ind w:left="0" w:leftChars="0"/>
              <w:jc w:val="left"/>
              <w:rPr>
                <w:rFonts w:hint="eastAsia"/>
                <w:color w:val="auto"/>
                <w:vertAlign w:val="baseline"/>
              </w:rPr>
            </w:pPr>
            <w:r>
              <w:rPr>
                <w:rFonts w:hint="eastAsia"/>
                <w:color w:val="auto"/>
                <w:vertAlign w:val="baseline"/>
              </w:rPr>
              <w:t>1、台面厚度为25mm，台面为优质防火板，前面为鸭嘴边后圆边。</w:t>
            </w:r>
          </w:p>
          <w:p>
            <w:pPr>
              <w:ind w:left="0" w:leftChars="0"/>
              <w:jc w:val="left"/>
              <w:rPr>
                <w:rFonts w:hint="eastAsia"/>
                <w:color w:val="auto"/>
                <w:vertAlign w:val="baseline"/>
              </w:rPr>
            </w:pPr>
            <w:r>
              <w:rPr>
                <w:rFonts w:hint="eastAsia"/>
                <w:color w:val="auto"/>
                <w:vertAlign w:val="baseline"/>
              </w:rPr>
              <w:t>2、腿弧形腿，有造型，可以来回方便穿线。</w:t>
            </w:r>
          </w:p>
          <w:p>
            <w:pPr>
              <w:ind w:left="0" w:leftChars="0"/>
              <w:jc w:val="left"/>
              <w:rPr>
                <w:rFonts w:hint="eastAsia"/>
                <w:color w:val="auto"/>
                <w:vertAlign w:val="baseline"/>
              </w:rPr>
            </w:pPr>
            <w:r>
              <w:rPr>
                <w:rFonts w:hint="eastAsia"/>
                <w:color w:val="auto"/>
                <w:vertAlign w:val="baseline"/>
              </w:rPr>
              <w:t>3、前挡板和门板冲圆孔，达到美观和散热的功能。</w:t>
            </w:r>
          </w:p>
          <w:p>
            <w:pPr>
              <w:ind w:left="0" w:leftChars="0"/>
              <w:jc w:val="left"/>
              <w:rPr>
                <w:rFonts w:hint="eastAsia"/>
                <w:color w:val="auto"/>
                <w:vertAlign w:val="baseline"/>
              </w:rPr>
            </w:pPr>
            <w:r>
              <w:rPr>
                <w:rFonts w:hint="eastAsia"/>
                <w:color w:val="auto"/>
                <w:vertAlign w:val="baseline"/>
              </w:rPr>
              <w:t xml:space="preserve">4、脚装配尼龙可调脚，耐用防滑。正常使用经久耐用，整体造型设计以人为本，边角圆弧。 </w:t>
            </w:r>
          </w:p>
          <w:p>
            <w:pPr>
              <w:ind w:left="0" w:leftChars="0"/>
              <w:jc w:val="left"/>
              <w:rPr>
                <w:rFonts w:hint="eastAsia"/>
                <w:color w:val="auto"/>
                <w:vertAlign w:val="baseline"/>
              </w:rPr>
            </w:pPr>
            <w:r>
              <w:rPr>
                <w:rFonts w:hint="eastAsia"/>
                <w:color w:val="auto"/>
                <w:vertAlign w:val="baseline"/>
              </w:rPr>
              <w:t>5、主机隐藏起来，放在后背板和前挡板中间，底板开走线孔。</w:t>
            </w:r>
          </w:p>
          <w:p>
            <w:pPr>
              <w:ind w:left="0" w:leftChars="0"/>
              <w:jc w:val="left"/>
              <w:rPr>
                <w:rFonts w:hint="eastAsia"/>
                <w:color w:val="auto"/>
                <w:vertAlign w:val="baseline"/>
              </w:rPr>
            </w:pPr>
            <w:r>
              <w:rPr>
                <w:rFonts w:hint="eastAsia"/>
                <w:color w:val="auto"/>
                <w:vertAlign w:val="baseline"/>
              </w:rPr>
              <w:t>6、配三根腿、中间腿可以来回穿线。</w:t>
            </w:r>
          </w:p>
          <w:p>
            <w:pPr>
              <w:ind w:left="0" w:leftChars="0"/>
              <w:jc w:val="left"/>
              <w:rPr>
                <w:rFonts w:hint="eastAsia"/>
                <w:color w:val="auto"/>
                <w:vertAlign w:val="baseline"/>
              </w:rPr>
            </w:pPr>
            <w:r>
              <w:rPr>
                <w:rFonts w:hint="eastAsia"/>
                <w:color w:val="auto"/>
                <w:vertAlign w:val="baseline"/>
              </w:rPr>
              <w:t>翻转器；600*460*160mm</w:t>
            </w:r>
          </w:p>
          <w:p>
            <w:pPr>
              <w:ind w:left="0" w:leftChars="0"/>
              <w:jc w:val="left"/>
              <w:rPr>
                <w:rFonts w:hint="eastAsia"/>
                <w:color w:val="auto"/>
                <w:vertAlign w:val="baseline"/>
              </w:rPr>
            </w:pPr>
            <w:r>
              <w:rPr>
                <w:rFonts w:hint="eastAsia"/>
                <w:color w:val="auto"/>
                <w:vertAlign w:val="baseline"/>
              </w:rPr>
              <w:t>整体为冷轧钢板，钢板厚度为1.0毫米，表面经酸洗、磷化防腐防锈处理后静电喷塑。选用优质气压杆支撑，优质五金锁具，独立结构。</w:t>
            </w:r>
          </w:p>
        </w:tc>
        <w:tc>
          <w:tcPr>
            <w:tcW w:w="757" w:type="dxa"/>
          </w:tcPr>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default" w:eastAsiaTheme="minorEastAsia"/>
                <w:color w:val="auto"/>
                <w:vertAlign w:val="baseline"/>
                <w:lang w:val="en-US" w:eastAsia="zh-CN"/>
              </w:rPr>
            </w:pPr>
            <w:r>
              <w:rPr>
                <w:rFonts w:hint="eastAsia"/>
                <w:color w:val="auto"/>
                <w:vertAlign w:val="baseline"/>
                <w:lang w:val="en-US" w:eastAsia="zh-CN"/>
              </w:rPr>
              <w:t>125</w:t>
            </w:r>
          </w:p>
        </w:tc>
        <w:tc>
          <w:tcPr>
            <w:tcW w:w="720" w:type="dxa"/>
          </w:tcPr>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eastAsiaTheme="minorEastAsia"/>
                <w:color w:val="auto"/>
                <w:vertAlign w:val="baseline"/>
                <w:lang w:eastAsia="zh-CN"/>
              </w:rPr>
            </w:pPr>
            <w:r>
              <w:rPr>
                <w:rFonts w:hint="eastAsia"/>
                <w:color w:val="auto"/>
                <w:vertAlign w:val="baseline"/>
                <w:lang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756" w:type="dxa"/>
          </w:tcPr>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eastAsiaTheme="minorEastAsia"/>
                <w:color w:val="auto"/>
                <w:vertAlign w:val="baseline"/>
                <w:lang w:val="en-US" w:eastAsia="zh-CN"/>
              </w:rPr>
            </w:pPr>
            <w:r>
              <w:rPr>
                <w:rFonts w:hint="eastAsia"/>
                <w:color w:val="auto"/>
                <w:vertAlign w:val="baseline"/>
                <w:lang w:val="en-US" w:eastAsia="zh-CN"/>
              </w:rPr>
              <w:t>3</w:t>
            </w:r>
          </w:p>
        </w:tc>
        <w:tc>
          <w:tcPr>
            <w:tcW w:w="845" w:type="dxa"/>
          </w:tcPr>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eastAsiaTheme="minorEastAsia"/>
                <w:color w:val="auto"/>
                <w:vertAlign w:val="baseline"/>
                <w:lang w:eastAsia="zh-CN"/>
              </w:rPr>
            </w:pPr>
            <w:r>
              <w:rPr>
                <w:rFonts w:hint="eastAsia"/>
                <w:color w:val="auto"/>
                <w:vertAlign w:val="baseline"/>
                <w:lang w:eastAsia="zh-CN"/>
              </w:rPr>
              <w:t>双人床</w:t>
            </w:r>
          </w:p>
        </w:tc>
        <w:tc>
          <w:tcPr>
            <w:tcW w:w="6877" w:type="dxa"/>
          </w:tcPr>
          <w:p>
            <w:pPr>
              <w:ind w:left="0" w:leftChars="0"/>
              <w:jc w:val="left"/>
              <w:rPr>
                <w:rFonts w:hint="eastAsia"/>
                <w:color w:val="auto"/>
                <w:vertAlign w:val="baseline"/>
              </w:rPr>
            </w:pPr>
            <w:r>
              <w:rPr>
                <w:rFonts w:hint="eastAsia"/>
                <w:color w:val="auto"/>
                <w:vertAlign w:val="baseline"/>
              </w:rPr>
              <w:t>床体为高低床；1.床体规格为：2000*900*1800mm。2.床头立柱采用40mm*40mm方管，壁厚1.2mm，床头立柱与上横梁采用增强塑料注塑成型弯头链接。3.床屉大杠采用25*50*1.2扁方钢管，靠墙面安装高度230mm立板格挡。4.床铺横带5根，采用国标方钢管25×25×1.0（mm）。5.床厅护栏：采用25*25*1.2优质方管。6.爬梯：立柱采用25*25*1.2mm厚优质方管焊接而成，踩踏板采用1.0mm优质钢板压制而成。7.铺板：采用15mm厚E1级热压胶合多层板。8.床屉与床头连接方式：采用无螺丝插库件连接。便于运输途中不变形，喷塑无死角。9.鞋架：20mm*20mm*1.0mm方管焊接而成。10.床底柜:滑轮抽拉式底柜，带手扣厚度0.4-0.6mm冷轧钢板折弯焊接组装成型。11.喷涂工艺：所有钢件均通过高速抛丸机抛钢丸除锈后经酸洗除锈，碱洗除油，磷化烘干等工艺，利用流水线做静电粉末喷涂，色泽均匀一致，附着力强，耐冲击能力强。含柜子。</w:t>
            </w:r>
          </w:p>
        </w:tc>
        <w:tc>
          <w:tcPr>
            <w:tcW w:w="757" w:type="dxa"/>
          </w:tcPr>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eastAsiaTheme="minorEastAsia"/>
                <w:color w:val="auto"/>
                <w:vertAlign w:val="baseline"/>
                <w:lang w:eastAsia="zh-CN"/>
              </w:rPr>
            </w:pPr>
            <w:r>
              <w:rPr>
                <w:rFonts w:hint="eastAsia"/>
                <w:color w:val="auto"/>
                <w:vertAlign w:val="baseline"/>
                <w:lang w:eastAsia="zh-CN"/>
              </w:rPr>
              <w:t>套</w:t>
            </w:r>
          </w:p>
        </w:tc>
        <w:tc>
          <w:tcPr>
            <w:tcW w:w="720" w:type="dxa"/>
          </w:tcPr>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default" w:eastAsiaTheme="minorEastAsia"/>
                <w:color w:val="auto"/>
                <w:vertAlign w:val="baseline"/>
                <w:lang w:val="en-US" w:eastAsia="zh-CN"/>
              </w:rPr>
            </w:pPr>
            <w:r>
              <w:rPr>
                <w:rFonts w:hint="eastAsia"/>
                <w:color w:val="auto"/>
                <w:vertAlign w:val="baseline"/>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756" w:type="dxa"/>
          </w:tcPr>
          <w:p>
            <w:pPr>
              <w:ind w:left="0" w:leftChars="0"/>
              <w:jc w:val="center"/>
              <w:rPr>
                <w:rFonts w:hint="eastAsia"/>
                <w:color w:val="auto"/>
                <w:vertAlign w:val="baseline"/>
                <w:lang w:val="en-US" w:eastAsia="zh-CN"/>
              </w:rPr>
            </w:pPr>
          </w:p>
          <w:p>
            <w:pPr>
              <w:ind w:left="0" w:leftChars="0"/>
              <w:jc w:val="center"/>
              <w:rPr>
                <w:rFonts w:hint="default"/>
                <w:color w:val="auto"/>
                <w:vertAlign w:val="baseline"/>
                <w:lang w:val="en-US" w:eastAsia="zh-CN"/>
              </w:rPr>
            </w:pPr>
            <w:r>
              <w:rPr>
                <w:rFonts w:hint="eastAsia"/>
                <w:color w:val="auto"/>
                <w:vertAlign w:val="baseline"/>
                <w:lang w:val="en-US" w:eastAsia="zh-CN"/>
              </w:rPr>
              <w:t>4</w:t>
            </w:r>
          </w:p>
        </w:tc>
        <w:tc>
          <w:tcPr>
            <w:tcW w:w="845" w:type="dxa"/>
          </w:tcPr>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r>
              <w:rPr>
                <w:rFonts w:hint="eastAsia"/>
                <w:color w:val="auto"/>
                <w:vertAlign w:val="baseline"/>
                <w:lang w:eastAsia="zh-CN"/>
              </w:rPr>
              <w:t>教师床</w:t>
            </w:r>
          </w:p>
        </w:tc>
        <w:tc>
          <w:tcPr>
            <w:tcW w:w="6877" w:type="dxa"/>
          </w:tcPr>
          <w:p>
            <w:pPr>
              <w:ind w:left="0" w:leftChars="0"/>
              <w:jc w:val="left"/>
              <w:rPr>
                <w:rFonts w:hint="eastAsia"/>
                <w:color w:val="auto"/>
                <w:vertAlign w:val="baseline"/>
              </w:rPr>
            </w:pPr>
            <w:r>
              <w:rPr>
                <w:rFonts w:hint="eastAsia"/>
                <w:color w:val="auto"/>
                <w:vertAlign w:val="baseline"/>
              </w:rPr>
              <w:t>尺寸（长*宽*高）≥1.9*1.5*1m。材质，杉木。含床垫、床头柜</w:t>
            </w:r>
          </w:p>
        </w:tc>
        <w:tc>
          <w:tcPr>
            <w:tcW w:w="757" w:type="dxa"/>
          </w:tcPr>
          <w:p>
            <w:pPr>
              <w:ind w:left="0" w:leftChars="0"/>
              <w:jc w:val="center"/>
              <w:rPr>
                <w:rFonts w:hint="eastAsia"/>
                <w:color w:val="auto"/>
                <w:vertAlign w:val="baseline"/>
                <w:lang w:eastAsia="zh-CN"/>
              </w:rPr>
            </w:pPr>
          </w:p>
          <w:p>
            <w:pPr>
              <w:ind w:left="0" w:leftChars="0"/>
              <w:jc w:val="center"/>
              <w:rPr>
                <w:rFonts w:hint="eastAsia" w:eastAsiaTheme="minorEastAsia"/>
                <w:color w:val="auto"/>
                <w:vertAlign w:val="baseline"/>
                <w:lang w:eastAsia="zh-CN"/>
              </w:rPr>
            </w:pPr>
            <w:r>
              <w:rPr>
                <w:rFonts w:hint="eastAsia"/>
                <w:color w:val="auto"/>
                <w:vertAlign w:val="baseline"/>
                <w:lang w:eastAsia="zh-CN"/>
              </w:rPr>
              <w:t>张</w:t>
            </w:r>
          </w:p>
        </w:tc>
        <w:tc>
          <w:tcPr>
            <w:tcW w:w="720" w:type="dxa"/>
          </w:tcPr>
          <w:p>
            <w:pPr>
              <w:ind w:left="0" w:leftChars="0"/>
              <w:jc w:val="center"/>
              <w:rPr>
                <w:rFonts w:hint="eastAsia"/>
                <w:color w:val="auto"/>
                <w:vertAlign w:val="baseline"/>
                <w:lang w:val="en-US" w:eastAsia="zh-CN"/>
              </w:rPr>
            </w:pPr>
          </w:p>
          <w:p>
            <w:pPr>
              <w:ind w:left="0" w:leftChars="0"/>
              <w:jc w:val="center"/>
              <w:rPr>
                <w:rFonts w:hint="default" w:eastAsiaTheme="minorEastAsia"/>
                <w:color w:val="auto"/>
                <w:vertAlign w:val="baseline"/>
                <w:lang w:val="en-US" w:eastAsia="zh-CN"/>
              </w:rPr>
            </w:pPr>
            <w:r>
              <w:rPr>
                <w:rFonts w:hint="eastAsia"/>
                <w:color w:val="auto"/>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756" w:type="dxa"/>
          </w:tcPr>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default"/>
                <w:color w:val="auto"/>
                <w:vertAlign w:val="baseline"/>
                <w:lang w:val="en-US" w:eastAsia="zh-CN"/>
              </w:rPr>
            </w:pPr>
            <w:r>
              <w:rPr>
                <w:rFonts w:hint="eastAsia"/>
                <w:color w:val="auto"/>
                <w:vertAlign w:val="baseline"/>
                <w:lang w:val="en-US" w:eastAsia="zh-CN"/>
              </w:rPr>
              <w:t>5</w:t>
            </w:r>
          </w:p>
        </w:tc>
        <w:tc>
          <w:tcPr>
            <w:tcW w:w="845" w:type="dxa"/>
          </w:tcPr>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r>
              <w:rPr>
                <w:rFonts w:hint="eastAsia"/>
                <w:color w:val="auto"/>
                <w:vertAlign w:val="baseline"/>
                <w:lang w:eastAsia="zh-CN"/>
              </w:rPr>
              <w:t>办公桌、椅</w:t>
            </w:r>
          </w:p>
        </w:tc>
        <w:tc>
          <w:tcPr>
            <w:tcW w:w="6877" w:type="dxa"/>
          </w:tcPr>
          <w:p>
            <w:pPr>
              <w:ind w:left="0" w:leftChars="0"/>
              <w:jc w:val="left"/>
              <w:rPr>
                <w:rFonts w:hint="eastAsia"/>
                <w:color w:val="auto"/>
                <w:vertAlign w:val="baseline"/>
              </w:rPr>
            </w:pPr>
            <w:r>
              <w:rPr>
                <w:rFonts w:hint="eastAsia"/>
                <w:color w:val="auto"/>
                <w:vertAlign w:val="baseline"/>
              </w:rPr>
              <w:t>1. 组合式办公桌：尺寸1400*1500*1100；台面采用绿色环保材料，不变形，具防火、耐磨、耐划痕。</w:t>
            </w:r>
          </w:p>
          <w:p>
            <w:pPr>
              <w:ind w:left="0" w:leftChars="0"/>
              <w:jc w:val="left"/>
              <w:rPr>
                <w:rFonts w:hint="eastAsia"/>
                <w:color w:val="auto"/>
                <w:vertAlign w:val="baseline"/>
              </w:rPr>
            </w:pPr>
            <w:r>
              <w:rPr>
                <w:rFonts w:hint="eastAsia"/>
                <w:color w:val="auto"/>
                <w:vertAlign w:val="baseline"/>
              </w:rPr>
              <w:t>2. 可移动办公椅：尺寸：490*490*110；网布采用高级双层网；座布采用高级弹力网布；轮子采用静音PA轮。</w:t>
            </w:r>
          </w:p>
        </w:tc>
        <w:tc>
          <w:tcPr>
            <w:tcW w:w="757" w:type="dxa"/>
          </w:tcPr>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eastAsiaTheme="minorEastAsia"/>
                <w:color w:val="auto"/>
                <w:vertAlign w:val="baseline"/>
                <w:lang w:eastAsia="zh-CN"/>
              </w:rPr>
            </w:pPr>
            <w:r>
              <w:rPr>
                <w:rFonts w:hint="eastAsia"/>
                <w:color w:val="auto"/>
                <w:vertAlign w:val="baseline"/>
                <w:lang w:eastAsia="zh-CN"/>
              </w:rPr>
              <w:t>张</w:t>
            </w:r>
          </w:p>
        </w:tc>
        <w:tc>
          <w:tcPr>
            <w:tcW w:w="720" w:type="dxa"/>
          </w:tcPr>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default" w:eastAsiaTheme="minorEastAsia"/>
                <w:color w:val="auto"/>
                <w:vertAlign w:val="baseline"/>
                <w:lang w:val="en-US" w:eastAsia="zh-CN"/>
              </w:rPr>
            </w:pPr>
            <w:r>
              <w:rPr>
                <w:rFonts w:hint="eastAsia"/>
                <w:color w:val="auto"/>
                <w:vertAlign w:val="baseline"/>
                <w:lang w:val="en-US" w:eastAsia="zh-CN"/>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756" w:type="dxa"/>
          </w:tcPr>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default"/>
                <w:color w:val="auto"/>
                <w:vertAlign w:val="baseline"/>
                <w:lang w:val="en-US" w:eastAsia="zh-CN"/>
              </w:rPr>
            </w:pPr>
            <w:r>
              <w:rPr>
                <w:rFonts w:hint="eastAsia"/>
                <w:color w:val="auto"/>
                <w:vertAlign w:val="baseline"/>
                <w:lang w:val="en-US" w:eastAsia="zh-CN"/>
              </w:rPr>
              <w:t>6</w:t>
            </w:r>
          </w:p>
        </w:tc>
        <w:tc>
          <w:tcPr>
            <w:tcW w:w="845" w:type="dxa"/>
          </w:tcPr>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r>
              <w:rPr>
                <w:rFonts w:hint="eastAsia"/>
                <w:color w:val="auto"/>
                <w:vertAlign w:val="baseline"/>
                <w:lang w:eastAsia="zh-CN"/>
              </w:rPr>
              <w:t>讲台</w:t>
            </w:r>
          </w:p>
        </w:tc>
        <w:tc>
          <w:tcPr>
            <w:tcW w:w="6877" w:type="dxa"/>
          </w:tcPr>
          <w:p>
            <w:pPr>
              <w:ind w:left="0" w:leftChars="0"/>
              <w:jc w:val="left"/>
              <w:rPr>
                <w:rFonts w:hint="eastAsia"/>
                <w:color w:val="auto"/>
                <w:vertAlign w:val="baseline"/>
              </w:rPr>
            </w:pPr>
            <w:r>
              <w:rPr>
                <w:rFonts w:hint="eastAsia"/>
                <w:color w:val="auto"/>
                <w:vertAlign w:val="baseline"/>
              </w:rPr>
              <w:t>产品尺寸：1000mm*500mm*1000mm</w:t>
            </w:r>
          </w:p>
          <w:p>
            <w:pPr>
              <w:ind w:left="0" w:leftChars="0"/>
              <w:jc w:val="left"/>
              <w:rPr>
                <w:rFonts w:hint="eastAsia"/>
                <w:color w:val="auto"/>
                <w:vertAlign w:val="baseline"/>
              </w:rPr>
            </w:pPr>
            <w:r>
              <w:rPr>
                <w:rFonts w:hint="eastAsia"/>
                <w:color w:val="auto"/>
                <w:vertAlign w:val="baseline"/>
              </w:rPr>
              <w:t>产品材质：</w:t>
            </w:r>
          </w:p>
          <w:p>
            <w:pPr>
              <w:ind w:left="0" w:leftChars="0"/>
              <w:jc w:val="left"/>
              <w:rPr>
                <w:rFonts w:hint="eastAsia"/>
                <w:color w:val="auto"/>
                <w:vertAlign w:val="baseline"/>
              </w:rPr>
            </w:pPr>
            <w:r>
              <w:rPr>
                <w:rFonts w:hint="eastAsia"/>
                <w:color w:val="auto"/>
                <w:vertAlign w:val="baseline"/>
              </w:rPr>
              <w:t>1、桌面：采用优质三聚氰胺板制作，环保要求 达到 E1 级标准，基材使用≥ 17mm 厚优质刨花板，板材 平整度好，板材表面硬度高、 耐磨、耐刮、耐酸碱、阻燃等性能好；</w:t>
            </w:r>
          </w:p>
          <w:p>
            <w:pPr>
              <w:ind w:left="0" w:leftChars="0"/>
              <w:jc w:val="left"/>
              <w:rPr>
                <w:rFonts w:hint="eastAsia"/>
                <w:color w:val="auto"/>
                <w:vertAlign w:val="baseline"/>
              </w:rPr>
            </w:pPr>
            <w:r>
              <w:rPr>
                <w:rFonts w:hint="eastAsia"/>
                <w:color w:val="auto"/>
                <w:vertAlign w:val="baseline"/>
              </w:rPr>
              <w:t>2、桌体：通体采用优质冷轧钢板精工制做，表面采用先进的静电喷塑工艺涂装，表面光洁度达 90% 以上； 下部用09mm冷板压型，骨架用≥20x20x1.35mm方管.所有金属件外均经过严格的九工处理，经打 磨、抛光、除油、除锈、除蜡、磷化、清洗、 静电喷涂、高温烤焗等工艺处理，涂层外观；</w:t>
            </w:r>
          </w:p>
          <w:p>
            <w:pPr>
              <w:ind w:left="0" w:leftChars="0"/>
              <w:jc w:val="left"/>
              <w:rPr>
                <w:rFonts w:hint="eastAsia"/>
                <w:color w:val="auto"/>
                <w:vertAlign w:val="baseline"/>
              </w:rPr>
            </w:pPr>
            <w:r>
              <w:rPr>
                <w:rFonts w:hint="eastAsia"/>
                <w:color w:val="auto"/>
                <w:vertAlign w:val="baseline"/>
              </w:rPr>
              <w:t>3、涂层附着力及涂层冲击强度：符合 国家相关要求」</w:t>
            </w:r>
          </w:p>
        </w:tc>
        <w:tc>
          <w:tcPr>
            <w:tcW w:w="757" w:type="dxa"/>
          </w:tcPr>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color w:val="auto"/>
                <w:vertAlign w:val="baseline"/>
                <w:lang w:eastAsia="zh-CN"/>
              </w:rPr>
            </w:pPr>
          </w:p>
          <w:p>
            <w:pPr>
              <w:ind w:left="0" w:leftChars="0"/>
              <w:jc w:val="center"/>
              <w:rPr>
                <w:rFonts w:hint="eastAsia" w:eastAsiaTheme="minorEastAsia"/>
                <w:color w:val="auto"/>
                <w:vertAlign w:val="baseline"/>
                <w:lang w:eastAsia="zh-CN"/>
              </w:rPr>
            </w:pPr>
            <w:r>
              <w:rPr>
                <w:rFonts w:hint="eastAsia"/>
                <w:color w:val="auto"/>
                <w:vertAlign w:val="baseline"/>
                <w:lang w:eastAsia="zh-CN"/>
              </w:rPr>
              <w:t>张</w:t>
            </w:r>
          </w:p>
        </w:tc>
        <w:tc>
          <w:tcPr>
            <w:tcW w:w="720" w:type="dxa"/>
          </w:tcPr>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eastAsia"/>
                <w:color w:val="auto"/>
                <w:vertAlign w:val="baseline"/>
                <w:lang w:val="en-US" w:eastAsia="zh-CN"/>
              </w:rPr>
            </w:pPr>
          </w:p>
          <w:p>
            <w:pPr>
              <w:ind w:left="0" w:leftChars="0"/>
              <w:jc w:val="center"/>
              <w:rPr>
                <w:rFonts w:hint="default" w:eastAsiaTheme="minorEastAsia"/>
                <w:color w:val="auto"/>
                <w:vertAlign w:val="baseline"/>
                <w:lang w:val="en-US" w:eastAsia="zh-CN"/>
              </w:rPr>
            </w:pPr>
            <w:r>
              <w:rPr>
                <w:rFonts w:hint="eastAsia"/>
                <w:color w:val="auto"/>
                <w:vertAlign w:val="baseline"/>
                <w:lang w:val="en-US" w:eastAsia="zh-CN"/>
              </w:rPr>
              <w:t>60</w:t>
            </w:r>
          </w:p>
        </w:tc>
      </w:tr>
    </w:tbl>
    <w:tbl>
      <w:tblPr>
        <w:tblStyle w:val="28"/>
        <w:tblpPr w:leftFromText="180" w:rightFromText="180" w:vertAnchor="text" w:horzAnchor="page" w:tblpX="1082" w:tblpY="663"/>
        <w:tblOverlap w:val="never"/>
        <w:tblW w:w="99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9"/>
        <w:gridCol w:w="1237"/>
        <w:gridCol w:w="6508"/>
        <w:gridCol w:w="775"/>
        <w:gridCol w:w="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9942"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厨房配套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4"/>
                <w:szCs w:val="24"/>
                <w:u w:val="none"/>
                <w:shd w:val="clear" w:color="auto" w:fill="auto"/>
              </w:rPr>
            </w:pPr>
            <w:r>
              <w:rPr>
                <w:rFonts w:hint="eastAsia" w:ascii="宋体" w:hAnsi="宋体" w:eastAsia="宋体" w:cs="宋体"/>
                <w:b w:val="0"/>
                <w:bCs w:val="0"/>
                <w:i w:val="0"/>
                <w:iCs w:val="0"/>
                <w:color w:val="auto"/>
                <w:kern w:val="0"/>
                <w:sz w:val="24"/>
                <w:szCs w:val="24"/>
                <w:u w:val="none"/>
                <w:shd w:val="clear" w:color="auto" w:fill="auto"/>
                <w:lang w:val="en-US" w:eastAsia="zh-CN" w:bidi="ar"/>
              </w:rPr>
              <w:t>序号</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4"/>
                <w:szCs w:val="24"/>
                <w:u w:val="none"/>
                <w:shd w:val="clear" w:color="auto" w:fill="auto"/>
              </w:rPr>
            </w:pPr>
            <w:r>
              <w:rPr>
                <w:rFonts w:hint="eastAsia" w:ascii="宋体" w:hAnsi="宋体" w:eastAsia="宋体" w:cs="宋体"/>
                <w:b w:val="0"/>
                <w:bCs w:val="0"/>
                <w:i w:val="0"/>
                <w:iCs w:val="0"/>
                <w:color w:val="auto"/>
                <w:kern w:val="0"/>
                <w:sz w:val="24"/>
                <w:szCs w:val="24"/>
                <w:u w:val="none"/>
                <w:shd w:val="clear" w:color="auto" w:fill="auto"/>
                <w:lang w:val="en-US" w:eastAsia="zh-CN" w:bidi="ar"/>
              </w:rPr>
              <w:t>设备名称</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4"/>
                <w:szCs w:val="24"/>
                <w:u w:val="none"/>
                <w:shd w:val="clear" w:color="auto" w:fill="auto"/>
              </w:rPr>
            </w:pPr>
            <w:r>
              <w:rPr>
                <w:rFonts w:hint="eastAsia" w:ascii="宋体" w:hAnsi="宋体" w:eastAsia="宋体" w:cs="宋体"/>
                <w:b w:val="0"/>
                <w:bCs w:val="0"/>
                <w:i w:val="0"/>
                <w:iCs w:val="0"/>
                <w:color w:val="auto"/>
                <w:kern w:val="0"/>
                <w:sz w:val="24"/>
                <w:szCs w:val="24"/>
                <w:u w:val="none"/>
                <w:shd w:val="clear" w:color="auto" w:fill="auto"/>
                <w:lang w:val="en-US" w:eastAsia="zh-CN" w:bidi="ar"/>
              </w:rPr>
              <w:t>规格型号</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4"/>
                <w:szCs w:val="24"/>
                <w:u w:val="none"/>
                <w:shd w:val="clear" w:color="auto" w:fill="auto"/>
              </w:rPr>
            </w:pPr>
            <w:r>
              <w:rPr>
                <w:rFonts w:hint="eastAsia" w:ascii="宋体" w:hAnsi="宋体" w:eastAsia="宋体" w:cs="宋体"/>
                <w:b w:val="0"/>
                <w:bCs w:val="0"/>
                <w:i w:val="0"/>
                <w:iCs w:val="0"/>
                <w:color w:val="auto"/>
                <w:kern w:val="0"/>
                <w:sz w:val="24"/>
                <w:szCs w:val="24"/>
                <w:u w:val="none"/>
                <w:shd w:val="clear" w:color="auto" w:fill="auto"/>
                <w:lang w:val="en-US" w:eastAsia="zh-CN" w:bidi="ar"/>
              </w:rPr>
              <w:t>数量</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4"/>
                <w:szCs w:val="24"/>
                <w:u w:val="none"/>
                <w:shd w:val="clear" w:color="auto" w:fill="auto"/>
              </w:rPr>
            </w:pPr>
            <w:r>
              <w:rPr>
                <w:rFonts w:hint="eastAsia" w:ascii="宋体" w:hAnsi="宋体" w:eastAsia="宋体" w:cs="宋体"/>
                <w:b w:val="0"/>
                <w:bCs w:val="0"/>
                <w:i w:val="0"/>
                <w:iCs w:val="0"/>
                <w:color w:val="auto"/>
                <w:kern w:val="0"/>
                <w:sz w:val="24"/>
                <w:szCs w:val="24"/>
                <w:u w:val="none"/>
                <w:shd w:val="clear" w:color="auto" w:fill="auto"/>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12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四层平板货架</w:t>
            </w:r>
          </w:p>
        </w:tc>
        <w:tc>
          <w:tcPr>
            <w:tcW w:w="65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1200×500×1600用料：食品级201不锈钢板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板材：横格支撑及层板不锈钢板材1.2mm，立柱Φ43×1.2mm圆管焊接制造，全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不锈钢调节腿。</w:t>
            </w:r>
          </w:p>
        </w:tc>
        <w:tc>
          <w:tcPr>
            <w:tcW w:w="7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2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1237"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双门保鲜柜</w:t>
            </w:r>
          </w:p>
        </w:tc>
        <w:tc>
          <w:tcPr>
            <w:tcW w:w="650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1300*700*1900容量：1.0m³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电量:220V/480W   自动控温， 用料：优质食品级201不锈钢板，柜门配有不锈钢门铰、门锁及磁力胶边，雪柜内冷凝铜管Ф8mm，保温材料用胺脂发泡，注塑一次成型,中国名牌万盛压缩机，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温度： 进口压塑机 冷藏5～-5℃，</w:t>
            </w:r>
          </w:p>
        </w:tc>
        <w:tc>
          <w:tcPr>
            <w:tcW w:w="77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23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地架</w:t>
            </w:r>
          </w:p>
        </w:tc>
        <w:tc>
          <w:tcPr>
            <w:tcW w:w="6508"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1200*600*300用料：食品级201不锈钢板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板材：横格支撑及层板不锈钢板材1.2mm，立柱Φ43×1.2mm方管焊接制造，</w:t>
            </w:r>
          </w:p>
        </w:tc>
        <w:tc>
          <w:tcPr>
            <w:tcW w:w="7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平板车</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950*600*850用料：优质食品级201不锈钢板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 车体通体采用1.2mm不锈钢板；高密度板沾合而成，5寸低噪音橡胶脚轮，把手采用5cm钢管焊接制造。</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四门高身冰柜</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1230×750×1900容量：1.0m³</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电量:220V/480W   自动控温，用料：优质食品级201不锈钢板，柜门配有不锈钢门铰、门锁及磁力胶边，雪柜内冷凝铜管Ф8mm，保温材料用胺脂发泡，注塑一次成型,中国名牌万盛压缩机，</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温度： 进口压塑机 冷藏0～+10℃，冷冻-1--18度。</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绞切肉机</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400#用料：采用优质不锈钢制造，电压22V，功率，1.5千瓦。中国银鹰牌</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双通工作台</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1800×800×800用料：食品级201不锈钢板，有加强筋，面板，层板为1.2mm厚不锈钢板，支架、通脚Ф50×1.2mm不锈钢，高密度板采用2CM厚，焊接制造。下带四个Ф50mm可调子弹脚不锈钢。</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双层平板工作台</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1800×800×800用料：食品级201不锈钢板，有加强筋，面板，层板为1.2mm厚不锈钢板，支架、通脚Ф50×1.2mm不锈钢，高密度板采用2CM厚，焊接制造。下带四个Ф50mm可调子弹脚不锈钢。</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大双星水池</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1500×700×800用料：食品级201不锈钢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板材：台面及后背板1.2mm，槽体1.0mm,立柱Φ43×1.2mm. 下带四个Ф43mm可调不锈钢子弹脚，脚横撑φ30×1.2mm焊接制造，不锈钢下水口。</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不锈钢土豆去皮机</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用料：不锈钢板配用动力Y90S-4  3kw  380v功率：3kw，电压：220v-50HZ 防水等级IPX1 生产能力240Kg/h  传动轴转速260r/min  机器重量155KG</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不锈钢多功能切菜机</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用料：不锈钢板 多功能型，适用于各种类型蔬菜，功率：3kw   自身重量 220（kg），电压：380v-50HZ</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刀，墩子架</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1500*600*800采用不锈钢焊接制造，标准可放10把刀与8个菜墩，也可订制。</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12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储物柜</w:t>
            </w:r>
          </w:p>
        </w:tc>
        <w:tc>
          <w:tcPr>
            <w:tcW w:w="65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1200×500×1800用料：食品级201不锈钢板，有加强筋，面板，层板为1.2mm厚不锈钢板，支架、通脚Ф50×1.2mm不锈钢，高密度板采用2CM厚，焊接制造。下带四个Ф50mm可调子弹脚不锈钢。</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72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1237"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燃气大锅灶</w:t>
            </w:r>
          </w:p>
        </w:tc>
        <w:tc>
          <w:tcPr>
            <w:tcW w:w="650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1350×1350×850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大锅直径1.1米，带大锅，用料：食品级201不锈钢板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 炉台面厚度1.2mm,一次冲压成型，炉身、背板、前板为1.0mm；灶面不锈钢下加硅酸铝保温耐火材料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 炉体骨架40×40×4mm的角铁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 黑铁炉膛结构3mm的铁板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 炉通脚Ф50mm无缝不锈钢管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 炉通脚含支承炉身的钢柱及可调炉身的高度的不锈钢子弹脚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 炉膛内采用高级耐火棉隔热及耐火砖砌结火位</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7.采用优质高身炉头，永强铜芯线风机。</w:t>
            </w:r>
          </w:p>
        </w:tc>
        <w:tc>
          <w:tcPr>
            <w:tcW w:w="7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123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拼台</w:t>
            </w:r>
          </w:p>
        </w:tc>
        <w:tc>
          <w:tcPr>
            <w:tcW w:w="6508"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500×1150×1150用料：食品级201不锈钢板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板材：横格支撑及层板不锈钢板材1.2mm，立柱Φ43×1.2mm圆管焊接制造，全不锈钢调节腿。</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双炒一温燃气灶</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2000×1000×800</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带电子打火装置，用料：食品级201不锈钢板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1.炉台面厚度1.2mm,一次冲压成型，炉身、背板、前板为1.0mm；灶面不锈钢下加硅酸铝保温耐火材料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2.炉体骨架40×40×4mm的角铁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3.黑铁炉膛结构3mm的铁板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4.炉通脚Ф50mm无缝不锈钢管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5.炉通脚含支承炉身的钢柱及可调炉身的高度的不锈钢子弹脚</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6.炉膛内采用高级耐火棉隔热及耐火砖砌结火位</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7.采用优质高身炉头，永强铜芯线风机。</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12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留样柜</w:t>
            </w:r>
          </w:p>
        </w:tc>
        <w:tc>
          <w:tcPr>
            <w:tcW w:w="65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700*700*1900电量:220V/200W   自动控温，                           用料：优质不锈钢板制造，柜门配有不锈钢门铰、门锁及磁力胶边，雪柜内冷凝铜管Ф8mm，保温材料用胺脂发泡，注塑一次成型,中国名牌万盛压缩机，温度： 进口压塑机 冷藏0～+10℃，</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72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1237"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油网排烟罩</w:t>
            </w:r>
          </w:p>
        </w:tc>
        <w:tc>
          <w:tcPr>
            <w:tcW w:w="6508"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按实际用量计算，用料：食品级201不锈钢板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板材：罩体为1.2mm厚不锈钢板制作，油烟分离式，带接油盒，油网角度为35度至45度，配优质防爆灯，顶部配有分离油装置。安实际用量计算，负责安装调试。</w:t>
            </w:r>
          </w:p>
        </w:tc>
        <w:tc>
          <w:tcPr>
            <w:tcW w:w="77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123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全自动开水器</w:t>
            </w:r>
          </w:p>
        </w:tc>
        <w:tc>
          <w:tcPr>
            <w:tcW w:w="650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150升，带底座采用304不锈钢板，三相电源，面1.2mm，门板1.0mm，侧板、底板、层板1.0mm，加强筋1.0的钢板，配吊式移门，双移门采用滑悬挂轮双向推拉门（柜门下部便于清洗），台面下用20mm密度板起加强减震作用，柜内中间带一可移动层板，Ф50可调不锈钢重力脚</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12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双门燃气蒸车</w:t>
            </w:r>
          </w:p>
        </w:tc>
        <w:tc>
          <w:tcPr>
            <w:tcW w:w="65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24盘，配2斤钢蒸饭盘，用料：食品级201不锈钢板，带电子打火，漏气断电保护装置。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板材：外层1.0mm，内层钢板及托盘架0.8mm不锈钢板材，柜体骨架为聚氨酯一次整体发泡，蒸饭盒0.8mm不锈钢板，蒸箱门采用聚脂发泡，手柄全部采用不锈钢材料，螺丝、铆钉采用不锈钢材料。</w:t>
            </w:r>
          </w:p>
        </w:tc>
        <w:tc>
          <w:tcPr>
            <w:tcW w:w="7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1237"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不锈钢电饼铛</w:t>
            </w:r>
          </w:p>
        </w:tc>
        <w:tc>
          <w:tcPr>
            <w:tcW w:w="650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定型，电压：380V，自动控温，</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功率：4.5KW，不锈钢制造，采用节能电子控制盘控制，中国名牌兴都</w:t>
            </w:r>
          </w:p>
        </w:tc>
        <w:tc>
          <w:tcPr>
            <w:tcW w:w="77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123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面案工作台</w:t>
            </w:r>
          </w:p>
        </w:tc>
        <w:tc>
          <w:tcPr>
            <w:tcW w:w="650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1800×800×800，用料：食品级201不锈钢板，有加强筋，面板采用柳木板厚度50MM，层板为1.2mm厚不锈钢板，通脚Ф50×1.2mm不锈钢，焊接制造。下带四个Ф50mm可调子弹脚不锈钢。</w:t>
            </w:r>
          </w:p>
        </w:tc>
        <w:tc>
          <w:tcPr>
            <w:tcW w:w="7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盘架车</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12层，用料：食品级201不锈钢板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板材：横格支撑及层板不锈钢板材1.2mm，立柱43×43</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厚度1.2mm钢管管焊接制造，</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低噪音橡胶脚轮。</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不锈钢和面机</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50kg，不锈钢制造，主架为铸铁制造，铜芯线电机，和面量：50kg/次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功率：3.8KW</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电压：380V ，中国名牌银鹰牌</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不锈钢压面机</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50#，不锈钢外壳制造，主架为铸铁制造，铜芯线电机，工作量：500kg/h</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功率：1.5KW，电压：380V ，中国名牌银鹰牌</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不锈钢馒头机</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65-2#，不锈钢制造，主架为钢制造，铜芯线电机，工作量：3600/分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中，功率：3.8KW，电压：380V ，中国名牌银鹰牌</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不锈钢醒发箱</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双门，用料：不锈钢板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板材：外层0.8mm，内层钢板及托盘架0.8mm不锈钢板材，防锈处理，箱门采用聚脂发泡填充，密度到位，在人字形顶部开4个分气孔，手柄全部采用不锈钢材料，螺丝、铆钉采用不锈钢材料。防干烧，功率，4千瓦，电压，220v</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不锈钢燃气稀饭锅</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400升，用料：全部采用优质201工业板，厚度3mm,焊接制造，采用节能盘管式灶体，保用3年，每小时用气量8立方。</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风机启动箱</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功率15KW,避免电动机起动时过大的起动电流对供电线路影响，并且对风机电动机起到短路、缺相、过载、失压等保护作用。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光波热风循环消毒柜</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1350*700*1950，电压：220V</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功率：5KW，自动控温，定时装置，</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全刚聚氨酯发泡，一次成型体制作，采用热风循环，最高温度达到150℃，更好的起到杀菌消毒的作用，配8个不锈钢大筐。</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123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碗碟柜</w:t>
            </w:r>
          </w:p>
        </w:tc>
        <w:tc>
          <w:tcPr>
            <w:tcW w:w="650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1200×500×1800，用料：食品级201不锈钢板，有加强筋，面板，层板为1.2mm厚不锈钢板，支架、通脚Ф50×1.2mm不锈钢，高密度板采用2CM厚，焊接制造。下带四个Ф50mm可调子弹脚不锈钢。</w:t>
            </w:r>
          </w:p>
        </w:tc>
        <w:tc>
          <w:tcPr>
            <w:tcW w:w="7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72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1237"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长龙式洗碗机</w:t>
            </w:r>
          </w:p>
        </w:tc>
        <w:tc>
          <w:tcPr>
            <w:tcW w:w="650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4000型，长龙自动一体机，具有国家生产许可证，确保产品质量。</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规格3800*1000*1850mm，洗涤量：3500--4500碗蝶/小时,高压冲洗部分功率20.5kw,高温净洗部分功率30kw,洗碗机总功率，51kw/小时,电压：380v,需要电缆线25平方（三项五线制）。开关：装带漏电保护器开关不低于150A。所清洗消毒后的餐具符合GB/T5750.11-2006及GB/T5750.4-2006标准，不得检出游离性余氯及阴离子合成洗涤剂（以十二烷基苯磺酸钠计），并提供检测报告。、所清洗消毒后的餐具不得检出大肠杆菌、沙门氏菌、金黄色葡萄球菌，并提供检测报告。</w:t>
            </w:r>
          </w:p>
        </w:tc>
        <w:tc>
          <w:tcPr>
            <w:tcW w:w="77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9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123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双层售饭台</w:t>
            </w:r>
          </w:p>
        </w:tc>
        <w:tc>
          <w:tcPr>
            <w:tcW w:w="650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1800*700*800，用料：食品级201不锈钢板，有加强筋，面板，层板为1.2mm厚不锈钢板，支架、通脚Ф50×1.2mm不锈钢，高密度板采用2CM厚，焊接制造。下带四个Ф50mm可调子弹脚不锈钢。</w:t>
            </w:r>
          </w:p>
        </w:tc>
        <w:tc>
          <w:tcPr>
            <w:tcW w:w="7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收残车</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1000*550*1000斗深550公分，用料：优质食品级201不锈钢板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1. 车体通体采用1.2mm不锈钢板；高密度板沾合而成，6寸低噪音橡胶脚轮，把手采用5cm钢管焊接制造。</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双孔残食台柜</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1800×700×800，用料：食品级201不锈钢板</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面板采用1.2mm，残食口直径30CM。支架、通脚43*43×1.2mm不锈钢焊接包边豪华式制造，下带四个Ф43mm可调子弹脚不锈钢。</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学生洗手池</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2900×600×800，用料：食品级201不锈钢</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板材：台面及后背板1.2mm，槽体1.0mm,立柱Φ43×1.2mm. 下带四个Ф43mm可调不锈钢子弹脚，脚横撑φ30×1.2mm焊接制造，不锈钢下水口。</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镀锌板烟道，弯头，进出风口</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650*650*1000，根据实际用量计算，含镀锌板烟箱，管道，弯头，（其它辅助产品全部包含在内）。厚度1.0mm。负责安装调试。</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低音排风柜</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15千瓦，用料：外壳采用民用镀锌板厚度1.0mm,制造，铜芯电机，功率15千瓦，电压，380v。.配二次启动，缺相断电，过载保护装置。负责安装。中国名牌产品</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油烟净化器</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40000风量，用料：外壳采用民用镀锌板厚度1.0mm,，功率8千瓦，电压，220v.，高空油烟净化器，率不低于95%。中国名牌产品，负责安装调试。</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风机启动箱</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功率15KW,避免电动机起动时过大的起动电流对供电线路影响，并且对风机电动机起到短路、缺相、过载、失压等保护作用。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大小头</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材质厚度1.0mm镀锌板制作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防震垫</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天然胶制作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防火阀</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适用：排烟阀一般安装在排烟系统的风管上，平时常闭，发生火灾时烟感探头发出火警信号，控制中心给阀上电磁铁接通电信号使阀门迅速打开，也可人手动迅速打开阀门进行排烟。性能：手动可使阀门打开，手动复位。阀门动作后输出开启信号。根据用户要求可以与其它设备联锁。</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帆布接头</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采用帆布制作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净化器/风机支架</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采用4#槽钢制作，涂层防锈漆</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八人餐桌椅</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整体尺寸2000*1460*750采用优质不锈钢板焊接制造，主架50*50厚度1.3毫米喷塑方管，面板600*2000*300不锈钢面板，厚度0.6毫米，下层高密度板沾合而成。座面采用玻璃钢园座固定。需可折叠。</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冷热水龙头</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材质不锈钢</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快餐盘</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不锈钢汤碗</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不锈钢勺</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木质筷</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2500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斩墩架</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Φ500,采用SUS304   51*51*1.0mm不锈钢管制作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切菜刀</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材质：特种不锈钢，已经热处理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规格：刀长：30cm，刀厚 ：1.8cm，高长:9cm，重量约：400g</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斩骨刀</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1、适用斩切排骨、鸡、鹅、鸭等中、小类骨头食物</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2、斩切时宜直起直落，不可左右摇摆，以免损坏刃口</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3、刀体采用优质不锈钢制作，经特殊淬硬处理，刃口锋利、耐用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4、刀柄选用高强度ABS工程塑料，凤凰造型，人性化设计，符合人体工程学原理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5、整体造型简洁线条流畅，做工精细，手感舒适</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削皮刀</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1.该产品刀体采用优质不锈钢制作。刀柄选用高强度ABS工程塑料，人性化设计，符合人体工程学原理。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2.经特殊淬硬处理，刃口锋利、耐用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3.整体造型简洁，线条流畅，做工精细，手感舒适。宝贝优势，该产品刀柄选用高强度ABS工程塑料，根据人体工程学设计，手感舒适。刃口经过特殊的淬硬处理，锋利、耐用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聚酯切菜板</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无毒无味、轻便耐用、耐腐蚀、易清洁、韧性强等因素；成品多用在水产品加工和肉类食品的切割加工使用,厚度:2cm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斩肉墩</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砧板系列产品取材浑然天成，无补丁、粘贴、人工上色等掩盖菜板裂痕的行为。菜板纹理清晰、卫生耐用,厚度：5cm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大号铲刀</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中号铲刀</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不锈钢材质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12两菜勺</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10两菜勺</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6两菜勺</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不锈钢笊篱</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1.捞油渣，隔油渣,2.过滤豆浆。</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3.洗紫菜，洗虾米，过滤里面的沙子。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盐炒花生，瓜子，胡椒，花椒等，用来过滤里面的盐。5.冬天捞菜，避免手沾水，可以预防皮肤干燥，皲裂和冻疮的发生。6.捞馄饨。7.淘洗芝麻，过滤掉里面的小细沙和灰尘。8.做葡萄酒过滤里面的皮。9.泡药酒过滤里面的药渣</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塑料菜筐（新料）</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采用全新的HDPE高密度抗冲击聚乙稀一次性注塑而成，没有任何废料及石膏成份，光泽度高，手感好，使用周期长其优点：美观、质轻、防滑、防霉、抗冲击易冲洗不助燃,耐寒﹑耐热﹑耐磨耐压耐酸﹑耐碱﹑耐腐</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塑料垃圾桶中号（新料）</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采用高密度聚乙烯，按国际统一标准设计生产一次注塑成型。原料中，加入抗紫外线剂，不易褪色。产品无毒无味，无钉无刺，耐酸碱，防霉变，防潮，防蛀，无须修理，可循环利用。符合国际环卫设备发展趋势，具有抗强压，抗冲击，密封式存放、方便移动等特点</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铁锅</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营养：不破坏食物营养成分，肉质自然鲜美，原味不流失。健康：可减少煎、炒油脂摄入量，达到降脂、降糖之功效。环保：煎烧时极少有油烟，厨房更洁净，使用更环保。节能：导热速度快，储热性能好，非常节能。卫生：内外层采用特殊专利不锈钢材料，细菌不易滋生于表面，且易于清洗。适用：适用于各种灶具（如电磁炉、燃气灶等）</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铁锅</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营养：不破坏食物营养成分，肉质自然鲜美，原味不流失。健康：可减少煎、炒油脂摄入量，达到降脂、降糖之功效。环保：煎烧时极少有油烟，厨房更洁净，使用更环保。节能：导热速度快，储热性能好，非常节能。卫生：内外层采用特殊专利不锈钢材料，细菌不易滋生于表面，且易于清洗。适用：适用于各种灶具（如电磁炉、燃气灶等）</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不锈钢脸盆</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不锈钢制作,厚度：0.6mm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不锈钢脸盆</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不锈钢制作,厚度：0.6mm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不锈钢脸盆</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不锈钢制作,厚度：0.6mm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洗碗框</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1.镂空开放式的边筐设计,清洗方便,快速并完全晾干</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2.四边设有凹入手把,非常方便使用,不需转动杯筐寻找</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3.筐身双层设计,使杯筐更结实耐用</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4.独有的卡扣连接插梢,简易快速地连接扩展筐和底筐</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 表面的磨砂处理确保杯框在堆叠和搬运中不会刮花</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塑料周转箱</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高密度聚乙烯原料制成，耐酸、耐碱、耐腐蚀,耐压，耐用，耐冲击,无钉无刺，无毒无味，易冲洗消毒，不腐烂，不污染,经济，环保，便捷，卫生，安全,可回收等。质轻，平滑，使用寿命长，整体性能好，美观大方。桶身、箱口及底部特别加固，可相互套叠，方便运输，节省空间与费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不锈钢方盘</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不锈钢制作，,厚度：0.8mm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不锈钢汤桶</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广式水勺</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长柄水勺</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不锈钢材质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炒勺</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打汤勺</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漏勺</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宽边油隔</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饭勺</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洗米箩</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荷花夹</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铲刀头连木柄</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油钵</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不锈钢材质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刨刀</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不锈钢材质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鱼鳞刨</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不锈钢材质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三格刀箱</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肉锤</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水果刀</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调料罐</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保鲜盒</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1材料：玻璃的材质采用环保硼硅玻璃，不含不人体有伤害的成分2特点：PP盖子可通过国际认证的食品测试硅胶圈可通过国际认证的食品测试密封性好，锁扣盖的设计，美观大方3玻璃盒体，可在微波炉里使用</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塑料蔬菜筐</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材质：PP﹨PE(颜色：蓝、黄、绿、红，可按要求定做其它颜色)产品特点：本产品质轻、美观，耐磨抗冲击性能强，无异味易清洗消毒、经久耐用；箱体可烫金或丝印公司名称、LOGO标志等标识字体；适应温度－25℃～﹢80℃(请避免阳光曝晒及靠近热源)</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方筛</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材质：PE塑料</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质量可靠，坚固耐用，卫生，易清洁。周转、仓储、运输的好帮手。</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份数盒连盖</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不锈钢制作，厚度：1.0mm</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打蛋器</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不锈钢制作</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97</w:t>
            </w:r>
          </w:p>
        </w:tc>
        <w:tc>
          <w:tcPr>
            <w:tcW w:w="123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油石</w:t>
            </w:r>
          </w:p>
        </w:tc>
        <w:tc>
          <w:tcPr>
            <w:tcW w:w="6508" w:type="dxa"/>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0"/>
                <w:szCs w:val="20"/>
                <w:u w:val="none"/>
              </w:rPr>
            </w:pPr>
          </w:p>
        </w:tc>
        <w:tc>
          <w:tcPr>
            <w:tcW w:w="7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69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7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安装</w:t>
            </w:r>
          </w:p>
        </w:tc>
        <w:tc>
          <w:tcPr>
            <w:tcW w:w="6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吊装。电线，电缆。通风管道安装</w:t>
            </w:r>
          </w:p>
        </w:tc>
        <w:tc>
          <w:tcPr>
            <w:tcW w:w="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批</w:t>
            </w:r>
          </w:p>
        </w:tc>
      </w:tr>
    </w:tbl>
    <w:p>
      <w:pPr>
        <w:jc w:val="center"/>
        <w:rPr>
          <w:rFonts w:hint="eastAsia"/>
          <w:color w:val="auto"/>
        </w:rPr>
      </w:pPr>
    </w:p>
    <w:p>
      <w:pPr>
        <w:spacing w:line="240" w:lineRule="auto"/>
        <w:rPr>
          <w:rFonts w:hint="eastAsia"/>
          <w:b/>
          <w:bCs/>
          <w:color w:val="auto"/>
          <w:sz w:val="24"/>
          <w:szCs w:val="32"/>
          <w:highlight w:val="none"/>
          <w:lang w:val="en-US" w:eastAsia="zh-CN"/>
        </w:rPr>
      </w:pPr>
      <w:r>
        <w:rPr>
          <w:rFonts w:hint="eastAsia"/>
          <w:b/>
          <w:bCs/>
          <w:color w:val="auto"/>
          <w:sz w:val="24"/>
          <w:szCs w:val="32"/>
          <w:highlight w:val="none"/>
          <w:lang w:val="en-US" w:eastAsia="zh-CN"/>
        </w:rPr>
        <w:t>二、</w:t>
      </w:r>
      <w:bookmarkStart w:id="58" w:name="_Toc267320049"/>
      <w:bookmarkStart w:id="59" w:name="_Toc340225290"/>
      <w:r>
        <w:rPr>
          <w:rFonts w:hint="eastAsia"/>
          <w:b/>
          <w:bCs/>
          <w:color w:val="auto"/>
          <w:sz w:val="22"/>
          <w:szCs w:val="28"/>
          <w:highlight w:val="none"/>
          <w:lang w:val="en-US" w:eastAsia="zh-CN"/>
        </w:rPr>
        <w:t>项目验收、质保、售后服务等要求</w:t>
      </w:r>
    </w:p>
    <w:bookmarkEnd w:id="58"/>
    <w:bookmarkEnd w:id="59"/>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b/>
          <w:color w:val="auto"/>
          <w:szCs w:val="21"/>
          <w:highlight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b/>
          <w:color w:val="auto"/>
          <w:szCs w:val="21"/>
          <w:highlight w:val="none"/>
        </w:rPr>
      </w:pPr>
      <w:r>
        <w:rPr>
          <w:rFonts w:hint="eastAsia" w:ascii="宋体" w:hAnsi="宋体" w:cs="宋体"/>
          <w:b/>
          <w:color w:val="auto"/>
          <w:szCs w:val="21"/>
          <w:highlight w:val="none"/>
        </w:rPr>
        <w:t>（一）</w:t>
      </w:r>
      <w:r>
        <w:rPr>
          <w:rFonts w:hint="eastAsia" w:ascii="宋体" w:hAnsi="宋体" w:cs="宋体"/>
          <w:b/>
          <w:color w:val="auto"/>
          <w:szCs w:val="21"/>
          <w:highlight w:val="none"/>
          <w:lang w:val="en-US" w:eastAsia="zh-CN"/>
        </w:rPr>
        <w:t xml:space="preserve"> 供货</w:t>
      </w:r>
      <w:r>
        <w:rPr>
          <w:rFonts w:hint="eastAsia" w:ascii="宋体" w:hAnsi="宋体" w:cs="宋体"/>
          <w:b/>
          <w:color w:val="auto"/>
          <w:szCs w:val="21"/>
          <w:highlight w:val="none"/>
        </w:rPr>
        <w:t>时间</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26" w:firstLineChars="200"/>
        <w:textAlignment w:val="auto"/>
        <w:rPr>
          <w:rFonts w:hint="eastAsia" w:ascii="宋体" w:hAnsi="宋体" w:cs="宋体"/>
          <w:b/>
          <w:color w:val="auto"/>
          <w:szCs w:val="21"/>
          <w:highlight w:val="none"/>
        </w:rPr>
      </w:pPr>
      <w:r>
        <w:rPr>
          <w:rFonts w:hint="eastAsia" w:cs="Times New Roman"/>
          <w:b/>
          <w:bCs w:val="0"/>
          <w:color w:val="auto"/>
          <w:kern w:val="2"/>
          <w:sz w:val="21"/>
          <w:szCs w:val="21"/>
          <w:highlight w:val="none"/>
          <w:lang w:val="en-US" w:eastAsia="zh-CN" w:bidi="ar-SA"/>
        </w:rPr>
        <w:t>全部</w:t>
      </w:r>
      <w:r>
        <w:rPr>
          <w:rFonts w:hint="eastAsia" w:ascii="Times New Roman" w:hAnsi="Times New Roman" w:eastAsia="宋体" w:cs="Times New Roman"/>
          <w:b/>
          <w:bCs w:val="0"/>
          <w:color w:val="auto"/>
          <w:kern w:val="2"/>
          <w:sz w:val="21"/>
          <w:szCs w:val="21"/>
          <w:highlight w:val="none"/>
          <w:lang w:val="en-US" w:eastAsia="zh-CN" w:bidi="ar-SA"/>
        </w:rPr>
        <w:t>设备30日内到货安装并配合采购人完成验收工作，保证设备正常使用。</w:t>
      </w:r>
    </w:p>
    <w:p>
      <w:pPr>
        <w:keepNext w:val="0"/>
        <w:keepLines w:val="0"/>
        <w:pageBreakBefore w:val="0"/>
        <w:numPr>
          <w:ilvl w:val="0"/>
          <w:numId w:val="11"/>
        </w:numPr>
        <w:kinsoku/>
        <w:wordWrap/>
        <w:overflowPunct/>
        <w:topLinePunct w:val="0"/>
        <w:autoSpaceDE/>
        <w:autoSpaceDN/>
        <w:bidi w:val="0"/>
        <w:adjustRightInd/>
        <w:snapToGrid/>
        <w:spacing w:line="360" w:lineRule="auto"/>
        <w:textAlignment w:val="auto"/>
        <w:rPr>
          <w:rFonts w:hint="eastAsia" w:ascii="宋体" w:hAnsi="宋体" w:cs="宋体"/>
          <w:b/>
          <w:color w:val="auto"/>
          <w:szCs w:val="21"/>
        </w:rPr>
      </w:pPr>
      <w:r>
        <w:rPr>
          <w:rFonts w:hint="eastAsia" w:ascii="宋体" w:hAnsi="宋体" w:cs="宋体"/>
          <w:b/>
          <w:color w:val="auto"/>
          <w:szCs w:val="21"/>
          <w:lang w:val="en-US" w:eastAsia="zh-CN"/>
        </w:rPr>
        <w:t>供货</w:t>
      </w:r>
      <w:r>
        <w:rPr>
          <w:rFonts w:hint="eastAsia" w:ascii="宋体" w:hAnsi="宋体" w:cs="宋体"/>
          <w:b/>
          <w:color w:val="auto"/>
          <w:szCs w:val="21"/>
        </w:rPr>
        <w:t>地点</w:t>
      </w:r>
    </w:p>
    <w:p>
      <w:pPr>
        <w:keepNext w:val="0"/>
        <w:keepLines w:val="0"/>
        <w:pageBreakBefore w:val="0"/>
        <w:kinsoku/>
        <w:wordWrap/>
        <w:overflowPunct/>
        <w:topLinePunct w:val="0"/>
        <w:autoSpaceDE/>
        <w:autoSpaceDN/>
        <w:bidi w:val="0"/>
        <w:adjustRightInd/>
        <w:snapToGrid/>
        <w:spacing w:line="360" w:lineRule="auto"/>
        <w:ind w:firstLine="426" w:firstLineChars="200"/>
        <w:textAlignment w:val="auto"/>
        <w:rPr>
          <w:rFonts w:hint="default" w:ascii="宋体" w:hAnsi="宋体" w:cs="宋体"/>
          <w:b/>
          <w:color w:val="auto"/>
          <w:szCs w:val="21"/>
          <w:lang w:val="en-US" w:eastAsia="zh-CN"/>
        </w:rPr>
      </w:pPr>
      <w:r>
        <w:rPr>
          <w:rFonts w:hint="eastAsia" w:ascii="宋体" w:hAnsi="宋体" w:cs="宋体"/>
          <w:b w:val="0"/>
          <w:bCs/>
          <w:color w:val="auto"/>
          <w:szCs w:val="21"/>
          <w:lang w:val="en-US" w:eastAsia="zh-CN"/>
        </w:rPr>
        <w:t>甲方指定地点。</w:t>
      </w:r>
      <w:r>
        <w:rPr>
          <w:rFonts w:hint="eastAsia" w:ascii="宋体" w:hAnsi="宋体" w:cs="宋体"/>
          <w:b/>
          <w:color w:val="auto"/>
          <w:szCs w:val="21"/>
          <w:lang w:val="en-US" w:eastAsia="zh-CN"/>
        </w:rPr>
        <w:t xml:space="preserve"> </w:t>
      </w:r>
    </w:p>
    <w:p>
      <w:pPr>
        <w:spacing w:line="360" w:lineRule="auto"/>
        <w:rPr>
          <w:rFonts w:hint="eastAsia" w:ascii="宋体" w:hAnsi="宋体" w:cs="宋体"/>
          <w:b/>
          <w:color w:val="auto"/>
          <w:szCs w:val="21"/>
        </w:rPr>
      </w:pPr>
      <w:bookmarkStart w:id="60" w:name="_Toc340225291"/>
      <w:bookmarkStart w:id="61" w:name="_Toc267320050"/>
      <w:r>
        <w:rPr>
          <w:rFonts w:hint="eastAsia" w:ascii="宋体" w:hAnsi="宋体" w:cs="宋体"/>
          <w:b/>
          <w:color w:val="auto"/>
          <w:szCs w:val="21"/>
        </w:rPr>
        <w:t>（三）报价要求</w:t>
      </w:r>
      <w:bookmarkEnd w:id="60"/>
    </w:p>
    <w:p>
      <w:pPr>
        <w:keepNext w:val="0"/>
        <w:keepLines w:val="0"/>
        <w:pageBreakBefore w:val="0"/>
        <w:widowControl w:val="0"/>
        <w:kinsoku/>
        <w:wordWrap/>
        <w:overflowPunct/>
        <w:topLinePunct w:val="0"/>
        <w:autoSpaceDE/>
        <w:autoSpaceDN/>
        <w:bidi w:val="0"/>
        <w:adjustRightInd/>
        <w:snapToGrid/>
        <w:spacing w:line="540" w:lineRule="exact"/>
        <w:ind w:firstLine="426" w:firstLineChars="200"/>
        <w:textAlignment w:val="auto"/>
        <w:rPr>
          <w:rFonts w:hint="eastAsia" w:ascii="宋体" w:hAnsi="宋体" w:cs="宋体"/>
          <w:b/>
          <w:bCs w:val="0"/>
          <w:color w:val="auto"/>
          <w:sz w:val="28"/>
          <w:szCs w:val="28"/>
          <w:highlight w:val="none"/>
          <w:lang w:val="en-US" w:eastAsia="zh-CN"/>
        </w:rPr>
      </w:pPr>
      <w:r>
        <w:rPr>
          <w:rFonts w:hint="eastAsia" w:ascii="宋体" w:hAnsi="宋体" w:eastAsia="宋体" w:cs="宋体"/>
          <w:bCs/>
          <w:color w:val="auto"/>
          <w:kern w:val="2"/>
          <w:sz w:val="21"/>
          <w:szCs w:val="21"/>
          <w:lang w:val="en-US" w:eastAsia="zh-CN" w:bidi="ar-SA"/>
        </w:rPr>
        <w:t>本次报价为人民币报价，</w:t>
      </w:r>
      <w:bookmarkEnd w:id="61"/>
      <w:r>
        <w:rPr>
          <w:rFonts w:hint="eastAsia" w:ascii="宋体" w:hAnsi="宋体" w:eastAsia="宋体" w:cs="宋体"/>
          <w:bCs/>
          <w:color w:val="auto"/>
          <w:kern w:val="2"/>
          <w:sz w:val="21"/>
          <w:szCs w:val="21"/>
          <w:lang w:val="en-US" w:eastAsia="zh-CN" w:bidi="ar-SA"/>
        </w:rPr>
        <w:t>投标报价应包括：货物本身价格、包装费、运输费用、二次搬运费、损耗、安装费、技术指导、税金费用、伴随服务过程中备件费、专用工具费、伴随产品资料费、技术服务费、技术考察费、自检费及验收合格前和质保期内发生的一切费用、应当提供的伴随服务/售后服务费用以及及招标文件要求的供应商需要支付的所有费用。因中标供应商自身原因造成漏报、少报皆由其自行承担责任，采购人不再补偿。</w:t>
      </w:r>
    </w:p>
    <w:p>
      <w:pPr>
        <w:widowControl/>
        <w:spacing w:line="360" w:lineRule="auto"/>
        <w:ind w:firstLine="480"/>
        <w:rPr>
          <w:rFonts w:hint="eastAsia" w:ascii="宋体" w:hAnsi="宋体" w:eastAsia="宋体" w:cs="宋体"/>
          <w:bCs/>
          <w:color w:val="auto"/>
          <w:kern w:val="2"/>
          <w:sz w:val="21"/>
          <w:szCs w:val="21"/>
          <w:lang w:val="en-US" w:eastAsia="zh-CN" w:bidi="ar-SA"/>
        </w:rPr>
      </w:pPr>
    </w:p>
    <w:p>
      <w:pPr>
        <w:widowControl/>
        <w:spacing w:line="360" w:lineRule="auto"/>
        <w:rPr>
          <w:rFonts w:hint="default" w:ascii="宋体" w:hAnsi="宋体" w:eastAsia="宋体" w:cs="宋体"/>
          <w:b/>
          <w:bCs/>
          <w:color w:val="auto"/>
          <w:kern w:val="0"/>
          <w:szCs w:val="21"/>
          <w:highlight w:val="none"/>
          <w:lang w:val="en-US" w:eastAsia="zh-CN"/>
        </w:rPr>
      </w:pPr>
      <w:r>
        <w:rPr>
          <w:rFonts w:hint="eastAsia" w:ascii="宋体" w:hAnsi="宋体" w:cs="宋体"/>
          <w:b/>
          <w:bCs/>
          <w:color w:val="auto"/>
          <w:kern w:val="0"/>
          <w:szCs w:val="21"/>
          <w:highlight w:val="none"/>
        </w:rPr>
        <w:t>（四）</w:t>
      </w:r>
      <w:r>
        <w:rPr>
          <w:rFonts w:hint="eastAsia" w:ascii="宋体" w:hAnsi="宋体" w:cs="宋体"/>
          <w:b/>
          <w:bCs/>
          <w:color w:val="auto"/>
          <w:kern w:val="0"/>
          <w:szCs w:val="21"/>
          <w:highlight w:val="none"/>
          <w:lang w:val="en-US" w:eastAsia="zh-CN"/>
        </w:rPr>
        <w:t>质保要求</w:t>
      </w:r>
    </w:p>
    <w:p>
      <w:pPr>
        <w:keepNext w:val="0"/>
        <w:keepLines w:val="0"/>
        <w:pageBreakBefore w:val="0"/>
        <w:kinsoku/>
        <w:wordWrap/>
        <w:overflowPunct/>
        <w:topLinePunct w:val="0"/>
        <w:autoSpaceDE/>
        <w:autoSpaceDN/>
        <w:bidi w:val="0"/>
        <w:adjustRightInd/>
        <w:snapToGrid/>
        <w:spacing w:line="360" w:lineRule="auto"/>
        <w:ind w:firstLine="426" w:firstLineChars="200"/>
        <w:textAlignment w:val="auto"/>
        <w:rPr>
          <w:rFonts w:hint="eastAsia" w:ascii="宋体" w:hAnsi="宋体" w:eastAsia="宋体" w:cs="宋体"/>
          <w:b/>
          <w:bCs w:val="0"/>
          <w:color w:val="auto"/>
          <w:szCs w:val="21"/>
          <w:highlight w:val="none"/>
          <w:lang w:val="en-US" w:eastAsia="zh-CN"/>
        </w:rPr>
      </w:pPr>
      <w:r>
        <w:rPr>
          <w:rFonts w:hint="eastAsia" w:ascii="宋体" w:hAnsi="宋体" w:eastAsia="宋体" w:cs="宋体"/>
          <w:b/>
          <w:bCs w:val="0"/>
          <w:color w:val="auto"/>
          <w:szCs w:val="21"/>
          <w:highlight w:val="none"/>
          <w:lang w:val="en-US" w:eastAsia="zh-CN"/>
        </w:rPr>
        <w:t>1、自验收合格之日起计保修期，提供整机原厂</w:t>
      </w:r>
      <w:r>
        <w:rPr>
          <w:rFonts w:hint="eastAsia" w:ascii="宋体" w:hAnsi="宋体" w:cs="宋体"/>
          <w:b/>
          <w:bCs w:val="0"/>
          <w:color w:val="auto"/>
          <w:szCs w:val="21"/>
          <w:highlight w:val="none"/>
          <w:lang w:val="en-US" w:eastAsia="zh-CN"/>
        </w:rPr>
        <w:t>2</w:t>
      </w:r>
      <w:r>
        <w:rPr>
          <w:rFonts w:hint="eastAsia" w:ascii="宋体" w:hAnsi="宋体" w:eastAsia="宋体" w:cs="宋体"/>
          <w:b/>
          <w:bCs w:val="0"/>
          <w:color w:val="auto"/>
          <w:szCs w:val="21"/>
          <w:highlight w:val="none"/>
          <w:lang w:val="en-US" w:eastAsia="zh-CN"/>
        </w:rPr>
        <w:t>年保修服务。</w:t>
      </w:r>
    </w:p>
    <w:p>
      <w:pPr>
        <w:keepNext w:val="0"/>
        <w:keepLines w:val="0"/>
        <w:pageBreakBefore w:val="0"/>
        <w:kinsoku/>
        <w:wordWrap/>
        <w:overflowPunct/>
        <w:topLinePunct w:val="0"/>
        <w:autoSpaceDE/>
        <w:autoSpaceDN/>
        <w:bidi w:val="0"/>
        <w:adjustRightInd/>
        <w:snapToGrid/>
        <w:spacing w:line="360" w:lineRule="auto"/>
        <w:ind w:firstLine="426" w:firstLineChars="200"/>
        <w:textAlignment w:val="auto"/>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2、质量保证期过后，供应商和制造商应同样提供免费电话咨询服务，并应承诺提供产品维护服务。</w:t>
      </w:r>
    </w:p>
    <w:p>
      <w:pPr>
        <w:keepNext w:val="0"/>
        <w:keepLines w:val="0"/>
        <w:pageBreakBefore w:val="0"/>
        <w:kinsoku/>
        <w:wordWrap/>
        <w:overflowPunct/>
        <w:topLinePunct w:val="0"/>
        <w:autoSpaceDE/>
        <w:autoSpaceDN/>
        <w:bidi w:val="0"/>
        <w:adjustRightInd/>
        <w:snapToGrid/>
        <w:spacing w:line="360" w:lineRule="auto"/>
        <w:ind w:firstLine="426" w:firstLineChars="200"/>
        <w:textAlignment w:val="auto"/>
        <w:rPr>
          <w:rFonts w:hint="eastAsia" w:ascii="宋体" w:hAnsi="宋体" w:eastAsia="宋体" w:cs="宋体"/>
          <w:b w:val="0"/>
          <w:bCs/>
          <w:color w:val="auto"/>
          <w:szCs w:val="21"/>
          <w:highlight w:val="none"/>
          <w:lang w:val="en-US" w:eastAsia="zh-CN"/>
        </w:rPr>
      </w:pPr>
      <w:r>
        <w:rPr>
          <w:rFonts w:hint="eastAsia" w:ascii="宋体" w:hAnsi="宋体" w:eastAsia="宋体" w:cs="宋体"/>
          <w:b w:val="0"/>
          <w:bCs/>
          <w:color w:val="auto"/>
          <w:szCs w:val="21"/>
          <w:highlight w:val="none"/>
          <w:lang w:val="en-US" w:eastAsia="zh-CN"/>
        </w:rPr>
        <w:t>3、质量保证期过后，采购人需要继续由原供应商和制造商提供售后服务的，该供应商和制造商应以优惠价格提供售后服务。</w:t>
      </w:r>
    </w:p>
    <w:p>
      <w:pPr>
        <w:pStyle w:val="14"/>
        <w:rPr>
          <w:rFonts w:hint="eastAsia"/>
          <w:color w:val="auto"/>
          <w:highlight w:val="none"/>
          <w:lang w:val="en-US" w:eastAsia="zh-CN"/>
        </w:rPr>
      </w:pPr>
    </w:p>
    <w:p>
      <w:pPr>
        <w:widowControl/>
        <w:spacing w:line="360" w:lineRule="auto"/>
        <w:rPr>
          <w:rFonts w:hint="eastAsia" w:ascii="宋体" w:hAnsi="宋体" w:cs="宋体"/>
          <w:b/>
          <w:bCs/>
          <w:color w:val="auto"/>
          <w:szCs w:val="21"/>
          <w:highlight w:val="none"/>
        </w:rPr>
      </w:pPr>
      <w:r>
        <w:rPr>
          <w:rFonts w:hint="eastAsia" w:ascii="宋体" w:hAnsi="宋体" w:cs="宋体"/>
          <w:b/>
          <w:bCs/>
          <w:color w:val="auto"/>
          <w:kern w:val="0"/>
          <w:szCs w:val="21"/>
          <w:highlight w:val="none"/>
        </w:rPr>
        <w:t>（</w:t>
      </w:r>
      <w:r>
        <w:rPr>
          <w:rFonts w:hint="eastAsia" w:ascii="宋体" w:hAnsi="宋体" w:cs="宋体"/>
          <w:b/>
          <w:bCs/>
          <w:color w:val="auto"/>
          <w:kern w:val="0"/>
          <w:szCs w:val="21"/>
          <w:highlight w:val="none"/>
          <w:lang w:eastAsia="zh-CN"/>
        </w:rPr>
        <w:t>五</w:t>
      </w:r>
      <w:r>
        <w:rPr>
          <w:rFonts w:hint="eastAsia" w:ascii="宋体" w:hAnsi="宋体" w:cs="宋体"/>
          <w:b/>
          <w:bCs/>
          <w:color w:val="auto"/>
          <w:kern w:val="0"/>
          <w:szCs w:val="21"/>
          <w:highlight w:val="none"/>
        </w:rPr>
        <w:t>）</w:t>
      </w:r>
      <w:r>
        <w:rPr>
          <w:rFonts w:hint="eastAsia" w:ascii="宋体" w:hAnsi="宋体" w:cs="宋体"/>
          <w:b/>
          <w:bCs/>
          <w:color w:val="auto"/>
          <w:szCs w:val="21"/>
          <w:highlight w:val="none"/>
        </w:rPr>
        <w:t>验收保证的承诺</w:t>
      </w:r>
    </w:p>
    <w:p>
      <w:pPr>
        <w:pStyle w:val="2"/>
        <w:spacing w:line="360" w:lineRule="auto"/>
        <w:ind w:firstLine="426" w:firstLineChars="200"/>
        <w:rPr>
          <w:rFonts w:hint="default" w:ascii="宋体" w:hAnsi="宋体" w:eastAsia="宋体" w:cs="宋体"/>
          <w:bCs/>
          <w:color w:val="auto"/>
          <w:kern w:val="2"/>
          <w:sz w:val="21"/>
          <w:szCs w:val="21"/>
          <w:lang w:val="en-US" w:eastAsia="zh-CN" w:bidi="ar-SA"/>
        </w:rPr>
      </w:pPr>
      <w:r>
        <w:rPr>
          <w:rFonts w:hint="default" w:ascii="宋体" w:hAnsi="宋体" w:eastAsia="宋体" w:cs="宋体"/>
          <w:bCs/>
          <w:color w:val="auto"/>
          <w:kern w:val="2"/>
          <w:sz w:val="21"/>
          <w:szCs w:val="21"/>
          <w:lang w:val="en-US" w:eastAsia="zh-CN" w:bidi="ar-SA"/>
        </w:rPr>
        <w:t>1、到货验收：设备到达甲方指定地点后，双方对设备的外包装、数量及裸露便于核对的相关信息予以现场验收。若在现场到货验收时发现设备数量、规格、品种、参数等外观要求不合规定，甲方有权拒收货物</w:t>
      </w:r>
      <w:r>
        <w:rPr>
          <w:rFonts w:hint="eastAsia" w:ascii="宋体" w:hAnsi="宋体" w:cs="宋体"/>
          <w:bCs/>
          <w:color w:val="auto"/>
          <w:kern w:val="2"/>
          <w:sz w:val="21"/>
          <w:szCs w:val="21"/>
          <w:lang w:val="en-US" w:eastAsia="zh-CN" w:bidi="ar-SA"/>
        </w:rPr>
        <w:t>，</w:t>
      </w:r>
      <w:r>
        <w:rPr>
          <w:rFonts w:hint="default" w:ascii="宋体" w:hAnsi="宋体" w:eastAsia="宋体" w:cs="宋体"/>
          <w:bCs/>
          <w:color w:val="auto"/>
          <w:kern w:val="2"/>
          <w:sz w:val="21"/>
          <w:szCs w:val="21"/>
          <w:lang w:val="en-US" w:eastAsia="zh-CN" w:bidi="ar-SA"/>
        </w:rPr>
        <w:t>因此产生的相关费用均由乙方负担。</w:t>
      </w:r>
    </w:p>
    <w:p>
      <w:pPr>
        <w:pStyle w:val="2"/>
        <w:spacing w:line="360" w:lineRule="auto"/>
        <w:ind w:firstLine="426" w:firstLineChars="200"/>
        <w:rPr>
          <w:rFonts w:hint="default" w:ascii="宋体" w:hAnsi="宋体" w:eastAsia="宋体" w:cs="宋体"/>
          <w:bCs/>
          <w:color w:val="auto"/>
          <w:kern w:val="2"/>
          <w:sz w:val="21"/>
          <w:szCs w:val="21"/>
          <w:lang w:val="en-US" w:eastAsia="zh-CN" w:bidi="ar-SA"/>
        </w:rPr>
      </w:pPr>
      <w:r>
        <w:rPr>
          <w:rFonts w:hint="default" w:ascii="宋体" w:hAnsi="宋体" w:eastAsia="宋体" w:cs="宋体"/>
          <w:bCs/>
          <w:color w:val="auto"/>
          <w:kern w:val="2"/>
          <w:sz w:val="21"/>
          <w:szCs w:val="21"/>
          <w:lang w:val="en-US" w:eastAsia="zh-CN" w:bidi="ar-SA"/>
        </w:rPr>
        <w:t>2、单证齐全：应有产品合格证（或质量证明）、使用说明、质保卡、发票和其他应具有的单证。同时由乙方提供该套设备的商检证，需计量鉴定的，还需提供初次计量鉴定证书，未提供初次计量鉴定证书的，可委托甲方送检，乙方承担鉴定费用。</w:t>
      </w:r>
    </w:p>
    <w:p>
      <w:pPr>
        <w:pStyle w:val="2"/>
        <w:spacing w:line="360" w:lineRule="auto"/>
        <w:ind w:firstLine="426" w:firstLineChars="200"/>
        <w:rPr>
          <w:rFonts w:hint="default" w:ascii="宋体" w:hAnsi="宋体" w:eastAsia="宋体" w:cs="宋体"/>
          <w:bCs/>
          <w:color w:val="auto"/>
          <w:kern w:val="2"/>
          <w:sz w:val="21"/>
          <w:szCs w:val="21"/>
          <w:lang w:val="en-US" w:eastAsia="zh-CN" w:bidi="ar-SA"/>
        </w:rPr>
      </w:pPr>
      <w:r>
        <w:rPr>
          <w:rFonts w:hint="default" w:ascii="宋体" w:hAnsi="宋体" w:eastAsia="宋体" w:cs="宋体"/>
          <w:bCs/>
          <w:color w:val="auto"/>
          <w:kern w:val="2"/>
          <w:sz w:val="21"/>
          <w:szCs w:val="21"/>
          <w:lang w:val="en-US" w:eastAsia="zh-CN" w:bidi="ar-SA"/>
        </w:rPr>
        <w:t>3、质量符合国家法律法规规定的标准、招标文件和投标文件的要求。</w:t>
      </w:r>
    </w:p>
    <w:p>
      <w:pPr>
        <w:pStyle w:val="2"/>
        <w:spacing w:line="360" w:lineRule="auto"/>
        <w:ind w:firstLine="426" w:firstLineChars="200"/>
        <w:rPr>
          <w:rFonts w:hint="default" w:ascii="宋体" w:hAnsi="宋体" w:eastAsia="宋体" w:cs="宋体"/>
          <w:bCs/>
          <w:color w:val="auto"/>
          <w:kern w:val="2"/>
          <w:sz w:val="21"/>
          <w:szCs w:val="21"/>
          <w:lang w:val="en-US" w:eastAsia="zh-CN" w:bidi="ar-SA"/>
        </w:rPr>
      </w:pPr>
      <w:r>
        <w:rPr>
          <w:rFonts w:hint="default" w:ascii="宋体" w:hAnsi="宋体" w:eastAsia="宋体" w:cs="宋体"/>
          <w:bCs/>
          <w:color w:val="auto"/>
          <w:kern w:val="2"/>
          <w:sz w:val="21"/>
          <w:szCs w:val="21"/>
          <w:lang w:val="en-US" w:eastAsia="zh-CN" w:bidi="ar-SA"/>
        </w:rPr>
        <w:t>4、设备到货验收合格后，乙方工程师须 2 天内负责对设备进行安装调试并通过初步验收。因乙方原因造成不能按时完成安装调试工作或未按时通过验收，乙方应承担违约责任。</w:t>
      </w:r>
    </w:p>
    <w:p>
      <w:pPr>
        <w:pStyle w:val="2"/>
        <w:spacing w:line="360" w:lineRule="auto"/>
        <w:ind w:firstLine="426" w:firstLineChars="200"/>
        <w:rPr>
          <w:rFonts w:hint="default" w:ascii="宋体" w:hAnsi="宋体" w:eastAsia="宋体" w:cs="宋体"/>
          <w:bCs/>
          <w:color w:val="auto"/>
          <w:kern w:val="2"/>
          <w:sz w:val="21"/>
          <w:szCs w:val="21"/>
          <w:lang w:val="en-US" w:eastAsia="zh-CN" w:bidi="ar-SA"/>
        </w:rPr>
      </w:pPr>
      <w:r>
        <w:rPr>
          <w:rFonts w:hint="eastAsia" w:ascii="宋体" w:hAnsi="宋体" w:cs="宋体"/>
          <w:bCs/>
          <w:color w:val="auto"/>
          <w:kern w:val="2"/>
          <w:sz w:val="21"/>
          <w:szCs w:val="21"/>
          <w:lang w:val="en-US" w:eastAsia="zh-CN" w:bidi="ar-SA"/>
        </w:rPr>
        <w:t>5</w:t>
      </w:r>
      <w:r>
        <w:rPr>
          <w:rFonts w:hint="default" w:ascii="宋体" w:hAnsi="宋体" w:eastAsia="宋体" w:cs="宋体"/>
          <w:bCs/>
          <w:color w:val="auto"/>
          <w:kern w:val="2"/>
          <w:sz w:val="21"/>
          <w:szCs w:val="21"/>
          <w:lang w:val="en-US" w:eastAsia="zh-CN" w:bidi="ar-SA"/>
        </w:rPr>
        <w:t>、培训验收：乙方派工程师至甲方的使用科室对科室相关人员进行操作方法培训，直到参加培训人员具备独立操作能力并能排除使用中的一般性障碍，且培训结果至甲方满意为止。如有必要，甲方派人至乙方指定地点进行免费培训，甲方派出培训人员所产生的培训费用（交通、住宿、差旅等）均由乙方承担，培训的结果必须至甲方满意为止。</w:t>
      </w:r>
    </w:p>
    <w:p>
      <w:pPr>
        <w:pStyle w:val="2"/>
        <w:spacing w:line="360" w:lineRule="auto"/>
        <w:ind w:firstLine="426" w:firstLineChars="200"/>
        <w:rPr>
          <w:rFonts w:hint="default" w:ascii="宋体" w:hAnsi="宋体" w:eastAsia="宋体" w:cs="宋体"/>
          <w:bCs/>
          <w:color w:val="auto"/>
          <w:kern w:val="2"/>
          <w:sz w:val="21"/>
          <w:szCs w:val="21"/>
          <w:lang w:val="en-US" w:eastAsia="zh-CN" w:bidi="ar-SA"/>
        </w:rPr>
      </w:pPr>
      <w:r>
        <w:rPr>
          <w:rFonts w:hint="eastAsia" w:ascii="宋体" w:hAnsi="宋体" w:cs="宋体"/>
          <w:bCs/>
          <w:color w:val="auto"/>
          <w:kern w:val="2"/>
          <w:sz w:val="21"/>
          <w:szCs w:val="21"/>
          <w:lang w:val="en-US" w:eastAsia="zh-CN" w:bidi="ar-SA"/>
        </w:rPr>
        <w:t>6</w:t>
      </w:r>
      <w:r>
        <w:rPr>
          <w:rFonts w:hint="default" w:ascii="宋体" w:hAnsi="宋体" w:eastAsia="宋体" w:cs="宋体"/>
          <w:bCs/>
          <w:color w:val="auto"/>
          <w:kern w:val="2"/>
          <w:sz w:val="21"/>
          <w:szCs w:val="21"/>
          <w:lang w:val="en-US" w:eastAsia="zh-CN" w:bidi="ar-SA"/>
        </w:rPr>
        <w:t>、通过到货验收、初步验收、培训验收后，甲乙双方进行最终验收，最终验收合格的，甲乙双方应签署最终验收报告。必要时甲方可引入第三方或者委托专业机构进行各项验收，验收费用由乙方全额承担，且甲乙双方对该验收结果予以认可。</w:t>
      </w:r>
    </w:p>
    <w:p>
      <w:pPr>
        <w:spacing w:line="360" w:lineRule="auto"/>
        <w:ind w:firstLine="426" w:firstLineChars="200"/>
        <w:rPr>
          <w:rFonts w:hint="default"/>
          <w:color w:val="auto"/>
          <w:lang w:val="en-US" w:eastAsia="zh-CN"/>
        </w:rPr>
      </w:pPr>
      <w:r>
        <w:rPr>
          <w:rFonts w:hint="eastAsia" w:ascii="宋体" w:hAnsi="宋体" w:cs="宋体"/>
          <w:bCs/>
          <w:color w:val="auto"/>
          <w:kern w:val="2"/>
          <w:sz w:val="21"/>
          <w:szCs w:val="21"/>
          <w:lang w:val="en-US" w:eastAsia="zh-CN" w:bidi="ar-SA"/>
        </w:rPr>
        <w:t>7</w:t>
      </w:r>
      <w:r>
        <w:rPr>
          <w:rFonts w:hint="eastAsia" w:ascii="宋体" w:hAnsi="宋体" w:eastAsia="宋体" w:cs="宋体"/>
          <w:bCs/>
          <w:color w:val="auto"/>
          <w:kern w:val="2"/>
          <w:sz w:val="21"/>
          <w:szCs w:val="21"/>
          <w:lang w:val="en-US" w:eastAsia="zh-CN" w:bidi="ar-SA"/>
        </w:rPr>
        <w:t>、中标单位提供的货物未达到招标文件规定要求，且对采购人造成损失的，由供应商承担一切责任，并赔偿所造成的损失。</w:t>
      </w:r>
    </w:p>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eastAsia="zh-CN"/>
        </w:rPr>
        <w:t>六</w:t>
      </w:r>
      <w:r>
        <w:rPr>
          <w:rFonts w:hint="eastAsia" w:ascii="宋体" w:hAnsi="宋体" w:cs="宋体"/>
          <w:b/>
          <w:color w:val="auto"/>
          <w:szCs w:val="21"/>
          <w:highlight w:val="none"/>
        </w:rPr>
        <w:t>）付款方式</w:t>
      </w:r>
    </w:p>
    <w:p>
      <w:pPr>
        <w:spacing w:line="360" w:lineRule="auto"/>
        <w:rPr>
          <w:rFonts w:hint="eastAsia" w:ascii="宋体" w:hAnsi="宋体" w:eastAsia="宋体" w:cs="宋体"/>
          <w:b/>
          <w:bCs w:val="0"/>
          <w:color w:val="auto"/>
          <w:kern w:val="2"/>
          <w:sz w:val="21"/>
          <w:szCs w:val="21"/>
          <w:highlight w:val="none"/>
          <w:lang w:val="en-US" w:eastAsia="zh-CN" w:bidi="ar-SA"/>
        </w:rPr>
      </w:pPr>
      <w:r>
        <w:rPr>
          <w:rFonts w:hint="eastAsia" w:ascii="宋体" w:hAnsi="宋体" w:eastAsia="宋体" w:cs="宋体"/>
          <w:b/>
          <w:bCs w:val="0"/>
          <w:color w:val="auto"/>
          <w:kern w:val="2"/>
          <w:sz w:val="21"/>
          <w:szCs w:val="21"/>
          <w:highlight w:val="none"/>
          <w:lang w:val="en-US" w:eastAsia="zh-CN" w:bidi="ar-SA"/>
        </w:rPr>
        <w:t>具体按双方合同约定执行</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en-US" w:eastAsia="zh-CN"/>
        </w:rPr>
        <w:t>（七）售后</w:t>
      </w:r>
      <w:r>
        <w:rPr>
          <w:rFonts w:hint="eastAsia" w:ascii="宋体" w:hAnsi="宋体" w:eastAsia="宋体" w:cs="宋体"/>
          <w:b/>
          <w:color w:val="auto"/>
          <w:sz w:val="21"/>
          <w:szCs w:val="21"/>
          <w:highlight w:val="none"/>
          <w:lang w:eastAsia="zh-CN"/>
        </w:rPr>
        <w:t>服务</w:t>
      </w:r>
      <w:r>
        <w:rPr>
          <w:rFonts w:hint="eastAsia" w:ascii="宋体" w:hAnsi="宋体" w:eastAsia="宋体" w:cs="宋体"/>
          <w:b/>
          <w:color w:val="auto"/>
          <w:sz w:val="21"/>
          <w:szCs w:val="21"/>
          <w:highlight w:val="none"/>
        </w:rPr>
        <w:t>要求</w:t>
      </w:r>
    </w:p>
    <w:p>
      <w:pPr>
        <w:spacing w:line="360" w:lineRule="auto"/>
        <w:ind w:firstLine="426" w:firstLineChars="200"/>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1、</w:t>
      </w:r>
      <w:r>
        <w:rPr>
          <w:rFonts w:hint="eastAsia" w:ascii="宋体" w:hAnsi="宋体" w:eastAsia="宋体" w:cs="Times New Roman"/>
          <w:bCs/>
          <w:color w:val="auto"/>
          <w:szCs w:val="21"/>
          <w:highlight w:val="none"/>
          <w:lang w:val="en-US" w:eastAsia="zh-CN"/>
        </w:rPr>
        <w:t>售后服务承诺</w:t>
      </w:r>
      <w:r>
        <w:rPr>
          <w:rFonts w:hint="eastAsia" w:ascii="宋体" w:hAnsi="宋体" w:cs="Times New Roman"/>
          <w:bCs/>
          <w:color w:val="auto"/>
          <w:szCs w:val="21"/>
          <w:highlight w:val="none"/>
          <w:lang w:val="en-US" w:eastAsia="zh-CN"/>
        </w:rPr>
        <w:t>：</w:t>
      </w:r>
      <w:r>
        <w:rPr>
          <w:rFonts w:hint="eastAsia" w:ascii="宋体" w:hAnsi="宋体" w:cs="宋体"/>
          <w:color w:val="auto"/>
          <w:kern w:val="0"/>
          <w:szCs w:val="21"/>
        </w:rPr>
        <w:t>供应商</w:t>
      </w:r>
      <w:r>
        <w:rPr>
          <w:rFonts w:hint="eastAsia" w:ascii="宋体" w:hAnsi="宋体" w:cs="宋体"/>
          <w:color w:val="auto"/>
          <w:kern w:val="0"/>
          <w:szCs w:val="21"/>
          <w:lang w:val="en-US" w:eastAsia="zh-CN"/>
        </w:rPr>
        <w:t>在规定的时间内供货后，应到招标人指定的供货现场免费安装、调试设备，进行操作试验，直至运行正常，为仪器操作人员提供免费的操作及维护培训。</w:t>
      </w:r>
    </w:p>
    <w:p>
      <w:pPr>
        <w:spacing w:line="360" w:lineRule="auto"/>
        <w:ind w:firstLine="426" w:firstLineChars="200"/>
        <w:rPr>
          <w:rFonts w:hint="eastAsia"/>
          <w:color w:val="auto"/>
        </w:rPr>
      </w:pPr>
      <w:r>
        <w:rPr>
          <w:rFonts w:hint="eastAsia" w:ascii="宋体" w:hAnsi="宋体" w:cs="宋体"/>
          <w:color w:val="auto"/>
          <w:kern w:val="0"/>
          <w:szCs w:val="21"/>
          <w:lang w:val="en-US" w:eastAsia="zh-CN"/>
        </w:rPr>
        <w:t>2、时间承诺：承诺</w:t>
      </w:r>
      <w:r>
        <w:rPr>
          <w:rFonts w:hint="eastAsia" w:ascii="宋体" w:hAnsi="宋体" w:eastAsia="宋体" w:cs="Times New Roman"/>
          <w:bCs/>
          <w:color w:val="auto"/>
          <w:szCs w:val="21"/>
          <w:highlight w:val="none"/>
          <w:lang w:val="en-US" w:eastAsia="zh-CN"/>
        </w:rPr>
        <w:t>提供7*24小时的服务与技术支持服务</w:t>
      </w:r>
      <w:r>
        <w:rPr>
          <w:rFonts w:hint="eastAsia" w:ascii="宋体" w:hAnsi="宋体" w:cs="Times New Roman"/>
          <w:bCs/>
          <w:color w:val="auto"/>
          <w:szCs w:val="21"/>
          <w:highlight w:val="none"/>
          <w:lang w:val="en-US" w:eastAsia="zh-CN"/>
        </w:rPr>
        <w:t>，</w:t>
      </w:r>
      <w:r>
        <w:rPr>
          <w:rFonts w:hint="eastAsia" w:ascii="宋体" w:hAnsi="宋体" w:cs="宋体"/>
          <w:color w:val="auto"/>
          <w:kern w:val="0"/>
          <w:szCs w:val="21"/>
          <w:lang w:val="en-US" w:eastAsia="zh-CN"/>
        </w:rPr>
        <w:t>在质保期内出现故障供应商在接到故障报修电话后</w:t>
      </w:r>
      <w:r>
        <w:rPr>
          <w:rFonts w:hint="eastAsia" w:ascii="Times New Roman" w:hAnsi="Times New Roman" w:eastAsia="宋体" w:cs="Times New Roman"/>
          <w:b/>
          <w:bCs w:val="0"/>
          <w:color w:val="auto"/>
          <w:kern w:val="2"/>
          <w:sz w:val="21"/>
          <w:szCs w:val="21"/>
          <w:lang w:val="en-US" w:eastAsia="zh-CN" w:bidi="ar-SA"/>
        </w:rPr>
        <w:t>，8小时内必须赶到现场解决故障，如当日无法修复，安装备品备件供甲方使用。</w:t>
      </w:r>
    </w:p>
    <w:p>
      <w:pPr>
        <w:keepNext w:val="0"/>
        <w:keepLines w:val="0"/>
        <w:pageBreakBefore w:val="0"/>
        <w:widowControl w:val="0"/>
        <w:kinsoku/>
        <w:wordWrap/>
        <w:overflowPunct/>
        <w:topLinePunct w:val="0"/>
        <w:autoSpaceDE/>
        <w:autoSpaceDN/>
        <w:bidi w:val="0"/>
        <w:adjustRightInd/>
        <w:snapToGrid/>
        <w:spacing w:line="360" w:lineRule="auto"/>
        <w:ind w:firstLine="426" w:firstLineChars="200"/>
        <w:jc w:val="left"/>
        <w:textAlignment w:val="auto"/>
        <w:rPr>
          <w:rFonts w:hint="eastAsia" w:ascii="宋体" w:hAnsi="宋体" w:eastAsia="宋体" w:cs="Times New Roman"/>
          <w:bCs/>
          <w:color w:val="auto"/>
          <w:szCs w:val="21"/>
          <w:highlight w:val="none"/>
          <w:lang w:val="en-US" w:eastAsia="zh-CN"/>
        </w:rPr>
      </w:pPr>
      <w:r>
        <w:rPr>
          <w:rFonts w:hint="eastAsia" w:ascii="宋体" w:hAnsi="宋体" w:cs="Times New Roman"/>
          <w:bCs/>
          <w:color w:val="auto"/>
          <w:szCs w:val="21"/>
          <w:highlight w:val="none"/>
          <w:lang w:val="en-US" w:eastAsia="zh-CN"/>
        </w:rPr>
        <w:t>3</w:t>
      </w:r>
      <w:r>
        <w:rPr>
          <w:rFonts w:hint="eastAsia" w:ascii="宋体" w:hAnsi="宋体" w:eastAsia="宋体" w:cs="Times New Roman"/>
          <w:bCs/>
          <w:color w:val="auto"/>
          <w:szCs w:val="21"/>
          <w:highlight w:val="none"/>
          <w:lang w:val="en-US" w:eastAsia="zh-CN"/>
        </w:rPr>
        <w:t>、服务热线：投标人需提供服务热线及联系人</w:t>
      </w:r>
      <w:r>
        <w:rPr>
          <w:rFonts w:hint="eastAsia" w:ascii="宋体" w:hAnsi="宋体" w:cs="Times New Roman"/>
          <w:bCs/>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6" w:firstLineChars="200"/>
        <w:jc w:val="left"/>
        <w:textAlignment w:val="auto"/>
        <w:rPr>
          <w:rFonts w:hint="default"/>
          <w:color w:val="auto"/>
          <w:lang w:val="en-US" w:eastAsia="zh-CN"/>
        </w:rPr>
      </w:pPr>
      <w:r>
        <w:rPr>
          <w:rFonts w:hint="eastAsia" w:ascii="宋体" w:hAnsi="宋体" w:cs="Times New Roman"/>
          <w:bCs/>
          <w:color w:val="auto"/>
          <w:szCs w:val="21"/>
          <w:highlight w:val="none"/>
          <w:lang w:val="en-US" w:eastAsia="zh-CN"/>
        </w:rPr>
        <w:t>4</w:t>
      </w:r>
      <w:r>
        <w:rPr>
          <w:rFonts w:hint="eastAsia" w:ascii="宋体" w:hAnsi="宋体" w:eastAsia="宋体" w:cs="Times New Roman"/>
          <w:bCs/>
          <w:color w:val="auto"/>
          <w:szCs w:val="21"/>
          <w:highlight w:val="none"/>
          <w:lang w:val="en-US" w:eastAsia="zh-CN"/>
        </w:rPr>
        <w:t>、设备维护调试</w:t>
      </w:r>
      <w:r>
        <w:rPr>
          <w:rFonts w:hint="eastAsia" w:ascii="宋体" w:hAnsi="宋体" w:cs="Times New Roman"/>
          <w:bCs/>
          <w:color w:val="auto"/>
          <w:szCs w:val="21"/>
          <w:highlight w:val="none"/>
          <w:lang w:val="en-US" w:eastAsia="zh-CN"/>
        </w:rPr>
        <w:t>培训</w:t>
      </w:r>
      <w:r>
        <w:rPr>
          <w:rFonts w:hint="eastAsia" w:ascii="宋体" w:hAnsi="宋体" w:eastAsia="宋体" w:cs="Times New Roman"/>
          <w:bCs/>
          <w:color w:val="auto"/>
          <w:szCs w:val="21"/>
          <w:highlight w:val="none"/>
          <w:lang w:val="en-US" w:eastAsia="zh-CN"/>
        </w:rPr>
        <w:t>完成后，提供相关技术资料和操作手册。负责对采购单位工作人员进行培训并提供培训资料，培训内容主要包括供货设备及系统的工作原理、操作、运行及维护等方面的知识，直至对方能独立熟练操作、运行、维护。</w:t>
      </w:r>
    </w:p>
    <w:p>
      <w:pPr>
        <w:spacing w:line="360" w:lineRule="auto"/>
        <w:jc w:val="left"/>
        <w:rPr>
          <w:rFonts w:hint="eastAsia" w:ascii="宋体" w:hAnsi="宋体" w:cs="宋体"/>
          <w:b/>
          <w:color w:val="auto"/>
          <w:szCs w:val="21"/>
        </w:rPr>
      </w:pPr>
      <w:r>
        <w:rPr>
          <w:rFonts w:hint="eastAsia" w:ascii="宋体" w:hAnsi="宋体" w:cs="宋体"/>
          <w:b/>
          <w:color w:val="auto"/>
          <w:szCs w:val="21"/>
        </w:rPr>
        <w:t>（</w:t>
      </w:r>
      <w:r>
        <w:rPr>
          <w:rFonts w:hint="eastAsia" w:ascii="宋体" w:hAnsi="宋体" w:cs="宋体"/>
          <w:b/>
          <w:color w:val="auto"/>
          <w:szCs w:val="21"/>
          <w:lang w:val="en-US" w:eastAsia="zh-CN"/>
        </w:rPr>
        <w:t>八</w:t>
      </w:r>
      <w:r>
        <w:rPr>
          <w:rFonts w:hint="eastAsia" w:ascii="宋体" w:hAnsi="宋体" w:cs="宋体"/>
          <w:b/>
          <w:color w:val="auto"/>
          <w:szCs w:val="21"/>
        </w:rPr>
        <w:t>）知识产权</w:t>
      </w:r>
    </w:p>
    <w:p>
      <w:pPr>
        <w:spacing w:line="360" w:lineRule="auto"/>
        <w:rPr>
          <w:rFonts w:hint="eastAsia" w:ascii="宋体" w:hAnsi="宋体" w:cs="宋体"/>
          <w:bCs/>
          <w:color w:val="auto"/>
          <w:szCs w:val="21"/>
        </w:rPr>
      </w:pPr>
      <w:r>
        <w:rPr>
          <w:rFonts w:hint="eastAsia" w:ascii="宋体" w:hAnsi="宋体" w:cs="宋体"/>
          <w:bCs/>
          <w:color w:val="auto"/>
          <w:szCs w:val="21"/>
        </w:rPr>
        <w:t xml:space="preserve">     采购人在中华人民共和国境内使用投标人提供的货物及服务时免受第三方提出的侵犯其专利权或其它知识产权的起诉。如果第三方提出侵权指控，中标人应承担由此而引起的一切法律责任和费用。</w:t>
      </w:r>
    </w:p>
    <w:p>
      <w:pPr>
        <w:spacing w:line="360" w:lineRule="auto"/>
        <w:rPr>
          <w:rFonts w:hint="eastAsia" w:ascii="宋体" w:hAnsi="宋体" w:cs="宋体"/>
          <w:b/>
          <w:color w:val="auto"/>
          <w:szCs w:val="21"/>
        </w:rPr>
      </w:pPr>
      <w:r>
        <w:rPr>
          <w:rFonts w:hint="eastAsia" w:ascii="宋体" w:hAnsi="宋体" w:cs="宋体"/>
          <w:b/>
          <w:color w:val="auto"/>
          <w:szCs w:val="21"/>
        </w:rPr>
        <w:t>（</w:t>
      </w:r>
      <w:r>
        <w:rPr>
          <w:rFonts w:hint="eastAsia" w:ascii="宋体" w:hAnsi="宋体" w:cs="宋体"/>
          <w:b/>
          <w:color w:val="auto"/>
          <w:szCs w:val="21"/>
          <w:lang w:val="en-US" w:eastAsia="zh-CN"/>
        </w:rPr>
        <w:t>九</w:t>
      </w:r>
      <w:r>
        <w:rPr>
          <w:rFonts w:hint="eastAsia" w:ascii="宋体" w:hAnsi="宋体" w:cs="宋体"/>
          <w:b/>
          <w:color w:val="auto"/>
          <w:szCs w:val="21"/>
        </w:rPr>
        <w:t>）其他</w:t>
      </w:r>
    </w:p>
    <w:p>
      <w:pPr>
        <w:spacing w:line="360" w:lineRule="auto"/>
        <w:ind w:firstLine="426" w:firstLineChars="200"/>
        <w:rPr>
          <w:rFonts w:hint="eastAsia" w:ascii="宋体" w:hAnsi="宋体" w:cs="宋体"/>
          <w:bCs/>
          <w:color w:val="auto"/>
          <w:szCs w:val="21"/>
        </w:rPr>
      </w:pPr>
      <w:r>
        <w:rPr>
          <w:rFonts w:hint="eastAsia" w:ascii="宋体" w:hAnsi="宋体" w:cs="宋体"/>
          <w:bCs/>
          <w:color w:val="auto"/>
          <w:szCs w:val="21"/>
        </w:rPr>
        <w:t>1、投标人必须在投标文件中对以上条款和服务承诺明确列出，承诺内容必须达到本篇及招标文件其他条款的要求。</w:t>
      </w:r>
    </w:p>
    <w:p>
      <w:pPr>
        <w:spacing w:line="360" w:lineRule="auto"/>
        <w:ind w:firstLine="426" w:firstLineChars="200"/>
        <w:rPr>
          <w:rFonts w:hint="eastAsia" w:ascii="宋体" w:hAnsi="宋体" w:cs="宋体"/>
          <w:bCs/>
          <w:color w:val="auto"/>
          <w:szCs w:val="21"/>
        </w:rPr>
      </w:pPr>
      <w:r>
        <w:rPr>
          <w:rFonts w:hint="eastAsia" w:ascii="宋体" w:hAnsi="宋体" w:cs="宋体"/>
          <w:bCs/>
          <w:color w:val="auto"/>
          <w:szCs w:val="21"/>
        </w:rPr>
        <w:t>2、其他未尽事宜由供需双方在采购合同中详细约定。</w:t>
      </w:r>
      <w:bookmarkEnd w:id="57"/>
      <w:bookmarkStart w:id="62" w:name="_Toc469495740"/>
    </w:p>
    <w:p>
      <w:pPr>
        <w:spacing w:line="360" w:lineRule="auto"/>
        <w:ind w:firstLine="426" w:firstLineChars="200"/>
        <w:rPr>
          <w:rFonts w:hint="eastAsia"/>
          <w:color w:val="auto"/>
          <w:lang w:val="en-US" w:eastAsia="zh-CN"/>
        </w:rPr>
      </w:pPr>
      <w:r>
        <w:rPr>
          <w:rFonts w:hint="eastAsia" w:ascii="宋体" w:hAnsi="宋体" w:cs="宋体"/>
          <w:bCs/>
          <w:color w:val="auto"/>
          <w:szCs w:val="21"/>
          <w:lang w:val="en-US" w:eastAsia="zh-CN"/>
        </w:rPr>
        <w:t>3、投标人在服务期必须遵守安全生产事项、如：发生安全事故由投标人承担一切责任。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24" w:firstLineChars="800"/>
        <w:jc w:val="both"/>
        <w:textAlignment w:val="auto"/>
        <w:outlineLvl w:val="1"/>
        <w:rPr>
          <w:rFonts w:hint="eastAsia" w:ascii="宋体"/>
          <w:b/>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24" w:firstLineChars="800"/>
        <w:jc w:val="both"/>
        <w:textAlignment w:val="auto"/>
        <w:outlineLvl w:val="1"/>
        <w:rPr>
          <w:rFonts w:hint="eastAsia" w:ascii="宋体"/>
          <w:b/>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24" w:firstLineChars="800"/>
        <w:jc w:val="both"/>
        <w:textAlignment w:val="auto"/>
        <w:outlineLvl w:val="1"/>
        <w:rPr>
          <w:rFonts w:hint="eastAsia" w:ascii="宋体"/>
          <w:b/>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24" w:firstLineChars="800"/>
        <w:jc w:val="both"/>
        <w:textAlignment w:val="auto"/>
        <w:outlineLvl w:val="1"/>
        <w:rPr>
          <w:rFonts w:hint="eastAsia" w:ascii="宋体"/>
          <w:b/>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24" w:firstLineChars="800"/>
        <w:jc w:val="both"/>
        <w:textAlignment w:val="auto"/>
        <w:outlineLvl w:val="1"/>
        <w:rPr>
          <w:rFonts w:hint="eastAsia" w:ascii="宋体"/>
          <w:b/>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24" w:firstLineChars="800"/>
        <w:jc w:val="both"/>
        <w:textAlignment w:val="auto"/>
        <w:outlineLvl w:val="1"/>
        <w:rPr>
          <w:rFonts w:hint="eastAsia" w:ascii="宋体"/>
          <w:b/>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24" w:firstLineChars="800"/>
        <w:jc w:val="both"/>
        <w:textAlignment w:val="auto"/>
        <w:outlineLvl w:val="1"/>
        <w:rPr>
          <w:rFonts w:hint="eastAsia" w:ascii="宋体"/>
          <w:b/>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24" w:firstLineChars="800"/>
        <w:jc w:val="both"/>
        <w:textAlignment w:val="auto"/>
        <w:outlineLvl w:val="1"/>
        <w:rPr>
          <w:rFonts w:hint="eastAsia" w:ascii="宋体"/>
          <w:b/>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24" w:firstLineChars="800"/>
        <w:jc w:val="both"/>
        <w:textAlignment w:val="auto"/>
        <w:outlineLvl w:val="1"/>
        <w:rPr>
          <w:rFonts w:hint="eastAsia" w:ascii="宋体"/>
          <w:b/>
          <w:color w:val="auto"/>
          <w:sz w:val="30"/>
          <w:szCs w:val="3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2424" w:firstLineChars="800"/>
        <w:jc w:val="both"/>
        <w:textAlignment w:val="auto"/>
        <w:outlineLvl w:val="1"/>
        <w:rPr>
          <w:rFonts w:hint="eastAsia" w:ascii="宋体"/>
          <w:b/>
          <w:color w:val="auto"/>
          <w:sz w:val="30"/>
          <w:szCs w:val="30"/>
          <w:highlight w:val="none"/>
        </w:rPr>
      </w:pPr>
      <w:r>
        <w:rPr>
          <w:rFonts w:hint="eastAsia" w:ascii="宋体"/>
          <w:b/>
          <w:color w:val="auto"/>
          <w:sz w:val="30"/>
          <w:szCs w:val="30"/>
          <w:highlight w:val="none"/>
          <w:lang w:val="en-US" w:eastAsia="zh-CN"/>
        </w:rPr>
        <w:t xml:space="preserve">第五章 </w:t>
      </w:r>
      <w:r>
        <w:rPr>
          <w:rFonts w:hint="eastAsia" w:ascii="宋体"/>
          <w:b/>
          <w:color w:val="auto"/>
          <w:sz w:val="30"/>
          <w:szCs w:val="30"/>
          <w:highlight w:val="none"/>
        </w:rPr>
        <w:t xml:space="preserve"> 合同条款及格式</w:t>
      </w:r>
      <w:bookmarkEnd w:id="62"/>
      <w:bookmarkStart w:id="63" w:name="_Toc20669"/>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outlineLvl w:val="1"/>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（本合同为合同样稿，最终稿由供需双方协商后确定）</w:t>
      </w:r>
      <w:bookmarkEnd w:id="63"/>
    </w:p>
    <w:p>
      <w:pPr>
        <w:widowControl/>
        <w:numPr>
          <w:ilvl w:val="0"/>
          <w:numId w:val="12"/>
        </w:numPr>
        <w:shd w:val="clear" w:color="auto" w:fill="auto"/>
        <w:spacing w:line="600" w:lineRule="exact"/>
        <w:jc w:val="center"/>
        <w:textAlignment w:val="baseline"/>
        <w:outlineLvl w:val="1"/>
        <w:rPr>
          <w:rFonts w:hint="eastAsia" w:ascii="黑体" w:eastAsia="黑体"/>
          <w:b/>
          <w:color w:val="auto"/>
          <w:sz w:val="28"/>
          <w:szCs w:val="28"/>
          <w:highlight w:val="none"/>
        </w:rPr>
      </w:pPr>
      <w:r>
        <w:rPr>
          <w:rFonts w:hint="eastAsia" w:ascii="宋体"/>
          <w:b/>
          <w:color w:val="auto"/>
          <w:sz w:val="28"/>
          <w:szCs w:val="28"/>
          <w:highlight w:val="none"/>
        </w:rPr>
        <w:t xml:space="preserve"> </w:t>
      </w:r>
      <w:bookmarkStart w:id="64" w:name="_Toc469495741"/>
      <w:r>
        <w:rPr>
          <w:rFonts w:hint="eastAsia" w:ascii="宋体"/>
          <w:b/>
          <w:color w:val="auto"/>
          <w:sz w:val="28"/>
          <w:szCs w:val="28"/>
          <w:highlight w:val="none"/>
        </w:rPr>
        <w:t>合同协议书</w:t>
      </w:r>
      <w:bookmarkEnd w:id="64"/>
    </w:p>
    <w:p>
      <w:pPr>
        <w:shd w:val="clear" w:color="auto" w:fill="auto"/>
        <w:spacing w:line="360" w:lineRule="auto"/>
        <w:ind w:firstLine="486" w:firstLineChars="200"/>
        <w:jc w:val="both"/>
        <w:rPr>
          <w:rFonts w:hint="eastAsia"/>
          <w:color w:val="auto"/>
          <w:lang w:eastAsia="zh-CN"/>
        </w:rPr>
      </w:pPr>
      <w:r>
        <w:rPr>
          <w:rFonts w:hint="eastAsia" w:ascii="宋体"/>
          <w:color w:val="auto"/>
          <w:sz w:val="24"/>
          <w:highlight w:val="none"/>
          <w:lang w:val="en-US" w:eastAsia="zh-CN"/>
        </w:rPr>
        <w:t>合同名称 ：</w:t>
      </w:r>
      <w:r>
        <w:rPr>
          <w:rFonts w:hint="eastAsia" w:ascii="宋体"/>
          <w:b/>
          <w:color w:val="auto"/>
          <w:sz w:val="24"/>
          <w:highlight w:val="none"/>
        </w:rPr>
        <w:t xml:space="preserve">  </w:t>
      </w:r>
      <w:r>
        <w:rPr>
          <w:rFonts w:hint="eastAsia" w:ascii="宋体"/>
          <w:color w:val="auto"/>
          <w:sz w:val="24"/>
          <w:highlight w:val="none"/>
        </w:rPr>
        <w:t xml:space="preserve">    </w:t>
      </w:r>
      <w:r>
        <w:rPr>
          <w:rFonts w:hint="eastAsia" w:ascii="宋体"/>
          <w:color w:val="auto"/>
          <w:sz w:val="24"/>
          <w:highlight w:val="none"/>
          <w:lang w:val="en-US" w:eastAsia="zh-CN"/>
        </w:rPr>
        <w:t xml:space="preserve">       </w:t>
      </w:r>
      <w:r>
        <w:rPr>
          <w:rFonts w:hint="eastAsia" w:ascii="宋体"/>
          <w:color w:val="auto"/>
          <w:sz w:val="24"/>
          <w:highlight w:val="none"/>
        </w:rPr>
        <w:t xml:space="preserve">  </w:t>
      </w:r>
      <w:r>
        <w:rPr>
          <w:rFonts w:hint="eastAsia" w:ascii="宋体"/>
          <w:color w:val="auto"/>
          <w:sz w:val="24"/>
          <w:highlight w:val="none"/>
          <w:lang w:val="en-US" w:eastAsia="zh-CN"/>
        </w:rPr>
        <w:t xml:space="preserve">               </w:t>
      </w:r>
      <w:r>
        <w:rPr>
          <w:rFonts w:hint="eastAsia" w:ascii="宋体"/>
          <w:color w:val="auto"/>
          <w:sz w:val="24"/>
          <w:highlight w:val="none"/>
        </w:rPr>
        <w:t>编号</w:t>
      </w:r>
      <w:r>
        <w:rPr>
          <w:rFonts w:hint="eastAsia" w:ascii="宋体"/>
          <w:color w:val="auto"/>
          <w:sz w:val="24"/>
          <w:highlight w:val="none"/>
          <w:lang w:eastAsia="zh-CN"/>
        </w:rPr>
        <w:t>：</w:t>
      </w:r>
    </w:p>
    <w:p>
      <w:pPr>
        <w:shd w:val="clear" w:color="auto" w:fill="auto"/>
        <w:spacing w:line="420" w:lineRule="exact"/>
        <w:ind w:firstLine="426" w:firstLineChars="200"/>
        <w:rPr>
          <w:rFonts w:hint="eastAsia" w:ascii="宋体" w:cs="宋体"/>
          <w:color w:val="auto"/>
          <w:szCs w:val="21"/>
          <w:highlight w:val="none"/>
        </w:rPr>
      </w:pPr>
      <w:bookmarkStart w:id="65" w:name="_Toc296602498"/>
      <w:bookmarkStart w:id="66" w:name="_Toc469495742"/>
      <w:bookmarkStart w:id="67" w:name="_Toc152042388"/>
      <w:bookmarkStart w:id="68" w:name="_Toc247085768"/>
      <w:bookmarkStart w:id="69" w:name="_Toc246996253"/>
      <w:bookmarkStart w:id="70" w:name="_Toc144974578"/>
      <w:bookmarkStart w:id="71" w:name="_Toc246996996"/>
      <w:bookmarkStart w:id="72" w:name="_Toc179632628"/>
      <w:bookmarkStart w:id="73" w:name="_Toc152045610"/>
      <w:r>
        <w:rPr>
          <w:rFonts w:hint="eastAsia" w:ascii="宋体" w:cs="宋体"/>
          <w:color w:val="auto"/>
          <w:szCs w:val="21"/>
          <w:highlight w:val="none"/>
        </w:rPr>
        <w:t>买    方：                                   卖    方：</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电    话：                                   电    话：</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 xml:space="preserve">住    所：                                   住    所：                       </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u w:val="single"/>
        </w:rPr>
        <w:t>（买方）</w:t>
      </w:r>
      <w:r>
        <w:rPr>
          <w:rFonts w:hint="eastAsia" w:ascii="宋体" w:cs="宋体"/>
          <w:color w:val="auto"/>
          <w:szCs w:val="21"/>
          <w:highlight w:val="none"/>
        </w:rPr>
        <w:t>的</w:t>
      </w:r>
      <w:r>
        <w:rPr>
          <w:rFonts w:hint="eastAsia" w:ascii="宋体" w:cs="宋体"/>
          <w:color w:val="auto"/>
          <w:szCs w:val="21"/>
          <w:highlight w:val="none"/>
          <w:u w:val="single"/>
        </w:rPr>
        <w:t>（项目名称）</w:t>
      </w:r>
      <w:r>
        <w:rPr>
          <w:rFonts w:hint="eastAsia" w:ascii="宋体" w:cs="宋体"/>
          <w:color w:val="auto"/>
          <w:szCs w:val="21"/>
          <w:highlight w:val="none"/>
        </w:rPr>
        <w:t>中所需</w:t>
      </w:r>
      <w:r>
        <w:rPr>
          <w:rFonts w:hint="eastAsia" w:ascii="宋体" w:cs="宋体"/>
          <w:color w:val="auto"/>
          <w:szCs w:val="21"/>
          <w:highlight w:val="none"/>
          <w:u w:val="single"/>
        </w:rPr>
        <w:t>（产品名称）</w:t>
      </w:r>
      <w:r>
        <w:rPr>
          <w:rFonts w:hint="eastAsia" w:ascii="宋体" w:cs="宋体"/>
          <w:color w:val="auto"/>
          <w:szCs w:val="21"/>
          <w:highlight w:val="none"/>
        </w:rPr>
        <w:t xml:space="preserve"> 经公开招标，确定</w:t>
      </w:r>
      <w:r>
        <w:rPr>
          <w:rFonts w:hint="eastAsia" w:ascii="宋体" w:cs="宋体"/>
          <w:color w:val="auto"/>
          <w:szCs w:val="21"/>
          <w:highlight w:val="none"/>
          <w:u w:val="single"/>
        </w:rPr>
        <w:t>（卖方）</w:t>
      </w:r>
      <w:r>
        <w:rPr>
          <w:rFonts w:hint="eastAsia" w:ascii="宋体" w:cs="宋体"/>
          <w:color w:val="auto"/>
          <w:szCs w:val="21"/>
          <w:highlight w:val="none"/>
        </w:rPr>
        <w:t>为中标人。按照中华人民共和国合同法的规定，买卖双方同意按照下述的条款和条件，签署本合同。</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1、本合同文件</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下列每一文件均应作为合同的组成部分进行阅读和解释：</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（1）</w:t>
      </w:r>
      <w:r>
        <w:rPr>
          <w:rFonts w:hint="eastAsia" w:ascii="宋体" w:cs="宋体"/>
          <w:color w:val="auto"/>
          <w:szCs w:val="21"/>
          <w:highlight w:val="none"/>
          <w:lang w:eastAsia="zh-CN"/>
        </w:rPr>
        <w:t>采购文件</w:t>
      </w:r>
      <w:r>
        <w:rPr>
          <w:rFonts w:hint="eastAsia" w:ascii="宋体" w:cs="宋体"/>
          <w:color w:val="auto"/>
          <w:szCs w:val="21"/>
          <w:highlight w:val="none"/>
        </w:rPr>
        <w:t>（2）投标文件（3）中标通知书</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（4）经双方确认进入合同的其它文件、补充条款或说明</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2、采购标的、数量、质量要求</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3、合同总价</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 xml:space="preserve">合同总价为 </w:t>
      </w:r>
      <w:r>
        <w:rPr>
          <w:rFonts w:hint="eastAsia" w:ascii="宋体" w:cs="宋体"/>
          <w:color w:val="auto"/>
          <w:szCs w:val="21"/>
          <w:highlight w:val="none"/>
          <w:u w:val="single"/>
        </w:rPr>
        <w:t xml:space="preserve">              </w:t>
      </w:r>
      <w:r>
        <w:rPr>
          <w:rFonts w:hint="eastAsia" w:ascii="宋体" w:cs="宋体"/>
          <w:color w:val="auto"/>
          <w:szCs w:val="21"/>
          <w:highlight w:val="none"/>
        </w:rPr>
        <w:t>元人民币。</w:t>
      </w:r>
    </w:p>
    <w:p>
      <w:pPr>
        <w:shd w:val="clear" w:color="auto" w:fill="auto"/>
        <w:autoSpaceDN w:val="0"/>
        <w:spacing w:line="240" w:lineRule="atLeast"/>
        <w:ind w:firstLine="426" w:firstLineChars="200"/>
        <w:rPr>
          <w:rFonts w:hint="eastAsia" w:ascii="宋体" w:hAnsi="宋体" w:cs="宋体"/>
          <w:b/>
          <w:color w:val="auto"/>
          <w:kern w:val="0"/>
          <w:szCs w:val="21"/>
          <w:highlight w:val="none"/>
        </w:rPr>
      </w:pPr>
      <w:r>
        <w:rPr>
          <w:rFonts w:hint="eastAsia" w:ascii="宋体" w:cs="宋体"/>
          <w:color w:val="auto"/>
          <w:szCs w:val="21"/>
          <w:highlight w:val="none"/>
        </w:rPr>
        <w:t>4、付款方式</w:t>
      </w:r>
      <w:r>
        <w:rPr>
          <w:rFonts w:hint="eastAsia" w:ascii="黑体" w:eastAsia="黑体" w:cs="宋体"/>
          <w:b/>
          <w:bCs/>
          <w:color w:val="auto"/>
          <w:szCs w:val="21"/>
          <w:highlight w:val="none"/>
        </w:rPr>
        <w:t>：</w:t>
      </w:r>
      <w:r>
        <w:rPr>
          <w:rFonts w:hint="eastAsia" w:ascii="宋体"/>
          <w:color w:val="auto"/>
          <w:szCs w:val="21"/>
          <w:highlight w:val="none"/>
          <w:u w:val="single"/>
        </w:rPr>
        <w:t xml:space="preserve">                                         。</w:t>
      </w:r>
    </w:p>
    <w:p>
      <w:pPr>
        <w:shd w:val="clear" w:color="auto" w:fill="auto"/>
        <w:spacing w:line="360" w:lineRule="auto"/>
        <w:ind w:firstLine="426" w:firstLineChars="200"/>
        <w:rPr>
          <w:rFonts w:hint="eastAsia" w:ascii="宋体"/>
          <w:color w:val="auto"/>
          <w:szCs w:val="21"/>
          <w:highlight w:val="none"/>
        </w:rPr>
      </w:pPr>
      <w:r>
        <w:rPr>
          <w:rFonts w:hint="eastAsia" w:ascii="宋体" w:cs="宋体"/>
          <w:color w:val="auto"/>
          <w:szCs w:val="21"/>
          <w:highlight w:val="none"/>
        </w:rPr>
        <w:t>5、</w:t>
      </w:r>
      <w:r>
        <w:rPr>
          <w:rFonts w:hint="eastAsia" w:ascii="宋体"/>
          <w:color w:val="auto"/>
          <w:szCs w:val="21"/>
          <w:highlight w:val="none"/>
        </w:rPr>
        <w:t>合同供货（服务）期限及地点和方式</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6、验收要求及违约责任</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7、违约责任及解决争议方法</w:t>
      </w:r>
    </w:p>
    <w:p>
      <w:pPr>
        <w:shd w:val="clear" w:color="auto" w:fill="auto"/>
        <w:spacing w:line="420" w:lineRule="exact"/>
        <w:ind w:firstLine="426" w:firstLineChars="200"/>
        <w:rPr>
          <w:rFonts w:hint="eastAsia" w:ascii="宋体" w:cs="宋体"/>
          <w:color w:val="auto"/>
          <w:szCs w:val="21"/>
          <w:highlight w:val="none"/>
        </w:rPr>
      </w:pPr>
      <w:r>
        <w:rPr>
          <w:rFonts w:hint="eastAsia" w:ascii="宋体" w:cs="宋体"/>
          <w:color w:val="auto"/>
          <w:szCs w:val="21"/>
          <w:highlight w:val="none"/>
        </w:rPr>
        <w:t>8、合同的生效</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合同经双方授权代表签署，买卖双方加盖印章之后生效。</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本合同一式     份，双方各执     份。</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买  方：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 xml:space="preserve">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卖  方：</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名  称：（盖章）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名  称：（盖章）</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法定代表人（或委托代理人）： （签字） 法定代表人（或委托代理人）：（签字）                        </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地    址：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 xml:space="preserve"> 地    址：</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邮政编码：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邮政编码：</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电    话：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电    话：</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开户银行：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 xml:space="preserve"> 开户银行：</w:t>
      </w:r>
    </w:p>
    <w:p>
      <w:pPr>
        <w:pStyle w:val="12"/>
        <w:shd w:val="clear" w:color="auto" w:fill="auto"/>
        <w:spacing w:after="0" w:line="420" w:lineRule="exact"/>
        <w:ind w:left="0" w:leftChars="0" w:firstLine="426" w:firstLineChars="200"/>
        <w:rPr>
          <w:rFonts w:hint="eastAsia" w:ascii="宋体" w:cs="宋体"/>
          <w:color w:val="auto"/>
          <w:kern w:val="0"/>
          <w:szCs w:val="21"/>
          <w:highlight w:val="none"/>
          <w:u w:val="none" w:color="000000"/>
        </w:rPr>
      </w:pPr>
      <w:r>
        <w:rPr>
          <w:rFonts w:hint="eastAsia" w:ascii="宋体" w:cs="宋体"/>
          <w:color w:val="auto"/>
          <w:kern w:val="0"/>
          <w:szCs w:val="21"/>
          <w:highlight w:val="none"/>
          <w:u w:val="none" w:color="000000"/>
        </w:rPr>
        <w:t xml:space="preserve">帐    号：                        </w:t>
      </w:r>
      <w:r>
        <w:rPr>
          <w:rFonts w:hint="eastAsia" w:ascii="宋体" w:cs="宋体"/>
          <w:color w:val="auto"/>
          <w:kern w:val="0"/>
          <w:szCs w:val="21"/>
          <w:highlight w:val="none"/>
          <w:u w:val="none" w:color="000000"/>
          <w:lang w:val="en-US" w:eastAsia="zh-CN"/>
        </w:rPr>
        <w:t xml:space="preserve">    </w:t>
      </w:r>
      <w:r>
        <w:rPr>
          <w:rFonts w:hint="eastAsia" w:ascii="宋体" w:cs="宋体"/>
          <w:color w:val="auto"/>
          <w:kern w:val="0"/>
          <w:szCs w:val="21"/>
          <w:highlight w:val="none"/>
          <w:u w:val="none" w:color="000000"/>
        </w:rPr>
        <w:t>帐    号：</w:t>
      </w:r>
    </w:p>
    <w:p>
      <w:pPr>
        <w:rPr>
          <w:rFonts w:hint="eastAsia"/>
          <w:color w:val="auto"/>
        </w:rPr>
      </w:pPr>
    </w:p>
    <w:p>
      <w:pPr>
        <w:pStyle w:val="12"/>
        <w:shd w:val="clear" w:color="auto" w:fill="auto"/>
        <w:spacing w:after="0" w:line="420" w:lineRule="exact"/>
        <w:ind w:left="0" w:leftChars="0" w:firstLine="566" w:firstLineChars="200"/>
        <w:jc w:val="center"/>
        <w:rPr>
          <w:rFonts w:hint="eastAsia" w:asciiTheme="majorEastAsia" w:hAnsiTheme="majorEastAsia" w:eastAsiaTheme="majorEastAsia" w:cstheme="majorEastAsia"/>
          <w:b/>
          <w:color w:val="auto"/>
          <w:sz w:val="28"/>
          <w:szCs w:val="28"/>
          <w:highlight w:val="none"/>
        </w:rPr>
      </w:pPr>
      <w:r>
        <w:rPr>
          <w:rFonts w:hint="eastAsia" w:asciiTheme="majorEastAsia" w:hAnsiTheme="majorEastAsia" w:eastAsiaTheme="majorEastAsia" w:cstheme="majorEastAsia"/>
          <w:b/>
          <w:color w:val="auto"/>
          <w:sz w:val="28"/>
          <w:szCs w:val="28"/>
          <w:highlight w:val="none"/>
        </w:rPr>
        <w:t>二  合同条款</w:t>
      </w:r>
      <w:bookmarkEnd w:id="65"/>
      <w:bookmarkEnd w:id="66"/>
      <w:bookmarkEnd w:id="67"/>
      <w:bookmarkEnd w:id="68"/>
      <w:bookmarkEnd w:id="69"/>
      <w:bookmarkEnd w:id="70"/>
      <w:bookmarkEnd w:id="71"/>
      <w:bookmarkEnd w:id="72"/>
      <w:bookmarkEnd w:id="73"/>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一.  合同文件</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1、合同文件适用法律</w:t>
      </w:r>
    </w:p>
    <w:p>
      <w:pPr>
        <w:shd w:val="clear" w:color="auto" w:fill="auto"/>
        <w:spacing w:line="440" w:lineRule="exact"/>
        <w:ind w:firstLine="639" w:firstLineChars="300"/>
        <w:rPr>
          <w:rFonts w:hint="eastAsia" w:ascii="宋体" w:cs="宋体"/>
          <w:color w:val="auto"/>
          <w:szCs w:val="21"/>
          <w:highlight w:val="none"/>
        </w:rPr>
      </w:pPr>
      <w:r>
        <w:rPr>
          <w:rFonts w:hint="eastAsia" w:ascii="宋体" w:cs="宋体"/>
          <w:color w:val="auto"/>
          <w:szCs w:val="21"/>
          <w:highlight w:val="none"/>
        </w:rPr>
        <w:t>适用于合同文件的法律是中华人民共和国现行法律、法规及招标人所在地的地方性法规。</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2、合同文件组成和解释顺序</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(1)合同文件的组成和解释顺序如下：</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&lt;1&gt;合同的主要条款；</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&lt;2&gt;合同的一般性条款；</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&lt;3&gt;洽商、变更等明确双方权利义务的纪要、协议；</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&lt;4&gt;中标通知书、投标文件和</w:t>
      </w:r>
      <w:r>
        <w:rPr>
          <w:rFonts w:hint="eastAsia" w:ascii="宋体" w:cs="宋体"/>
          <w:color w:val="auto"/>
          <w:szCs w:val="21"/>
          <w:highlight w:val="none"/>
          <w:lang w:eastAsia="zh-CN"/>
        </w:rPr>
        <w:t>采购文件</w:t>
      </w:r>
      <w:r>
        <w:rPr>
          <w:rFonts w:hint="eastAsia" w:ascii="宋体" w:cs="宋体"/>
          <w:color w:val="auto"/>
          <w:szCs w:val="21"/>
          <w:highlight w:val="none"/>
        </w:rPr>
        <w:t>；</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&lt;5&gt;有关图纸、标准、规范和其它有关技术资料、技术要求。</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&lt;6&gt;合同的主要条款的效力优于合同的一般性条款的效力。</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3、合同文件使用文字</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(1)合同文件使用中文书写、解释和说明。</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 xml:space="preserve">(2)合同文件使用技术性条款约定的为国家标准和规范；国家没有相应标准、规范时，可使用行业标准、规范。非标货物应按约定的技术性条款的标准和规范。 </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二.  标的物的一般条款</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4、完整物权</w:t>
      </w:r>
    </w:p>
    <w:p>
      <w:pPr>
        <w:shd w:val="clear" w:color="auto" w:fill="auto"/>
        <w:tabs>
          <w:tab w:val="left" w:pos="660"/>
        </w:tabs>
        <w:spacing w:line="440" w:lineRule="exact"/>
        <w:rPr>
          <w:rFonts w:hint="eastAsia" w:ascii="宋体" w:cs="宋体"/>
          <w:color w:val="auto"/>
          <w:szCs w:val="21"/>
          <w:highlight w:val="none"/>
        </w:rPr>
      </w:pPr>
      <w:r>
        <w:rPr>
          <w:rFonts w:hint="eastAsia" w:ascii="宋体" w:cs="宋体"/>
          <w:color w:val="auto"/>
          <w:szCs w:val="21"/>
          <w:highlight w:val="none"/>
        </w:rPr>
        <w:t xml:space="preserve"> </w:t>
      </w:r>
      <w:r>
        <w:rPr>
          <w:rFonts w:hint="eastAsia" w:ascii="宋体" w:cs="宋体"/>
          <w:color w:val="auto"/>
          <w:szCs w:val="21"/>
          <w:highlight w:val="none"/>
        </w:rPr>
        <w:tab/>
      </w:r>
      <w:r>
        <w:rPr>
          <w:rFonts w:hint="eastAsia" w:ascii="宋体" w:cs="宋体"/>
          <w:color w:val="auto"/>
          <w:szCs w:val="21"/>
          <w:highlight w:val="none"/>
        </w:rPr>
        <w:t>对于出卖的标的物，卖方应当拥有完整物权，并且卖方负有保证第三人不得向买方主张任何权利（包括知识产权）的义务。</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5、质量保证</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8"/>
        <w:shd w:val="clear" w:color="auto" w:fill="auto"/>
        <w:tabs>
          <w:tab w:val="left" w:pos="900"/>
        </w:tabs>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6、包装</w:t>
      </w:r>
    </w:p>
    <w:p>
      <w:pPr>
        <w:pStyle w:val="8"/>
        <w:shd w:val="clear" w:color="auto" w:fill="auto"/>
        <w:tabs>
          <w:tab w:val="left" w:pos="900"/>
        </w:tabs>
        <w:spacing w:line="440" w:lineRule="exact"/>
        <w:ind w:firstLine="478" w:firstLineChars="225"/>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7、伴随服务</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(1)卖方除应履行按期按量交付合格标的物的义务之外，还应提供下列服务：</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&lt;1&gt;标的物的现场安装或指导安装、启动、调试、监督（如果必须安装、调试的话）；</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&lt;2&gt;提供标的物组装和一般维修所必须的工具；</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&lt;3&gt;在合同规定的期限内对所提供标的物实行运行监督、维修服务的前提条件是该服务并不能免除卖方在质量保证期内所承担的义务；</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&lt;4&gt;对买方技术人员的技术指导或培训。</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(2)除合同另有规定之外，伴随服务的费用均已含在合同价款中，买方不再另行进行支付。</w:t>
      </w:r>
    </w:p>
    <w:p>
      <w:pPr>
        <w:spacing w:line="560" w:lineRule="exact"/>
        <w:ind w:firstLine="426" w:firstLineChars="200"/>
        <w:outlineLvl w:val="0"/>
        <w:rPr>
          <w:rFonts w:hint="eastAsia" w:ascii="宋体" w:hAnsi="宋体" w:eastAsia="宋体" w:cs="宋体"/>
          <w:b/>
          <w:color w:val="auto"/>
          <w:sz w:val="24"/>
        </w:rPr>
      </w:pPr>
      <w:r>
        <w:rPr>
          <w:rFonts w:hint="eastAsia" w:ascii="宋体" w:cs="宋体"/>
          <w:b/>
          <w:color w:val="auto"/>
          <w:szCs w:val="21"/>
          <w:highlight w:val="none"/>
        </w:rPr>
        <w:t xml:space="preserve">三. </w:t>
      </w:r>
      <w:r>
        <w:rPr>
          <w:rFonts w:hint="eastAsia" w:ascii="宋体" w:hAnsi="宋体" w:eastAsia="宋体" w:cs="宋体"/>
          <w:b/>
          <w:color w:val="auto"/>
          <w:sz w:val="24"/>
        </w:rPr>
        <w:t xml:space="preserve"> 检验和验收</w:t>
      </w:r>
    </w:p>
    <w:p>
      <w:pPr>
        <w:tabs>
          <w:tab w:val="left" w:pos="360"/>
          <w:tab w:val="left" w:pos="540"/>
          <w:tab w:val="left" w:pos="1080"/>
        </w:tabs>
        <w:spacing w:line="560" w:lineRule="exact"/>
        <w:ind w:firstLine="426"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1服务交付前，乙方应对服务的质量、数量等方面进行详细、全面的检验，并向甲方出具证明服务符合合同约定的文件；服务交付时，乙方在合同专用条款约定时间内组织验收，并可依法邀请相关方参加，验收应出具验收书。</w:t>
      </w:r>
    </w:p>
    <w:p>
      <w:pPr>
        <w:tabs>
          <w:tab w:val="left" w:pos="360"/>
          <w:tab w:val="left" w:pos="540"/>
          <w:tab w:val="left" w:pos="1080"/>
        </w:tabs>
        <w:spacing w:line="560" w:lineRule="exact"/>
        <w:ind w:firstLine="426"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26"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3 检验和验收标准、程序等具体内容以及前述验收书的效力详见合同专用条款。</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四. 对标的物提出异议的时间和办法</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 xml:space="preserve">、对标的物提出异议的时间和办法 </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(1)买方在验收过程中，应当于双方约定的检验期间内将标的物的数量或质量不符合约定的情形及处理方式以书面形式通知卖方。</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(2)如买方在验收期满后既不出具验收合格证明又未提出书面异议的视为卖方所交标的物符合合同规定。</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(3)卖方应在收到买方书面异议后</w:t>
      </w:r>
      <w:r>
        <w:rPr>
          <w:rFonts w:hint="eastAsia" w:ascii="宋体" w:cs="宋体"/>
          <w:color w:val="auto"/>
          <w:sz w:val="21"/>
          <w:szCs w:val="21"/>
          <w:highlight w:val="none"/>
          <w:u w:val="none" w:color="000000"/>
          <w:lang w:val="en-US" w:eastAsia="zh-CN"/>
        </w:rPr>
        <w:t>3</w:t>
      </w:r>
      <w:r>
        <w:rPr>
          <w:rFonts w:hint="eastAsia" w:ascii="宋体" w:cs="宋体"/>
          <w:color w:val="auto"/>
          <w:sz w:val="21"/>
          <w:szCs w:val="21"/>
          <w:highlight w:val="none"/>
          <w:u w:val="none" w:color="000000"/>
        </w:rPr>
        <w:t>天内负责处理问题，否则将视为默认买方提出的异议和处理意见。</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五. 合同价款和支付</w:t>
      </w:r>
    </w:p>
    <w:p>
      <w:pPr>
        <w:shd w:val="clear" w:color="auto" w:fill="auto"/>
        <w:spacing w:line="440" w:lineRule="exact"/>
        <w:ind w:firstLine="213" w:firstLineChars="100"/>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合同价款和支付</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(1)本合同的结算货币为人民币，单位元。</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(2)卖方应按照双方签订的合同规定交货并在合同主要条款规定的期限内持下列单据结算货款：</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&lt;1&gt;合格的销售发票；</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&lt;2&gt;买方盖章签收后的送货回单和验收合格证明。</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(3)买方应按合同主要条款规定的期限和方式付款。</w:t>
      </w:r>
    </w:p>
    <w:p>
      <w:pPr>
        <w:pStyle w:val="8"/>
        <w:shd w:val="clear" w:color="auto" w:fill="auto"/>
        <w:tabs>
          <w:tab w:val="left" w:pos="540"/>
        </w:tabs>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(4)根据现行税法对买方征收的与本合同有关的一切税费均由买方承担；根据现行税法对卖方征收的与本合同有关的一切税费均由卖方承担。</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六. 违约责任</w:t>
      </w:r>
    </w:p>
    <w:p>
      <w:pPr>
        <w:keepNext w:val="0"/>
        <w:keepLines w:val="0"/>
        <w:pageBreakBefore w:val="0"/>
        <w:kinsoku/>
        <w:wordWrap/>
        <w:overflowPunct/>
        <w:topLinePunct w:val="0"/>
        <w:bidi w:val="0"/>
        <w:spacing w:line="400" w:lineRule="exact"/>
        <w:ind w:firstLine="486" w:firstLineChars="200"/>
        <w:textAlignment w:val="auto"/>
        <w:rPr>
          <w:rFonts w:hint="eastAsia" w:ascii="宋体" w:hAnsi="宋体" w:eastAsia="宋体" w:cs="宋体"/>
          <w:b/>
          <w:bCs/>
          <w:color w:val="auto"/>
          <w:kern w:val="0"/>
          <w:sz w:val="24"/>
          <w:szCs w:val="24"/>
          <w:lang w:val="en-US" w:eastAsia="zh-CN" w:bidi="ar"/>
        </w:rPr>
      </w:pPr>
      <w:r>
        <w:rPr>
          <w:rFonts w:hint="eastAsia" w:ascii="宋体" w:hAnsi="宋体" w:cs="宋体"/>
          <w:b/>
          <w:bCs/>
          <w:color w:val="auto"/>
          <w:kern w:val="0"/>
          <w:sz w:val="24"/>
          <w:szCs w:val="24"/>
          <w:lang w:val="en-US" w:eastAsia="zh-CN" w:bidi="ar"/>
        </w:rPr>
        <w:t>1</w:t>
      </w:r>
      <w:r>
        <w:rPr>
          <w:rFonts w:hint="eastAsia" w:ascii="宋体" w:hAnsi="宋体" w:eastAsia="宋体" w:cs="宋体"/>
          <w:b/>
          <w:bCs/>
          <w:color w:val="auto"/>
          <w:kern w:val="0"/>
          <w:sz w:val="24"/>
          <w:szCs w:val="24"/>
          <w:lang w:val="en-US" w:eastAsia="zh-CN" w:bidi="ar"/>
        </w:rPr>
        <w:t>、违约责任：</w:t>
      </w:r>
    </w:p>
    <w:p>
      <w:pPr>
        <w:keepNext w:val="0"/>
        <w:keepLines w:val="0"/>
        <w:pageBreakBefore w:val="0"/>
        <w:kinsoku/>
        <w:wordWrap/>
        <w:overflowPunct/>
        <w:topLinePunct w:val="0"/>
        <w:bidi w:val="0"/>
        <w:spacing w:line="400" w:lineRule="exact"/>
        <w:ind w:firstLine="426" w:firstLineChars="20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cs="宋体"/>
          <w:color w:val="auto"/>
          <w:kern w:val="0"/>
          <w:sz w:val="21"/>
          <w:szCs w:val="21"/>
          <w:highlight w:val="none"/>
          <w:u w:val="none" w:color="000000"/>
          <w:lang w:val="en-US" w:eastAsia="zh-CN" w:bidi="ar-SA"/>
        </w:rPr>
        <w:t>供应商</w:t>
      </w:r>
      <w:r>
        <w:rPr>
          <w:rFonts w:hint="eastAsia" w:ascii="宋体" w:hAnsi="Times New Roman" w:eastAsia="宋体" w:cs="宋体"/>
          <w:color w:val="auto"/>
          <w:kern w:val="0"/>
          <w:sz w:val="21"/>
          <w:szCs w:val="21"/>
          <w:highlight w:val="none"/>
          <w:u w:val="none" w:color="000000"/>
          <w:lang w:val="en-US" w:eastAsia="zh-CN" w:bidi="ar-SA"/>
        </w:rPr>
        <w:t>在工作时有下列行为，采购人将采取终止合同、列入黑名单及拒绝支付审计费用等处理处罚措施，涉嫌犯罪的，移送司法机关依法追究责任：</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(1)将受托业务转包或分包给其他中介机构或个人；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(2)未按委托要求实施程序导致应发现问题而未发现，或故意隐瞒存在问题；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(3)全过程服务工作存在严重质量问题；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(4)拒绝接受委托方监督、检查、指导；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(5)索取、收受委托合同约定以外的酬金或者其他财物，或者利用执行业务之便，谋取其他不正当的利益；</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(6)泄露国家秘密、公安工作秘密和相关单位商业秘密； </w:t>
      </w:r>
    </w:p>
    <w:p>
      <w:pPr>
        <w:keepNext w:val="0"/>
        <w:keepLines w:val="0"/>
        <w:pageBreakBefore w:val="0"/>
        <w:numPr>
          <w:ilvl w:val="0"/>
          <w:numId w:val="0"/>
        </w:numPr>
        <w:kinsoku/>
        <w:wordWrap/>
        <w:overflowPunct/>
        <w:topLinePunct w:val="0"/>
        <w:bidi w:val="0"/>
        <w:spacing w:line="400" w:lineRule="exact"/>
        <w:ind w:left="700" w:leftChars="0"/>
        <w:textAlignment w:val="auto"/>
        <w:rPr>
          <w:rFonts w:hint="eastAsia" w:ascii="宋体" w:cs="宋体"/>
          <w:b/>
          <w:color w:val="auto"/>
          <w:szCs w:val="21"/>
          <w:highlight w:val="none"/>
        </w:rPr>
      </w:pPr>
      <w:r>
        <w:rPr>
          <w:rFonts w:hint="eastAsia" w:ascii="宋体" w:hAnsi="Times New Roman" w:eastAsia="宋体" w:cs="宋体"/>
          <w:color w:val="auto"/>
          <w:kern w:val="0"/>
          <w:sz w:val="21"/>
          <w:szCs w:val="21"/>
          <w:highlight w:val="none"/>
          <w:u w:val="none" w:color="000000"/>
          <w:lang w:val="en-US" w:eastAsia="zh-CN" w:bidi="ar-SA"/>
        </w:rPr>
        <w:t>(7)其他违反执业规范和执业道德及违法违纪行为。</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七. 索赔</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、索赔</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(1)买方有权根据当地产品质量检验机构或其它有权威部门出具的检验证书向卖方提出索赔。</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(2)在本合同规定的检验期和质量保证期内，如果卖方对买方提出的索赔或差异有责任，则卖方应按买方同意的下列一种或多种方式解决索赔事宜：</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&lt;2&gt;根据标的物的低劣程度、损坏程度以及甲方遭受损失的数额，经双方协商确定降低标的物的价格；</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(4)买方提出索赔的书面材料应报当地政府采购管理部门备案。卖方同意的索赔方案应报当地政府采购管理部门审核。</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八. 履约保证金</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、履约保证金</w:t>
      </w:r>
    </w:p>
    <w:p>
      <w:pPr>
        <w:spacing w:line="560" w:lineRule="exact"/>
        <w:ind w:firstLine="426"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（1）采购文件要求乙方提交履约保证金的，乙方应按合同专用条款约定的方式，以电汇、转账、网银汇款</w:t>
      </w:r>
      <w:r>
        <w:rPr>
          <w:rFonts w:hint="eastAsia" w:ascii="宋体" w:cs="宋体"/>
          <w:color w:val="auto"/>
          <w:kern w:val="0"/>
          <w:sz w:val="21"/>
          <w:szCs w:val="21"/>
          <w:highlight w:val="none"/>
          <w:u w:val="none" w:color="000000"/>
          <w:lang w:val="en-US" w:eastAsia="zh-CN" w:bidi="ar-SA"/>
        </w:rPr>
        <w:t>、保函</w:t>
      </w:r>
      <w:r>
        <w:rPr>
          <w:rFonts w:hint="eastAsia" w:ascii="宋体" w:hAnsi="Times New Roman" w:eastAsia="宋体" w:cs="宋体"/>
          <w:color w:val="auto"/>
          <w:kern w:val="0"/>
          <w:sz w:val="21"/>
          <w:szCs w:val="21"/>
          <w:highlight w:val="none"/>
          <w:u w:val="none" w:color="000000"/>
          <w:lang w:val="en-US" w:eastAsia="zh-CN" w:bidi="ar-SA"/>
        </w:rPr>
        <w:t>等非现金形式，提交合同价10%的履约保证金；</w:t>
      </w:r>
    </w:p>
    <w:p>
      <w:pPr>
        <w:spacing w:line="560" w:lineRule="exact"/>
        <w:ind w:firstLine="426" w:firstLineChars="200"/>
        <w:rPr>
          <w:rFonts w:hint="eastAsia" w:ascii="宋体" w:hAnsi="Times New Roman" w:eastAsia="宋体" w:cs="宋体"/>
          <w:color w:val="auto"/>
          <w:kern w:val="0"/>
          <w:sz w:val="21"/>
          <w:szCs w:val="21"/>
          <w:highlight w:val="none"/>
          <w:u w:val="none" w:color="000000"/>
          <w:lang w:val="en-US" w:eastAsia="zh-CN" w:bidi="ar-SA"/>
        </w:rPr>
      </w:pPr>
      <w:r>
        <w:rPr>
          <w:rFonts w:hint="eastAsia" w:ascii="宋体" w:hAnsi="Times New Roman" w:eastAsia="宋体" w:cs="宋体"/>
          <w:color w:val="auto"/>
          <w:kern w:val="0"/>
          <w:sz w:val="21"/>
          <w:szCs w:val="21"/>
          <w:highlight w:val="none"/>
          <w:u w:val="none" w:color="000000"/>
          <w:lang w:val="en-US" w:eastAsia="zh-CN" w:bidi="ar-SA"/>
        </w:rPr>
        <w:t xml:space="preserve"> （2）履约保证金在合同专用条款约定期间内或者服务质量保证期内不予退还或者应完全有效，前述约定期间届满或者服务质量保证期届满之日起 5 个工作日内，甲方应将履约保证金退还乙方；</w:t>
      </w:r>
    </w:p>
    <w:p>
      <w:pPr>
        <w:shd w:val="clear" w:color="auto" w:fill="auto"/>
        <w:spacing w:line="440" w:lineRule="exact"/>
        <w:rPr>
          <w:rFonts w:hint="eastAsia" w:ascii="宋体" w:cs="宋体"/>
          <w:b/>
          <w:color w:val="auto"/>
          <w:szCs w:val="21"/>
          <w:highlight w:val="none"/>
        </w:rPr>
      </w:pP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九.  合同的解除和转让</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、合同的解除</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(1)买方和卖方协商一致，可以解除合同。</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(2)有下列情形之一，合同一方可以解除合同：</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&lt;1&gt;因不可抗力致使不能实现合同目的，未受不可抗力影响的一方有权解除合同；</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&lt;2&gt;因合同一方违约导致合同不能履行，另一方有权解除合同。</w:t>
      </w:r>
    </w:p>
    <w:p>
      <w:pPr>
        <w:pStyle w:val="8"/>
        <w:shd w:val="clear" w:color="auto" w:fill="auto"/>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(3)有权解除合同的一方，应当在违约事实或不可抗力发生之后三十天内书面通知对方以主张解除合同，合同在书面通知到达对方时解除。</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2</w:t>
      </w:r>
      <w:r>
        <w:rPr>
          <w:rFonts w:hint="eastAsia" w:ascii="宋体" w:cs="宋体"/>
          <w:color w:val="auto"/>
          <w:szCs w:val="21"/>
          <w:highlight w:val="none"/>
        </w:rPr>
        <w:t>、合同的转让</w:t>
      </w:r>
    </w:p>
    <w:p>
      <w:pPr>
        <w:shd w:val="clear" w:color="auto" w:fill="auto"/>
        <w:spacing w:line="440" w:lineRule="exact"/>
        <w:rPr>
          <w:rFonts w:hint="eastAsia" w:ascii="宋体" w:cs="宋体"/>
          <w:b/>
          <w:color w:val="auto"/>
          <w:szCs w:val="21"/>
          <w:highlight w:val="none"/>
        </w:rPr>
      </w:pPr>
      <w:r>
        <w:rPr>
          <w:rFonts w:hint="eastAsia" w:ascii="宋体" w:cs="宋体"/>
          <w:color w:val="auto"/>
          <w:szCs w:val="21"/>
          <w:highlight w:val="none"/>
        </w:rPr>
        <w:t xml:space="preserve">    合同的部分和全部都不得转让。</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 合同的生效</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、合同的生效</w:t>
      </w:r>
    </w:p>
    <w:p>
      <w:pPr>
        <w:shd w:val="clear" w:color="auto" w:fill="auto"/>
        <w:spacing w:line="440" w:lineRule="exact"/>
        <w:ind w:firstLine="589" w:firstLineChars="277"/>
        <w:rPr>
          <w:rFonts w:hint="eastAsia" w:ascii="宋体" w:cs="宋体"/>
          <w:color w:val="auto"/>
          <w:szCs w:val="21"/>
          <w:highlight w:val="none"/>
        </w:rPr>
      </w:pPr>
      <w:r>
        <w:rPr>
          <w:rFonts w:hint="eastAsia" w:ascii="宋体" w:cs="宋体"/>
          <w:color w:val="auto"/>
          <w:szCs w:val="21"/>
          <w:highlight w:val="none"/>
        </w:rPr>
        <w:t>本合同在双方签字盖章并在招标人收到中标人提交的履约保证金后，经招标采购管理部门备案后生效。</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十一. 争议解决</w:t>
      </w:r>
    </w:p>
    <w:p>
      <w:pPr>
        <w:shd w:val="clear" w:color="auto" w:fill="auto"/>
        <w:spacing w:line="440" w:lineRule="exact"/>
        <w:ind w:firstLine="213" w:firstLineChars="100"/>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、争议解决</w:t>
      </w:r>
    </w:p>
    <w:p>
      <w:pPr>
        <w:pStyle w:val="8"/>
        <w:shd w:val="clear" w:color="auto" w:fill="auto"/>
        <w:overflowPunct w:val="0"/>
        <w:spacing w:line="440" w:lineRule="exact"/>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 xml:space="preserve"> 买卖双方因合同发生争议，进行调解，协商不成，可选择：</w:t>
      </w:r>
    </w:p>
    <w:p>
      <w:pPr>
        <w:pStyle w:val="8"/>
        <w:shd w:val="clear" w:color="auto" w:fill="auto"/>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(1)双方同时申请仲裁；</w:t>
      </w:r>
    </w:p>
    <w:p>
      <w:pPr>
        <w:pStyle w:val="8"/>
        <w:shd w:val="clear" w:color="auto" w:fill="auto"/>
        <w:tabs>
          <w:tab w:val="left" w:pos="900"/>
        </w:tabs>
        <w:overflowPunct w:val="0"/>
        <w:spacing w:line="440" w:lineRule="exact"/>
        <w:ind w:firstLine="532" w:firstLineChars="250"/>
        <w:rPr>
          <w:rFonts w:hint="eastAsia" w:ascii="宋体" w:cs="宋体"/>
          <w:color w:val="auto"/>
          <w:sz w:val="21"/>
          <w:szCs w:val="21"/>
          <w:highlight w:val="none"/>
          <w:u w:val="none" w:color="000000"/>
        </w:rPr>
      </w:pPr>
      <w:r>
        <w:rPr>
          <w:rFonts w:hint="eastAsia" w:ascii="宋体" w:cs="宋体"/>
          <w:color w:val="auto"/>
          <w:sz w:val="21"/>
          <w:szCs w:val="21"/>
          <w:highlight w:val="none"/>
          <w:u w:val="none" w:color="000000"/>
        </w:rPr>
        <w:t>(2)向买方所在地人民法院提起诉讼。</w:t>
      </w:r>
    </w:p>
    <w:p>
      <w:pPr>
        <w:shd w:val="clear" w:color="auto" w:fill="auto"/>
        <w:spacing w:line="440" w:lineRule="exact"/>
        <w:rPr>
          <w:rFonts w:hint="eastAsia" w:ascii="宋体" w:cs="宋体"/>
          <w:b/>
          <w:color w:val="auto"/>
          <w:szCs w:val="21"/>
          <w:highlight w:val="none"/>
        </w:rPr>
      </w:pPr>
      <w:r>
        <w:rPr>
          <w:rFonts w:hint="eastAsia" w:ascii="宋体" w:cs="宋体"/>
          <w:b/>
          <w:color w:val="auto"/>
          <w:szCs w:val="21"/>
          <w:highlight w:val="none"/>
        </w:rPr>
        <w:t>十二 .附则</w:t>
      </w:r>
    </w:p>
    <w:p>
      <w:pPr>
        <w:shd w:val="clear" w:color="auto" w:fill="auto"/>
        <w:spacing w:line="440" w:lineRule="exact"/>
        <w:ind w:firstLine="213" w:firstLineChars="100"/>
        <w:rPr>
          <w:rFonts w:hint="eastAsia" w:ascii="宋体" w:cs="宋体"/>
          <w:color w:val="auto"/>
          <w:szCs w:val="21"/>
          <w:highlight w:val="none"/>
        </w:rPr>
      </w:pPr>
      <w:r>
        <w:rPr>
          <w:rFonts w:hint="eastAsia" w:ascii="宋体" w:cs="宋体"/>
          <w:color w:val="auto"/>
          <w:szCs w:val="21"/>
          <w:highlight w:val="none"/>
          <w:lang w:val="en-US" w:eastAsia="zh-CN"/>
        </w:rPr>
        <w:t>1</w:t>
      </w:r>
      <w:r>
        <w:rPr>
          <w:rFonts w:hint="eastAsia" w:ascii="宋体" w:cs="宋体"/>
          <w:color w:val="auto"/>
          <w:szCs w:val="21"/>
          <w:highlight w:val="none"/>
        </w:rPr>
        <w:t>、合同份数。</w:t>
      </w:r>
    </w:p>
    <w:p>
      <w:pPr>
        <w:shd w:val="clear" w:color="auto" w:fill="auto"/>
        <w:spacing w:line="440" w:lineRule="exact"/>
        <w:rPr>
          <w:rFonts w:hint="eastAsia" w:ascii="宋体" w:cs="宋体"/>
          <w:color w:val="auto"/>
          <w:szCs w:val="21"/>
          <w:highlight w:val="none"/>
        </w:rPr>
      </w:pPr>
      <w:r>
        <w:rPr>
          <w:rFonts w:hint="eastAsia" w:ascii="宋体" w:cs="宋体"/>
          <w:color w:val="auto"/>
          <w:szCs w:val="21"/>
          <w:highlight w:val="none"/>
        </w:rPr>
        <w:t xml:space="preserve"> </w:t>
      </w:r>
      <w:r>
        <w:rPr>
          <w:rFonts w:hint="eastAsia" w:ascii="宋体" w:cs="宋体"/>
          <w:color w:val="auto"/>
          <w:szCs w:val="21"/>
          <w:highlight w:val="none"/>
        </w:rPr>
        <w:tab/>
      </w:r>
      <w:r>
        <w:rPr>
          <w:rFonts w:hint="eastAsia" w:ascii="宋体" w:cs="宋体"/>
          <w:color w:val="auto"/>
          <w:szCs w:val="21"/>
          <w:highlight w:val="none"/>
        </w:rPr>
        <w:t xml:space="preserve">  本合同一式陆份，买卖双方各执二份，招标代理机构一份，招标采购管理部门一份。</w:t>
      </w:r>
    </w:p>
    <w:p>
      <w:pPr>
        <w:shd w:val="clear" w:color="auto" w:fill="auto"/>
        <w:spacing w:line="440" w:lineRule="exact"/>
        <w:ind w:firstLine="213" w:firstLineChars="100"/>
        <w:rPr>
          <w:rFonts w:hint="eastAsia" w:ascii="宋体" w:cs="宋体"/>
          <w:color w:val="auto"/>
          <w:szCs w:val="21"/>
          <w:highlight w:val="none"/>
        </w:rPr>
      </w:pPr>
      <w:r>
        <w:rPr>
          <w:rFonts w:hint="eastAsia" w:ascii="宋体" w:cs="宋体"/>
          <w:color w:val="auto"/>
          <w:szCs w:val="21"/>
          <w:highlight w:val="none"/>
          <w:lang w:val="en-US" w:eastAsia="zh-CN"/>
        </w:rPr>
        <w:t>2</w:t>
      </w:r>
      <w:r>
        <w:rPr>
          <w:rFonts w:hint="eastAsia" w:ascii="宋体" w:cs="宋体"/>
          <w:color w:val="auto"/>
          <w:szCs w:val="21"/>
          <w:highlight w:val="none"/>
        </w:rPr>
        <w:t>、未尽事宜</w:t>
      </w:r>
    </w:p>
    <w:p>
      <w:pPr>
        <w:shd w:val="clear" w:color="auto" w:fill="auto"/>
        <w:spacing w:line="440" w:lineRule="exact"/>
        <w:ind w:firstLine="532" w:firstLineChars="250"/>
        <w:rPr>
          <w:rFonts w:hint="eastAsia" w:ascii="宋体" w:cs="宋体"/>
          <w:color w:val="auto"/>
          <w:szCs w:val="21"/>
          <w:highlight w:val="none"/>
        </w:rPr>
      </w:pPr>
      <w:r>
        <w:rPr>
          <w:rFonts w:hint="eastAsia" w:ascii="宋体" w:cs="宋体"/>
          <w:color w:val="auto"/>
          <w:szCs w:val="21"/>
          <w:highlight w:val="none"/>
        </w:rPr>
        <w:t>本合同未尽事宜应按《中华人民共和国政府采购法》、《中华人民共和国合同法》、《中华人民共和国产品质量法》之规定解释。</w:t>
      </w:r>
    </w:p>
    <w:p>
      <w:pPr>
        <w:pStyle w:val="12"/>
        <w:shd w:val="clear" w:color="auto" w:fill="auto"/>
        <w:spacing w:after="0" w:line="400" w:lineRule="exact"/>
        <w:ind w:left="0" w:leftChars="0" w:firstLine="486" w:firstLineChars="200"/>
        <w:rPr>
          <w:rFonts w:hint="eastAsia"/>
          <w:color w:val="auto"/>
          <w:kern w:val="0"/>
          <w:sz w:val="24"/>
          <w:szCs w:val="20"/>
          <w:highlight w:val="none"/>
          <w:u w:val="none" w:color="000000"/>
        </w:rPr>
      </w:pPr>
    </w:p>
    <w:p>
      <w:pPr>
        <w:pageBreakBefore/>
        <w:shd w:val="clear" w:color="auto" w:fill="auto"/>
        <w:jc w:val="center"/>
        <w:outlineLvl w:val="0"/>
        <w:rPr>
          <w:rFonts w:hint="eastAsia" w:ascii="宋体"/>
          <w:b/>
          <w:color w:val="auto"/>
          <w:sz w:val="30"/>
          <w:szCs w:val="30"/>
          <w:highlight w:val="none"/>
        </w:rPr>
      </w:pPr>
      <w:bookmarkStart w:id="74" w:name="_Toc469495743"/>
      <w:r>
        <w:rPr>
          <w:rFonts w:hint="eastAsia" w:ascii="宋体"/>
          <w:b/>
          <w:color w:val="auto"/>
          <w:sz w:val="30"/>
          <w:szCs w:val="30"/>
          <w:highlight w:val="none"/>
        </w:rPr>
        <w:t>第六章  投标文件格式</w:t>
      </w:r>
      <w:bookmarkEnd w:id="74"/>
    </w:p>
    <w:p>
      <w:pPr>
        <w:shd w:val="clear" w:color="auto" w:fill="auto"/>
        <w:spacing w:line="240" w:lineRule="atLeast"/>
        <w:ind w:left="745" w:leftChars="350" w:firstLine="121" w:firstLineChars="50"/>
        <w:rPr>
          <w:rFonts w:hint="eastAsia" w:ascii="仿宋" w:hAnsi="仿宋" w:eastAsia="仿宋" w:cs="仿宋"/>
          <w:color w:val="auto"/>
          <w:sz w:val="24"/>
          <w:highlight w:val="none"/>
        </w:rPr>
      </w:pPr>
    </w:p>
    <w:p>
      <w:pPr>
        <w:pStyle w:val="5"/>
        <w:numPr>
          <w:ilvl w:val="0"/>
          <w:numId w:val="0"/>
        </w:numPr>
        <w:shd w:val="clear" w:color="auto" w:fill="auto"/>
        <w:spacing w:before="0" w:line="240" w:lineRule="atLeast"/>
        <w:rPr>
          <w:rFonts w:hint="eastAsia" w:ascii="宋体" w:hAnsi="宋体" w:eastAsia="宋体" w:cs="宋体"/>
          <w:color w:val="auto"/>
          <w:sz w:val="24"/>
          <w:highlight w:val="none"/>
        </w:rPr>
      </w:pPr>
      <w:bookmarkStart w:id="75" w:name="_Toc18694"/>
      <w:bookmarkStart w:id="76" w:name="_Toc18974"/>
      <w:bookmarkStart w:id="77" w:name="_Toc515647803"/>
      <w:bookmarkStart w:id="78" w:name="_Toc8919"/>
      <w:r>
        <w:rPr>
          <w:rFonts w:hint="eastAsia" w:ascii="宋体" w:hAnsi="宋体" w:eastAsia="宋体" w:cs="宋体"/>
          <w:b/>
          <w:bCs/>
          <w:color w:val="auto"/>
          <w:sz w:val="24"/>
          <w:highlight w:val="none"/>
        </w:rPr>
        <w:t>第一部分 资格证明文件</w:t>
      </w:r>
      <w:bookmarkEnd w:id="75"/>
      <w:bookmarkEnd w:id="76"/>
      <w:bookmarkEnd w:id="77"/>
      <w:bookmarkEnd w:id="78"/>
    </w:p>
    <w:p>
      <w:pPr>
        <w:shd w:val="clear" w:color="auto" w:fill="auto"/>
        <w:spacing w:line="240" w:lineRule="atLeast"/>
        <w:ind w:left="708" w:hanging="716" w:hangingChars="295"/>
        <w:jc w:val="center"/>
        <w:rPr>
          <w:rFonts w:hint="eastAsia" w:ascii="宋体" w:hAnsi="宋体" w:eastAsia="宋体" w:cs="宋体"/>
          <w:color w:val="auto"/>
          <w:sz w:val="24"/>
          <w:highlight w:val="none"/>
        </w:rPr>
      </w:pP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1、法人或者非法人组织的营业执照等证明文件复印件（须加盖本单位章）或自然人的身份证明复印件;</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2、法定代表人资格证明书</w:t>
      </w:r>
      <w:r>
        <w:rPr>
          <w:rFonts w:hint="eastAsia" w:ascii="宋体" w:hAnsi="宋体" w:cs="Times New Roman"/>
          <w:color w:val="auto"/>
          <w:szCs w:val="21"/>
          <w:highlight w:val="none"/>
          <w:lang w:val="en-US" w:eastAsia="zh-CN"/>
        </w:rPr>
        <w:t>；</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3、法定代表人授权书</w:t>
      </w:r>
      <w:r>
        <w:rPr>
          <w:rFonts w:hint="eastAsia" w:ascii="宋体" w:hAnsi="宋体" w:cs="Times New Roman"/>
          <w:color w:val="auto"/>
          <w:szCs w:val="21"/>
          <w:highlight w:val="none"/>
          <w:lang w:val="en-US" w:eastAsia="zh-CN"/>
        </w:rPr>
        <w:t>；</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4、投标保证金收据或投标担保函；</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5、投标企业须提供投标人（被授权人）投标截止时间前半年内任意1个月的社保证明；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6、参加政府采购活动前3年内在经营活动中没有重大违法记录的书面声明;</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7、投标企业需提供未被“信用中国”（www.creditchina.gov.cn）、中国政府采购网（www.ccgp.gov.cn）列入失信被执行人、重大税收违法案件当事人名单、政府采购严重违法失信行为记录名单（提供查询结果网页截图并加盖供应商公章）；</w:t>
      </w:r>
    </w:p>
    <w:p>
      <w:pPr>
        <w:shd w:val="clear" w:color="auto" w:fill="auto"/>
        <w:spacing w:line="440" w:lineRule="exact"/>
        <w:ind w:firstLine="287" w:firstLineChars="135"/>
        <w:rPr>
          <w:rFonts w:hint="eastAsia" w:ascii="宋体" w:hAnsi="宋体" w:eastAsia="宋体" w:cs="Times New Roman"/>
          <w:color w:val="auto"/>
          <w:szCs w:val="21"/>
          <w:highlight w:val="none"/>
          <w:lang w:val="en-US" w:eastAsia="zh-CN"/>
        </w:rPr>
      </w:pPr>
      <w:r>
        <w:rPr>
          <w:rFonts w:hint="eastAsia" w:ascii="宋体" w:hAnsi="宋体" w:cs="Times New Roman"/>
          <w:color w:val="auto"/>
          <w:szCs w:val="21"/>
          <w:highlight w:val="none"/>
          <w:lang w:val="en-US" w:eastAsia="zh-CN"/>
        </w:rPr>
        <w:t>8</w:t>
      </w:r>
      <w:r>
        <w:rPr>
          <w:rFonts w:hint="eastAsia" w:ascii="宋体" w:hAnsi="宋体" w:eastAsia="宋体" w:cs="Times New Roman"/>
          <w:color w:val="auto"/>
          <w:szCs w:val="21"/>
          <w:highlight w:val="none"/>
          <w:lang w:val="en-US" w:eastAsia="zh-CN"/>
        </w:rPr>
        <w:t>、投标人须知资料表要求的其他资格证明文件;</w:t>
      </w: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shd w:val="clear" w:color="auto" w:fill="auto"/>
        <w:tabs>
          <w:tab w:val="left" w:pos="5580"/>
        </w:tabs>
        <w:spacing w:line="240" w:lineRule="atLeast"/>
        <w:ind w:left="1" w:firstLine="571" w:firstLineChars="235"/>
        <w:rPr>
          <w:rFonts w:hint="eastAsia" w:ascii="宋体" w:hAnsi="宋体" w:eastAsia="宋体" w:cs="宋体"/>
          <w:color w:val="auto"/>
          <w:sz w:val="24"/>
          <w:highlight w:val="none"/>
        </w:rPr>
      </w:pPr>
    </w:p>
    <w:p>
      <w:pPr>
        <w:pStyle w:val="6"/>
        <w:rPr>
          <w:rFonts w:hint="eastAsia" w:ascii="宋体" w:hAnsi="宋体" w:eastAsia="宋体" w:cs="宋体"/>
          <w:color w:val="auto"/>
          <w:sz w:val="24"/>
          <w:highlight w:val="none"/>
        </w:rPr>
        <w:sectPr>
          <w:pgSz w:w="11905" w:h="16838"/>
          <w:pgMar w:top="1440" w:right="1797" w:bottom="1440" w:left="1797" w:header="850" w:footer="992" w:gutter="0"/>
          <w:pgNumType w:fmt="decimal"/>
          <w:cols w:space="720" w:num="1"/>
          <w:rtlGutter w:val="0"/>
          <w:docGrid w:type="linesAndChars" w:linePitch="325" w:charSpace="635"/>
        </w:sectPr>
      </w:pPr>
    </w:p>
    <w:p>
      <w:pPr>
        <w:shd w:val="clear" w:color="auto" w:fill="auto"/>
        <w:tabs>
          <w:tab w:val="left" w:pos="5580"/>
        </w:tabs>
        <w:spacing w:line="240" w:lineRule="atLeast"/>
        <w:rPr>
          <w:rFonts w:hint="eastAsia" w:ascii="宋体" w:hAnsi="宋体" w:eastAsia="宋体" w:cs="宋体"/>
          <w:color w:val="auto"/>
          <w:sz w:val="24"/>
          <w:highlight w:val="none"/>
        </w:rPr>
      </w:pPr>
    </w:p>
    <w:p>
      <w:pPr>
        <w:pStyle w:val="5"/>
        <w:pageBreakBefore w:val="0"/>
        <w:widowControl w:val="0"/>
        <w:numPr>
          <w:ilvl w:val="0"/>
          <w:numId w:val="0"/>
        </w:numPr>
        <w:shd w:val="clear" w:color="auto" w:fill="auto"/>
        <w:kinsoku/>
        <w:wordWrap/>
        <w:overflowPunct/>
        <w:topLinePunct w:val="0"/>
        <w:autoSpaceDE/>
        <w:autoSpaceDN/>
        <w:bidi w:val="0"/>
        <w:snapToGrid/>
        <w:spacing w:before="0" w:line="400" w:lineRule="exact"/>
        <w:jc w:val="center"/>
        <w:rPr>
          <w:rFonts w:hint="eastAsia" w:ascii="宋体" w:hAnsi="宋体" w:eastAsia="宋体" w:cs="宋体"/>
          <w:b/>
          <w:bCs/>
          <w:color w:val="auto"/>
          <w:sz w:val="24"/>
          <w:highlight w:val="none"/>
        </w:rPr>
      </w:pPr>
      <w:bookmarkStart w:id="79" w:name="_Toc515647805"/>
      <w:bookmarkStart w:id="80" w:name="_Toc4844"/>
      <w:bookmarkStart w:id="81" w:name="_Toc29899"/>
      <w:bookmarkStart w:id="82" w:name="_Toc17577"/>
      <w:bookmarkStart w:id="83" w:name="_Toc520356217"/>
      <w:bookmarkStart w:id="84" w:name="_Toc216582813"/>
      <w:bookmarkStart w:id="85" w:name="_Toc480942349"/>
      <w:bookmarkStart w:id="86" w:name="_Ref467988698"/>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 xml:space="preserve"> 法人或者非法人组织的营业执照等证明文件</w:t>
      </w:r>
      <w:bookmarkEnd w:id="79"/>
      <w:bookmarkStart w:id="87" w:name="_Toc515647806"/>
      <w:r>
        <w:rPr>
          <w:rFonts w:hint="eastAsia" w:ascii="宋体" w:hAnsi="宋体" w:eastAsia="宋体" w:cs="宋体"/>
          <w:b/>
          <w:bCs/>
          <w:color w:val="auto"/>
          <w:sz w:val="24"/>
          <w:highlight w:val="none"/>
        </w:rPr>
        <w:t>或自然人的身份证明</w:t>
      </w:r>
      <w:bookmarkEnd w:id="80"/>
      <w:bookmarkEnd w:id="81"/>
      <w:bookmarkEnd w:id="82"/>
      <w:bookmarkEnd w:id="87"/>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jc w:val="both"/>
        <w:rPr>
          <w:rFonts w:hint="eastAsia" w:ascii="宋体" w:hAnsi="宋体" w:eastAsia="宋体" w:cs="宋体"/>
          <w:b/>
          <w:color w:val="auto"/>
          <w:sz w:val="24"/>
          <w:highlight w:val="none"/>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b/>
          <w:color w:val="auto"/>
          <w:sz w:val="24"/>
          <w:highlight w:val="none"/>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b/>
          <w:color w:val="auto"/>
          <w:sz w:val="24"/>
          <w:highlight w:val="none"/>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说明：1.提供有效的营业执照等证明文件复印件，复印件上应加盖本单位章。</w:t>
      </w: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 投标人为自然人的，应提供身份证明的复印件。</w:t>
      </w: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ind w:left="1087" w:leftChars="257" w:hanging="540"/>
        <w:rPr>
          <w:rFonts w:hint="eastAsia" w:ascii="宋体" w:hAnsi="宋体" w:eastAsia="宋体" w:cs="宋体"/>
          <w:color w:val="auto"/>
          <w:sz w:val="24"/>
          <w:highlight w:val="none"/>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24"/>
          <w:highlight w:val="none"/>
        </w:rPr>
      </w:pPr>
    </w:p>
    <w:p>
      <w:pPr>
        <w:pStyle w:val="14"/>
        <w:pageBreakBefore w:val="0"/>
        <w:widowControl w:val="0"/>
        <w:shd w:val="clear" w:color="auto" w:fill="auto"/>
        <w:tabs>
          <w:tab w:val="left" w:pos="5580"/>
        </w:tabs>
        <w:kinsoku/>
        <w:wordWrap/>
        <w:overflowPunct/>
        <w:topLinePunct w:val="0"/>
        <w:autoSpaceDE/>
        <w:autoSpaceDN/>
        <w:bidi w:val="0"/>
        <w:snapToGrid/>
        <w:spacing w:line="400" w:lineRule="exac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rPr>
          <w:rFonts w:hint="eastAsia" w:ascii="宋体" w:hAnsi="宋体" w:eastAsia="宋体" w:cs="宋体"/>
          <w:color w:val="auto"/>
          <w:sz w:val="24"/>
          <w:highlight w:val="none"/>
        </w:rPr>
      </w:pPr>
    </w:p>
    <w:p>
      <w:pPr>
        <w:pStyle w:val="14"/>
        <w:shd w:val="clear" w:color="auto" w:fill="auto"/>
        <w:tabs>
          <w:tab w:val="left" w:pos="5580"/>
        </w:tabs>
        <w:spacing w:line="240" w:lineRule="atLeast"/>
        <w:ind w:left="1087" w:leftChars="257" w:hanging="540"/>
        <w:jc w:val="center"/>
        <w:rPr>
          <w:rFonts w:hint="eastAsia" w:ascii="宋体" w:hAnsi="宋体" w:eastAsia="宋体" w:cs="宋体"/>
          <w:color w:val="auto"/>
          <w:sz w:val="24"/>
          <w:highlight w:val="none"/>
        </w:rPr>
      </w:pPr>
      <w:bookmarkStart w:id="88" w:name="_Toc32520"/>
      <w:bookmarkStart w:id="89" w:name="_Toc515647808"/>
      <w:bookmarkStart w:id="90" w:name="_Toc7039"/>
    </w:p>
    <w:p>
      <w:pPr>
        <w:pStyle w:val="5"/>
        <w:numPr>
          <w:ilvl w:val="0"/>
          <w:numId w:val="0"/>
        </w:numPr>
        <w:shd w:val="clear" w:color="auto" w:fill="auto"/>
        <w:spacing w:before="0" w:line="240" w:lineRule="atLeast"/>
        <w:ind w:leftChars="257"/>
        <w:rPr>
          <w:rFonts w:hint="eastAsia" w:ascii="宋体" w:hAnsi="宋体" w:eastAsia="宋体" w:cs="宋体"/>
          <w:color w:val="auto"/>
          <w:sz w:val="24"/>
          <w:highlight w:val="none"/>
        </w:rPr>
      </w:pPr>
      <w:bookmarkStart w:id="91" w:name="_Toc1083"/>
      <w:bookmarkStart w:id="92" w:name="_Toc515647807"/>
      <w:bookmarkStart w:id="93" w:name="_Toc22472"/>
      <w:bookmarkStart w:id="94" w:name="_Toc23503"/>
    </w:p>
    <w:p>
      <w:pPr>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49"/>
        <w:shd w:val="clear" w:color="auto" w:fill="auto"/>
        <w:rPr>
          <w:rFonts w:hint="eastAsia" w:ascii="宋体" w:hAnsi="宋体" w:eastAsia="宋体" w:cs="宋体"/>
          <w:color w:val="auto"/>
          <w:sz w:val="24"/>
          <w:highlight w:val="none"/>
        </w:rPr>
      </w:pPr>
    </w:p>
    <w:p>
      <w:pPr>
        <w:pStyle w:val="5"/>
        <w:numPr>
          <w:ilvl w:val="0"/>
          <w:numId w:val="0"/>
        </w:numPr>
        <w:shd w:val="clear" w:color="auto" w:fill="auto"/>
        <w:spacing w:before="0" w:line="240" w:lineRule="atLeast"/>
        <w:jc w:val="center"/>
        <w:rPr>
          <w:rFonts w:hint="eastAsia" w:ascii="宋体" w:hAnsi="宋体" w:eastAsia="宋体" w:cs="宋体"/>
          <w:color w:val="auto"/>
          <w:sz w:val="24"/>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bookmarkStart w:id="95" w:name="_Toc30244"/>
    </w:p>
    <w:p>
      <w:pPr>
        <w:pStyle w:val="5"/>
        <w:numPr>
          <w:ilvl w:val="0"/>
          <w:numId w:val="0"/>
        </w:numPr>
        <w:shd w:val="clear" w:color="auto" w:fill="auto"/>
        <w:spacing w:before="0" w:line="240" w:lineRule="atLeast"/>
        <w:jc w:val="center"/>
        <w:rPr>
          <w:rFonts w:hint="eastAsia" w:ascii="宋体" w:hAnsi="宋体" w:eastAsia="宋体" w:cs="宋体"/>
          <w:b w:val="0"/>
          <w:color w:val="auto"/>
          <w:sz w:val="24"/>
          <w:highlight w:val="none"/>
          <w:u w:val="singl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法定代表人资格证明书</w:t>
      </w:r>
    </w:p>
    <w:p>
      <w:pPr>
        <w:adjustRightInd w:val="0"/>
        <w:snapToGrid w:val="0"/>
        <w:spacing w:before="240" w:beforeLines="100" w:after="240" w:afterLines="100"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同志，现任我单位</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职务，为法定代表人，特此证明。</w:t>
      </w:r>
    </w:p>
    <w:p>
      <w:pPr>
        <w:spacing w:line="500" w:lineRule="exact"/>
        <w:ind w:firstLine="213"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签发日期：                  单位：           （盖章）</w:t>
      </w:r>
    </w:p>
    <w:p>
      <w:pPr>
        <w:spacing w:line="500" w:lineRule="exact"/>
        <w:ind w:firstLine="213"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附：代表人性别：            年龄：           身份证号码：</w:t>
      </w:r>
    </w:p>
    <w:p>
      <w:pPr>
        <w:spacing w:line="500" w:lineRule="exact"/>
        <w:ind w:firstLine="213"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联系电话：</w:t>
      </w:r>
    </w:p>
    <w:p>
      <w:pPr>
        <w:spacing w:line="500" w:lineRule="exact"/>
        <w:ind w:firstLine="213"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营业执照号码：              经济性质：</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p>
      <w:pPr>
        <w:spacing w:line="500" w:lineRule="exact"/>
        <w:ind w:firstLine="213"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1、法定代表人为企业事业单位、国家机关、社会团体的主要行政负责人。</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2、内容必须填写真实、清楚、涂改无效，不得转让。</w:t>
      </w:r>
    </w:p>
    <w:p>
      <w:pPr>
        <w:spacing w:line="500" w:lineRule="exact"/>
        <w:ind w:firstLine="213"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3、将此证明书原件提交采购代理机构作为投标文件附件。</w:t>
      </w:r>
    </w:p>
    <w:p>
      <w:pPr>
        <w:spacing w:line="5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(为避免废标，请投标人务必提供本附件)</w: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mc:AlternateContent>
          <mc:Choice Requires="wps">
            <w:drawing>
              <wp:anchor distT="0" distB="0" distL="114300" distR="114300" simplePos="0" relativeHeight="251663360" behindDoc="0" locked="0" layoutInCell="1" allowOverlap="1">
                <wp:simplePos x="0" y="0"/>
                <wp:positionH relativeFrom="column">
                  <wp:posOffset>398780</wp:posOffset>
                </wp:positionH>
                <wp:positionV relativeFrom="paragraph">
                  <wp:posOffset>38100</wp:posOffset>
                </wp:positionV>
                <wp:extent cx="2333625" cy="1584325"/>
                <wp:effectExtent l="4445" t="4445" r="5080" b="11430"/>
                <wp:wrapNone/>
                <wp:docPr id="10" name="流程图: 可选过程 10"/>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wps:txbx>
                      <wps:bodyPr upright="1"/>
                    </wps:wsp>
                  </a:graphicData>
                </a:graphic>
              </wp:anchor>
            </w:drawing>
          </mc:Choice>
          <mc:Fallback>
            <w:pict>
              <v:shape id="_x0000_s1026" o:spid="_x0000_s1026" o:spt="176" type="#_x0000_t176" style="position:absolute;left:0pt;margin-left:31.4pt;margin-top:3pt;height:124.75pt;width:183.75pt;z-index:251663360;mso-width-relative:page;mso-height-relative:page;" fillcolor="#FFFFFF" filled="t" stroked="t" coordsize="21600,21600" o:gfxdata="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FwXx41gAAAAgBAAAPAAAAAAAAAAEAIAAAACIAAABkcnMvZG93bnJldi54bWxQSwECFAAUAAAA&#10;CACHTuJAcS+LcykCAABSBAAADgAAAAAAAAABACAAAAAlAQAAZHJzL2Uyb0RvYy54bWxQSwUGAAAA&#10;AAYABgBZAQAAwA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正面</w:t>
                      </w:r>
                    </w:p>
                  </w:txbxContent>
                </v:textbox>
              </v:shape>
            </w:pict>
          </mc:Fallback>
        </mc:AlternateContent>
      </w:r>
      <w:r>
        <w:rPr>
          <w:rFonts w:hint="eastAsia" w:ascii="宋体" w:hAnsi="宋体" w:eastAsia="宋体" w:cs="宋体"/>
          <w:color w:val="auto"/>
          <w:sz w:val="24"/>
          <w:szCs w:val="24"/>
          <w:highlight w:val="none"/>
        </w:rPr>
        <mc:AlternateContent>
          <mc:Choice Requires="wps">
            <w:drawing>
              <wp:anchor distT="0" distB="0" distL="114300" distR="114300" simplePos="0" relativeHeight="251664384" behindDoc="0" locked="0" layoutInCell="1" allowOverlap="1">
                <wp:simplePos x="0" y="0"/>
                <wp:positionH relativeFrom="column">
                  <wp:posOffset>3226435</wp:posOffset>
                </wp:positionH>
                <wp:positionV relativeFrom="paragraph">
                  <wp:posOffset>34290</wp:posOffset>
                </wp:positionV>
                <wp:extent cx="2333625" cy="1584325"/>
                <wp:effectExtent l="4445" t="4445" r="5080" b="11430"/>
                <wp:wrapNone/>
                <wp:docPr id="11" name="流程图: 可选过程 1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wps:txbx>
                      <wps:bodyPr upright="1"/>
                    </wps:wsp>
                  </a:graphicData>
                </a:graphic>
              </wp:anchor>
            </w:drawing>
          </mc:Choice>
          <mc:Fallback>
            <w:pict>
              <v:shape id="_x0000_s1026" o:spid="_x0000_s1026" o:spt="176" type="#_x0000_t176" style="position:absolute;left:0pt;margin-left:254.05pt;margin-top:2.7pt;height:124.75pt;width:183.75pt;z-index:251664384;mso-width-relative:page;mso-height-relative:page;" fillcolor="#FFFFFF" filled="t" stroked="t" coordsize="21600,21600" o:gfxdata="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oTxGHYAAAACQEAAA8AAAAAAAAAAQAgAAAAIgAAAGRycy9kb3ducmV2LnhtbFBLAQIUABQA&#10;AAAIAIdO4kAB7+mmKQIAAFIEAAAOAAAAAAAAAAEAIAAAACcBAABkcnMvZTJvRG9jLnhtbFBLBQYA&#10;AAAABgAGAFkBAADC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eastAsia="宋体"/>
                          <w:szCs w:val="21"/>
                          <w:lang w:eastAsia="zh-CN"/>
                        </w:rPr>
                      </w:pPr>
                      <w:r>
                        <w:rPr>
                          <w:rFonts w:hint="eastAsia" w:hAnsi="宋体"/>
                          <w:szCs w:val="21"/>
                        </w:rPr>
                        <w:t>法定代表人身份证复印件</w:t>
                      </w:r>
                      <w:r>
                        <w:rPr>
                          <w:rFonts w:hint="eastAsia" w:hAnsi="宋体"/>
                          <w:szCs w:val="21"/>
                          <w:lang w:eastAsia="zh-CN"/>
                        </w:rPr>
                        <w:t>反面</w:t>
                      </w:r>
                    </w:p>
                  </w:txbxContent>
                </v:textbox>
              </v:shape>
            </w:pict>
          </mc:Fallback>
        </mc:AlternateContent>
      </w:r>
    </w:p>
    <w:p>
      <w:pPr>
        <w:spacing w:line="500" w:lineRule="exact"/>
        <w:rPr>
          <w:rFonts w:hint="eastAsia" w:ascii="宋体" w:hAnsi="宋体" w:eastAsia="宋体" w:cs="宋体"/>
          <w:color w:val="auto"/>
          <w:sz w:val="24"/>
          <w:szCs w:val="24"/>
          <w:highlight w:val="none"/>
        </w:rPr>
      </w:pPr>
    </w:p>
    <w:p>
      <w:pPr>
        <w:spacing w:line="500" w:lineRule="exact"/>
        <w:rPr>
          <w:rFonts w:hint="eastAsia" w:ascii="宋体" w:hAnsi="宋体" w:eastAsia="宋体" w:cs="宋体"/>
          <w:color w:val="auto"/>
          <w:sz w:val="24"/>
          <w:szCs w:val="24"/>
          <w:highlight w:val="none"/>
        </w:rPr>
      </w:pPr>
    </w:p>
    <w:p>
      <w:pPr>
        <w:tabs>
          <w:tab w:val="left" w:pos="654"/>
          <w:tab w:val="left" w:pos="1734"/>
          <w:tab w:val="left" w:pos="2814"/>
          <w:tab w:val="left" w:pos="3894"/>
          <w:tab w:val="left" w:pos="5334"/>
          <w:tab w:val="left" w:pos="6414"/>
          <w:tab w:val="left" w:pos="7254"/>
          <w:tab w:val="left" w:pos="8574"/>
          <w:tab w:val="left" w:pos="9654"/>
        </w:tabs>
        <w:spacing w:line="500" w:lineRule="exact"/>
        <w:rPr>
          <w:rFonts w:hint="eastAsia" w:ascii="宋体" w:hAnsi="宋体" w:eastAsia="宋体" w:cs="宋体"/>
          <w:color w:val="auto"/>
          <w:sz w:val="24"/>
          <w:szCs w:val="24"/>
          <w:highlight w:val="none"/>
        </w:rPr>
      </w:pPr>
    </w:p>
    <w:p>
      <w:pPr>
        <w:spacing w:line="500" w:lineRule="exact"/>
        <w:jc w:val="center"/>
        <w:rPr>
          <w:rFonts w:hint="eastAsia" w:ascii="宋体" w:hAnsi="宋体" w:eastAsia="宋体" w:cs="宋体"/>
          <w:color w:val="auto"/>
          <w:sz w:val="24"/>
          <w:szCs w:val="24"/>
          <w:highlight w:val="none"/>
        </w:rPr>
      </w:pPr>
    </w:p>
    <w:p>
      <w:pPr>
        <w:autoSpaceDE w:val="0"/>
        <w:autoSpaceDN w:val="0"/>
        <w:adjustRightInd w:val="0"/>
        <w:spacing w:line="500" w:lineRule="exact"/>
        <w:ind w:right="246" w:firstLine="793" w:firstLineChars="327"/>
        <w:rPr>
          <w:rFonts w:hint="eastAsia" w:ascii="宋体" w:hAnsi="宋体" w:eastAsia="宋体" w:cs="宋体"/>
          <w:color w:val="auto"/>
          <w:kern w:val="0"/>
          <w:sz w:val="24"/>
          <w:szCs w:val="24"/>
          <w:highlight w:val="none"/>
        </w:rPr>
      </w:pPr>
    </w:p>
    <w:p>
      <w:pPr>
        <w:pStyle w:val="14"/>
        <w:shd w:val="clear" w:color="auto" w:fill="auto"/>
        <w:tabs>
          <w:tab w:val="left" w:pos="5580"/>
        </w:tabs>
        <w:spacing w:line="240" w:lineRule="atLeast"/>
        <w:ind w:firstLine="446" w:firstLineChars="20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投标人（盖单位章）;</w:t>
      </w:r>
      <w:r>
        <w:rPr>
          <w:rFonts w:hint="eastAsia" w:hAnsi="宋体" w:cs="宋体"/>
          <w:color w:val="auto"/>
          <w:sz w:val="22"/>
          <w:szCs w:val="18"/>
          <w:highlight w:val="none"/>
          <w:u w:val="single" w:color="auto"/>
          <w:lang w:val="en-US" w:eastAsia="zh-CN"/>
        </w:rPr>
        <w:t xml:space="preserve">                                </w:t>
      </w:r>
      <w:r>
        <w:rPr>
          <w:rFonts w:hint="eastAsia" w:ascii="宋体" w:hAnsi="宋体" w:eastAsia="宋体" w:cs="宋体"/>
          <w:color w:val="auto"/>
          <w:sz w:val="22"/>
          <w:szCs w:val="18"/>
          <w:highlight w:val="none"/>
        </w:rPr>
        <w:t xml:space="preserve">                           </w:t>
      </w:r>
    </w:p>
    <w:p>
      <w:pPr>
        <w:pStyle w:val="14"/>
        <w:shd w:val="clear" w:color="auto" w:fill="auto"/>
        <w:tabs>
          <w:tab w:val="left" w:pos="5580"/>
        </w:tabs>
        <w:spacing w:line="240" w:lineRule="atLeast"/>
        <w:ind w:firstLine="446" w:firstLineChars="20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法定代表人（签字或签章）：</w:t>
      </w:r>
      <w:r>
        <w:rPr>
          <w:rFonts w:hint="eastAsia" w:hAnsi="宋体" w:cs="宋体"/>
          <w:color w:val="auto"/>
          <w:sz w:val="22"/>
          <w:szCs w:val="18"/>
          <w:highlight w:val="none"/>
          <w:u w:val="single" w:color="auto"/>
          <w:lang w:val="en-US" w:eastAsia="zh-CN"/>
        </w:rPr>
        <w:t xml:space="preserve">                         </w:t>
      </w:r>
      <w:r>
        <w:rPr>
          <w:rFonts w:hint="eastAsia" w:hAnsi="宋体" w:cs="宋体"/>
          <w:color w:val="auto"/>
          <w:sz w:val="22"/>
          <w:szCs w:val="18"/>
          <w:highlight w:val="none"/>
          <w:lang w:val="en-US" w:eastAsia="zh-CN"/>
        </w:rPr>
        <w:t xml:space="preserve">      </w:t>
      </w:r>
      <w:r>
        <w:rPr>
          <w:rFonts w:hint="eastAsia" w:ascii="宋体" w:hAnsi="宋体" w:eastAsia="宋体" w:cs="宋体"/>
          <w:color w:val="auto"/>
          <w:sz w:val="22"/>
          <w:szCs w:val="18"/>
          <w:highlight w:val="none"/>
        </w:rPr>
        <w:t xml:space="preserve">                     </w:t>
      </w:r>
    </w:p>
    <w:p>
      <w:pPr>
        <w:pStyle w:val="14"/>
        <w:shd w:val="clear" w:color="auto" w:fill="auto"/>
        <w:tabs>
          <w:tab w:val="left" w:pos="5580"/>
        </w:tabs>
        <w:spacing w:line="240" w:lineRule="atLeast"/>
        <w:ind w:firstLine="446" w:firstLineChars="200"/>
        <w:rPr>
          <w:rFonts w:hint="default" w:ascii="宋体" w:hAnsi="宋体" w:eastAsia="宋体" w:cs="宋体"/>
          <w:color w:val="auto"/>
          <w:sz w:val="22"/>
          <w:szCs w:val="18"/>
          <w:highlight w:val="none"/>
          <w:u w:val="single" w:color="auto"/>
          <w:lang w:val="en-US" w:eastAsia="zh-CN"/>
        </w:rPr>
      </w:pPr>
      <w:r>
        <w:rPr>
          <w:rFonts w:hint="eastAsia" w:ascii="宋体" w:hAnsi="宋体" w:eastAsia="宋体" w:cs="宋体"/>
          <w:color w:val="auto"/>
          <w:sz w:val="22"/>
          <w:szCs w:val="18"/>
          <w:highlight w:val="none"/>
          <w:lang w:val="en-US" w:eastAsia="zh-CN"/>
        </w:rPr>
        <w:t xml:space="preserve">年   月   日 </w:t>
      </w:r>
    </w:p>
    <w:p>
      <w:pPr>
        <w:spacing w:line="500" w:lineRule="exact"/>
        <w:jc w:val="center"/>
        <w:rPr>
          <w:rFonts w:hint="eastAsia" w:ascii="宋体" w:hAnsi="宋体" w:eastAsia="宋体" w:cs="宋体"/>
          <w:b/>
          <w:color w:val="auto"/>
          <w:sz w:val="28"/>
          <w:szCs w:val="28"/>
          <w:highlight w:val="none"/>
        </w:rPr>
      </w:pPr>
    </w:p>
    <w:p>
      <w:pPr>
        <w:pStyle w:val="49"/>
        <w:rPr>
          <w:rFonts w:hint="eastAsia" w:ascii="宋体" w:hAnsi="宋体" w:eastAsia="宋体" w:cs="宋体"/>
          <w:b/>
          <w:color w:val="auto"/>
          <w:sz w:val="28"/>
          <w:szCs w:val="28"/>
          <w:highlight w:val="none"/>
        </w:rPr>
      </w:pPr>
    </w:p>
    <w:p>
      <w:pPr>
        <w:pStyle w:val="49"/>
        <w:rPr>
          <w:rFonts w:hint="eastAsia" w:ascii="宋体" w:hAnsi="宋体" w:eastAsia="宋体" w:cs="宋体"/>
          <w:b/>
          <w:color w:val="auto"/>
          <w:sz w:val="28"/>
          <w:szCs w:val="28"/>
          <w:highlight w:val="none"/>
        </w:rPr>
      </w:pPr>
    </w:p>
    <w:p>
      <w:pPr>
        <w:pStyle w:val="49"/>
        <w:rPr>
          <w:rFonts w:hint="eastAsia" w:ascii="宋体" w:hAnsi="宋体" w:eastAsia="宋体" w:cs="宋体"/>
          <w:b/>
          <w:color w:val="auto"/>
          <w:sz w:val="28"/>
          <w:szCs w:val="28"/>
          <w:highlight w:val="none"/>
        </w:rPr>
      </w:pPr>
    </w:p>
    <w:p>
      <w:pPr>
        <w:spacing w:line="500" w:lineRule="exact"/>
        <w:jc w:val="center"/>
        <w:rPr>
          <w:rFonts w:hint="eastAsia" w:ascii="宋体" w:hAnsi="宋体" w:eastAsia="宋体" w:cs="宋体"/>
          <w:b/>
          <w:color w:val="auto"/>
          <w:sz w:val="28"/>
          <w:szCs w:val="28"/>
          <w:highlight w:val="none"/>
        </w:rPr>
      </w:pPr>
    </w:p>
    <w:p>
      <w:pPr>
        <w:spacing w:line="500" w:lineRule="exact"/>
        <w:jc w:val="center"/>
        <w:rPr>
          <w:rFonts w:hint="eastAsia" w:ascii="宋体" w:hAnsi="宋体" w:eastAsia="宋体" w:cs="宋体"/>
          <w:b/>
          <w:color w:val="auto"/>
          <w:sz w:val="28"/>
          <w:szCs w:val="28"/>
          <w:highlight w:val="none"/>
        </w:rPr>
      </w:pP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u w:val="single"/>
        </w:rPr>
      </w:pPr>
      <w:r>
        <w:rPr>
          <w:rFonts w:hint="eastAsia" w:ascii="宋体" w:hAnsi="宋体" w:eastAsia="宋体" w:cs="宋体"/>
          <w:b/>
          <w:bCs/>
          <w:color w:val="auto"/>
          <w:sz w:val="24"/>
          <w:highlight w:val="none"/>
          <w:lang w:val="en-US" w:eastAsia="zh-CN"/>
        </w:rPr>
        <w:t>3</w:t>
      </w:r>
      <w:r>
        <w:rPr>
          <w:rFonts w:hint="eastAsia" w:ascii="宋体" w:hAnsi="宋体" w:eastAsia="宋体" w:cs="宋体"/>
          <w:b/>
          <w:bCs/>
          <w:color w:val="auto"/>
          <w:sz w:val="24"/>
          <w:highlight w:val="none"/>
        </w:rPr>
        <w:t xml:space="preserve"> </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法定代表人授权委托书</w:t>
      </w:r>
      <w:bookmarkEnd w:id="91"/>
      <w:bookmarkEnd w:id="92"/>
      <w:bookmarkEnd w:id="93"/>
      <w:bookmarkEnd w:id="94"/>
      <w:bookmarkEnd w:id="95"/>
    </w:p>
    <w:p>
      <w:pPr>
        <w:pStyle w:val="14"/>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cr/>
      </w:r>
    </w:p>
    <w:p>
      <w:pPr>
        <w:pStyle w:val="14"/>
        <w:shd w:val="clear" w:color="auto" w:fill="auto"/>
        <w:tabs>
          <w:tab w:val="left" w:pos="5580"/>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szCs w:val="20"/>
          <w:highlight w:val="none"/>
        </w:rPr>
        <w:t xml:space="preserve">   </w:t>
      </w:r>
      <w:r>
        <w:rPr>
          <w:rFonts w:hint="eastAsia" w:ascii="宋体" w:hAnsi="宋体" w:eastAsia="宋体" w:cs="宋体"/>
          <w:color w:val="auto"/>
          <w:sz w:val="22"/>
          <w:szCs w:val="18"/>
          <w:highlight w:val="none"/>
        </w:rPr>
        <w:t>本授权书声明</w:t>
      </w:r>
      <w:r>
        <w:rPr>
          <w:rFonts w:hint="eastAsia" w:ascii="宋体" w:hAnsi="宋体" w:eastAsia="宋体" w:cs="宋体"/>
          <w:i w:val="0"/>
          <w:iCs w:val="0"/>
          <w:color w:val="auto"/>
          <w:sz w:val="22"/>
          <w:szCs w:val="18"/>
          <w:highlight w:val="none"/>
        </w:rPr>
        <w:t>：注册于</w:t>
      </w:r>
      <w:r>
        <w:rPr>
          <w:rFonts w:hint="eastAsia" w:ascii="宋体" w:hAnsi="宋体" w:eastAsia="宋体" w:cs="宋体"/>
          <w:i w:val="0"/>
          <w:iCs w:val="0"/>
          <w:color w:val="auto"/>
          <w:sz w:val="22"/>
          <w:szCs w:val="18"/>
          <w:highlight w:val="none"/>
          <w:u w:val="single"/>
        </w:rPr>
        <w:t>（国家或地区的名称）</w:t>
      </w:r>
      <w:r>
        <w:rPr>
          <w:rFonts w:hint="eastAsia" w:ascii="宋体" w:hAnsi="宋体" w:eastAsia="宋体" w:cs="宋体"/>
          <w:i w:val="0"/>
          <w:iCs w:val="0"/>
          <w:color w:val="auto"/>
          <w:sz w:val="22"/>
          <w:szCs w:val="18"/>
          <w:highlight w:val="none"/>
        </w:rPr>
        <w:t>的（</w:t>
      </w:r>
      <w:r>
        <w:rPr>
          <w:rFonts w:hint="eastAsia" w:ascii="宋体" w:hAnsi="宋体" w:eastAsia="宋体" w:cs="宋体"/>
          <w:i w:val="0"/>
          <w:iCs w:val="0"/>
          <w:color w:val="auto"/>
          <w:sz w:val="22"/>
          <w:szCs w:val="18"/>
          <w:highlight w:val="none"/>
          <w:u w:val="single"/>
        </w:rPr>
        <w:t>投标人</w:t>
      </w:r>
      <w:r>
        <w:rPr>
          <w:rFonts w:hint="eastAsia" w:ascii="宋体" w:hAnsi="宋体" w:eastAsia="宋体" w:cs="宋体"/>
          <w:i w:val="0"/>
          <w:iCs w:val="0"/>
          <w:color w:val="auto"/>
          <w:sz w:val="22"/>
          <w:szCs w:val="18"/>
          <w:highlight w:val="none"/>
        </w:rPr>
        <w:t>）的在下面签字的（</w:t>
      </w:r>
      <w:r>
        <w:rPr>
          <w:rFonts w:hint="eastAsia" w:ascii="宋体" w:hAnsi="宋体" w:eastAsia="宋体" w:cs="宋体"/>
          <w:i w:val="0"/>
          <w:iCs w:val="0"/>
          <w:color w:val="auto"/>
          <w:sz w:val="22"/>
          <w:szCs w:val="18"/>
          <w:highlight w:val="none"/>
          <w:u w:val="single"/>
        </w:rPr>
        <w:t>法人代表姓名、职务</w:t>
      </w:r>
      <w:r>
        <w:rPr>
          <w:rFonts w:hint="eastAsia" w:ascii="宋体" w:hAnsi="宋体" w:eastAsia="宋体" w:cs="宋体"/>
          <w:i w:val="0"/>
          <w:iCs w:val="0"/>
          <w:color w:val="auto"/>
          <w:sz w:val="22"/>
          <w:szCs w:val="18"/>
          <w:highlight w:val="none"/>
        </w:rPr>
        <w:t>）代表我单位授权（</w:t>
      </w:r>
      <w:r>
        <w:rPr>
          <w:rFonts w:hint="eastAsia" w:ascii="宋体" w:hAnsi="宋体" w:eastAsia="宋体" w:cs="宋体"/>
          <w:i w:val="0"/>
          <w:iCs w:val="0"/>
          <w:color w:val="auto"/>
          <w:sz w:val="22"/>
          <w:szCs w:val="18"/>
          <w:highlight w:val="none"/>
          <w:u w:val="single"/>
        </w:rPr>
        <w:t>单位名称</w:t>
      </w:r>
      <w:r>
        <w:rPr>
          <w:rFonts w:hint="eastAsia" w:ascii="宋体" w:hAnsi="宋体" w:eastAsia="宋体" w:cs="宋体"/>
          <w:i w:val="0"/>
          <w:iCs w:val="0"/>
          <w:color w:val="auto"/>
          <w:sz w:val="22"/>
          <w:szCs w:val="18"/>
          <w:highlight w:val="none"/>
        </w:rPr>
        <w:t>）的在下面签字的（</w:t>
      </w:r>
      <w:r>
        <w:rPr>
          <w:rFonts w:hint="eastAsia" w:ascii="宋体" w:hAnsi="宋体" w:eastAsia="宋体" w:cs="宋体"/>
          <w:i w:val="0"/>
          <w:iCs w:val="0"/>
          <w:color w:val="auto"/>
          <w:sz w:val="22"/>
          <w:szCs w:val="18"/>
          <w:highlight w:val="none"/>
          <w:u w:val="single"/>
        </w:rPr>
        <w:t>被授权人的姓名、职务</w:t>
      </w:r>
      <w:r>
        <w:rPr>
          <w:rFonts w:hint="eastAsia" w:ascii="宋体" w:hAnsi="宋体" w:eastAsia="宋体" w:cs="宋体"/>
          <w:i w:val="0"/>
          <w:iCs w:val="0"/>
          <w:color w:val="auto"/>
          <w:sz w:val="22"/>
          <w:szCs w:val="18"/>
          <w:highlight w:val="none"/>
        </w:rPr>
        <w:t>）</w:t>
      </w:r>
      <w:r>
        <w:rPr>
          <w:rFonts w:hint="eastAsia" w:ascii="宋体" w:hAnsi="宋体" w:eastAsia="宋体" w:cs="宋体"/>
          <w:color w:val="auto"/>
          <w:sz w:val="22"/>
          <w:szCs w:val="18"/>
          <w:highlight w:val="none"/>
        </w:rPr>
        <w:t>为我单位的合法代理人，</w:t>
      </w:r>
      <w:r>
        <w:rPr>
          <w:rFonts w:hint="eastAsia" w:ascii="宋体" w:hAnsi="宋体" w:eastAsia="宋体" w:cs="宋体"/>
          <w:i w:val="0"/>
          <w:iCs w:val="0"/>
          <w:color w:val="auto"/>
          <w:sz w:val="22"/>
          <w:szCs w:val="18"/>
          <w:highlight w:val="none"/>
        </w:rPr>
        <w:t>就（</w:t>
      </w:r>
      <w:r>
        <w:rPr>
          <w:rFonts w:hint="eastAsia" w:ascii="宋体" w:hAnsi="宋体" w:eastAsia="宋体" w:cs="宋体"/>
          <w:i w:val="0"/>
          <w:iCs w:val="0"/>
          <w:color w:val="auto"/>
          <w:sz w:val="22"/>
          <w:szCs w:val="18"/>
          <w:highlight w:val="none"/>
          <w:u w:val="single"/>
        </w:rPr>
        <w:t>项目名称</w:t>
      </w:r>
      <w:r>
        <w:rPr>
          <w:rFonts w:hint="eastAsia" w:ascii="宋体" w:hAnsi="宋体" w:eastAsia="宋体" w:cs="宋体"/>
          <w:color w:val="auto"/>
          <w:sz w:val="22"/>
          <w:szCs w:val="18"/>
          <w:highlight w:val="none"/>
        </w:rPr>
        <w:t>）投标，以我单位名义处理一切与之有关的事务。</w:t>
      </w:r>
      <w:r>
        <w:rPr>
          <w:rFonts w:hint="eastAsia" w:ascii="宋体" w:hAnsi="宋体" w:eastAsia="宋体" w:cs="宋体"/>
          <w:color w:val="auto"/>
          <w:sz w:val="22"/>
          <w:szCs w:val="18"/>
          <w:highlight w:val="none"/>
        </w:rPr>
        <w:cr/>
      </w:r>
      <w:r>
        <w:rPr>
          <w:rFonts w:hint="eastAsia" w:ascii="宋体" w:hAnsi="宋体" w:eastAsia="宋体" w:cs="宋体"/>
          <w:color w:val="auto"/>
          <w:sz w:val="22"/>
          <w:szCs w:val="18"/>
          <w:highlight w:val="none"/>
        </w:rPr>
        <w:t>　　本授权书于</w:t>
      </w:r>
      <w:r>
        <w:rPr>
          <w:rFonts w:hint="eastAsia" w:ascii="宋体" w:hAnsi="宋体" w:eastAsia="宋体" w:cs="宋体"/>
          <w:color w:val="auto"/>
          <w:sz w:val="22"/>
          <w:szCs w:val="18"/>
          <w:highlight w:val="none"/>
          <w:u w:val="single"/>
        </w:rPr>
        <w:t xml:space="preserve">           </w:t>
      </w:r>
      <w:r>
        <w:rPr>
          <w:rFonts w:hint="eastAsia" w:ascii="宋体" w:hAnsi="宋体" w:eastAsia="宋体" w:cs="宋体"/>
          <w:color w:val="auto"/>
          <w:sz w:val="22"/>
          <w:szCs w:val="18"/>
          <w:highlight w:val="none"/>
        </w:rPr>
        <w:t>年</w:t>
      </w:r>
      <w:r>
        <w:rPr>
          <w:rFonts w:hint="eastAsia" w:ascii="宋体" w:hAnsi="宋体" w:eastAsia="宋体" w:cs="宋体"/>
          <w:color w:val="auto"/>
          <w:sz w:val="22"/>
          <w:szCs w:val="18"/>
          <w:highlight w:val="none"/>
          <w:u w:val="single"/>
        </w:rPr>
        <w:t xml:space="preserve">     </w:t>
      </w:r>
      <w:r>
        <w:rPr>
          <w:rFonts w:hint="eastAsia" w:ascii="宋体" w:hAnsi="宋体" w:eastAsia="宋体" w:cs="宋体"/>
          <w:color w:val="auto"/>
          <w:sz w:val="22"/>
          <w:szCs w:val="18"/>
          <w:highlight w:val="none"/>
        </w:rPr>
        <w:t>月</w:t>
      </w:r>
      <w:r>
        <w:rPr>
          <w:rFonts w:hint="eastAsia" w:ascii="宋体" w:hAnsi="宋体" w:eastAsia="宋体" w:cs="宋体"/>
          <w:color w:val="auto"/>
          <w:sz w:val="22"/>
          <w:szCs w:val="18"/>
          <w:highlight w:val="none"/>
          <w:u w:val="single"/>
        </w:rPr>
        <w:t xml:space="preserve">     </w:t>
      </w:r>
      <w:r>
        <w:rPr>
          <w:rFonts w:hint="eastAsia" w:ascii="宋体" w:hAnsi="宋体" w:eastAsia="宋体" w:cs="宋体"/>
          <w:color w:val="auto"/>
          <w:sz w:val="22"/>
          <w:szCs w:val="18"/>
          <w:highlight w:val="none"/>
        </w:rPr>
        <w:t>日签字生效,特此声明。</w:t>
      </w:r>
      <w:r>
        <w:rPr>
          <w:rFonts w:hint="eastAsia" w:ascii="宋体" w:hAnsi="宋体" w:eastAsia="宋体" w:cs="宋体"/>
          <w:color w:val="auto"/>
          <w:sz w:val="24"/>
          <w:highlight w:val="none"/>
        </w:rPr>
        <w:cr/>
      </w:r>
    </w:p>
    <w:p>
      <w:pPr>
        <w:pStyle w:val="14"/>
        <w:shd w:val="clear" w:color="auto" w:fill="auto"/>
        <w:tabs>
          <w:tab w:val="left" w:pos="5580"/>
        </w:tabs>
        <w:spacing w:line="240" w:lineRule="atLeast"/>
        <w:ind w:left="-547" w:leftChars="-257" w:firstLine="911" w:firstLineChars="375"/>
        <w:rPr>
          <w:rFonts w:hint="eastAsia" w:ascii="宋体" w:hAnsi="宋体" w:eastAsia="宋体" w:cs="宋体"/>
          <w:color w:val="auto"/>
          <w:sz w:val="24"/>
          <w:highlight w:val="none"/>
        </w:rPr>
      </w:pPr>
      <w:r>
        <w:rPr>
          <w:rFonts w:hint="eastAsia" w:ascii="宋体" w:hAnsi="宋体" w:eastAsia="宋体" w:cs="宋体"/>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3039110</wp:posOffset>
                </wp:positionH>
                <wp:positionV relativeFrom="paragraph">
                  <wp:posOffset>167640</wp:posOffset>
                </wp:positionV>
                <wp:extent cx="2478405" cy="1125220"/>
                <wp:effectExtent l="7620" t="7620" r="9525" b="10160"/>
                <wp:wrapNone/>
                <wp:docPr id="4" name="圆角矩形 4"/>
                <wp:cNvGraphicFramePr/>
                <a:graphic xmlns:a="http://schemas.openxmlformats.org/drawingml/2006/main">
                  <a:graphicData uri="http://schemas.microsoft.com/office/word/2010/wordprocessingShape">
                    <wps:wsp>
                      <wps:cNvSpPr/>
                      <wps:spPr>
                        <a:xfrm>
                          <a:off x="0" y="0"/>
                          <a:ext cx="2478405" cy="112522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rPr>
                                <w:rFonts w:hint="eastAsia" w:hAnsi="宋体"/>
                              </w:rPr>
                            </w:pPr>
                          </w:p>
                          <w:p>
                            <w:pPr>
                              <w:rPr>
                                <w:rFonts w:hint="eastAsia" w:hAnsi="宋体"/>
                              </w:rPr>
                            </w:pPr>
                          </w:p>
                          <w:p>
                            <w:pPr>
                              <w:jc w:val="center"/>
                              <w:rPr>
                                <w:rFonts w:hint="eastAsia" w:hAnsi="宋体"/>
                              </w:rPr>
                            </w:pPr>
                            <w:r>
                              <w:rPr>
                                <w:rFonts w:hint="eastAsia" w:hAnsi="宋体"/>
                              </w:rPr>
                              <w:t>法人身份证复印件反面</w:t>
                            </w:r>
                          </w:p>
                          <w:p/>
                        </w:txbxContent>
                      </wps:txbx>
                      <wps:bodyPr upright="1"/>
                    </wps:wsp>
                  </a:graphicData>
                </a:graphic>
              </wp:anchor>
            </w:drawing>
          </mc:Choice>
          <mc:Fallback>
            <w:pict>
              <v:roundrect id="_x0000_s1026" o:spid="_x0000_s1026" o:spt="2" style="position:absolute;left:0pt;margin-left:239.3pt;margin-top:13.2pt;height:88.6pt;width:195.15pt;z-index:251660288;mso-width-relative:page;mso-height-relative:page;" fillcolor="#FFFFFF" filled="t" stroked="t" coordsize="21600,21600" arcsize="0.166666666666667" o:gfxdata="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oXJItsAAAAKAQAADwAAAAAAAAABACAAAAAiAAAAZHJzL2Rvd25yZXYueG1sUEsB&#10;AhQAFAAAAAgAh07iQKUw96QrAgAAZgQAAA4AAAAAAAAAAQAgAAAAKgEAAGRycy9lMm9Eb2MueG1s&#10;UEsFBgAAAAAGAAYAWQEAAMcFAAAAAA==&#10;">
                <v:fill on="t" focussize="0,0"/>
                <v:stroke weight="1.25pt" color="#808080" joinstyle="round"/>
                <v:imagedata o:title=""/>
                <o:lock v:ext="edit" aspectratio="f"/>
                <v:textbox>
                  <w:txbxContent>
                    <w:p>
                      <w:pPr>
                        <w:rPr>
                          <w:rFonts w:hint="eastAsia" w:hAnsi="宋体"/>
                        </w:rPr>
                      </w:pPr>
                    </w:p>
                    <w:p>
                      <w:pPr>
                        <w:rPr>
                          <w:rFonts w:hint="eastAsia" w:hAnsi="宋体"/>
                        </w:rPr>
                      </w:pPr>
                    </w:p>
                    <w:p>
                      <w:pPr>
                        <w:jc w:val="center"/>
                        <w:rPr>
                          <w:rFonts w:hint="eastAsia" w:hAnsi="宋体"/>
                        </w:rPr>
                      </w:pPr>
                      <w:r>
                        <w:rPr>
                          <w:rFonts w:hint="eastAsia" w:hAnsi="宋体"/>
                        </w:rPr>
                        <w:t>法人身份证复印件反面</w:t>
                      </w:r>
                    </w:p>
                    <w:p/>
                  </w:txbxContent>
                </v:textbox>
              </v:roundrect>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135890</wp:posOffset>
                </wp:positionV>
                <wp:extent cx="2507615" cy="1143000"/>
                <wp:effectExtent l="4445" t="4445" r="21590" b="14605"/>
                <wp:wrapNone/>
                <wp:docPr id="6" name="流程图: 可选过程 6"/>
                <wp:cNvGraphicFramePr/>
                <a:graphic xmlns:a="http://schemas.openxmlformats.org/drawingml/2006/main">
                  <a:graphicData uri="http://schemas.microsoft.com/office/word/2010/wordprocessingShape">
                    <wps:wsp>
                      <wps:cNvSpPr/>
                      <wps:spPr>
                        <a:xfrm>
                          <a:off x="0" y="0"/>
                          <a:ext cx="2507615" cy="11430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pPr>
                            <w:r>
                              <w:rPr>
                                <w:rFonts w:hint="eastAsia" w:hAnsi="宋体"/>
                              </w:rPr>
                              <w:t>法人身份证复印件正面</w:t>
                            </w:r>
                          </w:p>
                          <w:p>
                            <w:pPr>
                              <w:jc w:val="center"/>
                              <w:rPr>
                                <w:rFonts w:hint="eastAsia" w:hAnsi="宋体"/>
                              </w:rPr>
                            </w:pPr>
                          </w:p>
                        </w:txbxContent>
                      </wps:txbx>
                      <wps:bodyPr upright="1"/>
                    </wps:wsp>
                  </a:graphicData>
                </a:graphic>
              </wp:anchor>
            </w:drawing>
          </mc:Choice>
          <mc:Fallback>
            <w:pict>
              <v:shape id="_x0000_s1026" o:spid="_x0000_s1026" o:spt="176" type="#_x0000_t176" style="position:absolute;left:0pt;margin-left:1.65pt;margin-top:10.7pt;height:90pt;width:197.45pt;z-index:251659264;mso-width-relative:page;mso-height-relative:page;" fillcolor="#FFFFFF" filled="t" stroked="t" coordsize="21600,21600" o:gfxdata="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gSMjDWAAAACAEAAA8AAAAAAAAAAQAgAAAAIgAAAGRycy9kb3ducmV2LnhtbFBL&#10;AQIUABQAAAAIAIdO4kDJH0QGMQIAAF4EAAAOAAAAAAAAAAEAIAAAACUBAABkcnMvZTJvRG9jLnht&#10;bFBLBQYAAAAABgAGAFkBAADIBQAAAAA=&#10;">
                <v:fill on="t" focussize="0,0"/>
                <v:stroke color="#000000" joinstyle="miter"/>
                <v:imagedata o:title=""/>
                <o:lock v:ext="edit" aspectratio="f"/>
                <v:textbox>
                  <w:txbxContent>
                    <w:p>
                      <w:pPr>
                        <w:jc w:val="center"/>
                        <w:rPr>
                          <w:rFonts w:hint="eastAsia" w:hAnsi="宋体"/>
                        </w:rPr>
                      </w:pPr>
                    </w:p>
                    <w:p>
                      <w:pPr>
                        <w:jc w:val="center"/>
                        <w:rPr>
                          <w:rFonts w:hint="eastAsia" w:hAnsi="宋体"/>
                        </w:rPr>
                      </w:pPr>
                    </w:p>
                    <w:p>
                      <w:pPr>
                        <w:jc w:val="center"/>
                      </w:pPr>
                      <w:r>
                        <w:rPr>
                          <w:rFonts w:hint="eastAsia" w:hAnsi="宋体"/>
                        </w:rPr>
                        <w:t>法人身份证复印件正面</w:t>
                      </w:r>
                    </w:p>
                    <w:p>
                      <w:pPr>
                        <w:jc w:val="center"/>
                        <w:rPr>
                          <w:rFonts w:hint="eastAsia" w:hAnsi="宋体"/>
                        </w:rPr>
                      </w:pPr>
                    </w:p>
                  </w:txbxContent>
                </v:textbox>
              </v:shape>
            </w:pict>
          </mc:Fallback>
        </mc:AlternateContent>
      </w: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mc:AlternateContent>
          <mc:Choice Requires="wps">
            <w:drawing>
              <wp:anchor distT="0" distB="0" distL="114300" distR="114300" simplePos="0" relativeHeight="251662336" behindDoc="0" locked="0" layoutInCell="1" allowOverlap="1">
                <wp:simplePos x="0" y="0"/>
                <wp:positionH relativeFrom="column">
                  <wp:posOffset>3018155</wp:posOffset>
                </wp:positionH>
                <wp:positionV relativeFrom="paragraph">
                  <wp:posOffset>53975</wp:posOffset>
                </wp:positionV>
                <wp:extent cx="2535555" cy="1029335"/>
                <wp:effectExtent l="7620" t="7620" r="9525" b="10795"/>
                <wp:wrapNone/>
                <wp:docPr id="5" name="圆角矩形 5"/>
                <wp:cNvGraphicFramePr/>
                <a:graphic xmlns:a="http://schemas.openxmlformats.org/drawingml/2006/main">
                  <a:graphicData uri="http://schemas.microsoft.com/office/word/2010/wordprocessingShape">
                    <wps:wsp>
                      <wps:cNvSpPr/>
                      <wps:spPr>
                        <a:xfrm>
                          <a:off x="0" y="0"/>
                          <a:ext cx="2535555" cy="1029335"/>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r>
                              <w:rPr>
                                <w:rFonts w:hint="eastAsia" w:hAnsi="宋体"/>
                              </w:rPr>
                              <w:t xml:space="preserve">  </w:t>
                            </w:r>
                          </w:p>
                          <w:p>
                            <w:pPr>
                              <w:jc w:val="both"/>
                              <w:rPr>
                                <w:rFonts w:hint="eastAsia" w:hAnsi="宋体"/>
                              </w:rPr>
                            </w:pPr>
                          </w:p>
                          <w:p>
                            <w:pPr>
                              <w:jc w:val="center"/>
                            </w:pPr>
                            <w:r>
                              <w:rPr>
                                <w:rFonts w:hint="eastAsia" w:hAnsi="宋体"/>
                              </w:rPr>
                              <w:t>授权委托人身份证复印件反面</w:t>
                            </w:r>
                          </w:p>
                          <w:p>
                            <w:pPr>
                              <w:jc w:val="center"/>
                            </w:pPr>
                          </w:p>
                          <w:p/>
                        </w:txbxContent>
                      </wps:txbx>
                      <wps:bodyPr upright="1"/>
                    </wps:wsp>
                  </a:graphicData>
                </a:graphic>
              </wp:anchor>
            </w:drawing>
          </mc:Choice>
          <mc:Fallback>
            <w:pict>
              <v:roundrect id="_x0000_s1026" o:spid="_x0000_s1026" o:spt="2" style="position:absolute;left:0pt;margin-left:237.65pt;margin-top:4.25pt;height:81.05pt;width:199.65pt;z-index:251662336;mso-width-relative:page;mso-height-relative:page;" fillcolor="#FFFFFF" filled="t" stroked="t" coordsize="21600,21600" arcsize="0.166666666666667" o:gfxdata="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UHNIL2gAAAAkBAAAPAAAAAAAAAAEAIAAAACIAAABkcnMvZG93bnJldi54bWxQSwEC&#10;FAAUAAAACACHTuJAq/jkISsCAABmBAAADgAAAAAAAAABACAAAAApAQAAZHJzL2Uyb0RvYy54bWxQ&#10;SwUGAAAAAAYABgBZAQAAxgUAAAAA&#10;">
                <v:fill on="t" focussize="0,0"/>
                <v:stroke weight="1.25pt" color="#808080" joinstyle="round"/>
                <v:imagedata o:title=""/>
                <o:lock v:ext="edit" aspectratio="f"/>
                <v:textbox>
                  <w:txbxContent>
                    <w:p>
                      <w:pPr>
                        <w:jc w:val="center"/>
                        <w:rPr>
                          <w:rFonts w:hint="eastAsia" w:hAnsi="宋体"/>
                        </w:rPr>
                      </w:pPr>
                      <w:r>
                        <w:rPr>
                          <w:rFonts w:hint="eastAsia" w:hAnsi="宋体"/>
                        </w:rPr>
                        <w:t xml:space="preserve">  </w:t>
                      </w:r>
                    </w:p>
                    <w:p>
                      <w:pPr>
                        <w:jc w:val="both"/>
                        <w:rPr>
                          <w:rFonts w:hint="eastAsia" w:hAnsi="宋体"/>
                        </w:rPr>
                      </w:pPr>
                    </w:p>
                    <w:p>
                      <w:pPr>
                        <w:jc w:val="center"/>
                      </w:pPr>
                      <w:r>
                        <w:rPr>
                          <w:rFonts w:hint="eastAsia" w:hAnsi="宋体"/>
                        </w:rPr>
                        <w:t>授权委托人身份证复印件反面</w:t>
                      </w:r>
                    </w:p>
                    <w:p>
                      <w:pPr>
                        <w:jc w:val="center"/>
                      </w:pPr>
                    </w:p>
                    <w:p/>
                  </w:txbxContent>
                </v:textbox>
              </v:roundrect>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29845</wp:posOffset>
                </wp:positionV>
                <wp:extent cx="2555240" cy="1024890"/>
                <wp:effectExtent l="7620" t="7620" r="8890" b="15240"/>
                <wp:wrapNone/>
                <wp:docPr id="3" name="圆角矩形 3"/>
                <wp:cNvGraphicFramePr/>
                <a:graphic xmlns:a="http://schemas.openxmlformats.org/drawingml/2006/main">
                  <a:graphicData uri="http://schemas.microsoft.com/office/word/2010/wordprocessingShape">
                    <wps:wsp>
                      <wps:cNvSpPr/>
                      <wps:spPr>
                        <a:xfrm>
                          <a:off x="0" y="0"/>
                          <a:ext cx="255524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a:effectLst/>
                      </wps:spPr>
                      <wps:txbx>
                        <w:txbxContent>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p>
                            <w:pPr>
                              <w:jc w:val="center"/>
                              <w:rPr>
                                <w:rFonts w:hint="eastAsia" w:hAnsi="宋体"/>
                              </w:rPr>
                            </w:pPr>
                          </w:p>
                          <w:p/>
                        </w:txbxContent>
                      </wps:txbx>
                      <wps:bodyPr upright="1"/>
                    </wps:wsp>
                  </a:graphicData>
                </a:graphic>
              </wp:anchor>
            </w:drawing>
          </mc:Choice>
          <mc:Fallback>
            <w:pict>
              <v:roundrect id="_x0000_s1026" o:spid="_x0000_s1026" o:spt="2" style="position:absolute;left:0pt;margin-left:-0.85pt;margin-top:2.35pt;height:80.7pt;width:201.2pt;z-index:251661312;mso-width-relative:page;mso-height-relative:page;" fillcolor="#FFFFFF" filled="t" stroked="t" coordsize="21600,21600" arcsize="0.166666666666667" o:gfxdata="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74Le9gAAAAIAQAADwAAAAAAAAABACAAAAAiAAAAZHJzL2Rvd25yZXYueG1sUEsB&#10;AhQAFAAAAAgAh07iQPP4MUouAgAAZgQAAA4AAAAAAAAAAQAgAAAAJwEAAGRycy9lMm9Eb2MueG1s&#10;UEsFBgAAAAAGAAYAWQEAAMcFAAAAAA==&#10;">
                <v:fill on="t" focussize="0,0"/>
                <v:stroke weight="1.25pt" color="#808080" joinstyle="round"/>
                <v:imagedata o:title=""/>
                <o:lock v:ext="edit" aspectratio="f"/>
                <v:textbox>
                  <w:txbxContent>
                    <w:p>
                      <w:pPr>
                        <w:jc w:val="center"/>
                        <w:rPr>
                          <w:rFonts w:hint="eastAsia" w:hAnsi="宋体"/>
                        </w:rPr>
                      </w:pPr>
                    </w:p>
                    <w:p>
                      <w:pPr>
                        <w:jc w:val="center"/>
                        <w:rPr>
                          <w:rFonts w:hint="eastAsia" w:hAnsi="宋体"/>
                        </w:rPr>
                      </w:pPr>
                    </w:p>
                    <w:p>
                      <w:pPr>
                        <w:jc w:val="center"/>
                      </w:pPr>
                      <w:r>
                        <w:rPr>
                          <w:rFonts w:hint="eastAsia" w:hAnsi="宋体"/>
                        </w:rPr>
                        <w:t>授权委托人身份证复印件正面</w:t>
                      </w:r>
                    </w:p>
                    <w:p>
                      <w:pPr>
                        <w:jc w:val="center"/>
                        <w:rPr>
                          <w:rFonts w:hint="eastAsia" w:hAnsi="宋体"/>
                        </w:rPr>
                      </w:pPr>
                    </w:p>
                    <w:p/>
                  </w:txbxContent>
                </v:textbox>
              </v:roundrect>
            </w:pict>
          </mc:Fallback>
        </mc:AlternateContent>
      </w: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shd w:val="clear" w:color="auto" w:fill="auto"/>
        <w:spacing w:line="360" w:lineRule="auto"/>
        <w:ind w:firstLine="243" w:firstLineChars="100"/>
        <w:rPr>
          <w:rFonts w:hint="eastAsia" w:ascii="宋体" w:hAnsi="宋体" w:eastAsia="宋体" w:cs="宋体"/>
          <w:color w:val="auto"/>
          <w:sz w:val="24"/>
          <w:highlight w:val="none"/>
        </w:rPr>
      </w:pPr>
    </w:p>
    <w:p>
      <w:pPr>
        <w:pStyle w:val="14"/>
        <w:shd w:val="clear" w:color="auto" w:fill="auto"/>
        <w:tabs>
          <w:tab w:val="left" w:pos="5580"/>
        </w:tabs>
        <w:spacing w:line="240" w:lineRule="atLeast"/>
        <w:ind w:left="-547" w:leftChars="-257" w:firstLine="911" w:firstLineChars="375"/>
        <w:rPr>
          <w:rFonts w:hint="eastAsia" w:ascii="宋体" w:hAnsi="宋体" w:eastAsia="宋体" w:cs="宋体"/>
          <w:color w:val="auto"/>
          <w:sz w:val="24"/>
          <w:highlight w:val="none"/>
        </w:rPr>
      </w:pPr>
    </w:p>
    <w:p>
      <w:pPr>
        <w:pStyle w:val="14"/>
        <w:shd w:val="clear" w:color="auto" w:fill="auto"/>
        <w:tabs>
          <w:tab w:val="left" w:pos="5580"/>
        </w:tabs>
        <w:spacing w:line="240" w:lineRule="atLeast"/>
        <w:ind w:left="-547" w:leftChars="-257" w:firstLine="911" w:firstLineChars="375"/>
        <w:rPr>
          <w:rFonts w:hint="eastAsia" w:ascii="宋体" w:hAnsi="宋体" w:eastAsia="宋体" w:cs="宋体"/>
          <w:color w:val="auto"/>
          <w:sz w:val="24"/>
          <w:highlight w:val="none"/>
        </w:rPr>
      </w:pPr>
    </w:p>
    <w:p>
      <w:pPr>
        <w:pStyle w:val="14"/>
        <w:shd w:val="clear" w:color="auto" w:fill="auto"/>
        <w:tabs>
          <w:tab w:val="left" w:pos="5580"/>
        </w:tabs>
        <w:spacing w:line="240" w:lineRule="atLeast"/>
        <w:ind w:firstLine="446" w:firstLineChars="200"/>
        <w:rPr>
          <w:rFonts w:hint="eastAsia" w:ascii="宋体" w:hAnsi="宋体" w:eastAsia="宋体" w:cs="宋体"/>
          <w:color w:val="auto"/>
          <w:sz w:val="22"/>
          <w:szCs w:val="18"/>
          <w:highlight w:val="none"/>
          <w:u w:val="single"/>
        </w:rPr>
      </w:pPr>
      <w:r>
        <w:rPr>
          <w:rFonts w:hint="eastAsia" w:ascii="宋体" w:hAnsi="宋体" w:eastAsia="宋体" w:cs="宋体"/>
          <w:color w:val="auto"/>
          <w:sz w:val="22"/>
          <w:szCs w:val="18"/>
          <w:highlight w:val="none"/>
        </w:rPr>
        <w:t>投标人（盖单位章）;</w:t>
      </w:r>
      <w:r>
        <w:rPr>
          <w:rFonts w:hint="eastAsia" w:ascii="宋体" w:hAnsi="宋体" w:eastAsia="宋体" w:cs="宋体"/>
          <w:color w:val="auto"/>
          <w:sz w:val="22"/>
          <w:szCs w:val="18"/>
          <w:highlight w:val="none"/>
          <w:u w:val="single"/>
        </w:rPr>
        <w:t xml:space="preserve">                           </w:t>
      </w:r>
    </w:p>
    <w:p>
      <w:pPr>
        <w:pStyle w:val="14"/>
        <w:shd w:val="clear" w:color="auto" w:fill="auto"/>
        <w:tabs>
          <w:tab w:val="left" w:pos="5580"/>
        </w:tabs>
        <w:spacing w:line="240" w:lineRule="atLeast"/>
        <w:ind w:firstLine="446" w:firstLineChars="20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法定代表人（签字或签章）：</w:t>
      </w:r>
      <w:r>
        <w:rPr>
          <w:rFonts w:hint="eastAsia" w:ascii="宋体" w:hAnsi="宋体" w:eastAsia="宋体" w:cs="宋体"/>
          <w:color w:val="auto"/>
          <w:sz w:val="22"/>
          <w:szCs w:val="18"/>
          <w:highlight w:val="none"/>
          <w:u w:val="single"/>
        </w:rPr>
        <w:t xml:space="preserve">                     </w:t>
      </w:r>
    </w:p>
    <w:p>
      <w:pPr>
        <w:pStyle w:val="14"/>
        <w:shd w:val="clear" w:color="auto" w:fill="auto"/>
        <w:tabs>
          <w:tab w:val="left" w:pos="5580"/>
        </w:tabs>
        <w:spacing w:line="240" w:lineRule="atLeast"/>
        <w:ind w:firstLine="446" w:firstLineChars="200"/>
        <w:rPr>
          <w:rFonts w:hint="eastAsia" w:ascii="宋体" w:hAnsi="宋体" w:eastAsia="宋体" w:cs="宋体"/>
          <w:color w:val="auto"/>
          <w:sz w:val="22"/>
          <w:szCs w:val="18"/>
          <w:highlight w:val="none"/>
          <w:u w:val="single"/>
        </w:rPr>
      </w:pPr>
      <w:r>
        <w:rPr>
          <w:rFonts w:hint="eastAsia" w:ascii="宋体" w:hAnsi="宋体" w:eastAsia="宋体" w:cs="宋体"/>
          <w:color w:val="auto"/>
          <w:sz w:val="22"/>
          <w:szCs w:val="18"/>
          <w:highlight w:val="none"/>
        </w:rPr>
        <w:t>委托代理人：</w:t>
      </w:r>
      <w:r>
        <w:rPr>
          <w:rFonts w:hint="eastAsia" w:ascii="宋体" w:hAnsi="宋体" w:eastAsia="宋体" w:cs="宋体"/>
          <w:color w:val="auto"/>
          <w:sz w:val="22"/>
          <w:szCs w:val="18"/>
          <w:highlight w:val="none"/>
          <w:u w:val="single"/>
        </w:rPr>
        <w:t xml:space="preserve">                                   </w:t>
      </w:r>
    </w:p>
    <w:p>
      <w:pPr>
        <w:shd w:val="clear" w:color="auto" w:fill="auto"/>
        <w:spacing w:line="360" w:lineRule="auto"/>
        <w:ind w:firstLine="446" w:firstLineChars="200"/>
        <w:jc w:val="left"/>
        <w:rPr>
          <w:rFonts w:hint="eastAsia" w:ascii="宋体" w:hAnsi="宋体" w:eastAsia="宋体" w:cs="宋体"/>
          <w:color w:val="auto"/>
          <w:kern w:val="2"/>
          <w:sz w:val="22"/>
          <w:szCs w:val="18"/>
          <w:highlight w:val="none"/>
          <w:u w:val="none" w:color="000000"/>
          <w:lang w:val="en-US" w:eastAsia="zh-CN" w:bidi="ar-SA"/>
        </w:rPr>
      </w:pPr>
      <w:r>
        <w:rPr>
          <w:rFonts w:hint="eastAsia" w:ascii="宋体" w:hAnsi="宋体" w:eastAsia="宋体" w:cs="宋体"/>
          <w:color w:val="auto"/>
          <w:kern w:val="2"/>
          <w:sz w:val="22"/>
          <w:szCs w:val="18"/>
          <w:highlight w:val="none"/>
          <w:u w:val="none" w:color="000000"/>
          <w:lang w:val="en-US" w:eastAsia="zh-CN" w:bidi="ar-SA"/>
        </w:rPr>
        <w:t xml:space="preserve">年   月   日 </w:t>
      </w:r>
    </w:p>
    <w:p>
      <w:pPr>
        <w:pStyle w:val="5"/>
        <w:numPr>
          <w:ilvl w:val="0"/>
          <w:numId w:val="0"/>
        </w:numPr>
        <w:shd w:val="clear" w:color="auto" w:fill="auto"/>
        <w:spacing w:before="0" w:line="240" w:lineRule="atLeast"/>
        <w:ind w:leftChars="257"/>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96" w:name="_Toc26357"/>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lang w:eastAsia="zh-CN"/>
        </w:rPr>
        <w:t>、</w:t>
      </w:r>
      <w:bookmarkEnd w:id="88"/>
      <w:bookmarkEnd w:id="89"/>
      <w:bookmarkEnd w:id="90"/>
      <w:bookmarkEnd w:id="96"/>
      <w:bookmarkStart w:id="97" w:name="_Toc28445"/>
      <w:bookmarkStart w:id="98" w:name="_Toc515647809"/>
      <w:bookmarkStart w:id="99" w:name="_Toc11047"/>
      <w:bookmarkStart w:id="100" w:name="_Toc4866"/>
      <w:r>
        <w:rPr>
          <w:rFonts w:hint="eastAsia" w:ascii="宋体" w:hAnsi="宋体" w:eastAsia="宋体" w:cs="宋体"/>
          <w:b/>
          <w:bCs/>
          <w:color w:val="auto"/>
          <w:sz w:val="24"/>
          <w:highlight w:val="none"/>
        </w:rPr>
        <w:t>投标保证金缴纳凭证或投标担保函</w:t>
      </w:r>
      <w:bookmarkEnd w:id="97"/>
      <w:bookmarkEnd w:id="98"/>
      <w:bookmarkEnd w:id="99"/>
      <w:bookmarkEnd w:id="100"/>
    </w:p>
    <w:p>
      <w:pPr>
        <w:shd w:val="clear" w:color="auto" w:fill="auto"/>
        <w:ind w:firstLine="426" w:firstLineChars="200"/>
        <w:rPr>
          <w:rFonts w:hint="eastAsia" w:ascii="宋体" w:hAnsi="宋体" w:eastAsia="宋体" w:cs="宋体"/>
          <w:color w:val="auto"/>
          <w:sz w:val="21"/>
          <w:szCs w:val="21"/>
          <w:highlight w:val="none"/>
        </w:rPr>
      </w:pPr>
      <w:bookmarkStart w:id="101" w:name="_Toc494296665"/>
      <w:bookmarkStart w:id="102" w:name="_Toc494296991"/>
    </w:p>
    <w:p>
      <w:pPr>
        <w:shd w:val="clear" w:color="auto" w:fill="auto"/>
        <w:spacing w:line="360" w:lineRule="auto"/>
        <w:ind w:firstLine="426"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可将本项目投标保证金支付的汇款凭证、支票、汇票或保证金收据（如有）的复印件作为缴纳凭证及投标保证金收据一起装订在本部分，复印件上应加盖本单位章；使用银行保函等其他投标担保函的，应将担保函正本，装订在本部分正本中；如采用政府采购信用担保形式的，应使用（</w:t>
      </w:r>
      <w:r>
        <w:rPr>
          <w:rFonts w:hint="eastAsia" w:ascii="宋体" w:hAnsi="宋体" w:eastAsia="宋体" w:cs="宋体"/>
          <w:color w:val="auto"/>
          <w:sz w:val="21"/>
          <w:szCs w:val="21"/>
          <w:highlight w:val="none"/>
          <w:lang w:val="en-US" w:eastAsia="zh-CN"/>
        </w:rPr>
        <w:t>下述</w:t>
      </w:r>
      <w:r>
        <w:rPr>
          <w:rFonts w:hint="eastAsia" w:ascii="宋体" w:hAnsi="宋体" w:eastAsia="宋体" w:cs="宋体"/>
          <w:color w:val="auto"/>
          <w:sz w:val="21"/>
          <w:szCs w:val="21"/>
          <w:highlight w:val="none"/>
        </w:rPr>
        <w:t>投标担保函</w:t>
      </w:r>
      <w:r>
        <w:rPr>
          <w:rFonts w:hint="eastAsia" w:ascii="宋体" w:hAnsi="宋体" w:eastAsia="宋体" w:cs="宋体"/>
          <w:color w:val="auto"/>
          <w:sz w:val="21"/>
          <w:szCs w:val="21"/>
          <w:highlight w:val="none"/>
          <w:lang w:val="en-US" w:eastAsia="zh-CN"/>
        </w:rPr>
        <w:t>格式</w:t>
      </w:r>
      <w:r>
        <w:rPr>
          <w:rFonts w:hint="eastAsia" w:ascii="宋体" w:hAnsi="宋体" w:eastAsia="宋体" w:cs="宋体"/>
          <w:color w:val="auto"/>
          <w:sz w:val="21"/>
          <w:szCs w:val="21"/>
          <w:highlight w:val="none"/>
        </w:rPr>
        <w:t xml:space="preserve"> ）,将原件装订在本部分正本中。</w:t>
      </w:r>
      <w:bookmarkEnd w:id="101"/>
      <w:bookmarkEnd w:id="102"/>
    </w:p>
    <w:p>
      <w:pPr>
        <w:pStyle w:val="8"/>
        <w:shd w:val="clear" w:color="auto" w:fill="auto"/>
        <w:spacing w:line="360" w:lineRule="auto"/>
        <w:rPr>
          <w:rFonts w:hint="eastAsia" w:ascii="宋体" w:hAnsi="宋体" w:eastAsia="宋体" w:cs="宋体"/>
          <w:color w:val="auto"/>
          <w:highlight w:val="none"/>
        </w:rPr>
      </w:pPr>
    </w:p>
    <w:tbl>
      <w:tblPr>
        <w:tblStyle w:val="28"/>
        <w:tblpPr w:leftFromText="180" w:rightFromText="180" w:vertAnchor="text" w:horzAnchor="page" w:tblpX="2090"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jc w:val="both"/>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投标保证金收据</w:t>
            </w:r>
          </w:p>
        </w:tc>
      </w:tr>
    </w:tbl>
    <w:p>
      <w:pPr>
        <w:pStyle w:val="8"/>
        <w:shd w:val="clear" w:color="auto" w:fill="auto"/>
        <w:rPr>
          <w:rFonts w:hint="eastAsia" w:ascii="宋体" w:hAnsi="宋体" w:eastAsia="宋体" w:cs="宋体"/>
          <w:color w:val="auto"/>
          <w:highlight w:val="none"/>
        </w:rPr>
      </w:pPr>
    </w:p>
    <w:p>
      <w:pPr>
        <w:shd w:val="clear" w:color="auto" w:fill="auto"/>
        <w:spacing w:line="240" w:lineRule="atLeast"/>
        <w:ind w:left="1087" w:leftChars="257" w:hanging="540"/>
        <w:jc w:val="center"/>
        <w:rPr>
          <w:rFonts w:hint="eastAsia" w:ascii="宋体" w:hAnsi="宋体" w:eastAsia="宋体" w:cs="宋体"/>
          <w:color w:val="auto"/>
          <w:sz w:val="24"/>
          <w:highlight w:val="none"/>
        </w:rPr>
      </w:pPr>
    </w:p>
    <w:p>
      <w:pPr>
        <w:shd w:val="clear" w:color="auto" w:fill="auto"/>
        <w:rPr>
          <w:rFonts w:hint="eastAsia" w:ascii="宋体" w:hAnsi="宋体" w:eastAsia="宋体" w:cs="宋体"/>
          <w:color w:val="auto"/>
          <w:sz w:val="28"/>
          <w:szCs w:val="28"/>
          <w:highlight w:val="none"/>
        </w:rPr>
      </w:pPr>
    </w:p>
    <w:tbl>
      <w:tblPr>
        <w:tblStyle w:val="28"/>
        <w:tblpPr w:leftFromText="180" w:rightFromText="180" w:vertAnchor="text" w:horzAnchor="page" w:tblpX="2090" w:tblpY="75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trPr>
        <w:tc>
          <w:tcPr>
            <w:tcW w:w="7879" w:type="dxa"/>
            <w:noWrap w:val="0"/>
            <w:vAlign w:val="top"/>
          </w:tcPr>
          <w:p>
            <w:pPr>
              <w:shd w:val="clear" w:color="auto" w:fill="auto"/>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lang w:eastAsia="zh-CN"/>
              </w:rPr>
              <w:t>打款凭证</w:t>
            </w:r>
          </w:p>
          <w:p>
            <w:pPr>
              <w:shd w:val="clear" w:color="auto" w:fill="auto"/>
              <w:jc w:val="center"/>
              <w:rPr>
                <w:rFonts w:hint="eastAsia" w:ascii="宋体" w:hAnsi="宋体" w:eastAsia="宋体" w:cs="宋体"/>
                <w:b/>
                <w:bCs/>
                <w:color w:val="auto"/>
                <w:sz w:val="30"/>
                <w:szCs w:val="30"/>
                <w:highlight w:val="none"/>
              </w:rPr>
            </w:pPr>
          </w:p>
          <w:p>
            <w:pPr>
              <w:shd w:val="clear" w:color="auto" w:fill="auto"/>
              <w:jc w:val="center"/>
              <w:rPr>
                <w:rFonts w:hint="eastAsia" w:ascii="宋体" w:hAnsi="宋体" w:eastAsia="宋体" w:cs="宋体"/>
                <w:b/>
                <w:bCs/>
                <w:color w:val="auto"/>
                <w:sz w:val="30"/>
                <w:szCs w:val="30"/>
                <w:highlight w:val="none"/>
              </w:rPr>
            </w:pPr>
          </w:p>
        </w:tc>
      </w:tr>
    </w:tbl>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pStyle w:val="8"/>
        <w:shd w:val="clear" w:color="auto" w:fill="auto"/>
        <w:rPr>
          <w:rFonts w:hint="eastAsia" w:ascii="宋体" w:hAnsi="宋体" w:eastAsia="宋体" w:cs="宋体"/>
          <w:color w:val="auto"/>
          <w:highlight w:val="none"/>
        </w:rPr>
      </w:pPr>
    </w:p>
    <w:p>
      <w:pPr>
        <w:shd w:val="clear" w:color="auto" w:fill="auto"/>
        <w:jc w:val="both"/>
        <w:rPr>
          <w:rFonts w:hint="eastAsia" w:ascii="宋体" w:hAnsi="宋体" w:eastAsia="宋体" w:cs="宋体"/>
          <w:color w:val="auto"/>
          <w:sz w:val="28"/>
          <w:szCs w:val="28"/>
          <w:highlight w:val="none"/>
        </w:rPr>
      </w:pPr>
    </w:p>
    <w:p>
      <w:pPr>
        <w:shd w:val="clear" w:color="auto" w:fill="auto"/>
        <w:jc w:val="center"/>
        <w:rPr>
          <w:rFonts w:hint="eastAsia" w:ascii="宋体" w:hAnsi="宋体" w:eastAsia="宋体" w:cs="宋体"/>
          <w:b/>
          <w:bCs/>
          <w:color w:val="auto"/>
          <w:kern w:val="0"/>
          <w:sz w:val="24"/>
          <w:szCs w:val="20"/>
          <w:highlight w:val="none"/>
          <w:lang w:val="en-US" w:eastAsia="zh-CN" w:bidi="ar-SA"/>
        </w:rPr>
      </w:pPr>
      <w:r>
        <w:rPr>
          <w:rFonts w:hint="eastAsia" w:ascii="宋体" w:hAnsi="宋体" w:cs="宋体"/>
          <w:b/>
          <w:bCs/>
          <w:color w:val="auto"/>
          <w:sz w:val="24"/>
          <w:highlight w:val="none"/>
          <w:lang w:val="en-US" w:eastAsia="zh-CN"/>
        </w:rPr>
        <w:t>5</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kern w:val="0"/>
          <w:sz w:val="24"/>
          <w:szCs w:val="20"/>
          <w:highlight w:val="none"/>
          <w:lang w:val="en-US" w:eastAsia="zh-CN" w:bidi="ar-SA"/>
        </w:rPr>
        <w:t>政府采购投标担保函 （项目用）</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6816" w:firstLineChars="3200"/>
        <w:rPr>
          <w:rFonts w:hint="eastAsia" w:ascii="宋体" w:hAnsi="宋体" w:eastAsia="宋体" w:cs="宋体"/>
          <w:color w:val="auto"/>
          <w:highlight w:val="none"/>
        </w:rPr>
      </w:pPr>
      <w:r>
        <w:rPr>
          <w:rFonts w:hint="eastAsia" w:ascii="宋体" w:hAnsi="宋体" w:eastAsia="宋体" w:cs="宋体"/>
          <w:color w:val="auto"/>
          <w:highlight w:val="none"/>
        </w:rPr>
        <w:t>编号：</w:t>
      </w:r>
    </w:p>
    <w:p>
      <w:pPr>
        <w:keepNext w:val="0"/>
        <w:keepLines w:val="0"/>
        <w:pageBreakBefore w:val="0"/>
        <w:widowControl w:val="0"/>
        <w:shd w:val="clear" w:color="auto" w:fill="auto"/>
        <w:kinsoku/>
        <w:wordWrap/>
        <w:overflowPunct/>
        <w:topLinePunct w:val="0"/>
        <w:autoSpaceDE/>
        <w:autoSpaceDN/>
        <w:bidi w:val="0"/>
        <w:snapToGrid/>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（采购人或采购代理机构）：</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鉴于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（以下简称“投标人”）拟参加编号为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keepNext w:val="0"/>
        <w:keepLines w:val="0"/>
        <w:pageBreakBefore w:val="0"/>
        <w:widowControl w:val="0"/>
        <w:shd w:val="clear" w:color="auto" w:fill="auto"/>
        <w:kinsoku/>
        <w:wordWrap/>
        <w:overflowPunct/>
        <w:topLinePunct w:val="0"/>
        <w:autoSpaceDE/>
        <w:autoSpaceDN/>
        <w:bidi w:val="0"/>
        <w:snapToGrid/>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t>项目（以下简称“本项目”）投标，根据本项目</w:t>
      </w:r>
      <w:r>
        <w:rPr>
          <w:rFonts w:hint="eastAsia" w:ascii="宋体" w:hAnsi="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，供应商参加投标时应向你方交纳投标保证金，且可以投标担保函的形式交纳投标保证金。应供应商的申请，我方以保证的方式向你方提供如下投标保证金担保：</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一、保证责任的情形及保证金额</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213" w:firstLineChars="100"/>
        <w:rPr>
          <w:rFonts w:hint="eastAsia" w:ascii="宋体" w:hAnsi="宋体" w:eastAsia="宋体" w:cs="宋体"/>
          <w:color w:val="auto"/>
          <w:highlight w:val="none"/>
        </w:rPr>
      </w:pPr>
      <w:r>
        <w:rPr>
          <w:rFonts w:hint="eastAsia" w:ascii="宋体" w:hAnsi="宋体" w:eastAsia="宋体" w:cs="宋体"/>
          <w:color w:val="auto"/>
          <w:highlight w:val="none"/>
        </w:rPr>
        <w:t>（一）在投标人出现下列情形之一时，我方承担保证责任：</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后投标人无正当理由不与采购人或者采购代理机构签订《政府采购合同》；</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规定的投标人应当缴纳保证金的其他情形。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213" w:firstLineChars="100"/>
        <w:rPr>
          <w:rFonts w:hint="eastAsia" w:ascii="宋体" w:hAnsi="宋体" w:eastAsia="宋体" w:cs="宋体"/>
          <w:color w:val="auto"/>
          <w:highlight w:val="none"/>
        </w:rPr>
      </w:pPr>
      <w:r>
        <w:rPr>
          <w:rFonts w:hint="eastAsia" w:ascii="宋体" w:hAnsi="宋体" w:eastAsia="宋体" w:cs="宋体"/>
          <w:color w:val="auto"/>
          <w:highlight w:val="none"/>
        </w:rPr>
        <w:t>（二）我方承担保证责任的最高金额为人民币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），即本项目的投标保证金金额。</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二、保证的方式及保证期间</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我方保证的方式为：连带责任保证。</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我方的保证期间为：自本保函生效之日起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个月止。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三、承担保证责任的程序</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1．你方要求我方承担保证责任的，应在本保函保证期间内向我方发出书面索赔通知。索赔通知应写明要求索赔的金额，支付款项应到达的账号，并附有证明投标人发生我方应承担保证责任情形的事实材料。</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2．我方在收到索赔通知及相关证明材料后，在</w:t>
      </w:r>
      <w:r>
        <w:rPr>
          <w:rFonts w:hint="eastAsia" w:ascii="宋体" w:hAnsi="宋体" w:eastAsia="宋体" w:cs="宋体"/>
          <w:color w:val="auto"/>
          <w:highlight w:val="none"/>
          <w:u w:val="single"/>
        </w:rPr>
        <w:t>　　　</w:t>
      </w:r>
      <w:r>
        <w:rPr>
          <w:rFonts w:hint="eastAsia" w:ascii="宋体" w:hAnsi="宋体" w:eastAsia="宋体" w:cs="宋体"/>
          <w:color w:val="auto"/>
          <w:highlight w:val="none"/>
        </w:rPr>
        <w:t>个工作日内进行审查，符合应承担保证责任情形的，我方应按照你方的要求代投标人向你方支付投标保证金。</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四、保证责任的终止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1．保证期间届满你方未向我方书面主张保证责任的，自保证期间届满次日起，我方保证责任自动终止。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2．我方按照本保函向你贵方履行了保证责任后，自我方向你贵方支付款项（支付款项从我方账户划出）之日起，保证责任终止。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3．按照法律法规的规定或出现我方保证责任终止的其它情形的，我方在本保函项下的保证责任亦终止。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五、免责条款</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1．依照法律规定或你方与投标人的另行约定，全部或者部分免除投标人投标保证金义务时，我方亦免除相应的保证责任。</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2．因你方原因致使投标人发生本保函第一条第（一）款约定情形的，我方不承担保证责任。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3．因不可抗力造成投标人发生本保函第一条约定情形的，我方不承担保证责任。</w:t>
      </w:r>
    </w:p>
    <w:p>
      <w:pPr>
        <w:keepNext w:val="0"/>
        <w:keepLines w:val="0"/>
        <w:pageBreakBefore w:val="0"/>
        <w:widowControl w:val="0"/>
        <w:shd w:val="clear" w:color="auto" w:fill="auto"/>
        <w:kinsoku/>
        <w:wordWrap/>
        <w:overflowPunct/>
        <w:topLinePunct w:val="0"/>
        <w:autoSpaceDE/>
        <w:autoSpaceDN/>
        <w:bidi w:val="0"/>
        <w:adjustRightInd/>
        <w:snapToGrid/>
        <w:spacing w:line="400" w:lineRule="exact"/>
        <w:ind w:firstLine="426"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4．你方或其他有权机关对</w:t>
      </w:r>
      <w:r>
        <w:rPr>
          <w:rFonts w:hint="eastAsia" w:ascii="宋体" w:hAnsi="宋体" w:cs="宋体"/>
          <w:color w:val="auto"/>
          <w:highlight w:val="none"/>
          <w:lang w:val="en-US" w:eastAsia="zh-CN"/>
        </w:rPr>
        <w:t>招标</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进行任何澄清或修改，加重我方保证责任的，我方对加重部分不承担保证责任，但该澄清或修改经我方事先书面同意的除外。</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六、争议的解决</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因本保函发生的纠纷，由你我双方协商解决，协商不成的，通过诉讼程序解决，诉讼管辖地法院为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法院。</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七、保函的生效</w:t>
      </w:r>
    </w:p>
    <w:p>
      <w:pPr>
        <w:keepNext w:val="0"/>
        <w:keepLines w:val="0"/>
        <w:pageBreakBefore w:val="0"/>
        <w:widowControl w:val="0"/>
        <w:shd w:val="clear" w:color="auto" w:fill="auto"/>
        <w:kinsoku/>
        <w:wordWrap/>
        <w:overflowPunct/>
        <w:topLinePunct w:val="0"/>
        <w:autoSpaceDE/>
        <w:autoSpaceDN/>
        <w:bidi w:val="0"/>
        <w:snapToGrid/>
        <w:spacing w:line="400" w:lineRule="exact"/>
        <w:ind w:firstLine="426" w:firstLineChars="200"/>
        <w:rPr>
          <w:rFonts w:hint="eastAsia" w:ascii="宋体" w:hAnsi="宋体" w:eastAsia="宋体" w:cs="宋体"/>
          <w:color w:val="auto"/>
          <w:highlight w:val="none"/>
        </w:rPr>
      </w:pPr>
      <w:r>
        <w:rPr>
          <w:rFonts w:hint="eastAsia" w:ascii="宋体" w:hAnsi="宋体" w:eastAsia="宋体" w:cs="宋体"/>
          <w:color w:val="auto"/>
          <w:highlight w:val="none"/>
        </w:rPr>
        <w:t>本保函自我方加盖公章之日起生效。</w:t>
      </w:r>
    </w:p>
    <w:p>
      <w:pPr>
        <w:keepNext w:val="0"/>
        <w:keepLines w:val="0"/>
        <w:pageBreakBefore w:val="0"/>
        <w:widowControl w:val="0"/>
        <w:shd w:val="clear" w:color="auto" w:fill="auto"/>
        <w:kinsoku/>
        <w:wordWrap/>
        <w:overflowPunct/>
        <w:topLinePunct w:val="0"/>
        <w:autoSpaceDE/>
        <w:autoSpaceDN/>
        <w:bidi w:val="0"/>
        <w:snapToGrid/>
        <w:spacing w:line="400" w:lineRule="exact"/>
        <w:jc w:val="right"/>
        <w:rPr>
          <w:rFonts w:hint="eastAsia" w:ascii="宋体" w:hAnsi="宋体" w:eastAsia="宋体" w:cs="宋体"/>
          <w:color w:val="auto"/>
          <w:highlight w:val="none"/>
        </w:rPr>
      </w:pPr>
      <w:r>
        <w:rPr>
          <w:rFonts w:hint="eastAsia" w:ascii="宋体" w:hAnsi="宋体" w:eastAsia="宋体" w:cs="宋体"/>
          <w:color w:val="auto"/>
          <w:highlight w:val="none"/>
        </w:rPr>
        <w:t>保证人：（公章）</w:t>
      </w:r>
    </w:p>
    <w:p>
      <w:pPr>
        <w:keepNext w:val="0"/>
        <w:keepLines w:val="0"/>
        <w:pageBreakBefore w:val="0"/>
        <w:widowControl w:val="0"/>
        <w:shd w:val="clear" w:color="auto" w:fill="auto"/>
        <w:kinsoku/>
        <w:wordWrap/>
        <w:overflowPunct/>
        <w:topLinePunct w:val="0"/>
        <w:autoSpaceDE/>
        <w:autoSpaceDN/>
        <w:bidi w:val="0"/>
        <w:snapToGrid/>
        <w:spacing w:line="400" w:lineRule="exact"/>
        <w:jc w:val="right"/>
        <w:rPr>
          <w:rFonts w:hint="eastAsia"/>
          <w:color w:val="auto"/>
        </w:rPr>
        <w:sectPr>
          <w:pgSz w:w="11905" w:h="16838"/>
          <w:pgMar w:top="1440" w:right="1797" w:bottom="1440" w:left="1797" w:header="850" w:footer="992" w:gutter="0"/>
          <w:pgNumType w:fmt="decimal"/>
          <w:cols w:space="720" w:num="1"/>
          <w:rtlGutter w:val="0"/>
          <w:docGrid w:type="linesAndChars" w:linePitch="325" w:charSpace="635"/>
        </w:sectPr>
      </w:pPr>
      <w:r>
        <w:rPr>
          <w:rFonts w:hint="eastAsia" w:ascii="宋体" w:hAnsi="宋体" w:eastAsia="宋体" w:cs="宋体"/>
          <w:color w:val="auto"/>
          <w:highlight w:val="none"/>
        </w:rPr>
        <w:t>年     月      日</w:t>
      </w:r>
    </w:p>
    <w:p>
      <w:pPr>
        <w:shd w:val="clear" w:color="auto" w:fill="auto"/>
        <w:jc w:val="both"/>
        <w:rPr>
          <w:rFonts w:hint="eastAsia" w:ascii="宋体" w:hAnsi="宋体" w:eastAsia="宋体" w:cs="宋体"/>
          <w:b/>
          <w:bCs/>
          <w:color w:val="auto"/>
          <w:kern w:val="0"/>
          <w:sz w:val="24"/>
          <w:szCs w:val="20"/>
          <w:highlight w:val="none"/>
          <w:lang w:val="en-US" w:eastAsia="zh-CN" w:bidi="ar-SA"/>
        </w:rPr>
      </w:pPr>
    </w:p>
    <w:p>
      <w:pPr>
        <w:pStyle w:val="24"/>
        <w:keepNext w:val="0"/>
        <w:keepLines w:val="0"/>
        <w:pageBreakBefore w:val="0"/>
        <w:widowControl/>
        <w:suppressLineNumbers w:val="0"/>
        <w:kinsoku/>
        <w:wordWrap/>
        <w:overflowPunct/>
        <w:topLinePunct w:val="0"/>
        <w:autoSpaceDE/>
        <w:autoSpaceDN/>
        <w:bidi w:val="0"/>
        <w:adjustRightInd/>
        <w:snapToGrid/>
        <w:spacing w:before="256" w:beforeAutospacing="0" w:after="256" w:afterAutospacing="0" w:line="360" w:lineRule="auto"/>
        <w:ind w:left="0" w:right="0"/>
        <w:jc w:val="both"/>
        <w:textAlignment w:val="auto"/>
        <w:rPr>
          <w:rFonts w:hint="eastAsia" w:ascii="宋体" w:hAnsi="宋体" w:eastAsia="宋体" w:cs="宋体"/>
          <w:b/>
          <w:bCs/>
          <w:color w:val="auto"/>
          <w:kern w:val="0"/>
          <w:sz w:val="24"/>
          <w:szCs w:val="20"/>
          <w:highlight w:val="none"/>
          <w:lang w:val="en-US" w:eastAsia="zh-CN" w:bidi="ar-SA"/>
        </w:rPr>
        <w:sectPr>
          <w:headerReference r:id="rId4" w:type="default"/>
          <w:footerReference r:id="rId5" w:type="default"/>
          <w:pgSz w:w="11905" w:h="16838"/>
          <w:pgMar w:top="1440" w:right="1797" w:bottom="1440" w:left="1797" w:header="850" w:footer="992" w:gutter="0"/>
          <w:pgNumType w:fmt="decimal"/>
          <w:cols w:space="720" w:num="1"/>
          <w:rtlGutter w:val="0"/>
          <w:docGrid w:type="linesAndChars" w:linePitch="325" w:charSpace="635"/>
        </w:sectPr>
      </w:pPr>
      <w:r>
        <w:rPr>
          <w:rFonts w:hint="eastAsia" w:cs="宋体"/>
          <w:b/>
          <w:bCs/>
          <w:color w:val="auto"/>
          <w:kern w:val="0"/>
          <w:sz w:val="24"/>
          <w:szCs w:val="20"/>
          <w:highlight w:val="none"/>
          <w:lang w:val="en-US" w:eastAsia="zh-CN" w:bidi="ar-SA"/>
        </w:rPr>
        <w:t>6</w:t>
      </w:r>
      <w:r>
        <w:rPr>
          <w:rFonts w:hint="eastAsia" w:ascii="宋体" w:hAnsi="宋体" w:eastAsia="宋体" w:cs="宋体"/>
          <w:b/>
          <w:bCs/>
          <w:color w:val="auto"/>
          <w:kern w:val="0"/>
          <w:sz w:val="24"/>
          <w:szCs w:val="20"/>
          <w:highlight w:val="none"/>
          <w:lang w:val="en-US" w:eastAsia="zh-CN" w:bidi="ar-SA"/>
        </w:rPr>
        <w:t>、投标企业须提供投标人（被授权人）投标截止时间前半年内任意1个月的社保证明；</w:t>
      </w:r>
    </w:p>
    <w:p>
      <w:pPr>
        <w:pStyle w:val="2"/>
        <w:rPr>
          <w:rFonts w:hint="eastAsia"/>
          <w:color w:val="auto"/>
          <w:lang w:val="en-US" w:eastAsia="zh-CN"/>
        </w:rPr>
      </w:pPr>
    </w:p>
    <w:p>
      <w:pPr>
        <w:pStyle w:val="5"/>
        <w:numPr>
          <w:ilvl w:val="0"/>
          <w:numId w:val="0"/>
        </w:numPr>
        <w:shd w:val="clear" w:color="auto" w:fill="auto"/>
        <w:spacing w:before="0" w:line="360" w:lineRule="auto"/>
        <w:jc w:val="both"/>
        <w:rPr>
          <w:rFonts w:hint="eastAsia" w:ascii="宋体" w:hAnsi="宋体" w:eastAsia="宋体" w:cs="宋体"/>
          <w:b/>
          <w:bCs/>
          <w:color w:val="auto"/>
          <w:kern w:val="0"/>
          <w:sz w:val="24"/>
          <w:szCs w:val="20"/>
          <w:highlight w:val="none"/>
          <w:lang w:val="en-US" w:eastAsia="zh-CN" w:bidi="ar-SA"/>
        </w:rPr>
      </w:pPr>
      <w:bookmarkStart w:id="103" w:name="_Toc5710"/>
      <w:bookmarkStart w:id="104" w:name="_Toc27021"/>
      <w:bookmarkStart w:id="105" w:name="_Toc18754"/>
      <w:bookmarkStart w:id="106" w:name="_Toc515647810"/>
    </w:p>
    <w:p>
      <w:pPr>
        <w:pStyle w:val="5"/>
        <w:numPr>
          <w:ilvl w:val="0"/>
          <w:numId w:val="0"/>
        </w:numPr>
        <w:shd w:val="clear" w:color="auto" w:fill="auto"/>
        <w:spacing w:before="0" w:line="360" w:lineRule="auto"/>
        <w:jc w:val="both"/>
        <w:rPr>
          <w:rFonts w:hint="eastAsia" w:ascii="宋体" w:hAnsi="宋体" w:eastAsia="宋体" w:cs="宋体"/>
          <w:b/>
          <w:bCs/>
          <w:color w:val="auto"/>
          <w:kern w:val="0"/>
          <w:sz w:val="24"/>
          <w:szCs w:val="20"/>
          <w:highlight w:val="none"/>
          <w:lang w:val="en-US" w:eastAsia="zh-CN" w:bidi="ar-SA"/>
        </w:rPr>
      </w:pPr>
      <w:r>
        <w:rPr>
          <w:rFonts w:hint="eastAsia" w:ascii="宋体" w:hAnsi="宋体" w:cs="宋体"/>
          <w:b/>
          <w:bCs/>
          <w:color w:val="auto"/>
          <w:kern w:val="0"/>
          <w:sz w:val="24"/>
          <w:szCs w:val="20"/>
          <w:highlight w:val="none"/>
          <w:lang w:val="en-US" w:eastAsia="zh-CN" w:bidi="ar-SA"/>
        </w:rPr>
        <w:t>7</w:t>
      </w:r>
      <w:r>
        <w:rPr>
          <w:rFonts w:hint="eastAsia" w:ascii="宋体" w:hAnsi="宋体" w:eastAsia="宋体" w:cs="宋体"/>
          <w:b/>
          <w:bCs/>
          <w:color w:val="auto"/>
          <w:kern w:val="0"/>
          <w:sz w:val="24"/>
          <w:szCs w:val="20"/>
          <w:highlight w:val="none"/>
          <w:lang w:val="en-US" w:eastAsia="zh-CN" w:bidi="ar-SA"/>
        </w:rPr>
        <w:t>、</w:t>
      </w:r>
      <w:bookmarkEnd w:id="103"/>
      <w:bookmarkEnd w:id="104"/>
      <w:bookmarkEnd w:id="105"/>
      <w:bookmarkEnd w:id="106"/>
      <w:r>
        <w:rPr>
          <w:rFonts w:hint="eastAsia" w:ascii="宋体" w:hAnsi="宋体" w:eastAsia="宋体" w:cs="宋体"/>
          <w:b/>
          <w:bCs/>
          <w:color w:val="auto"/>
          <w:kern w:val="0"/>
          <w:sz w:val="24"/>
          <w:szCs w:val="20"/>
          <w:highlight w:val="none"/>
          <w:lang w:val="en-US" w:eastAsia="zh-CN" w:bidi="ar-SA"/>
        </w:rPr>
        <w:t>参加政府采购活动前3年内在经营活动中没有重大违法记录的书面声明</w:t>
      </w:r>
    </w:p>
    <w:p>
      <w:pPr>
        <w:pStyle w:val="14"/>
        <w:shd w:val="clear" w:color="auto" w:fill="auto"/>
        <w:tabs>
          <w:tab w:val="left" w:pos="5580"/>
        </w:tabs>
        <w:spacing w:line="360" w:lineRule="auto"/>
        <w:ind w:left="1087" w:leftChars="257" w:hanging="540"/>
        <w:jc w:val="center"/>
        <w:rPr>
          <w:rFonts w:hint="eastAsia" w:ascii="宋体" w:hAnsi="宋体" w:eastAsia="宋体" w:cs="宋体"/>
          <w:b/>
          <w:color w:val="auto"/>
          <w:sz w:val="24"/>
          <w:highlight w:val="none"/>
        </w:rPr>
      </w:pPr>
    </w:p>
    <w:p>
      <w:pPr>
        <w:pStyle w:val="14"/>
        <w:shd w:val="clear" w:color="auto" w:fill="auto"/>
        <w:tabs>
          <w:tab w:val="left" w:pos="5580"/>
        </w:tabs>
        <w:spacing w:line="360" w:lineRule="auto"/>
        <w:ind w:left="1087" w:leftChars="257" w:hanging="540"/>
        <w:rPr>
          <w:rFonts w:hint="eastAsia" w:ascii="宋体" w:hAnsi="宋体" w:eastAsia="宋体" w:cs="宋体"/>
          <w:color w:val="auto"/>
          <w:sz w:val="24"/>
          <w:highlight w:val="none"/>
        </w:rPr>
      </w:pPr>
    </w:p>
    <w:p>
      <w:pPr>
        <w:shd w:val="clear" w:color="auto" w:fill="auto"/>
        <w:spacing w:line="360" w:lineRule="auto"/>
        <w:rPr>
          <w:rFonts w:hint="eastAsia" w:ascii="宋体" w:hAnsi="宋体" w:eastAsia="宋体" w:cs="宋体"/>
          <w:b/>
          <w:bCs/>
          <w:color w:val="auto"/>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p>
    <w:p>
      <w:pPr>
        <w:pStyle w:val="2"/>
        <w:rPr>
          <w:rFonts w:hint="eastAsia"/>
          <w:color w:val="auto"/>
          <w:lang w:val="en-US" w:eastAsia="zh-CN"/>
        </w:rPr>
      </w:pPr>
    </w:p>
    <w:p>
      <w:pPr>
        <w:shd w:val="clear" w:color="auto" w:fill="auto"/>
        <w:spacing w:line="360" w:lineRule="auto"/>
        <w:rPr>
          <w:rFonts w:hint="eastAsia" w:ascii="宋体" w:hAnsi="宋体" w:eastAsia="宋体" w:cs="宋体"/>
          <w:b/>
          <w:bCs/>
          <w:color w:val="auto"/>
          <w:kern w:val="2"/>
          <w:sz w:val="21"/>
          <w:szCs w:val="24"/>
          <w:highlight w:val="none"/>
          <w:lang w:val="en-US" w:eastAsia="zh-CN" w:bidi="ar-SA"/>
        </w:rPr>
      </w:pPr>
      <w:r>
        <w:rPr>
          <w:rFonts w:hint="eastAsia" w:ascii="宋体" w:hAnsi="宋体" w:cs="宋体"/>
          <w:b/>
          <w:bCs/>
          <w:color w:val="auto"/>
          <w:highlight w:val="none"/>
          <w:lang w:val="en-US" w:eastAsia="zh-CN"/>
        </w:rPr>
        <w:t>8</w:t>
      </w:r>
      <w:r>
        <w:rPr>
          <w:rFonts w:hint="eastAsia" w:ascii="宋体" w:hAnsi="宋体" w:eastAsia="宋体" w:cs="宋体"/>
          <w:b/>
          <w:bCs/>
          <w:color w:val="auto"/>
          <w:highlight w:val="none"/>
          <w:lang w:val="en-US" w:eastAsia="zh-CN"/>
        </w:rPr>
        <w:t>、投标企业需提供未被“信用中国”（www.creditchina.gov.cn）、中国政府采购网（www.ccgp.gov.cn）列入失信被执行人、重大税收违法案件当事人名单、政府采购严重违法失信行为记录名单（提供查询结果网页截图并加盖供应商公章）；</w:t>
      </w:r>
    </w:p>
    <w:p>
      <w:pPr>
        <w:pStyle w:val="5"/>
        <w:numPr>
          <w:ilvl w:val="0"/>
          <w:numId w:val="0"/>
        </w:numPr>
        <w:shd w:val="clear" w:color="auto" w:fill="auto"/>
        <w:spacing w:before="0" w:line="240" w:lineRule="atLeast"/>
        <w:rPr>
          <w:rFonts w:hint="eastAsia" w:ascii="宋体" w:hAnsi="宋体" w:eastAsia="宋体" w:cs="宋体"/>
          <w:color w:val="auto"/>
          <w:sz w:val="24"/>
          <w:highlight w:val="none"/>
        </w:rPr>
      </w:pPr>
    </w:p>
    <w:p>
      <w:pPr>
        <w:pStyle w:val="5"/>
        <w:numPr>
          <w:ilvl w:val="0"/>
          <w:numId w:val="0"/>
        </w:numPr>
        <w:shd w:val="clear" w:color="auto" w:fill="auto"/>
        <w:spacing w:before="0" w:line="240" w:lineRule="atLeast"/>
        <w:rPr>
          <w:rFonts w:hint="eastAsia" w:ascii="宋体" w:hAnsi="宋体" w:eastAsia="宋体" w:cs="宋体"/>
          <w:color w:val="auto"/>
          <w:sz w:val="24"/>
          <w:highlight w:val="none"/>
        </w:rPr>
        <w:sectPr>
          <w:pgSz w:w="11905" w:h="16838"/>
          <w:pgMar w:top="1440" w:right="1797" w:bottom="1440" w:left="1797" w:header="850" w:footer="992" w:gutter="0"/>
          <w:pgNumType w:fmt="decimal"/>
          <w:cols w:space="720" w:num="1"/>
          <w:rtlGutter w:val="0"/>
          <w:docGrid w:type="linesAndChars" w:linePitch="325" w:charSpace="635"/>
        </w:sectPr>
      </w:pPr>
    </w:p>
    <w:p>
      <w:pPr>
        <w:jc w:val="center"/>
        <w:rPr>
          <w:rFonts w:hint="eastAsia"/>
          <w:color w:val="auto"/>
        </w:rPr>
      </w:pPr>
    </w:p>
    <w:p>
      <w:pPr>
        <w:shd w:val="clear" w:color="auto" w:fill="auto"/>
        <w:spacing w:line="440" w:lineRule="exact"/>
        <w:jc w:val="center"/>
        <w:rPr>
          <w:rFonts w:hint="eastAsia" w:ascii="宋体" w:hAnsi="宋体" w:eastAsia="宋体" w:cs="宋体"/>
          <w:b/>
          <w:bCs/>
          <w:color w:val="auto"/>
          <w:kern w:val="2"/>
          <w:sz w:val="21"/>
          <w:szCs w:val="24"/>
          <w:highlight w:val="none"/>
          <w:lang w:val="en-US" w:eastAsia="zh-CN" w:bidi="ar-SA"/>
        </w:rPr>
      </w:pPr>
      <w:r>
        <w:rPr>
          <w:rFonts w:hint="eastAsia" w:ascii="宋体" w:hAnsi="宋体" w:cs="宋体"/>
          <w:b/>
          <w:bCs/>
          <w:color w:val="auto"/>
          <w:kern w:val="2"/>
          <w:sz w:val="21"/>
          <w:szCs w:val="24"/>
          <w:highlight w:val="none"/>
          <w:lang w:val="en-US" w:eastAsia="zh-CN" w:bidi="ar-SA"/>
        </w:rPr>
        <w:t>9</w:t>
      </w:r>
      <w:r>
        <w:rPr>
          <w:rFonts w:hint="eastAsia" w:ascii="宋体" w:hAnsi="宋体" w:eastAsia="宋体" w:cs="宋体"/>
          <w:b/>
          <w:bCs/>
          <w:color w:val="auto"/>
          <w:kern w:val="2"/>
          <w:sz w:val="21"/>
          <w:szCs w:val="24"/>
          <w:highlight w:val="none"/>
          <w:lang w:val="en-US" w:eastAsia="zh-CN" w:bidi="ar-SA"/>
        </w:rPr>
        <w:t>、投标人须知资料表要求的其他资格证明文件;</w:t>
      </w:r>
    </w:p>
    <w:p>
      <w:pPr>
        <w:pStyle w:val="5"/>
        <w:numPr>
          <w:ilvl w:val="0"/>
          <w:numId w:val="0"/>
        </w:numPr>
        <w:shd w:val="clear" w:color="auto" w:fill="auto"/>
        <w:spacing w:before="0" w:line="240" w:lineRule="atLeast"/>
        <w:rPr>
          <w:rFonts w:hint="eastAsia" w:ascii="宋体" w:hAnsi="宋体" w:eastAsia="宋体" w:cs="宋体"/>
          <w:color w:val="auto"/>
          <w:sz w:val="24"/>
          <w:highlight w:val="none"/>
          <w:lang w:val="en-US" w:eastAsia="zh-CN"/>
        </w:rPr>
      </w:pPr>
      <w:bookmarkStart w:id="107" w:name="_Toc24428"/>
      <w:bookmarkStart w:id="108" w:name="_Toc4937"/>
      <w:bookmarkStart w:id="109" w:name="_Toc32670"/>
      <w:bookmarkStart w:id="110" w:name="_Toc515647811"/>
    </w:p>
    <w:p>
      <w:pPr>
        <w:rPr>
          <w:rFonts w:hint="eastAsia" w:ascii="宋体" w:hAnsi="宋体" w:eastAsia="宋体" w:cs="宋体"/>
          <w:color w:val="auto"/>
          <w:sz w:val="24"/>
          <w:highlight w:val="none"/>
          <w:lang w:val="en-US" w:eastAsia="zh-CN"/>
        </w:rPr>
      </w:pPr>
    </w:p>
    <w:p>
      <w:pPr>
        <w:pStyle w:val="2"/>
        <w:rPr>
          <w:rFonts w:hint="eastAsia" w:ascii="宋体" w:hAnsi="宋体" w:eastAsia="宋体" w:cs="宋体"/>
          <w:color w:val="auto"/>
          <w:sz w:val="24"/>
          <w:highlight w:val="none"/>
          <w:lang w:val="en-US" w:eastAsia="zh-CN"/>
        </w:rPr>
      </w:pPr>
    </w:p>
    <w:p>
      <w:pPr>
        <w:rPr>
          <w:rFonts w:hint="eastAsia" w:ascii="宋体" w:hAnsi="宋体" w:eastAsia="宋体" w:cs="宋体"/>
          <w:color w:val="auto"/>
          <w:sz w:val="24"/>
          <w:highlight w:val="none"/>
          <w:lang w:val="en-US" w:eastAsia="zh-CN"/>
        </w:rPr>
      </w:pPr>
    </w:p>
    <w:p>
      <w:pPr>
        <w:pStyle w:val="2"/>
        <w:rPr>
          <w:rFonts w:hint="eastAsia"/>
          <w:color w:val="auto"/>
          <w:lang w:val="en-US" w:eastAsia="zh-CN"/>
        </w:rPr>
      </w:pPr>
    </w:p>
    <w:bookmarkEnd w:id="107"/>
    <w:bookmarkEnd w:id="108"/>
    <w:bookmarkEnd w:id="109"/>
    <w:bookmarkEnd w:id="110"/>
    <w:p>
      <w:pPr>
        <w:pStyle w:val="14"/>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jc w:val="center"/>
        <w:textAlignment w:val="auto"/>
        <w:rPr>
          <w:rFonts w:hint="eastAsia"/>
          <w:color w:val="auto"/>
          <w:sz w:val="32"/>
          <w:szCs w:val="32"/>
          <w:highlight w:val="none"/>
        </w:rPr>
      </w:pPr>
      <w:bookmarkStart w:id="111" w:name="_Toc11180"/>
      <w:bookmarkStart w:id="112" w:name="_Toc22967"/>
      <w:bookmarkStart w:id="113" w:name="_Toc5695"/>
      <w:bookmarkStart w:id="114" w:name="_Toc515647816"/>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ind w:firstLine="1938" w:firstLineChars="600"/>
        <w:jc w:val="both"/>
        <w:textAlignment w:val="auto"/>
        <w:rPr>
          <w:rFonts w:hint="eastAsia"/>
          <w:color w:val="auto"/>
          <w:sz w:val="32"/>
          <w:szCs w:val="32"/>
          <w:highlight w:val="none"/>
        </w:rPr>
        <w:sectPr>
          <w:pgSz w:w="11905" w:h="16838"/>
          <w:pgMar w:top="1440" w:right="1797" w:bottom="1440" w:left="1797" w:header="850" w:footer="992" w:gutter="0"/>
          <w:pgNumType w:fmt="decimal"/>
          <w:cols w:space="720" w:num="1"/>
          <w:rtlGutter w:val="0"/>
          <w:docGrid w:type="linesAndChars" w:linePitch="325" w:charSpace="635"/>
        </w:sectPr>
      </w:pPr>
    </w:p>
    <w:p>
      <w:pPr>
        <w:pStyle w:val="4"/>
        <w:keepNext/>
        <w:keepLines/>
        <w:pageBreakBefore w:val="0"/>
        <w:widowControl w:val="0"/>
        <w:shd w:val="clear" w:color="auto" w:fill="auto"/>
        <w:kinsoku/>
        <w:wordWrap/>
        <w:overflowPunct/>
        <w:topLinePunct w:val="0"/>
        <w:autoSpaceDE/>
        <w:autoSpaceDN/>
        <w:bidi w:val="0"/>
        <w:adjustRightInd/>
        <w:snapToGrid/>
        <w:spacing w:before="40" w:after="40" w:line="579" w:lineRule="auto"/>
        <w:ind w:firstLine="1938" w:firstLineChars="600"/>
        <w:jc w:val="both"/>
        <w:textAlignment w:val="auto"/>
        <w:rPr>
          <w:rFonts w:hint="eastAsia"/>
          <w:color w:val="auto"/>
          <w:sz w:val="32"/>
          <w:szCs w:val="32"/>
          <w:highlight w:val="none"/>
        </w:rPr>
      </w:pPr>
      <w:r>
        <w:rPr>
          <w:rFonts w:hint="eastAsia"/>
          <w:color w:val="auto"/>
          <w:sz w:val="32"/>
          <w:szCs w:val="32"/>
          <w:highlight w:val="none"/>
        </w:rPr>
        <w:t>第二部分  商务及技术文件</w:t>
      </w:r>
      <w:bookmarkEnd w:id="111"/>
      <w:bookmarkEnd w:id="112"/>
      <w:bookmarkEnd w:id="113"/>
      <w:bookmarkEnd w:id="114"/>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1、投标函</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2、开标一览表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3、货物说明一览表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4、投标分项报价表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5、技术规格偏离表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6、商务条款偏离表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7、投标人基本情况表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8、近三年（2020年1月1日至今）类似项目业绩表</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9、中小企业声明函(货物)</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10、《残疾人福利性单位声明函》</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11、评分标准和细则中技术部分证明材料</w:t>
      </w:r>
    </w:p>
    <w:p>
      <w:pPr>
        <w:shd w:val="clear" w:color="auto" w:fill="auto"/>
        <w:spacing w:line="360" w:lineRule="auto"/>
        <w:ind w:firstLine="287" w:firstLineChars="135"/>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12、评分标准和细则中</w:t>
      </w:r>
      <w:r>
        <w:rPr>
          <w:rFonts w:hint="eastAsia" w:ascii="宋体" w:hAnsi="宋体" w:cs="Times New Roman"/>
          <w:color w:val="auto"/>
          <w:szCs w:val="21"/>
          <w:highlight w:val="none"/>
          <w:lang w:val="en-US" w:eastAsia="zh-CN"/>
        </w:rPr>
        <w:t>商务</w:t>
      </w:r>
      <w:r>
        <w:rPr>
          <w:rFonts w:hint="eastAsia" w:ascii="宋体" w:hAnsi="宋体" w:eastAsia="宋体" w:cs="Times New Roman"/>
          <w:color w:val="auto"/>
          <w:szCs w:val="21"/>
          <w:highlight w:val="none"/>
          <w:lang w:val="en-US" w:eastAsia="zh-CN"/>
        </w:rPr>
        <w:t>部分证明材料（格式自拟）</w:t>
      </w:r>
    </w:p>
    <w:p>
      <w:pPr>
        <w:shd w:val="clear" w:color="auto" w:fill="auto"/>
        <w:spacing w:line="360" w:lineRule="auto"/>
        <w:ind w:firstLine="287" w:firstLineChars="135"/>
        <w:rPr>
          <w:rFonts w:hint="eastAsia" w:ascii="宋体" w:hAnsi="宋体" w:eastAsia="宋体" w:cs="宋体"/>
          <w:color w:val="auto"/>
          <w:sz w:val="24"/>
          <w:highlight w:val="none"/>
        </w:rPr>
      </w:pPr>
      <w:r>
        <w:rPr>
          <w:rFonts w:hint="eastAsia" w:ascii="宋体" w:hAnsi="宋体" w:eastAsia="宋体" w:cs="Times New Roman"/>
          <w:color w:val="auto"/>
          <w:szCs w:val="21"/>
          <w:highlight w:val="none"/>
          <w:lang w:val="en-US" w:eastAsia="zh-CN"/>
        </w:rPr>
        <w:t>13、投标人认为有必要提供的其他证明材料（格式自拟）</w:t>
      </w:r>
    </w:p>
    <w:bookmarkEnd w:id="83"/>
    <w:bookmarkEnd w:id="84"/>
    <w:bookmarkEnd w:id="85"/>
    <w:bookmarkEnd w:id="86"/>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bookmarkStart w:id="115" w:name="_Toc23473"/>
      <w:bookmarkStart w:id="116" w:name="_Toc10107"/>
      <w:bookmarkStart w:id="117" w:name="_Toc1266"/>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36"/>
          <w:szCs w:val="36"/>
          <w:lang w:val="en-US" w:eastAsia="zh-CN"/>
        </w:rPr>
      </w:pPr>
    </w:p>
    <w:p>
      <w:pPr>
        <w:pStyle w:val="2"/>
        <w:numPr>
          <w:ilvl w:val="0"/>
          <w:numId w:val="0"/>
        </w:numPr>
        <w:kinsoku w:val="0"/>
        <w:overflowPunct w:val="0"/>
        <w:spacing w:before="130" w:line="355" w:lineRule="auto"/>
        <w:ind w:left="480" w:leftChars="0" w:right="7" w:rightChars="0"/>
        <w:jc w:val="center"/>
        <w:rPr>
          <w:rFonts w:hint="eastAsia" w:ascii="仿宋" w:hAnsi="仿宋" w:eastAsia="仿宋" w:cs="仿宋"/>
          <w:b/>
          <w:bCs/>
          <w:color w:val="auto"/>
          <w:sz w:val="28"/>
          <w:szCs w:val="28"/>
          <w:lang w:val="en-US" w:eastAsia="zh-CN"/>
        </w:rPr>
      </w:pPr>
    </w:p>
    <w:p>
      <w:pPr>
        <w:pStyle w:val="2"/>
        <w:numPr>
          <w:ilvl w:val="0"/>
          <w:numId w:val="0"/>
        </w:numPr>
        <w:kinsoku w:val="0"/>
        <w:overflowPunct w:val="0"/>
        <w:spacing w:before="130" w:line="355" w:lineRule="auto"/>
        <w:ind w:left="480" w:leftChars="0" w:right="7" w:right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、投标函</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u w:val="single"/>
        </w:rPr>
      </w:pPr>
      <w:r>
        <w:rPr>
          <w:rFonts w:hint="eastAsia" w:ascii="宋体" w:hAnsi="宋体" w:eastAsia="宋体" w:cs="宋体"/>
          <w:color w:val="auto"/>
          <w:kern w:val="0"/>
          <w:sz w:val="21"/>
          <w:szCs w:val="21"/>
        </w:rPr>
        <w:t>致：</w:t>
      </w:r>
      <w:r>
        <w:rPr>
          <w:rFonts w:hint="eastAsia" w:ascii="宋体" w:hAnsi="宋体" w:eastAsia="宋体" w:cs="宋体"/>
          <w:color w:val="auto"/>
          <w:kern w:val="0"/>
          <w:sz w:val="21"/>
          <w:szCs w:val="21"/>
          <w:u w:val="single"/>
        </w:rPr>
        <w:t xml:space="preserve">                     </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为响应你方组织的</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lang w:val="en-US" w:eastAsia="zh-CN"/>
        </w:rPr>
        <w:t xml:space="preserve">                </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项目的招标项目编号为：</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，我方愿参与投标。</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我方确认收到贵方提供的</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none"/>
        </w:rPr>
        <w:t>招标</w:t>
      </w:r>
      <w:r>
        <w:rPr>
          <w:rFonts w:hint="eastAsia" w:ascii="宋体" w:hAnsi="宋体" w:eastAsia="宋体" w:cs="宋体"/>
          <w:color w:val="auto"/>
          <w:kern w:val="0"/>
          <w:sz w:val="21"/>
          <w:szCs w:val="21"/>
        </w:rPr>
        <w:t>文件的全部内容。</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报价投标人的内容，我方同意招标文件的相关条款，放弃对招标文件提出误解和质疑的一切权力。</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u w:val="single"/>
        </w:rPr>
        <w:t xml:space="preserve">      (投标人名称)      </w:t>
      </w:r>
      <w:r>
        <w:rPr>
          <w:rFonts w:hint="eastAsia" w:ascii="宋体" w:hAnsi="宋体" w:eastAsia="宋体" w:cs="宋体"/>
          <w:color w:val="auto"/>
          <w:kern w:val="0"/>
          <w:sz w:val="21"/>
          <w:szCs w:val="21"/>
        </w:rPr>
        <w:t>作为投标人正式授权</w:t>
      </w:r>
      <w:r>
        <w:rPr>
          <w:rFonts w:hint="eastAsia" w:ascii="宋体" w:hAnsi="宋体" w:eastAsia="宋体" w:cs="宋体"/>
          <w:color w:val="auto"/>
          <w:kern w:val="0"/>
          <w:sz w:val="21"/>
          <w:szCs w:val="21"/>
          <w:u w:val="single"/>
        </w:rPr>
        <w:t xml:space="preserve">  (授权代表全名, 职务)  </w:t>
      </w:r>
      <w:r>
        <w:rPr>
          <w:rFonts w:hint="eastAsia" w:ascii="宋体" w:hAnsi="宋体" w:eastAsia="宋体" w:cs="宋体"/>
          <w:color w:val="auto"/>
          <w:kern w:val="0"/>
          <w:sz w:val="21"/>
          <w:szCs w:val="21"/>
        </w:rPr>
        <w:t>代表我方全权处理有关本报价的一切事宜。</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我方已完全明白招标文件的所有条款要求，并申明如下：</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（一）按招标文件提供的全部货物与相关服务的投标总价详见《报价一览表》。</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（二）本投标文件的有效期为投标截止时间起</w:t>
      </w:r>
      <w:r>
        <w:rPr>
          <w:rFonts w:hint="eastAsia" w:ascii="宋体" w:hAnsi="宋体" w:eastAsia="宋体" w:cs="宋体"/>
          <w:color w:val="auto"/>
          <w:kern w:val="0"/>
          <w:sz w:val="21"/>
          <w:szCs w:val="21"/>
          <w:u w:val="single"/>
          <w:lang w:val="en-US" w:eastAsia="zh-CN"/>
        </w:rPr>
        <w:t>60</w:t>
      </w:r>
      <w:r>
        <w:rPr>
          <w:rFonts w:hint="eastAsia" w:ascii="宋体" w:hAnsi="宋体" w:eastAsia="宋体" w:cs="宋体"/>
          <w:color w:val="auto"/>
          <w:kern w:val="0"/>
          <w:sz w:val="21"/>
          <w:szCs w:val="21"/>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（三）我方同意按照贵方可能提出的要求而提供与投标有关的任何其它数据、信息或资料。</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四</w:t>
      </w:r>
      <w:r>
        <w:rPr>
          <w:rFonts w:hint="eastAsia" w:ascii="宋体" w:hAnsi="宋体" w:eastAsia="宋体" w:cs="宋体"/>
          <w:color w:val="auto"/>
          <w:kern w:val="0"/>
          <w:sz w:val="21"/>
          <w:szCs w:val="21"/>
        </w:rPr>
        <w:t>）我方理解贵方不一定接受最低投标价或任何贵方可能收到的投标。</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五</w:t>
      </w:r>
      <w:r>
        <w:rPr>
          <w:rFonts w:hint="eastAsia" w:ascii="宋体" w:hAnsi="宋体" w:eastAsia="宋体" w:cs="宋体"/>
          <w:color w:val="auto"/>
          <w:kern w:val="0"/>
          <w:sz w:val="21"/>
          <w:szCs w:val="21"/>
        </w:rPr>
        <w:t>）我方如果中标，将保证履行招标文件及其澄清、修改文件（如果有）中的全部责任和义务，按质、按量、按期完成《招标内容》及《合同书》中的全部任务。</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六</w:t>
      </w:r>
      <w:r>
        <w:rPr>
          <w:rFonts w:hint="eastAsia" w:ascii="宋体" w:hAnsi="宋体" w:eastAsia="宋体" w:cs="宋体"/>
          <w:color w:val="auto"/>
          <w:kern w:val="0"/>
          <w:sz w:val="21"/>
          <w:szCs w:val="21"/>
        </w:rPr>
        <w:t>）如我方被授予合同，我方承诺支付就本次招标应支付或将支付的中标服务费（详见按招标文件要求格式填写的《中标服务费支付承诺书》）。</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七</w:t>
      </w:r>
      <w:r>
        <w:rPr>
          <w:rFonts w:hint="eastAsia" w:ascii="宋体" w:hAnsi="宋体" w:eastAsia="宋体" w:cs="宋体"/>
          <w:color w:val="auto"/>
          <w:kern w:val="0"/>
          <w:sz w:val="21"/>
          <w:szCs w:val="21"/>
        </w:rPr>
        <w:t>）我方作为在法律、财务和运作上独立于采购人、招标代理机构的投标人，在此保证所提交的所有文件和全部说明是真实的和正确的。</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八</w:t>
      </w:r>
      <w:r>
        <w:rPr>
          <w:rFonts w:hint="eastAsia" w:ascii="宋体" w:hAnsi="宋体" w:eastAsia="宋体" w:cs="宋体"/>
          <w:color w:val="auto"/>
          <w:kern w:val="0"/>
          <w:sz w:val="21"/>
          <w:szCs w:val="21"/>
        </w:rPr>
        <w:t>）我方投标报价已包含应向知识产权所有权人支付的所有相关税费，并保证采购人在中国使用我方提供的货物时，如有第三方提出侵犯其知识产权主张的，责任由我方承担。</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九</w:t>
      </w:r>
      <w:r>
        <w:rPr>
          <w:rFonts w:hint="eastAsia" w:ascii="宋体" w:hAnsi="宋体" w:eastAsia="宋体" w:cs="宋体"/>
          <w:color w:val="auto"/>
          <w:kern w:val="0"/>
          <w:sz w:val="21"/>
          <w:szCs w:val="21"/>
        </w:rPr>
        <w:t>）我方与其他投标人不存在单位负责人为同一人或者存在直接控股、管理关系。</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（十）我方承诺未为本项目提供整体设计、规范编制或者项目管理、监理、检测等服务。</w:t>
      </w:r>
    </w:p>
    <w:p>
      <w:pPr>
        <w:spacing w:line="480" w:lineRule="exact"/>
        <w:ind w:firstLine="426" w:firstLineChars="20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（十</w:t>
      </w:r>
      <w:r>
        <w:rPr>
          <w:rFonts w:hint="eastAsia" w:ascii="宋体" w:hAnsi="宋体" w:eastAsia="宋体" w:cs="宋体"/>
          <w:color w:val="auto"/>
          <w:kern w:val="0"/>
          <w:sz w:val="21"/>
          <w:szCs w:val="21"/>
          <w:lang w:eastAsia="zh-CN"/>
        </w:rPr>
        <w:t>一</w:t>
      </w:r>
      <w:r>
        <w:rPr>
          <w:rFonts w:hint="eastAsia" w:ascii="宋体" w:hAnsi="宋体" w:eastAsia="宋体" w:cs="宋体"/>
          <w:color w:val="auto"/>
          <w:kern w:val="0"/>
          <w:sz w:val="21"/>
          <w:szCs w:val="21"/>
        </w:rPr>
        <w:t>）我方具备《政府采购法》第二十二条规定的条件，承诺如下：</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（1）我方已依法缴纳了各项税费及社会保险费用，如有需要，可随时向采购人提供近三个月内的相关缴费证明，以便核查。</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（2）我方已依法建立健全的财务会计制度，如有需要，可随时向采购人提供相关的证明材料，以便核查。</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（3）我方参加本项目政府采购活动前3年内在经营活动中没有重大违法记录。</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（4）我方具备履行合同所必需的设备和专业技术能力。</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（5）我方符合法律、行政法规规定的其他条件。</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以上内容如有虚假或与事实不符的，评审委员会可将我方做无效投标处理，我方愿意承担相应的法律责任。</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（十三）我方对在本函及投标文件中所作的所有承诺承担法律责任。</w:t>
      </w:r>
    </w:p>
    <w:p>
      <w:pPr>
        <w:keepNext w:val="0"/>
        <w:keepLines w:val="0"/>
        <w:pageBreakBefore w:val="0"/>
        <w:widowControl w:val="0"/>
        <w:topLinePunct w:val="0"/>
        <w:autoSpaceDE/>
        <w:autoSpaceDN/>
        <w:bidi w:val="0"/>
        <w:adjustRightInd/>
        <w:snapToGrid/>
        <w:spacing w:line="440" w:lineRule="exact"/>
        <w:ind w:firstLine="426" w:firstLineChars="20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（十四）所有与本招标有关的函件请发往下列地址：</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地    址：</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.邮政编码：</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电    话：</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传    真：</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keepNext w:val="0"/>
        <w:keepLines w:val="0"/>
        <w:pageBreakBefore w:val="0"/>
        <w:widowControl w:val="0"/>
        <w:topLinePunct w:val="0"/>
        <w:autoSpaceDE/>
        <w:autoSpaceDN/>
        <w:bidi w:val="0"/>
        <w:adjustRightInd/>
        <w:snapToGrid/>
        <w:spacing w:line="440" w:lineRule="exac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代表姓名：</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.职    务：</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p>
    <w:p>
      <w:pPr>
        <w:keepNext w:val="0"/>
        <w:keepLines w:val="0"/>
        <w:pageBreakBefore w:val="0"/>
        <w:widowControl w:val="0"/>
        <w:topLinePunct w:val="0"/>
        <w:autoSpaceDE/>
        <w:autoSpaceDN/>
        <w:bidi w:val="0"/>
        <w:adjustRightInd/>
        <w:snapToGrid/>
        <w:spacing w:line="440" w:lineRule="exact"/>
        <w:ind w:right="480"/>
        <w:jc w:val="righ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投标人：</w:t>
      </w:r>
      <w:r>
        <w:rPr>
          <w:rFonts w:hint="eastAsia" w:ascii="宋体" w:hAnsi="宋体" w:eastAsia="宋体" w:cs="宋体"/>
          <w:color w:val="auto"/>
          <w:kern w:val="0"/>
          <w:sz w:val="21"/>
          <w:szCs w:val="21"/>
          <w:u w:val="single"/>
        </w:rPr>
        <w:tab/>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 xml:space="preserve">（公章） </w:t>
      </w:r>
    </w:p>
    <w:p>
      <w:pPr>
        <w:keepNext w:val="0"/>
        <w:keepLines w:val="0"/>
        <w:pageBreakBefore w:val="0"/>
        <w:widowControl w:val="0"/>
        <w:wordWrap w:val="0"/>
        <w:topLinePunct w:val="0"/>
        <w:autoSpaceDE/>
        <w:autoSpaceDN/>
        <w:bidi w:val="0"/>
        <w:adjustRightInd/>
        <w:snapToGrid/>
        <w:spacing w:line="440" w:lineRule="exact"/>
        <w:ind w:firstLine="426" w:firstLineChars="200"/>
        <w:jc w:val="righ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法定代表人或委托人：</w:t>
      </w:r>
      <w:r>
        <w:rPr>
          <w:rFonts w:hint="eastAsia" w:ascii="宋体" w:hAnsi="宋体" w:eastAsia="宋体" w:cs="宋体"/>
          <w:color w:val="auto"/>
          <w:kern w:val="0"/>
          <w:sz w:val="21"/>
          <w:szCs w:val="21"/>
        </w:rPr>
        <w:tab/>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w:t>
      </w:r>
      <w:r>
        <w:rPr>
          <w:rFonts w:hint="eastAsia" w:ascii="宋体" w:hAnsi="宋体" w:eastAsia="宋体" w:cs="宋体"/>
          <w:color w:val="auto"/>
          <w:kern w:val="0"/>
          <w:sz w:val="21"/>
          <w:szCs w:val="21"/>
          <w:lang w:eastAsia="zh-CN"/>
        </w:rPr>
        <w:t>签字或盖章</w:t>
      </w:r>
      <w:r>
        <w:rPr>
          <w:rFonts w:hint="eastAsia" w:ascii="宋体" w:hAnsi="宋体" w:eastAsia="宋体" w:cs="宋体"/>
          <w:color w:val="auto"/>
          <w:kern w:val="0"/>
          <w:sz w:val="21"/>
          <w:szCs w:val="21"/>
        </w:rPr>
        <w:t xml:space="preserve">）  </w:t>
      </w:r>
    </w:p>
    <w:p>
      <w:pPr>
        <w:keepNext w:val="0"/>
        <w:keepLines w:val="0"/>
        <w:pageBreakBefore w:val="0"/>
        <w:widowControl w:val="0"/>
        <w:wordWrap w:val="0"/>
        <w:topLinePunct w:val="0"/>
        <w:autoSpaceDE/>
        <w:autoSpaceDN/>
        <w:bidi w:val="0"/>
        <w:adjustRightInd/>
        <w:snapToGrid/>
        <w:spacing w:line="440" w:lineRule="exact"/>
        <w:ind w:firstLine="426" w:firstLineChars="200"/>
        <w:jc w:val="righ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u w:val="single"/>
        </w:rPr>
        <w:tab/>
      </w:r>
      <w:r>
        <w:rPr>
          <w:rFonts w:hint="eastAsia" w:ascii="宋体" w:hAnsi="宋体" w:eastAsia="宋体" w:cs="宋体"/>
          <w:color w:val="auto"/>
          <w:kern w:val="0"/>
          <w:sz w:val="21"/>
          <w:szCs w:val="21"/>
        </w:rPr>
        <w:t>年</w:t>
      </w:r>
      <w:r>
        <w:rPr>
          <w:rFonts w:hint="eastAsia" w:ascii="宋体" w:hAnsi="宋体" w:eastAsia="宋体" w:cs="宋体"/>
          <w:color w:val="auto"/>
          <w:kern w:val="0"/>
          <w:sz w:val="21"/>
          <w:szCs w:val="21"/>
          <w:u w:val="single"/>
        </w:rPr>
        <w:tab/>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月</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日</w:t>
      </w:r>
    </w:p>
    <w:p>
      <w:pPr>
        <w:pStyle w:val="5"/>
        <w:numPr>
          <w:ilvl w:val="0"/>
          <w:numId w:val="0"/>
        </w:numPr>
        <w:shd w:val="clear" w:color="auto" w:fill="auto"/>
        <w:spacing w:before="0" w:line="240" w:lineRule="atLeast"/>
        <w:ind w:left="431" w:leftChars="0"/>
        <w:rPr>
          <w:rFonts w:hint="eastAsia" w:ascii="宋体" w:hAnsi="宋体" w:eastAsia="宋体" w:cs="宋体"/>
          <w:color w:val="auto"/>
          <w:sz w:val="24"/>
          <w:highlight w:val="none"/>
        </w:rPr>
      </w:pPr>
    </w:p>
    <w:p>
      <w:pPr>
        <w:pStyle w:val="6"/>
        <w:rPr>
          <w:rFonts w:hint="eastAsia"/>
          <w:color w:val="auto"/>
        </w:rPr>
      </w:pPr>
    </w:p>
    <w:p>
      <w:pPr>
        <w:pStyle w:val="8"/>
        <w:shd w:val="clear" w:color="auto" w:fill="auto"/>
        <w:tabs>
          <w:tab w:val="left" w:pos="5580"/>
        </w:tabs>
        <w:spacing w:line="240" w:lineRule="atLeast"/>
        <w:ind w:left="0" w:leftChars="0" w:firstLine="0" w:firstLineChars="0"/>
        <w:jc w:val="both"/>
        <w:rPr>
          <w:rFonts w:hint="eastAsia" w:ascii="宋体" w:hAnsi="宋体" w:eastAsia="宋体" w:cs="宋体"/>
          <w:b/>
          <w:color w:val="auto"/>
          <w:sz w:val="36"/>
          <w:szCs w:val="24"/>
          <w:highlight w:val="none"/>
        </w:rPr>
      </w:pPr>
      <w:bookmarkStart w:id="118" w:name="_Toc494296984"/>
    </w:p>
    <w:p>
      <w:pPr>
        <w:pStyle w:val="8"/>
        <w:numPr>
          <w:ilvl w:val="0"/>
          <w:numId w:val="13"/>
        </w:numPr>
        <w:shd w:val="clear" w:color="auto" w:fill="auto"/>
        <w:tabs>
          <w:tab w:val="left" w:pos="5580"/>
        </w:tabs>
        <w:spacing w:line="240" w:lineRule="atLeast"/>
        <w:ind w:left="0" w:leftChars="0" w:firstLine="0" w:firstLineChars="0"/>
        <w:jc w:val="center"/>
        <w:rPr>
          <w:rFonts w:hint="eastAsia" w:ascii="宋体" w:hAnsi="宋体" w:eastAsia="宋体" w:cs="宋体"/>
          <w:b/>
          <w:color w:val="auto"/>
          <w:sz w:val="28"/>
          <w:szCs w:val="21"/>
          <w:highlight w:val="none"/>
        </w:rPr>
        <w:sectPr>
          <w:pgSz w:w="11905" w:h="16838"/>
          <w:pgMar w:top="1440" w:right="1797" w:bottom="1440" w:left="1797" w:header="850" w:footer="992" w:gutter="0"/>
          <w:pgNumType w:fmt="decimal"/>
          <w:cols w:space="720" w:num="1"/>
          <w:rtlGutter w:val="0"/>
          <w:docGrid w:type="linesAndChars" w:linePitch="325" w:charSpace="635"/>
        </w:sectPr>
      </w:pPr>
    </w:p>
    <w:p>
      <w:pPr>
        <w:pStyle w:val="8"/>
        <w:numPr>
          <w:ilvl w:val="0"/>
          <w:numId w:val="13"/>
        </w:numPr>
        <w:shd w:val="clear" w:color="auto" w:fill="auto"/>
        <w:tabs>
          <w:tab w:val="left" w:pos="5580"/>
        </w:tabs>
        <w:spacing w:line="240" w:lineRule="atLeast"/>
        <w:ind w:left="0" w:leftChars="0" w:firstLine="0" w:firstLineChars="0"/>
        <w:jc w:val="center"/>
        <w:rPr>
          <w:rFonts w:hint="eastAsia" w:ascii="宋体" w:hAnsi="宋体" w:eastAsia="宋体" w:cs="宋体"/>
          <w:b/>
          <w:color w:val="auto"/>
          <w:sz w:val="28"/>
          <w:szCs w:val="21"/>
          <w:highlight w:val="none"/>
        </w:rPr>
      </w:pPr>
      <w:r>
        <w:rPr>
          <w:rFonts w:hint="eastAsia" w:ascii="宋体" w:hAnsi="宋体" w:eastAsia="宋体" w:cs="宋体"/>
          <w:b/>
          <w:color w:val="auto"/>
          <w:sz w:val="28"/>
          <w:szCs w:val="21"/>
          <w:highlight w:val="none"/>
        </w:rPr>
        <w:t>开标一览表</w:t>
      </w:r>
      <w:bookmarkEnd w:id="118"/>
    </w:p>
    <w:p>
      <w:pPr>
        <w:pStyle w:val="8"/>
        <w:numPr>
          <w:ilvl w:val="0"/>
          <w:numId w:val="0"/>
        </w:numPr>
        <w:shd w:val="clear" w:color="auto" w:fill="auto"/>
        <w:tabs>
          <w:tab w:val="left" w:pos="5580"/>
        </w:tabs>
        <w:spacing w:line="240" w:lineRule="atLeast"/>
        <w:ind w:leftChars="0"/>
        <w:jc w:val="both"/>
        <w:rPr>
          <w:rFonts w:hint="eastAsia" w:ascii="宋体" w:hAnsi="宋体" w:eastAsia="宋体" w:cs="宋体"/>
          <w:color w:val="auto"/>
          <w:szCs w:val="21"/>
          <w:highlight w:val="none"/>
          <w:u w:val="single"/>
        </w:rPr>
      </w:pPr>
      <w:r>
        <w:rPr>
          <w:rFonts w:hint="eastAsia" w:ascii="宋体" w:hAnsi="宋体" w:eastAsia="宋体" w:cs="宋体"/>
          <w:color w:val="auto"/>
          <w:sz w:val="21"/>
          <w:szCs w:val="21"/>
          <w:highlight w:val="none"/>
        </w:rPr>
        <w:t>招标项目名称</w:t>
      </w:r>
      <w:r>
        <w:rPr>
          <w:rFonts w:hint="eastAsia" w:ascii="宋体" w:hAnsi="宋体" w:eastAsia="宋体" w:cs="宋体"/>
          <w:color w:val="auto"/>
          <w:szCs w:val="21"/>
          <w:highlight w:val="none"/>
        </w:rPr>
        <w:t>：</w:t>
      </w:r>
    </w:p>
    <w:p>
      <w:pPr>
        <w:shd w:val="clear" w:color="auto" w:fill="auto"/>
        <w:spacing w:line="50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招标项目编号：                                                </w:t>
      </w:r>
    </w:p>
    <w:p>
      <w:pPr>
        <w:shd w:val="clear" w:color="auto" w:fill="auto"/>
        <w:spacing w:line="500" w:lineRule="exact"/>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单位：元（人民币）</w:t>
      </w:r>
    </w:p>
    <w:tbl>
      <w:tblPr>
        <w:tblStyle w:val="28"/>
        <w:tblW w:w="0" w:type="auto"/>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974"/>
        <w:gridCol w:w="6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2595" w:type="dxa"/>
            <w:gridSpan w:val="2"/>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投标项目名称</w:t>
            </w:r>
          </w:p>
        </w:tc>
        <w:tc>
          <w:tcPr>
            <w:tcW w:w="6185" w:type="dxa"/>
            <w:noWrap w:val="0"/>
            <w:vAlign w:val="center"/>
          </w:tcPr>
          <w:p>
            <w:pPr>
              <w:shd w:val="clear" w:color="auto" w:fill="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交货</w:t>
            </w:r>
            <w:r>
              <w:rPr>
                <w:rFonts w:hint="eastAsia" w:ascii="宋体" w:hAnsi="宋体" w:cs="宋体"/>
                <w:color w:val="auto"/>
                <w:szCs w:val="21"/>
                <w:highlight w:val="none"/>
                <w:lang w:val="en-US" w:eastAsia="zh-CN"/>
              </w:rPr>
              <w:t>时间</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供货地点</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trPr>
        <w:tc>
          <w:tcPr>
            <w:tcW w:w="2595" w:type="dxa"/>
            <w:gridSpan w:val="2"/>
            <w:noWrap w:val="0"/>
            <w:vAlign w:val="center"/>
          </w:tcPr>
          <w:p>
            <w:pPr>
              <w:shd w:val="clear" w:color="auto" w:fill="auto"/>
              <w:jc w:val="center"/>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质保期</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95" w:type="dxa"/>
            <w:gridSpan w:val="2"/>
            <w:tcBorders>
              <w:top w:val="single" w:color="auto" w:sz="4" w:space="0"/>
            </w:tcBorders>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投标有效期</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restart"/>
            <w:noWrap w:val="0"/>
            <w:vAlign w:val="center"/>
          </w:tcPr>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投标报价</w:t>
            </w:r>
          </w:p>
          <w:p>
            <w:pPr>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（人民币）</w:t>
            </w: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621" w:type="dxa"/>
            <w:vMerge w:val="continue"/>
            <w:noWrap w:val="0"/>
            <w:vAlign w:val="center"/>
          </w:tcPr>
          <w:p>
            <w:pPr>
              <w:shd w:val="clear" w:color="auto" w:fill="auto"/>
              <w:jc w:val="center"/>
              <w:rPr>
                <w:rFonts w:hint="eastAsia" w:ascii="宋体" w:hAnsi="宋体" w:eastAsia="宋体" w:cs="宋体"/>
                <w:color w:val="auto"/>
                <w:szCs w:val="21"/>
                <w:highlight w:val="none"/>
              </w:rPr>
            </w:pPr>
          </w:p>
        </w:tc>
        <w:tc>
          <w:tcPr>
            <w:tcW w:w="974" w:type="dxa"/>
            <w:tcBorders>
              <w:top w:val="single" w:color="auto" w:sz="4" w:space="0"/>
              <w:bottom w:val="single" w:color="auto" w:sz="4" w:space="0"/>
            </w:tcBorders>
            <w:noWrap w:val="0"/>
            <w:vAlign w:val="center"/>
          </w:tcPr>
          <w:p>
            <w:pPr>
              <w:widowControl/>
              <w:shd w:val="clear" w:color="auto" w:fill="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大写</w:t>
            </w:r>
          </w:p>
        </w:tc>
        <w:tc>
          <w:tcPr>
            <w:tcW w:w="6185" w:type="dxa"/>
            <w:noWrap w:val="0"/>
            <w:vAlign w:val="center"/>
          </w:tcPr>
          <w:p>
            <w:pPr>
              <w:shd w:val="clear" w:color="auto" w:fill="auto"/>
              <w:jc w:val="center"/>
              <w:rPr>
                <w:rFonts w:hint="eastAsia" w:ascii="宋体" w:hAnsi="宋体" w:eastAsia="宋体" w:cs="宋体"/>
                <w:color w:val="auto"/>
                <w:szCs w:val="21"/>
                <w:highlight w:val="none"/>
              </w:rPr>
            </w:pPr>
          </w:p>
        </w:tc>
      </w:tr>
    </w:tbl>
    <w:p>
      <w:pPr>
        <w:shd w:val="clear" w:color="auto" w:fill="auto"/>
        <w:spacing w:line="500" w:lineRule="exact"/>
        <w:ind w:firstLine="416"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填写说明：</w:t>
      </w:r>
    </w:p>
    <w:p>
      <w:pPr>
        <w:shd w:val="clear" w:color="auto" w:fill="auto"/>
        <w:spacing w:line="500" w:lineRule="exact"/>
        <w:ind w:firstLine="416" w:firstLineChars="196"/>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1.为方便开标唱标，投标人应将开标一览表单独密封，并在信封上标明“开标一览表”字样，然后在递交投标文件时单独递交</w:t>
      </w:r>
      <w:r>
        <w:rPr>
          <w:rFonts w:hint="eastAsia" w:ascii="宋体" w:hAnsi="宋体" w:eastAsia="宋体" w:cs="宋体"/>
          <w:b/>
          <w:bCs/>
          <w:color w:val="auto"/>
          <w:sz w:val="24"/>
          <w:highlight w:val="none"/>
        </w:rPr>
        <w:t>。</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开标时，本表中的内容与投标文件中的投标函、货物价格明细表及分项价格表的内容不一致的，以本表为准；大写金额与小写金额不一致的，以大写金额为准；总价金额与按单价汇总金额不一致的，以单价金额计算结果为准；单价金额小数点有明显错位的，应以总价为准，并修改单价。</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3.投标总价为招标范围所列全部招标项目的报价总和，并应与投标报价明细表及分项价格表保持一致。</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4.必须在投标文件中装订。</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5.投标报价不得填报选择性报价。</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投标人名称：</w:t>
      </w:r>
      <w:r>
        <w:rPr>
          <w:rFonts w:hint="eastAsia" w:ascii="宋体" w:hAnsi="宋体" w:eastAsia="宋体" w:cs="宋体"/>
          <w:color w:val="auto"/>
          <w:szCs w:val="21"/>
          <w:highlight w:val="none"/>
          <w:u w:val="single"/>
        </w:rPr>
        <w:t xml:space="preserve">    （加盖公章）     </w:t>
      </w:r>
      <w:r>
        <w:rPr>
          <w:rFonts w:hint="eastAsia" w:ascii="宋体" w:hAnsi="宋体" w:eastAsia="宋体" w:cs="宋体"/>
          <w:color w:val="auto"/>
          <w:szCs w:val="21"/>
          <w:highlight w:val="none"/>
        </w:rPr>
        <w:t xml:space="preserve">       </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法定代表人签字或盖章：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授权代表签字或盖章：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hd w:val="clear" w:color="auto" w:fill="auto"/>
        <w:spacing w:line="500" w:lineRule="exact"/>
        <w:ind w:firstLine="426"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签署日期：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color w:val="auto"/>
        </w:rPr>
      </w:pPr>
    </w:p>
    <w:p>
      <w:pPr>
        <w:pStyle w:val="5"/>
        <w:numPr>
          <w:ilvl w:val="0"/>
          <w:numId w:val="0"/>
        </w:numPr>
        <w:shd w:val="clear" w:color="auto" w:fill="auto"/>
        <w:spacing w:before="0" w:line="240" w:lineRule="atLeast"/>
        <w:jc w:val="both"/>
        <w:rPr>
          <w:rFonts w:hint="eastAsia" w:ascii="宋体" w:hAnsi="宋体" w:eastAsia="宋体" w:cs="宋体"/>
          <w:b/>
          <w:bCs/>
          <w:color w:val="auto"/>
          <w:sz w:val="24"/>
          <w:highlight w:val="none"/>
        </w:rPr>
      </w:pP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2 </w:t>
      </w:r>
      <w:r>
        <w:rPr>
          <w:rFonts w:hint="eastAsia" w:ascii="宋体" w:hAnsi="宋体" w:eastAsia="宋体" w:cs="宋体"/>
          <w:b/>
          <w:bCs/>
          <w:color w:val="auto"/>
          <w:sz w:val="24"/>
          <w:highlight w:val="none"/>
          <w:lang w:eastAsia="zh-CN"/>
        </w:rPr>
        <w:t>、</w:t>
      </w:r>
      <w:bookmarkEnd w:id="115"/>
      <w:bookmarkEnd w:id="116"/>
      <w:bookmarkEnd w:id="117"/>
      <w:bookmarkStart w:id="119" w:name="_Toc1881"/>
      <w:bookmarkStart w:id="120" w:name="_Toc515647818"/>
      <w:bookmarkStart w:id="121" w:name="_Toc10313"/>
      <w:bookmarkStart w:id="122" w:name="_Toc216582815"/>
      <w:bookmarkStart w:id="123" w:name="_Toc20897"/>
      <w:bookmarkStart w:id="124" w:name="_Toc515647820"/>
      <w:bookmarkStart w:id="125" w:name="_Toc216582817"/>
      <w:bookmarkStart w:id="126" w:name="_Toc22563"/>
      <w:bookmarkStart w:id="127" w:name="_Toc28959"/>
      <w:r>
        <w:rPr>
          <w:rFonts w:hint="eastAsia" w:ascii="宋体" w:hAnsi="宋体" w:eastAsia="宋体" w:cs="宋体"/>
          <w:b/>
          <w:bCs/>
          <w:color w:val="auto"/>
          <w:sz w:val="24"/>
          <w:highlight w:val="none"/>
        </w:rPr>
        <w:t>投标分项报价表</w:t>
      </w:r>
      <w:bookmarkEnd w:id="119"/>
      <w:bookmarkEnd w:id="120"/>
      <w:bookmarkEnd w:id="121"/>
      <w:bookmarkEnd w:id="122"/>
      <w:bookmarkEnd w:id="123"/>
    </w:p>
    <w:p>
      <w:pPr>
        <w:pStyle w:val="14"/>
        <w:shd w:val="clear" w:color="auto" w:fill="auto"/>
        <w:spacing w:line="240" w:lineRule="atLeast"/>
        <w:ind w:left="1087" w:leftChars="257" w:hanging="540"/>
        <w:rPr>
          <w:rFonts w:hint="eastAsia" w:ascii="宋体" w:hAnsi="宋体" w:eastAsia="宋体" w:cs="宋体"/>
          <w:color w:val="auto"/>
          <w:sz w:val="24"/>
          <w:highlight w:val="none"/>
        </w:rPr>
      </w:pPr>
    </w:p>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项目名称:                      招标编号:                  包号: 　 </w:t>
      </w:r>
    </w:p>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rPr>
      </w:pPr>
      <w:r>
        <w:rPr>
          <w:rFonts w:hint="eastAsia"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w:t>
      </w:r>
      <w:r>
        <w:rPr>
          <w:rFonts w:hint="eastAsia" w:ascii="仿宋" w:hAnsi="仿宋" w:eastAsia="仿宋" w:cs="仿宋"/>
          <w:color w:val="auto"/>
          <w:sz w:val="21"/>
          <w:szCs w:val="21"/>
          <w:highlight w:val="none"/>
          <w:lang w:val="en-US" w:eastAsia="zh-CN"/>
        </w:rPr>
        <w:t xml:space="preserve"> </w:t>
      </w:r>
      <w:r>
        <w:rPr>
          <w:rFonts w:hint="eastAsia" w:ascii="宋体" w:hAnsi="宋体" w:eastAsia="宋体" w:cs="宋体"/>
          <w:color w:val="auto"/>
          <w:sz w:val="21"/>
          <w:szCs w:val="21"/>
          <w:highlight w:val="none"/>
        </w:rPr>
        <w:t>单位：元（人民币）</w:t>
      </w:r>
    </w:p>
    <w:tbl>
      <w:tblPr>
        <w:tblStyle w:val="28"/>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812"/>
        <w:gridCol w:w="1171"/>
        <w:gridCol w:w="1171"/>
        <w:gridCol w:w="1171"/>
        <w:gridCol w:w="847"/>
        <w:gridCol w:w="96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778"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1812"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货物名称</w:t>
            </w:r>
          </w:p>
        </w:tc>
        <w:tc>
          <w:tcPr>
            <w:tcW w:w="1171" w:type="dxa"/>
            <w:noWrap w:val="0"/>
            <w:vAlign w:val="center"/>
          </w:tcPr>
          <w:p>
            <w:pPr>
              <w:pStyle w:val="14"/>
              <w:shd w:val="clear" w:color="auto" w:fill="auto"/>
              <w:spacing w:line="240" w:lineRule="atLeast"/>
              <w:jc w:val="center"/>
              <w:rPr>
                <w:rFonts w:hint="eastAsia"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品牌</w:t>
            </w:r>
          </w:p>
          <w:p>
            <w:pPr>
              <w:pStyle w:val="14"/>
              <w:shd w:val="clear" w:color="auto" w:fill="auto"/>
              <w:spacing w:line="240" w:lineRule="atLeast"/>
              <w:jc w:val="center"/>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型号</w:t>
            </w:r>
          </w:p>
        </w:tc>
        <w:tc>
          <w:tcPr>
            <w:tcW w:w="1171" w:type="dxa"/>
            <w:noWrap w:val="0"/>
            <w:vAlign w:val="center"/>
          </w:tcPr>
          <w:p>
            <w:pPr>
              <w:pStyle w:val="14"/>
              <w:shd w:val="clear" w:color="auto" w:fill="auto"/>
              <w:spacing w:line="240" w:lineRule="atLeast"/>
              <w:jc w:val="center"/>
              <w:rPr>
                <w:rFonts w:hint="eastAsia"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技术</w:t>
            </w:r>
          </w:p>
          <w:p>
            <w:pPr>
              <w:pStyle w:val="14"/>
              <w:shd w:val="clear" w:color="auto" w:fill="auto"/>
              <w:spacing w:line="240" w:lineRule="atLeast"/>
              <w:jc w:val="center"/>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参数</w:t>
            </w:r>
          </w:p>
        </w:tc>
        <w:tc>
          <w:tcPr>
            <w:tcW w:w="1171" w:type="dxa"/>
            <w:noWrap w:val="0"/>
            <w:vAlign w:val="center"/>
          </w:tcPr>
          <w:p>
            <w:pPr>
              <w:pStyle w:val="14"/>
              <w:shd w:val="clear" w:color="auto" w:fill="auto"/>
              <w:spacing w:line="240" w:lineRule="atLeast"/>
              <w:jc w:val="center"/>
              <w:rPr>
                <w:rFonts w:hint="eastAsia"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数</w:t>
            </w:r>
            <w:r>
              <w:rPr>
                <w:rFonts w:hint="eastAsia" w:hAnsi="宋体" w:eastAsia="宋体" w:cs="宋体"/>
                <w:color w:val="auto"/>
                <w:sz w:val="21"/>
                <w:szCs w:val="21"/>
                <w:highlight w:val="none"/>
                <w:lang w:val="en-US" w:eastAsia="zh-CN"/>
              </w:rPr>
              <w:t>量及</w:t>
            </w:r>
          </w:p>
          <w:p>
            <w:pPr>
              <w:pStyle w:val="14"/>
              <w:shd w:val="clear" w:color="auto" w:fill="auto"/>
              <w:spacing w:line="240" w:lineRule="atLeast"/>
              <w:jc w:val="center"/>
              <w:rPr>
                <w:rFonts w:hint="default"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单位</w:t>
            </w:r>
          </w:p>
        </w:tc>
        <w:tc>
          <w:tcPr>
            <w:tcW w:w="847"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单价</w:t>
            </w:r>
          </w:p>
        </w:tc>
        <w:tc>
          <w:tcPr>
            <w:tcW w:w="960" w:type="dxa"/>
            <w:noWrap w:val="0"/>
            <w:vAlign w:val="center"/>
          </w:tcPr>
          <w:p>
            <w:pPr>
              <w:pStyle w:val="14"/>
              <w:shd w:val="clear" w:color="auto" w:fill="auto"/>
              <w:spacing w:line="240" w:lineRule="atLeast"/>
              <w:ind w:firstLine="213" w:firstLineChars="100"/>
              <w:jc w:val="both"/>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总价</w:t>
            </w:r>
          </w:p>
        </w:tc>
        <w:tc>
          <w:tcPr>
            <w:tcW w:w="720"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778"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812"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lang w:val="en-US" w:eastAsia="zh-CN"/>
              </w:rPr>
            </w:pPr>
          </w:p>
        </w:tc>
        <w:tc>
          <w:tcPr>
            <w:tcW w:w="847" w:type="dxa"/>
            <w:noWrap w:val="0"/>
            <w:vAlign w:val="center"/>
          </w:tcPr>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lang w:val="en-US" w:eastAsia="zh-CN"/>
              </w:rPr>
            </w:pPr>
          </w:p>
        </w:tc>
        <w:tc>
          <w:tcPr>
            <w:tcW w:w="960" w:type="dxa"/>
            <w:noWrap w:val="0"/>
            <w:vAlign w:val="center"/>
          </w:tcPr>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lang w:val="en-US" w:eastAsia="zh-CN"/>
              </w:rPr>
            </w:pPr>
          </w:p>
        </w:tc>
        <w:tc>
          <w:tcPr>
            <w:tcW w:w="720" w:type="dxa"/>
            <w:noWrap w:val="0"/>
            <w:vAlign w:val="center"/>
          </w:tcPr>
          <w:p>
            <w:pPr>
              <w:pStyle w:val="14"/>
              <w:shd w:val="clear" w:color="auto" w:fill="auto"/>
              <w:spacing w:line="240" w:lineRule="atLeast"/>
              <w:ind w:left="1087" w:leftChars="257" w:hanging="540"/>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8"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812" w:type="dxa"/>
            <w:noWrap w:val="0"/>
            <w:vAlign w:val="center"/>
          </w:tcPr>
          <w:p>
            <w:pPr>
              <w:pStyle w:val="14"/>
              <w:shd w:val="clear" w:color="auto" w:fill="auto"/>
              <w:spacing w:line="240" w:lineRule="atLeast"/>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96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72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8"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812" w:type="dxa"/>
            <w:noWrap w:val="0"/>
            <w:vAlign w:val="center"/>
          </w:tcPr>
          <w:p>
            <w:pPr>
              <w:pStyle w:val="14"/>
              <w:shd w:val="clear" w:color="auto" w:fill="auto"/>
              <w:spacing w:line="240" w:lineRule="atLeast"/>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96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72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778"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812" w:type="dxa"/>
            <w:noWrap w:val="0"/>
            <w:vAlign w:val="center"/>
          </w:tcPr>
          <w:p>
            <w:pPr>
              <w:pStyle w:val="14"/>
              <w:shd w:val="clear" w:color="auto" w:fill="auto"/>
              <w:spacing w:line="240" w:lineRule="atLeast"/>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96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72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78" w:type="dxa"/>
            <w:noWrap w:val="0"/>
            <w:vAlign w:val="center"/>
          </w:tcPr>
          <w:p>
            <w:pPr>
              <w:pStyle w:val="14"/>
              <w:shd w:val="clear" w:color="auto" w:fill="auto"/>
              <w:spacing w:line="240" w:lineRule="atLeas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812" w:type="dxa"/>
            <w:noWrap w:val="0"/>
            <w:vAlign w:val="center"/>
          </w:tcPr>
          <w:p>
            <w:pPr>
              <w:pStyle w:val="14"/>
              <w:shd w:val="clear" w:color="auto" w:fill="auto"/>
              <w:spacing w:line="240" w:lineRule="atLeast"/>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1171"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847"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96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c>
          <w:tcPr>
            <w:tcW w:w="720" w:type="dxa"/>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630" w:type="dxa"/>
            <w:gridSpan w:val="8"/>
            <w:noWrap w:val="0"/>
            <w:vAlign w:val="center"/>
          </w:tcPr>
          <w:p>
            <w:pPr>
              <w:pStyle w:val="14"/>
              <w:shd w:val="clear" w:color="auto" w:fill="auto"/>
              <w:spacing w:line="240" w:lineRule="atLeast"/>
              <w:ind w:left="1087" w:leftChars="257" w:hanging="540"/>
              <w:jc w:val="both"/>
              <w:rPr>
                <w:rFonts w:hint="eastAsia" w:ascii="宋体" w:hAnsi="宋体" w:eastAsia="宋体" w:cs="宋体"/>
                <w:color w:val="auto"/>
                <w:sz w:val="21"/>
                <w:szCs w:val="21"/>
                <w:highlight w:val="none"/>
                <w:lang w:val="en-US" w:eastAsia="zh-CN"/>
              </w:rPr>
            </w:pPr>
            <w:r>
              <w:rPr>
                <w:rFonts w:hint="eastAsia" w:hAnsi="宋体" w:eastAsia="宋体" w:cs="宋体"/>
                <w:color w:val="auto"/>
                <w:sz w:val="21"/>
                <w:szCs w:val="21"/>
                <w:highlight w:val="none"/>
                <w:lang w:val="en-US" w:eastAsia="zh-CN"/>
              </w:rPr>
              <w:t>总计（元）：</w:t>
            </w:r>
          </w:p>
        </w:tc>
      </w:tr>
    </w:tbl>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p>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法定代表人或其委托代理人签字:</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rPr>
        <w:tab/>
      </w:r>
      <w:r>
        <w:rPr>
          <w:rFonts w:hint="eastAsia" w:ascii="宋体" w:hAnsi="宋体" w:eastAsia="宋体" w:cs="宋体"/>
          <w:color w:val="auto"/>
          <w:sz w:val="21"/>
          <w:szCs w:val="21"/>
          <w:highlight w:val="none"/>
          <w:u w:val="single"/>
        </w:rPr>
        <w:t xml:space="preserve">                 </w:t>
      </w:r>
    </w:p>
    <w:p>
      <w:pPr>
        <w:pStyle w:val="14"/>
        <w:shd w:val="clear" w:color="auto" w:fill="auto"/>
        <w:tabs>
          <w:tab w:val="left" w:pos="5370"/>
        </w:tabs>
        <w:spacing w:line="240" w:lineRule="atLeast"/>
        <w:ind w:left="1087" w:leftChars="257" w:hanging="54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投标人(盖单位章):</w:t>
      </w:r>
      <w:r>
        <w:rPr>
          <w:rFonts w:hint="eastAsia" w:ascii="宋体" w:hAnsi="宋体" w:eastAsia="宋体" w:cs="宋体"/>
          <w:color w:val="auto"/>
          <w:sz w:val="21"/>
          <w:szCs w:val="21"/>
          <w:highlight w:val="none"/>
          <w:u w:val="single"/>
        </w:rPr>
        <w:tab/>
      </w:r>
    </w:p>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p>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.如果按单价计算的结果与总价不一致,以单价为准修正总价。</w:t>
      </w:r>
    </w:p>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.如果不提供详细分项报价将视为没有实质性响应</w:t>
      </w:r>
      <w:r>
        <w:rPr>
          <w:rFonts w:hint="eastAsia" w:hAnsi="宋体" w:cs="宋体"/>
          <w:color w:val="auto"/>
          <w:sz w:val="21"/>
          <w:szCs w:val="21"/>
          <w:highlight w:val="none"/>
          <w:lang w:val="en-US" w:eastAsia="zh-CN"/>
        </w:rPr>
        <w:t>招标</w:t>
      </w:r>
      <w:r>
        <w:rPr>
          <w:rFonts w:hint="eastAsia"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w:t>
      </w:r>
    </w:p>
    <w:p>
      <w:pPr>
        <w:pStyle w:val="14"/>
        <w:shd w:val="clear" w:color="auto" w:fill="auto"/>
        <w:spacing w:line="240" w:lineRule="atLeast"/>
        <w:ind w:left="1087" w:leftChars="257" w:hanging="54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.如果开标一览表（报价表）内容与投标文件中明细表内容不一致的，以开标一览表（报价表）内容为准。</w:t>
      </w:r>
    </w:p>
    <w:p>
      <w:pPr>
        <w:pStyle w:val="14"/>
        <w:shd w:val="clear" w:color="auto" w:fill="auto"/>
        <w:spacing w:line="240" w:lineRule="atLeast"/>
        <w:ind w:left="1089" w:leftChars="455" w:hanging="120" w:hangingChars="57"/>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投标人必须按此表格式中的对应栏目内容填写，若需增加栏目，请在栏目</w:t>
      </w:r>
      <w:r>
        <w:rPr>
          <w:rFonts w:hint="eastAsia" w:ascii="宋体" w:hAnsi="宋体" w:eastAsia="宋体" w:cs="宋体"/>
          <w:color w:val="auto"/>
          <w:sz w:val="21"/>
          <w:szCs w:val="21"/>
          <w:highlight w:val="none"/>
          <w:lang w:val="zh-CN" w:eastAsia="zh-CN"/>
        </w:rPr>
        <w:t>“其</w:t>
      </w:r>
      <w:r>
        <w:rPr>
          <w:rFonts w:hint="eastAsia" w:ascii="宋体" w:hAnsi="宋体" w:eastAsia="宋体" w:cs="宋体"/>
          <w:color w:val="auto"/>
          <w:sz w:val="21"/>
          <w:szCs w:val="21"/>
          <w:highlight w:val="none"/>
        </w:rPr>
        <w:t>它”中填写，并作详细说明。</w:t>
      </w:r>
    </w:p>
    <w:p>
      <w:pPr>
        <w:pStyle w:val="14"/>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yellow"/>
        </w:rPr>
        <w:br w:type="page"/>
      </w: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bookmarkStart w:id="128" w:name="_Toc12170"/>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rPr>
        <w:t>技术规格偏离表</w:t>
      </w:r>
      <w:bookmarkEnd w:id="124"/>
      <w:bookmarkEnd w:id="125"/>
      <w:bookmarkEnd w:id="126"/>
      <w:bookmarkEnd w:id="127"/>
      <w:bookmarkEnd w:id="128"/>
    </w:p>
    <w:p>
      <w:pPr>
        <w:pStyle w:val="14"/>
        <w:shd w:val="clear" w:color="auto" w:fill="auto"/>
        <w:spacing w:line="240" w:lineRule="atLeast"/>
        <w:ind w:left="1087" w:leftChars="257" w:hanging="540"/>
        <w:rPr>
          <w:rFonts w:hint="eastAsia" w:ascii="宋体" w:hAnsi="宋体" w:eastAsia="宋体" w:cs="宋体"/>
          <w:color w:val="auto"/>
          <w:sz w:val="24"/>
          <w:highlight w:val="none"/>
        </w:rPr>
      </w:pPr>
    </w:p>
    <w:p>
      <w:pPr>
        <w:pStyle w:val="14"/>
        <w:shd w:val="clear" w:color="auto" w:fill="auto"/>
        <w:spacing w:line="240" w:lineRule="atLeast"/>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                       招标编号:                 包号:</w:t>
      </w:r>
    </w:p>
    <w:p>
      <w:pPr>
        <w:pStyle w:val="14"/>
        <w:shd w:val="clear" w:color="auto" w:fill="auto"/>
        <w:spacing w:line="240" w:lineRule="atLeast"/>
        <w:ind w:left="1087" w:leftChars="257" w:hanging="540"/>
        <w:rPr>
          <w:rFonts w:hint="eastAsia" w:ascii="宋体" w:hAnsi="宋体" w:eastAsia="宋体" w:cs="宋体"/>
          <w:color w:val="auto"/>
          <w:sz w:val="24"/>
          <w:highlight w:val="none"/>
        </w:rPr>
      </w:pPr>
    </w:p>
    <w:tbl>
      <w:tblPr>
        <w:tblStyle w:val="28"/>
        <w:tblW w:w="7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357"/>
        <w:gridCol w:w="1297"/>
        <w:gridCol w:w="1194"/>
        <w:gridCol w:w="2184"/>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91" w:type="dxa"/>
            <w:noWrap w:val="0"/>
            <w:vAlign w:val="center"/>
          </w:tcPr>
          <w:p>
            <w:pPr>
              <w:pStyle w:val="14"/>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序号</w:t>
            </w:r>
          </w:p>
        </w:tc>
        <w:tc>
          <w:tcPr>
            <w:tcW w:w="1357" w:type="dxa"/>
            <w:noWrap w:val="0"/>
            <w:vAlign w:val="center"/>
          </w:tcPr>
          <w:p>
            <w:pPr>
              <w:pStyle w:val="14"/>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hAnsi="宋体" w:eastAsia="宋体" w:cs="宋体"/>
                <w:color w:val="auto"/>
                <w:sz w:val="24"/>
                <w:highlight w:val="none"/>
                <w:lang w:val="en-US" w:eastAsia="zh-CN"/>
              </w:rPr>
              <w:t>货物</w:t>
            </w:r>
            <w:r>
              <w:rPr>
                <w:rFonts w:hint="eastAsia" w:ascii="宋体" w:hAnsi="宋体" w:eastAsia="宋体" w:cs="宋体"/>
                <w:color w:val="auto"/>
                <w:sz w:val="24"/>
                <w:highlight w:val="none"/>
                <w:lang w:val="en-US" w:eastAsia="zh-CN"/>
              </w:rPr>
              <w:t>名称</w:t>
            </w:r>
          </w:p>
        </w:tc>
        <w:tc>
          <w:tcPr>
            <w:tcW w:w="1297" w:type="dxa"/>
            <w:noWrap w:val="0"/>
            <w:vAlign w:val="center"/>
          </w:tcPr>
          <w:p>
            <w:pPr>
              <w:pStyle w:val="14"/>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招标规格</w:t>
            </w:r>
          </w:p>
        </w:tc>
        <w:tc>
          <w:tcPr>
            <w:tcW w:w="1194" w:type="dxa"/>
            <w:noWrap w:val="0"/>
            <w:vAlign w:val="center"/>
          </w:tcPr>
          <w:p>
            <w:pPr>
              <w:pStyle w:val="14"/>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投标规格</w:t>
            </w:r>
          </w:p>
        </w:tc>
        <w:tc>
          <w:tcPr>
            <w:tcW w:w="2184" w:type="dxa"/>
            <w:noWrap w:val="0"/>
            <w:vAlign w:val="center"/>
          </w:tcPr>
          <w:p>
            <w:pPr>
              <w:pStyle w:val="14"/>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偏离</w:t>
            </w:r>
          </w:p>
        </w:tc>
        <w:tc>
          <w:tcPr>
            <w:tcW w:w="669" w:type="dxa"/>
            <w:noWrap w:val="0"/>
            <w:vAlign w:val="center"/>
          </w:tcPr>
          <w:p>
            <w:pPr>
              <w:pStyle w:val="14"/>
              <w:shd w:val="clear" w:color="auto" w:fill="auto"/>
              <w:spacing w:line="240"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1"/>
                <w:szCs w:val="16"/>
                <w:highlight w:val="none"/>
                <w:lang w:val="en-US" w:eastAsia="zh-CN"/>
              </w:rPr>
            </w:pPr>
          </w:p>
        </w:tc>
        <w:tc>
          <w:tcPr>
            <w:tcW w:w="2184" w:type="dxa"/>
            <w:noWrap w:val="0"/>
            <w:vAlign w:val="center"/>
          </w:tcPr>
          <w:p>
            <w:pPr>
              <w:pStyle w:val="14"/>
              <w:keepNext w:val="0"/>
              <w:keepLines w:val="0"/>
              <w:pageBreakBefore w:val="0"/>
              <w:widowControl w:val="0"/>
              <w:shd w:val="clear" w:color="auto" w:fill="auto"/>
              <w:kinsoku/>
              <w:wordWrap/>
              <w:overflowPunct/>
              <w:topLinePunct w:val="0"/>
              <w:autoSpaceDE/>
              <w:autoSpaceDN/>
              <w:bidi w:val="0"/>
              <w:adjustRightInd/>
              <w:snapToGrid/>
              <w:spacing w:line="240" w:lineRule="atLeast"/>
              <w:jc w:val="left"/>
              <w:textAlignment w:val="auto"/>
              <w:rPr>
                <w:rFonts w:hint="default" w:ascii="宋体" w:hAnsi="宋体" w:eastAsia="宋体" w:cs="宋体"/>
                <w:color w:val="auto"/>
                <w:sz w:val="21"/>
                <w:szCs w:val="16"/>
                <w:highlight w:val="none"/>
                <w:lang w:val="en-US" w:eastAsia="zh-CN"/>
              </w:rPr>
            </w:pPr>
            <w:r>
              <w:rPr>
                <w:rFonts w:hint="eastAsia" w:hAnsi="宋体" w:eastAsia="宋体" w:cs="宋体"/>
                <w:b/>
                <w:bCs/>
                <w:color w:val="auto"/>
                <w:sz w:val="21"/>
                <w:szCs w:val="16"/>
                <w:highlight w:val="none"/>
                <w:u w:val="single" w:color="auto"/>
                <w:lang w:val="en-US" w:eastAsia="zh-CN"/>
              </w:rPr>
              <w:t>如有正偏离需提供证明材料，证明材料附后(并注明页码)</w:t>
            </w: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91"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35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297"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119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21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c>
          <w:tcPr>
            <w:tcW w:w="66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none"/>
                <w:lang w:val="en-US" w:eastAsia="zh-CN"/>
              </w:rPr>
            </w:pPr>
          </w:p>
        </w:tc>
      </w:tr>
    </w:tbl>
    <w:p>
      <w:pPr>
        <w:pStyle w:val="14"/>
        <w:shd w:val="clear" w:color="auto" w:fill="auto"/>
        <w:spacing w:line="240" w:lineRule="atLeast"/>
        <w:ind w:left="1087" w:leftChars="257" w:hanging="540"/>
        <w:rPr>
          <w:rFonts w:hint="eastAsia" w:ascii="宋体" w:hAnsi="宋体" w:eastAsia="宋体" w:cs="宋体"/>
          <w:color w:val="auto"/>
          <w:sz w:val="24"/>
          <w:highlight w:val="none"/>
        </w:rPr>
      </w:pPr>
    </w:p>
    <w:p>
      <w:pPr>
        <w:pStyle w:val="14"/>
        <w:shd w:val="clear" w:color="auto" w:fill="auto"/>
        <w:spacing w:line="240" w:lineRule="atLeast"/>
        <w:ind w:left="1087" w:leftChars="257" w:hanging="540"/>
        <w:rPr>
          <w:rFonts w:hint="eastAsia" w:ascii="宋体" w:hAnsi="宋体" w:eastAsia="宋体" w:cs="宋体"/>
          <w:color w:val="auto"/>
          <w:sz w:val="24"/>
          <w:highlight w:val="none"/>
          <w:lang w:eastAsia="zh-CN"/>
        </w:rPr>
      </w:pPr>
    </w:p>
    <w:p>
      <w:pPr>
        <w:pStyle w:val="14"/>
        <w:shd w:val="clear" w:color="auto" w:fill="auto"/>
        <w:spacing w:line="240" w:lineRule="atLeast"/>
        <w:ind w:left="1087" w:leftChars="257" w:hanging="54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法定代表人或其委托代理人签字:</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p>
    <w:p>
      <w:pPr>
        <w:pStyle w:val="14"/>
        <w:shd w:val="clear" w:color="auto" w:fill="auto"/>
        <w:tabs>
          <w:tab w:val="left" w:pos="5370"/>
        </w:tabs>
        <w:spacing w:line="240" w:lineRule="atLeast"/>
        <w:ind w:left="1087" w:leftChars="257" w:hanging="54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投标人(盖单位章):</w:t>
      </w:r>
      <w:r>
        <w:rPr>
          <w:rFonts w:hint="eastAsia" w:ascii="宋体" w:hAnsi="宋体" w:eastAsia="宋体" w:cs="宋体"/>
          <w:color w:val="auto"/>
          <w:sz w:val="24"/>
          <w:highlight w:val="none"/>
          <w:u w:val="single"/>
        </w:rPr>
        <w:tab/>
      </w:r>
    </w:p>
    <w:p>
      <w:pPr>
        <w:pStyle w:val="14"/>
        <w:shd w:val="clear" w:color="auto" w:fill="auto"/>
        <w:tabs>
          <w:tab w:val="left" w:pos="5580"/>
        </w:tabs>
        <w:spacing w:line="240" w:lineRule="atLeast"/>
        <w:ind w:left="1087" w:leftChars="257" w:hanging="540"/>
        <w:rPr>
          <w:rFonts w:hint="eastAsia" w:ascii="宋体" w:hAnsi="宋体" w:eastAsia="宋体" w:cs="宋体"/>
          <w:color w:val="auto"/>
          <w:sz w:val="24"/>
          <w:highlight w:val="yellow"/>
        </w:rPr>
      </w:pPr>
      <w:r>
        <w:rPr>
          <w:rFonts w:hint="eastAsia" w:ascii="宋体" w:hAnsi="宋体" w:eastAsia="宋体" w:cs="宋体"/>
          <w:color w:val="auto"/>
          <w:sz w:val="24"/>
          <w:highlight w:val="none"/>
          <w:lang w:val="en-US" w:eastAsia="zh-CN"/>
        </w:rPr>
        <w:t>日期：          年    月      日</w:t>
      </w:r>
      <w:r>
        <w:rPr>
          <w:rFonts w:hint="eastAsia" w:ascii="宋体" w:hAnsi="宋体" w:eastAsia="宋体" w:cs="宋体"/>
          <w:color w:val="auto"/>
          <w:sz w:val="24"/>
          <w:highlight w:val="yellow"/>
          <w:u w:val="single"/>
        </w:rPr>
        <w:br w:type="page"/>
      </w: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bookmarkStart w:id="129" w:name="_Toc216582818"/>
      <w:bookmarkStart w:id="130" w:name="_Toc515647821"/>
      <w:bookmarkStart w:id="131" w:name="_Toc21391"/>
      <w:bookmarkStart w:id="132" w:name="_Toc1980"/>
      <w:bookmarkStart w:id="133" w:name="_Toc23"/>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4</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商务条款偏离表</w:t>
      </w:r>
      <w:bookmarkEnd w:id="129"/>
      <w:r>
        <w:rPr>
          <w:rFonts w:hint="eastAsia" w:ascii="宋体" w:hAnsi="宋体" w:eastAsia="宋体" w:cs="宋体"/>
          <w:b/>
          <w:bCs/>
          <w:color w:val="auto"/>
          <w:sz w:val="24"/>
          <w:highlight w:val="none"/>
        </w:rPr>
        <w:t>（投标文件格式</w:t>
      </w:r>
      <w:r>
        <w:rPr>
          <w:rFonts w:hint="eastAsia" w:ascii="宋体" w:hAnsi="宋体" w:eastAsia="宋体" w:cs="宋体"/>
          <w:b/>
          <w:bCs/>
          <w:color w:val="auto"/>
          <w:sz w:val="24"/>
          <w:highlight w:val="none"/>
          <w:lang w:eastAsia="zh-CN"/>
        </w:rPr>
        <w:t>九</w:t>
      </w:r>
      <w:r>
        <w:rPr>
          <w:rFonts w:hint="eastAsia" w:ascii="宋体" w:hAnsi="宋体" w:eastAsia="宋体" w:cs="宋体"/>
          <w:b/>
          <w:bCs/>
          <w:color w:val="auto"/>
          <w:sz w:val="24"/>
          <w:highlight w:val="none"/>
        </w:rPr>
        <w:t>）</w:t>
      </w:r>
      <w:bookmarkEnd w:id="130"/>
      <w:bookmarkEnd w:id="131"/>
      <w:bookmarkEnd w:id="132"/>
      <w:bookmarkEnd w:id="133"/>
    </w:p>
    <w:p>
      <w:pPr>
        <w:pStyle w:val="14"/>
        <w:shd w:val="clear" w:color="auto" w:fill="auto"/>
        <w:spacing w:line="240" w:lineRule="atLeast"/>
        <w:ind w:left="1087" w:leftChars="257" w:hanging="540"/>
        <w:rPr>
          <w:rFonts w:hint="eastAsia" w:ascii="宋体" w:hAnsi="宋体" w:eastAsia="宋体" w:cs="宋体"/>
          <w:color w:val="auto"/>
          <w:sz w:val="24"/>
          <w:highlight w:val="none"/>
        </w:rPr>
      </w:pPr>
    </w:p>
    <w:p>
      <w:pPr>
        <w:pStyle w:val="14"/>
        <w:shd w:val="clear" w:color="auto" w:fill="auto"/>
        <w:spacing w:line="240" w:lineRule="atLeast"/>
        <w:ind w:left="1087" w:leftChars="257" w:hanging="540"/>
        <w:rPr>
          <w:rFonts w:hint="eastAsia" w:ascii="宋体" w:hAnsi="宋体" w:eastAsia="宋体" w:cs="宋体"/>
          <w:color w:val="auto"/>
          <w:sz w:val="24"/>
          <w:highlight w:val="none"/>
        </w:rPr>
      </w:pPr>
    </w:p>
    <w:p>
      <w:pPr>
        <w:pStyle w:val="14"/>
        <w:shd w:val="clear" w:color="auto" w:fill="auto"/>
        <w:spacing w:line="240" w:lineRule="atLeast"/>
        <w:ind w:left="1087" w:leftChars="257" w:hanging="54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 xml:space="preserve">项目名称:                      招标编号:    </w:t>
      </w:r>
      <w:r>
        <w:rPr>
          <w:rFonts w:hint="eastAsia" w:hAnsi="宋体" w:eastAsia="宋体" w:cs="宋体"/>
          <w:color w:val="auto"/>
          <w:sz w:val="22"/>
          <w:szCs w:val="18"/>
          <w:highlight w:val="none"/>
          <w:lang w:val="en-US" w:eastAsia="zh-CN"/>
        </w:rPr>
        <w:t xml:space="preserve">       </w:t>
      </w:r>
      <w:r>
        <w:rPr>
          <w:rFonts w:hint="eastAsia" w:ascii="宋体" w:hAnsi="宋体" w:eastAsia="宋体" w:cs="宋体"/>
          <w:color w:val="auto"/>
          <w:sz w:val="22"/>
          <w:szCs w:val="18"/>
          <w:highlight w:val="none"/>
        </w:rPr>
        <w:t xml:space="preserve">      包号:</w:t>
      </w:r>
    </w:p>
    <w:p>
      <w:pPr>
        <w:pStyle w:val="14"/>
        <w:shd w:val="clear" w:color="auto" w:fill="auto"/>
        <w:spacing w:line="240" w:lineRule="atLeast"/>
        <w:ind w:left="1087" w:leftChars="257" w:hanging="540"/>
        <w:rPr>
          <w:rFonts w:hint="eastAsia" w:ascii="宋体" w:hAnsi="宋体" w:eastAsia="宋体" w:cs="宋体"/>
          <w:color w:val="auto"/>
          <w:sz w:val="22"/>
          <w:szCs w:val="18"/>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882"/>
        <w:gridCol w:w="2882"/>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序号</w:t>
            </w:r>
          </w:p>
        </w:tc>
        <w:tc>
          <w:tcPr>
            <w:tcW w:w="2882" w:type="dxa"/>
            <w:noWrap w:val="0"/>
            <w:vAlign w:val="top"/>
          </w:tcPr>
          <w:p>
            <w:pPr>
              <w:pStyle w:val="14"/>
              <w:shd w:val="clear" w:color="auto" w:fill="auto"/>
              <w:spacing w:line="240" w:lineRule="atLeast"/>
              <w:jc w:val="center"/>
              <w:rPr>
                <w:rFonts w:hint="eastAsia" w:ascii="宋体" w:hAnsi="宋体" w:eastAsia="宋体" w:cs="宋体"/>
                <w:color w:val="auto"/>
                <w:sz w:val="22"/>
                <w:szCs w:val="18"/>
                <w:highlight w:val="none"/>
                <w:lang w:val="en-US" w:eastAsia="zh-CN"/>
              </w:rPr>
            </w:pPr>
            <w:r>
              <w:rPr>
                <w:rFonts w:hint="eastAsia" w:hAnsi="宋体" w:cs="宋体"/>
                <w:color w:val="auto"/>
                <w:sz w:val="22"/>
                <w:szCs w:val="18"/>
                <w:highlight w:val="none"/>
                <w:lang w:val="en-US" w:eastAsia="zh-CN"/>
              </w:rPr>
              <w:t>招标</w:t>
            </w:r>
            <w:r>
              <w:rPr>
                <w:rFonts w:hint="eastAsia" w:hAnsi="宋体" w:eastAsia="宋体" w:cs="宋体"/>
                <w:color w:val="auto"/>
                <w:sz w:val="22"/>
                <w:szCs w:val="18"/>
                <w:highlight w:val="none"/>
                <w:lang w:val="en-US" w:eastAsia="zh-CN"/>
              </w:rPr>
              <w:t>文件</w:t>
            </w:r>
            <w:r>
              <w:rPr>
                <w:rFonts w:hint="eastAsia" w:ascii="宋体" w:hAnsi="宋体" w:eastAsia="宋体" w:cs="宋体"/>
                <w:color w:val="auto"/>
                <w:sz w:val="22"/>
                <w:szCs w:val="18"/>
                <w:highlight w:val="none"/>
                <w:lang w:val="en-US" w:eastAsia="zh-CN"/>
              </w:rPr>
              <w:t>的商务条款</w:t>
            </w:r>
          </w:p>
        </w:tc>
        <w:tc>
          <w:tcPr>
            <w:tcW w:w="2882" w:type="dxa"/>
            <w:noWrap w:val="0"/>
            <w:vAlign w:val="top"/>
          </w:tcPr>
          <w:p>
            <w:pPr>
              <w:pStyle w:val="14"/>
              <w:shd w:val="clear" w:color="auto" w:fill="auto"/>
              <w:spacing w:line="240" w:lineRule="atLeast"/>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投标文件的商务条款</w:t>
            </w:r>
          </w:p>
        </w:tc>
        <w:tc>
          <w:tcPr>
            <w:tcW w:w="1029" w:type="dxa"/>
            <w:noWrap w:val="0"/>
            <w:vAlign w:val="top"/>
          </w:tcPr>
          <w:p>
            <w:pPr>
              <w:pStyle w:val="14"/>
              <w:shd w:val="clear" w:color="auto" w:fill="auto"/>
              <w:spacing w:line="240" w:lineRule="atLeast"/>
              <w:jc w:val="center"/>
              <w:rPr>
                <w:rFonts w:hint="eastAsia" w:ascii="宋体" w:hAnsi="宋体" w:eastAsia="宋体" w:cs="宋体"/>
                <w:color w:val="auto"/>
                <w:sz w:val="22"/>
                <w:szCs w:val="18"/>
                <w:highlight w:val="none"/>
                <w:lang w:val="en-US" w:eastAsia="zh-CN"/>
              </w:rPr>
            </w:pPr>
            <w:r>
              <w:rPr>
                <w:rFonts w:hint="eastAsia" w:ascii="宋体" w:hAnsi="宋体" w:eastAsia="宋体" w:cs="宋体"/>
                <w:color w:val="auto"/>
                <w:sz w:val="22"/>
                <w:szCs w:val="18"/>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jc w:val="center"/>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jc w:val="center"/>
              <w:rPr>
                <w:rFonts w:hint="eastAsia" w:ascii="宋体" w:hAnsi="宋体" w:eastAsia="宋体" w:cs="宋体"/>
                <w:color w:val="auto"/>
                <w:sz w:val="22"/>
                <w:szCs w:val="18"/>
                <w:highlight w:val="none"/>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2"/>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84"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2882"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c>
          <w:tcPr>
            <w:tcW w:w="1029" w:type="dxa"/>
            <w:noWrap w:val="0"/>
            <w:vAlign w:val="top"/>
          </w:tcPr>
          <w:p>
            <w:pPr>
              <w:pStyle w:val="14"/>
              <w:shd w:val="clear" w:color="auto" w:fill="auto"/>
              <w:spacing w:line="240" w:lineRule="atLeast"/>
              <w:ind w:left="1087" w:leftChars="257" w:hanging="540"/>
              <w:rPr>
                <w:rFonts w:hint="eastAsia" w:ascii="宋体" w:hAnsi="宋体" w:eastAsia="宋体" w:cs="宋体"/>
                <w:color w:val="auto"/>
                <w:sz w:val="24"/>
                <w:highlight w:val="yellow"/>
                <w:lang w:val="en-US" w:eastAsia="zh-CN"/>
              </w:rPr>
            </w:pPr>
          </w:p>
        </w:tc>
      </w:tr>
    </w:tbl>
    <w:p>
      <w:pPr>
        <w:pStyle w:val="14"/>
        <w:shd w:val="clear" w:color="auto" w:fill="auto"/>
        <w:spacing w:line="240" w:lineRule="atLeast"/>
        <w:ind w:left="1087" w:leftChars="257" w:hanging="540"/>
        <w:rPr>
          <w:rFonts w:hint="eastAsia" w:ascii="宋体" w:hAnsi="宋体" w:eastAsia="宋体" w:cs="宋体"/>
          <w:color w:val="auto"/>
          <w:sz w:val="24"/>
          <w:highlight w:val="yellow"/>
        </w:rPr>
      </w:pPr>
    </w:p>
    <w:p>
      <w:pPr>
        <w:pStyle w:val="14"/>
        <w:shd w:val="clear" w:color="auto" w:fill="auto"/>
        <w:spacing w:line="240" w:lineRule="atLeast"/>
        <w:ind w:left="1087" w:leftChars="257" w:hanging="540"/>
        <w:rPr>
          <w:rFonts w:hint="eastAsia" w:ascii="宋体" w:hAnsi="宋体" w:eastAsia="宋体" w:cs="宋体"/>
          <w:color w:val="auto"/>
          <w:sz w:val="24"/>
          <w:highlight w:val="yellow"/>
        </w:rPr>
      </w:pPr>
    </w:p>
    <w:p>
      <w:pPr>
        <w:pStyle w:val="14"/>
        <w:shd w:val="clear" w:color="auto" w:fill="auto"/>
        <w:spacing w:line="240" w:lineRule="atLeast"/>
        <w:ind w:left="1087" w:leftChars="257" w:hanging="540"/>
        <w:rPr>
          <w:rFonts w:hint="eastAsia" w:ascii="宋体" w:hAnsi="宋体" w:eastAsia="宋体" w:cs="宋体"/>
          <w:color w:val="auto"/>
          <w:sz w:val="22"/>
          <w:szCs w:val="18"/>
          <w:highlight w:val="none"/>
        </w:rPr>
      </w:pPr>
      <w:r>
        <w:rPr>
          <w:rFonts w:hint="eastAsia" w:ascii="宋体" w:hAnsi="宋体" w:eastAsia="宋体" w:cs="宋体"/>
          <w:color w:val="auto"/>
          <w:sz w:val="22"/>
          <w:szCs w:val="18"/>
          <w:highlight w:val="none"/>
        </w:rPr>
        <w:t>法定代表人或其委托代理人签字:</w:t>
      </w:r>
      <w:r>
        <w:rPr>
          <w:rFonts w:hint="eastAsia" w:ascii="宋体" w:hAnsi="宋体" w:eastAsia="宋体" w:cs="宋体"/>
          <w:color w:val="auto"/>
          <w:sz w:val="22"/>
          <w:szCs w:val="18"/>
          <w:highlight w:val="none"/>
          <w:u w:val="single"/>
        </w:rPr>
        <w:t xml:space="preserve"> </w:t>
      </w:r>
      <w:r>
        <w:rPr>
          <w:rFonts w:hint="eastAsia" w:ascii="宋体" w:hAnsi="宋体" w:eastAsia="宋体" w:cs="宋体"/>
          <w:color w:val="auto"/>
          <w:sz w:val="22"/>
          <w:szCs w:val="18"/>
          <w:highlight w:val="none"/>
          <w:u w:val="single"/>
        </w:rPr>
        <w:tab/>
      </w:r>
      <w:r>
        <w:rPr>
          <w:rFonts w:hint="eastAsia" w:ascii="宋体" w:hAnsi="宋体" w:eastAsia="宋体" w:cs="宋体"/>
          <w:color w:val="auto"/>
          <w:sz w:val="22"/>
          <w:szCs w:val="18"/>
          <w:highlight w:val="none"/>
          <w:u w:val="single"/>
        </w:rPr>
        <w:t xml:space="preserve">                 </w:t>
      </w:r>
    </w:p>
    <w:p>
      <w:pPr>
        <w:pStyle w:val="14"/>
        <w:shd w:val="clear" w:color="auto" w:fill="auto"/>
        <w:tabs>
          <w:tab w:val="left" w:pos="5370"/>
        </w:tabs>
        <w:spacing w:line="240" w:lineRule="atLeast"/>
        <w:ind w:left="1087" w:leftChars="257" w:hanging="540"/>
        <w:rPr>
          <w:rFonts w:hint="eastAsia" w:ascii="宋体" w:hAnsi="宋体" w:eastAsia="宋体" w:cs="宋体"/>
          <w:color w:val="auto"/>
          <w:sz w:val="22"/>
          <w:szCs w:val="18"/>
          <w:highlight w:val="none"/>
          <w:u w:val="single"/>
        </w:rPr>
      </w:pPr>
      <w:r>
        <w:rPr>
          <w:rFonts w:hint="eastAsia" w:ascii="宋体" w:hAnsi="宋体" w:eastAsia="宋体" w:cs="宋体"/>
          <w:color w:val="auto"/>
          <w:sz w:val="22"/>
          <w:szCs w:val="18"/>
          <w:highlight w:val="none"/>
        </w:rPr>
        <w:t>投标人(盖单位章):</w:t>
      </w:r>
      <w:r>
        <w:rPr>
          <w:rFonts w:hint="eastAsia" w:ascii="宋体" w:hAnsi="宋体" w:eastAsia="宋体" w:cs="宋体"/>
          <w:color w:val="auto"/>
          <w:sz w:val="22"/>
          <w:szCs w:val="18"/>
          <w:highlight w:val="none"/>
          <w:u w:val="single"/>
        </w:rPr>
        <w:tab/>
      </w:r>
    </w:p>
    <w:p>
      <w:pPr>
        <w:pStyle w:val="79"/>
        <w:keepNext w:val="0"/>
        <w:keepLines w:val="0"/>
        <w:widowControl w:val="0"/>
        <w:shd w:val="clear" w:color="auto" w:fill="auto"/>
        <w:bidi w:val="0"/>
        <w:spacing w:before="0" w:after="0" w:line="240" w:lineRule="auto"/>
        <w:ind w:left="0" w:right="0" w:firstLine="42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34" w:name="_Toc21312"/>
      <w:bookmarkStart w:id="135" w:name="_Toc515647823"/>
      <w:bookmarkStart w:id="136" w:name="_Toc2963"/>
      <w:bookmarkStart w:id="137" w:name="_Toc10725"/>
      <w:bookmarkStart w:id="138" w:name="_Toc30795"/>
      <w:bookmarkStart w:id="139" w:name="_Toc515647827"/>
      <w:bookmarkStart w:id="140" w:name="_Toc28099"/>
    </w:p>
    <w:p>
      <w:pPr>
        <w:pStyle w:val="79"/>
        <w:keepNext w:val="0"/>
        <w:keepLines w:val="0"/>
        <w:widowControl w:val="0"/>
        <w:shd w:val="clear" w:color="auto" w:fill="auto"/>
        <w:bidi w:val="0"/>
        <w:spacing w:before="0" w:after="0" w:line="240" w:lineRule="auto"/>
        <w:ind w:left="0" w:right="0" w:firstLine="420"/>
        <w:jc w:val="center"/>
        <w:rPr>
          <w:rFonts w:hint="eastAsia" w:ascii="宋体" w:hAnsi="宋体" w:eastAsia="宋体" w:cs="宋体"/>
          <w:color w:val="auto"/>
          <w:highlight w:val="none"/>
        </w:rPr>
      </w:pPr>
    </w:p>
    <w:p>
      <w:pPr>
        <w:pStyle w:val="79"/>
        <w:keepNext w:val="0"/>
        <w:keepLines w:val="0"/>
        <w:widowControl w:val="0"/>
        <w:shd w:val="clear" w:color="auto" w:fill="auto"/>
        <w:bidi w:val="0"/>
        <w:spacing w:before="0" w:after="0" w:line="240" w:lineRule="auto"/>
        <w:ind w:left="0" w:right="0" w:firstLine="420"/>
        <w:jc w:val="center"/>
        <w:rPr>
          <w:rFonts w:hint="eastAsia" w:ascii="仿宋" w:hAnsi="仿宋" w:eastAsia="仿宋" w:cs="仿宋"/>
          <w:b/>
          <w:bCs/>
          <w:color w:val="auto"/>
          <w:spacing w:val="0"/>
          <w:w w:val="100"/>
          <w:position w:val="0"/>
          <w:sz w:val="36"/>
          <w:szCs w:val="36"/>
          <w:lang w:val="en-US" w:eastAsia="zh-CN"/>
        </w:rPr>
      </w:pPr>
      <w:r>
        <w:rPr>
          <w:rFonts w:hint="eastAsia" w:cs="宋体"/>
          <w:b/>
          <w:bCs/>
          <w:color w:val="auto"/>
          <w:spacing w:val="0"/>
          <w:w w:val="100"/>
          <w:position w:val="0"/>
          <w:sz w:val="24"/>
          <w:szCs w:val="24"/>
          <w:lang w:val="en-US" w:eastAsia="zh-CN"/>
        </w:rPr>
        <w:t>5</w:t>
      </w:r>
      <w:r>
        <w:rPr>
          <w:rFonts w:hint="eastAsia" w:ascii="宋体" w:hAnsi="宋体" w:eastAsia="宋体" w:cs="宋体"/>
          <w:b/>
          <w:bCs/>
          <w:color w:val="auto"/>
          <w:spacing w:val="0"/>
          <w:w w:val="100"/>
          <w:position w:val="0"/>
          <w:sz w:val="24"/>
          <w:szCs w:val="24"/>
          <w:lang w:val="en-US" w:eastAsia="zh-CN"/>
        </w:rPr>
        <w:t>、投标人基本情况表</w:t>
      </w:r>
    </w:p>
    <w:p>
      <w:pPr>
        <w:pStyle w:val="2"/>
        <w:numPr>
          <w:ilvl w:val="0"/>
          <w:numId w:val="0"/>
        </w:numPr>
        <w:kinsoku w:val="0"/>
        <w:overflowPunct w:val="0"/>
        <w:spacing w:before="5"/>
        <w:ind w:leftChars="0" w:right="0" w:rightChars="0"/>
        <w:rPr>
          <w:rFonts w:hint="eastAsia" w:ascii="仿宋" w:hAnsi="仿宋" w:eastAsia="仿宋" w:cs="仿宋"/>
          <w:b/>
          <w:bCs/>
          <w:color w:val="auto"/>
          <w:sz w:val="6"/>
          <w:szCs w:val="6"/>
        </w:rPr>
      </w:pPr>
    </w:p>
    <w:tbl>
      <w:tblPr>
        <w:tblStyle w:val="28"/>
        <w:tblW w:w="8639" w:type="dxa"/>
        <w:jc w:val="center"/>
        <w:tblLayout w:type="fixed"/>
        <w:tblCellMar>
          <w:top w:w="0" w:type="dxa"/>
          <w:left w:w="0" w:type="dxa"/>
          <w:bottom w:w="0" w:type="dxa"/>
          <w:right w:w="0" w:type="dxa"/>
        </w:tblCellMar>
      </w:tblPr>
      <w:tblGrid>
        <w:gridCol w:w="1231"/>
        <w:gridCol w:w="1432"/>
        <w:gridCol w:w="842"/>
        <w:gridCol w:w="488"/>
        <w:gridCol w:w="1331"/>
        <w:gridCol w:w="455"/>
        <w:gridCol w:w="910"/>
        <w:gridCol w:w="1950"/>
      </w:tblGrid>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5"/>
              <w:ind w:left="137"/>
              <w:rPr>
                <w:rFonts w:hint="eastAsia" w:ascii="宋体" w:hAnsi="宋体" w:eastAsia="宋体" w:cs="宋体"/>
                <w:color w:val="auto"/>
                <w:sz w:val="21"/>
                <w:szCs w:val="21"/>
              </w:rPr>
            </w:pPr>
            <w:r>
              <w:rPr>
                <w:rFonts w:hint="eastAsia" w:ascii="宋体" w:hAnsi="宋体" w:eastAsia="宋体" w:cs="宋体"/>
                <w:color w:val="auto"/>
                <w:sz w:val="21"/>
                <w:szCs w:val="21"/>
              </w:rPr>
              <w:t>单位名称</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5"/>
              <w:ind w:left="137"/>
              <w:rPr>
                <w:rFonts w:hint="eastAsia" w:ascii="宋体" w:hAnsi="宋体" w:eastAsia="宋体" w:cs="宋体"/>
                <w:color w:val="auto"/>
                <w:sz w:val="21"/>
                <w:szCs w:val="21"/>
              </w:rPr>
            </w:pPr>
            <w:r>
              <w:rPr>
                <w:rFonts w:hint="eastAsia" w:ascii="宋体" w:hAnsi="宋体" w:eastAsia="宋体" w:cs="宋体"/>
                <w:color w:val="auto"/>
                <w:sz w:val="21"/>
                <w:szCs w:val="21"/>
              </w:rPr>
              <w:t>单位地址</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5"/>
              <w:ind w:left="137"/>
              <w:rPr>
                <w:rFonts w:hint="eastAsia" w:ascii="宋体" w:hAnsi="宋体" w:eastAsia="宋体" w:cs="宋体"/>
                <w:color w:val="auto"/>
                <w:sz w:val="21"/>
                <w:szCs w:val="21"/>
              </w:rPr>
            </w:pPr>
            <w:r>
              <w:rPr>
                <w:rFonts w:hint="eastAsia" w:ascii="宋体" w:hAnsi="宋体" w:eastAsia="宋体" w:cs="宋体"/>
                <w:color w:val="auto"/>
                <w:sz w:val="21"/>
                <w:szCs w:val="21"/>
              </w:rPr>
              <w:t>主管部门</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5"/>
              <w:ind w:left="137"/>
              <w:rPr>
                <w:rFonts w:hint="eastAsia" w:ascii="宋体" w:hAnsi="宋体" w:eastAsia="宋体" w:cs="宋体"/>
                <w:color w:val="auto"/>
                <w:sz w:val="21"/>
                <w:szCs w:val="21"/>
              </w:rPr>
            </w:pPr>
            <w:r>
              <w:rPr>
                <w:rFonts w:hint="eastAsia" w:ascii="宋体" w:hAnsi="宋体" w:eastAsia="宋体" w:cs="宋体"/>
                <w:color w:val="auto"/>
                <w:sz w:val="21"/>
                <w:szCs w:val="21"/>
              </w:rPr>
              <w:t>成立时间</w:t>
            </w:r>
          </w:p>
        </w:tc>
        <w:tc>
          <w:tcPr>
            <w:tcW w:w="2274"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c>
          <w:tcPr>
            <w:tcW w:w="2274" w:type="dxa"/>
            <w:gridSpan w:val="3"/>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5"/>
              <w:ind w:left="181"/>
              <w:rPr>
                <w:rFonts w:hint="eastAsia" w:ascii="宋体" w:hAnsi="宋体" w:eastAsia="宋体" w:cs="宋体"/>
                <w:color w:val="auto"/>
                <w:sz w:val="21"/>
                <w:szCs w:val="21"/>
              </w:rPr>
            </w:pPr>
            <w:r>
              <w:rPr>
                <w:rFonts w:hint="eastAsia" w:ascii="宋体" w:hAnsi="宋体" w:eastAsia="宋体" w:cs="宋体"/>
                <w:color w:val="auto"/>
                <w:sz w:val="21"/>
                <w:szCs w:val="21"/>
              </w:rPr>
              <w:t>注册资金（万元）</w:t>
            </w:r>
          </w:p>
        </w:tc>
        <w:tc>
          <w:tcPr>
            <w:tcW w:w="2860" w:type="dxa"/>
            <w:gridSpan w:val="2"/>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852"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6"/>
              <w:ind w:left="137"/>
              <w:rPr>
                <w:rFonts w:hint="eastAsia" w:ascii="宋体" w:hAnsi="宋体" w:eastAsia="宋体" w:cs="宋体"/>
                <w:color w:val="auto"/>
                <w:sz w:val="21"/>
                <w:szCs w:val="21"/>
              </w:rPr>
            </w:pPr>
            <w:r>
              <w:rPr>
                <w:rFonts w:hint="eastAsia" w:ascii="宋体" w:hAnsi="宋体" w:eastAsia="宋体" w:cs="宋体"/>
                <w:color w:val="auto"/>
                <w:sz w:val="21"/>
                <w:szCs w:val="21"/>
              </w:rPr>
              <w:t>单位性质</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1150"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1" w:line="312" w:lineRule="exact"/>
              <w:ind w:left="257" w:right="133" w:hanging="120"/>
              <w:rPr>
                <w:rFonts w:hint="eastAsia" w:ascii="宋体" w:hAnsi="宋体" w:eastAsia="宋体" w:cs="宋体"/>
                <w:color w:val="auto"/>
                <w:sz w:val="21"/>
                <w:szCs w:val="21"/>
              </w:rPr>
            </w:pPr>
            <w:r>
              <w:rPr>
                <w:rFonts w:hint="eastAsia" w:ascii="宋体" w:hAnsi="宋体" w:eastAsia="宋体" w:cs="宋体"/>
                <w:color w:val="auto"/>
                <w:sz w:val="21"/>
                <w:szCs w:val="21"/>
              </w:rPr>
              <w:t>投标期间 联系人</w:t>
            </w:r>
          </w:p>
        </w:tc>
        <w:tc>
          <w:tcPr>
            <w:tcW w:w="1432"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c>
          <w:tcPr>
            <w:tcW w:w="1330" w:type="dxa"/>
            <w:gridSpan w:val="2"/>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4"/>
              <w:rPr>
                <w:rFonts w:hint="eastAsia" w:ascii="宋体" w:hAnsi="宋体" w:eastAsia="宋体" w:cs="宋体"/>
                <w:b/>
                <w:bCs/>
                <w:color w:val="auto"/>
                <w:sz w:val="21"/>
                <w:szCs w:val="21"/>
              </w:rPr>
            </w:pPr>
          </w:p>
          <w:p>
            <w:pPr>
              <w:pStyle w:val="54"/>
              <w:kinsoku w:val="0"/>
              <w:overflowPunct w:val="0"/>
              <w:ind w:left="366"/>
              <w:rPr>
                <w:rFonts w:hint="eastAsia" w:ascii="宋体" w:hAnsi="宋体" w:eastAsia="宋体" w:cs="宋体"/>
                <w:color w:val="auto"/>
                <w:sz w:val="21"/>
                <w:szCs w:val="21"/>
              </w:rPr>
            </w:pPr>
            <w:r>
              <w:rPr>
                <w:rFonts w:hint="eastAsia" w:ascii="宋体" w:hAnsi="宋体" w:eastAsia="宋体" w:cs="宋体"/>
                <w:color w:val="auto"/>
                <w:sz w:val="21"/>
                <w:szCs w:val="21"/>
              </w:rPr>
              <w:t>电 话</w:t>
            </w:r>
          </w:p>
        </w:tc>
        <w:tc>
          <w:tcPr>
            <w:tcW w:w="1331"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c>
          <w:tcPr>
            <w:tcW w:w="1365" w:type="dxa"/>
            <w:gridSpan w:val="2"/>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4"/>
              <w:rPr>
                <w:rFonts w:hint="eastAsia" w:ascii="宋体" w:hAnsi="宋体" w:eastAsia="宋体" w:cs="宋体"/>
                <w:b/>
                <w:bCs/>
                <w:color w:val="auto"/>
                <w:sz w:val="21"/>
                <w:szCs w:val="21"/>
              </w:rPr>
            </w:pPr>
          </w:p>
          <w:p>
            <w:pPr>
              <w:pStyle w:val="54"/>
              <w:kinsoku w:val="0"/>
              <w:overflowPunct w:val="0"/>
              <w:ind w:left="383"/>
              <w:rPr>
                <w:rFonts w:hint="eastAsia" w:ascii="宋体" w:hAnsi="宋体" w:eastAsia="宋体" w:cs="宋体"/>
                <w:color w:val="auto"/>
                <w:sz w:val="21"/>
                <w:szCs w:val="21"/>
              </w:rPr>
            </w:pPr>
            <w:r>
              <w:rPr>
                <w:rFonts w:hint="eastAsia" w:ascii="宋体" w:hAnsi="宋体" w:eastAsia="宋体" w:cs="宋体"/>
                <w:color w:val="auto"/>
                <w:sz w:val="21"/>
                <w:szCs w:val="21"/>
              </w:rPr>
              <w:t>传 真</w:t>
            </w:r>
          </w:p>
        </w:tc>
        <w:tc>
          <w:tcPr>
            <w:tcW w:w="1950" w:type="dxa"/>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1150"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1" w:line="312" w:lineRule="exact"/>
              <w:ind w:left="257" w:right="133" w:hanging="120"/>
              <w:rPr>
                <w:rFonts w:hint="eastAsia" w:ascii="宋体" w:hAnsi="宋体" w:eastAsia="宋体" w:cs="宋体"/>
                <w:color w:val="auto"/>
                <w:sz w:val="21"/>
                <w:szCs w:val="21"/>
              </w:rPr>
            </w:pPr>
            <w:r>
              <w:rPr>
                <w:rFonts w:hint="eastAsia" w:ascii="宋体" w:hAnsi="宋体" w:eastAsia="宋体" w:cs="宋体"/>
                <w:color w:val="auto"/>
                <w:sz w:val="21"/>
                <w:szCs w:val="21"/>
              </w:rPr>
              <w:t>职工总数</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before="144"/>
              <w:rPr>
                <w:rFonts w:hint="eastAsia" w:ascii="宋体" w:hAnsi="宋体" w:eastAsia="宋体" w:cs="宋体"/>
                <w:color w:val="auto"/>
                <w:sz w:val="21"/>
                <w:szCs w:val="21"/>
              </w:rPr>
            </w:pPr>
          </w:p>
        </w:tc>
      </w:tr>
      <w:tr>
        <w:tblPrEx>
          <w:tblCellMar>
            <w:top w:w="0" w:type="dxa"/>
            <w:left w:w="0" w:type="dxa"/>
            <w:bottom w:w="0" w:type="dxa"/>
            <w:right w:w="0" w:type="dxa"/>
          </w:tblCellMar>
        </w:tblPrEx>
        <w:trPr>
          <w:trHeight w:val="2009" w:hRule="exact"/>
          <w:jc w:val="center"/>
        </w:trPr>
        <w:tc>
          <w:tcPr>
            <w:tcW w:w="1231" w:type="dxa"/>
            <w:tcBorders>
              <w:top w:val="single" w:color="000000" w:sz="4" w:space="0"/>
              <w:left w:val="single" w:color="000000" w:sz="4" w:space="0"/>
              <w:bottom w:val="single" w:color="000000" w:sz="4" w:space="0"/>
              <w:right w:val="single" w:color="000000" w:sz="4" w:space="0"/>
            </w:tcBorders>
            <w:noWrap w:val="0"/>
            <w:vAlign w:val="top"/>
          </w:tcPr>
          <w:p>
            <w:pPr>
              <w:pStyle w:val="54"/>
              <w:kinsoku w:val="0"/>
              <w:overflowPunct w:val="0"/>
              <w:spacing w:line="237" w:lineRule="auto"/>
              <w:ind w:left="497" w:right="493"/>
              <w:jc w:val="both"/>
              <w:rPr>
                <w:rFonts w:hint="eastAsia" w:ascii="宋体" w:hAnsi="宋体" w:eastAsia="宋体" w:cs="宋体"/>
                <w:color w:val="auto"/>
                <w:sz w:val="21"/>
                <w:szCs w:val="21"/>
              </w:rPr>
            </w:pPr>
            <w:r>
              <w:rPr>
                <w:rFonts w:hint="eastAsia" w:ascii="宋体" w:hAnsi="宋体" w:eastAsia="宋体" w:cs="宋体"/>
                <w:color w:val="auto"/>
                <w:sz w:val="21"/>
                <w:szCs w:val="21"/>
              </w:rPr>
              <w:t>单 位 概 况</w:t>
            </w:r>
          </w:p>
        </w:tc>
        <w:tc>
          <w:tcPr>
            <w:tcW w:w="7408" w:type="dxa"/>
            <w:gridSpan w:val="7"/>
            <w:tcBorders>
              <w:top w:val="single" w:color="000000" w:sz="4" w:space="0"/>
              <w:left w:val="single" w:color="000000" w:sz="4" w:space="0"/>
              <w:bottom w:val="single" w:color="000000" w:sz="4" w:space="0"/>
              <w:right w:val="single" w:color="000000" w:sz="4" w:space="0"/>
            </w:tcBorders>
            <w:noWrap w:val="0"/>
            <w:vAlign w:val="top"/>
          </w:tcPr>
          <w:p>
            <w:pPr>
              <w:rPr>
                <w:rFonts w:hint="eastAsia" w:ascii="宋体" w:hAnsi="宋体" w:eastAsia="宋体" w:cs="宋体"/>
                <w:color w:val="auto"/>
                <w:sz w:val="21"/>
                <w:szCs w:val="21"/>
              </w:rPr>
            </w:pPr>
          </w:p>
        </w:tc>
      </w:tr>
    </w:tbl>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color w:val="auto"/>
          <w:sz w:val="24"/>
          <w:szCs w:val="24"/>
          <w:lang w:val="en-US" w:eastAsia="zh-CN"/>
        </w:rPr>
      </w:pPr>
    </w:p>
    <w:p>
      <w:pPr>
        <w:pStyle w:val="80"/>
        <w:keepNext w:val="0"/>
        <w:keepLines w:val="0"/>
        <w:pageBreakBefore w:val="0"/>
        <w:widowControl w:val="0"/>
        <w:numPr>
          <w:ilvl w:val="0"/>
          <w:numId w:val="0"/>
        </w:numPr>
        <w:shd w:val="clear" w:color="auto" w:fill="auto"/>
        <w:wordWrap/>
        <w:topLinePunct w:val="0"/>
        <w:autoSpaceDE/>
        <w:autoSpaceDN/>
        <w:bidi w:val="0"/>
        <w:adjustRightInd/>
        <w:snapToGrid/>
        <w:spacing w:before="0" w:after="0" w:line="440" w:lineRule="exact"/>
        <w:ind w:leftChars="0" w:right="0" w:rightChars="0"/>
        <w:jc w:val="both"/>
        <w:textAlignment w:val="auto"/>
        <w:rPr>
          <w:rFonts w:hint="eastAsia" w:ascii="仿宋" w:hAnsi="仿宋" w:eastAsia="仿宋" w:cs="仿宋"/>
          <w:b/>
          <w:color w:val="auto"/>
          <w:sz w:val="30"/>
          <w:szCs w:val="30"/>
        </w:rPr>
      </w:pPr>
    </w:p>
    <w:p>
      <w:pPr>
        <w:pStyle w:val="2"/>
        <w:numPr>
          <w:ilvl w:val="0"/>
          <w:numId w:val="0"/>
        </w:numPr>
        <w:kinsoku w:val="0"/>
        <w:overflowPunct w:val="0"/>
        <w:spacing w:before="34" w:line="357" w:lineRule="auto"/>
        <w:ind w:left="480" w:leftChars="0" w:right="126" w:rightChars="0"/>
        <w:jc w:val="center"/>
        <w:rPr>
          <w:rFonts w:hint="eastAsia" w:ascii="宋体" w:hAnsi="宋体" w:eastAsia="宋体" w:cs="宋体"/>
          <w:b/>
          <w:bCs/>
          <w:color w:val="auto"/>
          <w:w w:val="90"/>
          <w:sz w:val="24"/>
          <w:szCs w:val="24"/>
          <w:lang w:eastAsia="zh-CN"/>
        </w:rPr>
      </w:pPr>
      <w:r>
        <w:rPr>
          <w:rFonts w:hint="eastAsia" w:ascii="宋体" w:hAnsi="宋体" w:cs="宋体"/>
          <w:b w:val="0"/>
          <w:bCs/>
          <w:color w:val="auto"/>
          <w:kern w:val="0"/>
          <w:sz w:val="24"/>
          <w:szCs w:val="24"/>
          <w:lang w:val="en-US" w:eastAsia="zh-CN"/>
        </w:rPr>
        <w:t>6</w:t>
      </w:r>
      <w:r>
        <w:rPr>
          <w:rFonts w:hint="eastAsia" w:ascii="宋体" w:hAnsi="宋体" w:eastAsia="宋体" w:cs="宋体"/>
          <w:b w:val="0"/>
          <w:bCs/>
          <w:color w:val="auto"/>
          <w:kern w:val="0"/>
          <w:sz w:val="24"/>
          <w:szCs w:val="24"/>
          <w:lang w:val="en-US" w:eastAsia="zh-CN"/>
        </w:rPr>
        <w:t>、</w:t>
      </w:r>
      <w:r>
        <w:rPr>
          <w:rFonts w:hint="eastAsia" w:ascii="宋体" w:hAnsi="宋体" w:eastAsia="宋体" w:cs="宋体"/>
          <w:b/>
          <w:bCs/>
          <w:color w:val="auto"/>
          <w:w w:val="90"/>
          <w:sz w:val="24"/>
          <w:szCs w:val="24"/>
        </w:rPr>
        <w:t>近三年（20</w:t>
      </w:r>
      <w:r>
        <w:rPr>
          <w:rFonts w:hint="eastAsia" w:ascii="宋体" w:hAnsi="宋体" w:eastAsia="宋体" w:cs="宋体"/>
          <w:b/>
          <w:bCs/>
          <w:color w:val="auto"/>
          <w:w w:val="90"/>
          <w:sz w:val="24"/>
          <w:szCs w:val="24"/>
          <w:lang w:val="en-US" w:eastAsia="zh-CN"/>
        </w:rPr>
        <w:t>20</w:t>
      </w:r>
      <w:r>
        <w:rPr>
          <w:rFonts w:hint="eastAsia" w:ascii="宋体" w:hAnsi="宋体" w:eastAsia="宋体" w:cs="宋体"/>
          <w:b/>
          <w:bCs/>
          <w:color w:val="auto"/>
          <w:w w:val="90"/>
          <w:sz w:val="24"/>
          <w:szCs w:val="24"/>
        </w:rPr>
        <w:t>年1月1日至今）类似项目业绩</w:t>
      </w:r>
      <w:r>
        <w:rPr>
          <w:rFonts w:hint="eastAsia" w:ascii="宋体" w:hAnsi="宋体" w:eastAsia="宋体" w:cs="宋体"/>
          <w:b/>
          <w:bCs/>
          <w:color w:val="auto"/>
          <w:w w:val="90"/>
          <w:sz w:val="24"/>
          <w:szCs w:val="24"/>
          <w:lang w:eastAsia="zh-CN"/>
        </w:rPr>
        <w:t>表</w:t>
      </w:r>
    </w:p>
    <w:p>
      <w:pPr>
        <w:pStyle w:val="2"/>
        <w:numPr>
          <w:ilvl w:val="0"/>
          <w:numId w:val="0"/>
        </w:numPr>
        <w:kinsoku w:val="0"/>
        <w:overflowPunct w:val="0"/>
        <w:ind w:leftChars="0" w:right="0" w:rightChars="0"/>
        <w:rPr>
          <w:rFonts w:hint="eastAsia" w:ascii="仿宋" w:hAnsi="仿宋" w:eastAsia="仿宋" w:cs="仿宋"/>
          <w:b/>
          <w:bCs/>
          <w:color w:val="auto"/>
          <w:sz w:val="20"/>
          <w:szCs w:val="20"/>
        </w:rPr>
      </w:pPr>
    </w:p>
    <w:tbl>
      <w:tblPr>
        <w:tblStyle w:val="28"/>
        <w:tblW w:w="9115" w:type="dxa"/>
        <w:jc w:val="center"/>
        <w:tblLayout w:type="fixed"/>
        <w:tblCellMar>
          <w:top w:w="0" w:type="dxa"/>
          <w:left w:w="10" w:type="dxa"/>
          <w:bottom w:w="0" w:type="dxa"/>
          <w:right w:w="10" w:type="dxa"/>
        </w:tblCellMar>
      </w:tblPr>
      <w:tblGrid>
        <w:gridCol w:w="1919"/>
        <w:gridCol w:w="7196"/>
      </w:tblGrid>
      <w:tr>
        <w:tblPrEx>
          <w:tblCellMar>
            <w:top w:w="0" w:type="dxa"/>
            <w:left w:w="10" w:type="dxa"/>
            <w:bottom w:w="0" w:type="dxa"/>
            <w:right w:w="10" w:type="dxa"/>
          </w:tblCellMar>
        </w:tblPrEx>
        <w:trPr>
          <w:trHeight w:val="511" w:hRule="exact"/>
          <w:jc w:val="center"/>
        </w:trPr>
        <w:tc>
          <w:tcPr>
            <w:tcW w:w="1919" w:type="dxa"/>
            <w:tcBorders>
              <w:top w:val="single" w:color="auto" w:sz="4" w:space="0"/>
              <w:left w:val="single" w:color="auto" w:sz="4" w:space="0"/>
            </w:tcBorders>
            <w:noWrap w:val="0"/>
            <w:vAlign w:val="center"/>
          </w:tcPr>
          <w:p>
            <w:pPr>
              <w:pStyle w:val="8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项目名称</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r>
        <w:tblPrEx>
          <w:tblCellMar>
            <w:top w:w="0" w:type="dxa"/>
            <w:left w:w="10" w:type="dxa"/>
            <w:bottom w:w="0" w:type="dxa"/>
            <w:right w:w="10" w:type="dxa"/>
          </w:tblCellMar>
        </w:tblPrEx>
        <w:trPr>
          <w:trHeight w:val="518" w:hRule="exact"/>
          <w:jc w:val="center"/>
        </w:trPr>
        <w:tc>
          <w:tcPr>
            <w:tcW w:w="1919" w:type="dxa"/>
            <w:tcBorders>
              <w:top w:val="single" w:color="auto" w:sz="4" w:space="0"/>
              <w:left w:val="single" w:color="auto" w:sz="4" w:space="0"/>
            </w:tcBorders>
            <w:noWrap w:val="0"/>
            <w:vAlign w:val="center"/>
          </w:tcPr>
          <w:p>
            <w:pPr>
              <w:pStyle w:val="81"/>
              <w:keepNext w:val="0"/>
              <w:keepLines w:val="0"/>
              <w:widowControl w:val="0"/>
              <w:shd w:val="clear" w:color="auto" w:fill="auto"/>
              <w:bidi w:val="0"/>
              <w:spacing w:before="120" w:after="0" w:line="240" w:lineRule="auto"/>
              <w:ind w:left="0" w:leftChars="0" w:right="0" w:firstLine="0" w:firstLineChars="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项目单位名称</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r>
        <w:tblPrEx>
          <w:tblCellMar>
            <w:top w:w="0" w:type="dxa"/>
            <w:left w:w="10" w:type="dxa"/>
            <w:bottom w:w="0" w:type="dxa"/>
            <w:right w:w="10" w:type="dxa"/>
          </w:tblCellMar>
        </w:tblPrEx>
        <w:trPr>
          <w:trHeight w:val="724" w:hRule="exact"/>
          <w:jc w:val="center"/>
        </w:trPr>
        <w:tc>
          <w:tcPr>
            <w:tcW w:w="1919" w:type="dxa"/>
            <w:tcBorders>
              <w:top w:val="single" w:color="auto" w:sz="4" w:space="0"/>
              <w:left w:val="single" w:color="auto" w:sz="4" w:space="0"/>
            </w:tcBorders>
            <w:noWrap w:val="0"/>
            <w:vAlign w:val="center"/>
          </w:tcPr>
          <w:p>
            <w:pPr>
              <w:pStyle w:val="81"/>
              <w:keepNext w:val="0"/>
              <w:keepLines w:val="0"/>
              <w:widowControl w:val="0"/>
              <w:shd w:val="clear" w:color="auto" w:fill="auto"/>
              <w:bidi w:val="0"/>
              <w:spacing w:before="0" w:after="0" w:line="320" w:lineRule="exact"/>
              <w:ind w:left="0" w:right="0" w:firstLine="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项目单位联系姓名及联系方式</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r>
        <w:tblPrEx>
          <w:tblCellMar>
            <w:top w:w="0" w:type="dxa"/>
            <w:left w:w="10" w:type="dxa"/>
            <w:bottom w:w="0" w:type="dxa"/>
            <w:right w:w="10" w:type="dxa"/>
          </w:tblCellMar>
        </w:tblPrEx>
        <w:trPr>
          <w:trHeight w:val="634" w:hRule="exact"/>
          <w:jc w:val="center"/>
        </w:trPr>
        <w:tc>
          <w:tcPr>
            <w:tcW w:w="1919" w:type="dxa"/>
            <w:tcBorders>
              <w:top w:val="single" w:color="auto" w:sz="4" w:space="0"/>
              <w:left w:val="single" w:color="auto" w:sz="4" w:space="0"/>
            </w:tcBorders>
            <w:noWrap w:val="0"/>
            <w:vAlign w:val="center"/>
          </w:tcPr>
          <w:p>
            <w:pPr>
              <w:pStyle w:val="81"/>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合同金额</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r>
        <w:tblPrEx>
          <w:tblCellMar>
            <w:top w:w="0" w:type="dxa"/>
            <w:left w:w="10" w:type="dxa"/>
            <w:bottom w:w="0" w:type="dxa"/>
            <w:right w:w="10" w:type="dxa"/>
          </w:tblCellMar>
        </w:tblPrEx>
        <w:trPr>
          <w:trHeight w:val="637" w:hRule="exact"/>
          <w:jc w:val="center"/>
        </w:trPr>
        <w:tc>
          <w:tcPr>
            <w:tcW w:w="1919" w:type="dxa"/>
            <w:tcBorders>
              <w:top w:val="single" w:color="auto" w:sz="4" w:space="0"/>
              <w:left w:val="single" w:color="auto" w:sz="4" w:space="0"/>
            </w:tcBorders>
            <w:noWrap w:val="0"/>
            <w:vAlign w:val="center"/>
          </w:tcPr>
          <w:p>
            <w:pPr>
              <w:pStyle w:val="81"/>
              <w:keepNext w:val="0"/>
              <w:keepLines w:val="0"/>
              <w:widowControl w:val="0"/>
              <w:shd w:val="clear" w:color="auto" w:fill="auto"/>
              <w:bidi w:val="0"/>
              <w:spacing w:before="0" w:after="0" w:line="306" w:lineRule="exact"/>
              <w:ind w:left="0" w:right="0" w:firstLine="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项目负责人姓名</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r>
        <w:tblPrEx>
          <w:tblCellMar>
            <w:top w:w="0" w:type="dxa"/>
            <w:left w:w="10" w:type="dxa"/>
            <w:bottom w:w="0" w:type="dxa"/>
            <w:right w:w="10" w:type="dxa"/>
          </w:tblCellMar>
        </w:tblPrEx>
        <w:trPr>
          <w:trHeight w:val="482" w:hRule="exact"/>
          <w:jc w:val="center"/>
        </w:trPr>
        <w:tc>
          <w:tcPr>
            <w:tcW w:w="1919" w:type="dxa"/>
            <w:tcBorders>
              <w:top w:val="single" w:color="auto" w:sz="4" w:space="0"/>
              <w:left w:val="single" w:color="auto" w:sz="4" w:space="0"/>
            </w:tcBorders>
            <w:noWrap w:val="0"/>
            <w:vAlign w:val="center"/>
          </w:tcPr>
          <w:p>
            <w:pPr>
              <w:pStyle w:val="81"/>
              <w:keepNext w:val="0"/>
              <w:keepLines w:val="0"/>
              <w:widowControl w:val="0"/>
              <w:shd w:val="clear" w:color="auto" w:fill="auto"/>
              <w:bidi w:val="0"/>
              <w:spacing w:before="120" w:after="0" w:line="240" w:lineRule="auto"/>
              <w:ind w:left="0" w:leftChars="0" w:right="0" w:firstLine="0" w:firstLineChars="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项目实施时间</w:t>
            </w:r>
          </w:p>
        </w:tc>
        <w:tc>
          <w:tcPr>
            <w:tcW w:w="7196" w:type="dxa"/>
            <w:tcBorders>
              <w:top w:val="single" w:color="auto" w:sz="4" w:space="0"/>
              <w:left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r>
        <w:tblPrEx>
          <w:tblCellMar>
            <w:top w:w="0" w:type="dxa"/>
            <w:left w:w="10" w:type="dxa"/>
            <w:bottom w:w="0" w:type="dxa"/>
            <w:right w:w="10" w:type="dxa"/>
          </w:tblCellMar>
        </w:tblPrEx>
        <w:trPr>
          <w:trHeight w:val="1699" w:hRule="exact"/>
          <w:jc w:val="center"/>
        </w:trPr>
        <w:tc>
          <w:tcPr>
            <w:tcW w:w="1919" w:type="dxa"/>
            <w:tcBorders>
              <w:top w:val="single" w:color="auto" w:sz="4" w:space="0"/>
              <w:left w:val="single" w:color="auto" w:sz="4" w:space="0"/>
              <w:bottom w:val="single" w:color="auto" w:sz="4" w:space="0"/>
            </w:tcBorders>
            <w:noWrap w:val="0"/>
            <w:vAlign w:val="center"/>
          </w:tcPr>
          <w:p>
            <w:pPr>
              <w:pStyle w:val="81"/>
              <w:keepNext w:val="0"/>
              <w:keepLines w:val="0"/>
              <w:widowControl w:val="0"/>
              <w:shd w:val="clear" w:color="auto" w:fill="auto"/>
              <w:bidi w:val="0"/>
              <w:spacing w:before="0" w:after="0" w:line="240" w:lineRule="auto"/>
              <w:ind w:left="0" w:leftChars="0" w:right="0" w:firstLine="0" w:firstLineChars="0"/>
              <w:jc w:val="center"/>
              <w:rPr>
                <w:rFonts w:hint="eastAsia" w:ascii="宋体" w:hAnsi="宋体" w:eastAsia="宋体" w:cs="宋体"/>
                <w:color w:val="auto"/>
                <w:sz w:val="21"/>
                <w:szCs w:val="21"/>
              </w:rPr>
            </w:pPr>
            <w:r>
              <w:rPr>
                <w:rFonts w:hint="eastAsia" w:ascii="宋体" w:hAnsi="宋体" w:eastAsia="宋体" w:cs="宋体"/>
                <w:color w:val="auto"/>
                <w:spacing w:val="0"/>
                <w:w w:val="100"/>
                <w:position w:val="0"/>
                <w:sz w:val="21"/>
                <w:szCs w:val="21"/>
              </w:rPr>
              <w:t>项目内容说明</w:t>
            </w:r>
          </w:p>
        </w:tc>
        <w:tc>
          <w:tcPr>
            <w:tcW w:w="7196" w:type="dxa"/>
            <w:tcBorders>
              <w:top w:val="single" w:color="auto" w:sz="4" w:space="0"/>
              <w:left w:val="single" w:color="auto" w:sz="4" w:space="0"/>
              <w:bottom w:val="single" w:color="auto" w:sz="4" w:space="0"/>
              <w:right w:val="single" w:color="auto" w:sz="4" w:space="0"/>
            </w:tcBorders>
            <w:noWrap w:val="0"/>
            <w:vAlign w:val="top"/>
          </w:tcPr>
          <w:p>
            <w:pPr>
              <w:widowControl w:val="0"/>
              <w:rPr>
                <w:rFonts w:hint="eastAsia" w:ascii="宋体" w:hAnsi="宋体" w:eastAsia="宋体" w:cs="宋体"/>
                <w:color w:val="auto"/>
                <w:sz w:val="21"/>
                <w:szCs w:val="21"/>
              </w:rPr>
            </w:pPr>
          </w:p>
        </w:tc>
      </w:tr>
    </w:tbl>
    <w:p>
      <w:pPr>
        <w:rPr>
          <w:rFonts w:hint="eastAsia" w:ascii="仿宋" w:hAnsi="仿宋" w:eastAsia="仿宋" w:cs="仿宋"/>
          <w:color w:val="auto"/>
          <w:spacing w:val="-1"/>
          <w:kern w:val="0"/>
          <w:sz w:val="24"/>
        </w:rPr>
      </w:pPr>
    </w:p>
    <w:p>
      <w:pPr>
        <w:rPr>
          <w:rFonts w:hint="eastAsia" w:ascii="宋体" w:hAnsi="宋体" w:eastAsia="宋体" w:cs="宋体"/>
          <w:color w:val="auto"/>
          <w:spacing w:val="-1"/>
          <w:kern w:val="0"/>
          <w:sz w:val="21"/>
          <w:szCs w:val="21"/>
        </w:rPr>
      </w:pPr>
      <w:r>
        <w:rPr>
          <w:rFonts w:hint="eastAsia" w:ascii="宋体" w:hAnsi="宋体" w:eastAsia="宋体" w:cs="宋体"/>
          <w:color w:val="auto"/>
          <w:spacing w:val="-1"/>
          <w:kern w:val="0"/>
          <w:sz w:val="21"/>
          <w:szCs w:val="21"/>
        </w:rPr>
        <w:t>注：每个</w:t>
      </w:r>
      <w:r>
        <w:rPr>
          <w:rFonts w:hint="eastAsia" w:ascii="宋体" w:hAnsi="宋体" w:eastAsia="宋体" w:cs="宋体"/>
          <w:color w:val="auto"/>
          <w:spacing w:val="-1"/>
          <w:kern w:val="0"/>
          <w:sz w:val="21"/>
          <w:szCs w:val="21"/>
          <w:lang w:eastAsia="zh-CN"/>
        </w:rPr>
        <w:t>业绩</w:t>
      </w:r>
      <w:r>
        <w:rPr>
          <w:rFonts w:hint="eastAsia" w:ascii="宋体" w:hAnsi="宋体" w:eastAsia="宋体" w:cs="宋体"/>
          <w:color w:val="auto"/>
          <w:spacing w:val="-1"/>
          <w:kern w:val="0"/>
          <w:sz w:val="21"/>
          <w:szCs w:val="21"/>
        </w:rPr>
        <w:t>须单独附表，并附上</w:t>
      </w:r>
      <w:r>
        <w:rPr>
          <w:rFonts w:hint="eastAsia" w:ascii="宋体" w:hAnsi="宋体" w:eastAsia="宋体" w:cs="宋体"/>
          <w:color w:val="auto"/>
          <w:spacing w:val="-1"/>
          <w:kern w:val="0"/>
          <w:sz w:val="21"/>
          <w:szCs w:val="21"/>
          <w:lang w:eastAsia="zh-CN"/>
        </w:rPr>
        <w:t>合同</w:t>
      </w:r>
      <w:r>
        <w:rPr>
          <w:rFonts w:hint="eastAsia" w:ascii="宋体" w:hAnsi="宋体" w:eastAsia="宋体" w:cs="宋体"/>
          <w:color w:val="auto"/>
          <w:spacing w:val="-1"/>
          <w:kern w:val="0"/>
          <w:sz w:val="21"/>
          <w:szCs w:val="21"/>
          <w:lang w:val="en-US" w:eastAsia="zh-CN"/>
        </w:rPr>
        <w:t>或</w:t>
      </w:r>
      <w:r>
        <w:rPr>
          <w:rFonts w:hint="eastAsia" w:ascii="宋体" w:hAnsi="宋体" w:eastAsia="宋体" w:cs="宋体"/>
          <w:color w:val="auto"/>
          <w:spacing w:val="-1"/>
          <w:kern w:val="0"/>
          <w:sz w:val="21"/>
          <w:szCs w:val="21"/>
          <w:lang w:eastAsia="zh-CN"/>
        </w:rPr>
        <w:t>中标通知书</w:t>
      </w:r>
      <w:r>
        <w:rPr>
          <w:rFonts w:hint="eastAsia" w:ascii="宋体" w:hAnsi="宋体" w:eastAsia="宋体" w:cs="宋体"/>
          <w:color w:val="auto"/>
          <w:spacing w:val="-1"/>
          <w:kern w:val="0"/>
          <w:sz w:val="21"/>
          <w:szCs w:val="21"/>
        </w:rPr>
        <w:t>相关证明材料，否则专家在评审时将不予采信。</w:t>
      </w:r>
    </w:p>
    <w:p>
      <w:pPr>
        <w:pStyle w:val="2"/>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1"/>
          <w:szCs w:val="21"/>
        </w:rPr>
      </w:pPr>
    </w:p>
    <w:p>
      <w:pPr>
        <w:pStyle w:val="2"/>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1"/>
          <w:szCs w:val="21"/>
        </w:rPr>
      </w:pPr>
    </w:p>
    <w:p>
      <w:pPr>
        <w:pStyle w:val="2"/>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sz w:val="21"/>
          <w:szCs w:val="21"/>
        </w:rPr>
      </w:pPr>
    </w:p>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投标人：</w:t>
      </w:r>
      <w:r>
        <w:rPr>
          <w:rFonts w:hint="eastAsia" w:ascii="宋体" w:hAnsi="宋体" w:eastAsia="宋体" w:cs="宋体"/>
          <w:color w:val="auto"/>
          <w:kern w:val="2"/>
          <w:sz w:val="21"/>
          <w:szCs w:val="21"/>
          <w:u w:val="single"/>
          <w:lang w:val="en-US" w:eastAsia="zh-CN" w:bidi="ar-SA"/>
        </w:rPr>
        <w:t xml:space="preserve">                                </w:t>
      </w:r>
      <w:r>
        <w:rPr>
          <w:rFonts w:hint="eastAsia" w:ascii="宋体" w:hAnsi="宋体" w:eastAsia="宋体" w:cs="宋体"/>
          <w:color w:val="auto"/>
          <w:kern w:val="2"/>
          <w:sz w:val="21"/>
          <w:szCs w:val="21"/>
          <w:lang w:val="en-US" w:eastAsia="zh-CN" w:bidi="ar-SA"/>
        </w:rPr>
        <w:t>（盖章）</w:t>
      </w:r>
    </w:p>
    <w:p>
      <w:pPr>
        <w:pStyle w:val="2"/>
        <w:numPr>
          <w:ilvl w:val="0"/>
          <w:numId w:val="0"/>
        </w:numPr>
        <w:tabs>
          <w:tab w:val="left" w:pos="8227"/>
        </w:tabs>
        <w:kinsoku w:val="0"/>
        <w:overflowPunct w:val="0"/>
        <w:spacing w:line="381" w:lineRule="auto"/>
        <w:ind w:left="1680" w:leftChars="0" w:right="118" w:rightChars="0"/>
        <w:rPr>
          <w:rFonts w:hint="eastAsia" w:ascii="宋体" w:hAnsi="宋体" w:eastAsia="宋体" w:cs="宋体"/>
          <w:color w:val="auto"/>
          <w:w w:val="95"/>
          <w:sz w:val="21"/>
          <w:szCs w:val="21"/>
        </w:rPr>
      </w:pPr>
      <w:r>
        <w:rPr>
          <w:rFonts w:hint="eastAsia" w:ascii="宋体" w:hAnsi="宋体" w:eastAsia="宋体" w:cs="宋体"/>
          <w:color w:val="auto"/>
          <w:sz w:val="21"/>
          <w:szCs w:val="21"/>
        </w:rPr>
        <w:t>法定代表人或被授权人：</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kern w:val="2"/>
          <w:sz w:val="21"/>
          <w:szCs w:val="21"/>
          <w:lang w:val="en-US" w:eastAsia="zh-CN" w:bidi="ar-SA"/>
        </w:rPr>
        <w:t>(签字或盖章）</w:t>
      </w:r>
    </w:p>
    <w:p>
      <w:pPr>
        <w:pStyle w:val="2"/>
        <w:numPr>
          <w:ilvl w:val="0"/>
          <w:numId w:val="0"/>
        </w:numPr>
        <w:tabs>
          <w:tab w:val="left" w:pos="5551"/>
          <w:tab w:val="left" w:pos="6511"/>
          <w:tab w:val="left" w:pos="7111"/>
          <w:tab w:val="left" w:pos="7711"/>
        </w:tabs>
        <w:kinsoku w:val="0"/>
        <w:overflowPunct w:val="0"/>
        <w:spacing w:before="46"/>
        <w:ind w:right="0" w:rightChars="0" w:firstLine="3834" w:firstLineChars="1800"/>
        <w:rPr>
          <w:rFonts w:hint="eastAsia" w:ascii="宋体" w:hAnsi="宋体" w:eastAsia="宋体" w:cs="宋体"/>
          <w:color w:val="auto"/>
          <w:sz w:val="21"/>
          <w:szCs w:val="21"/>
        </w:rPr>
      </w:pPr>
      <w:r>
        <w:rPr>
          <w:rFonts w:hint="eastAsia" w:ascii="宋体" w:hAnsi="宋体" w:eastAsia="宋体" w:cs="宋体"/>
          <w:color w:val="auto"/>
          <w:sz w:val="21"/>
          <w:szCs w:val="21"/>
        </w:rPr>
        <w:t>日期：</w:t>
      </w:r>
      <w:r>
        <w:rPr>
          <w:rFonts w:hint="eastAsia" w:ascii="宋体" w:hAnsi="宋体" w:eastAsia="宋体" w:cs="宋体"/>
          <w:color w:val="auto"/>
          <w:sz w:val="21"/>
          <w:szCs w:val="21"/>
          <w:u w:val="single"/>
        </w:rPr>
        <w:tab/>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rPr>
        <w:tab/>
      </w:r>
      <w:r>
        <w:rPr>
          <w:rFonts w:hint="eastAsia" w:ascii="宋体" w:hAnsi="宋体" w:eastAsia="宋体" w:cs="宋体"/>
          <w:color w:val="auto"/>
          <w:sz w:val="21"/>
          <w:szCs w:val="21"/>
        </w:rPr>
        <w:t>月</w:t>
      </w:r>
      <w:r>
        <w:rPr>
          <w:rFonts w:hint="eastAsia" w:ascii="宋体" w:hAnsi="宋体" w:eastAsia="宋体" w:cs="宋体"/>
          <w:color w:val="auto"/>
          <w:sz w:val="21"/>
          <w:szCs w:val="21"/>
          <w:u w:val="single"/>
        </w:rPr>
        <w:tab/>
      </w:r>
      <w:r>
        <w:rPr>
          <w:rFonts w:hint="eastAsia" w:ascii="宋体" w:hAnsi="宋体" w:eastAsia="宋体" w:cs="宋体"/>
          <w:color w:val="auto"/>
          <w:sz w:val="21"/>
          <w:szCs w:val="21"/>
        </w:rPr>
        <w:t>日</w:t>
      </w:r>
    </w:p>
    <w:p>
      <w:pPr>
        <w:pStyle w:val="6"/>
        <w:jc w:val="both"/>
        <w:rPr>
          <w:rFonts w:hint="eastAsia" w:ascii="宋体" w:hAnsi="宋体" w:eastAsia="宋体" w:cs="宋体"/>
          <w:b/>
          <w:bCs/>
          <w:color w:val="auto"/>
          <w:kern w:val="0"/>
          <w:sz w:val="24"/>
          <w:szCs w:val="20"/>
          <w:highlight w:val="none"/>
          <w:u w:val="none"/>
          <w:lang w:val="en-US" w:eastAsia="zh-CN" w:bidi="ar-SA"/>
        </w:rPr>
      </w:pPr>
    </w:p>
    <w:p>
      <w:pPr>
        <w:rPr>
          <w:rFonts w:hint="eastAsia" w:ascii="宋体" w:hAnsi="宋体" w:eastAsia="宋体" w:cs="宋体"/>
          <w:b/>
          <w:bCs/>
          <w:color w:val="auto"/>
          <w:kern w:val="0"/>
          <w:sz w:val="24"/>
          <w:szCs w:val="20"/>
          <w:highlight w:val="none"/>
          <w:u w:val="none"/>
          <w:lang w:val="en-US" w:eastAsia="zh-CN" w:bidi="ar-SA"/>
        </w:rPr>
      </w:pPr>
    </w:p>
    <w:p>
      <w:pPr>
        <w:pStyle w:val="2"/>
        <w:rPr>
          <w:rFonts w:hint="eastAsia" w:ascii="宋体" w:hAnsi="宋体" w:eastAsia="宋体" w:cs="宋体"/>
          <w:b/>
          <w:bCs/>
          <w:color w:val="auto"/>
          <w:kern w:val="0"/>
          <w:sz w:val="24"/>
          <w:szCs w:val="20"/>
          <w:highlight w:val="none"/>
          <w:u w:val="none"/>
          <w:lang w:val="en-US" w:eastAsia="zh-CN" w:bidi="ar-SA"/>
        </w:rPr>
      </w:pPr>
    </w:p>
    <w:p>
      <w:pPr>
        <w:pStyle w:val="3"/>
        <w:rPr>
          <w:rFonts w:hint="eastAsia"/>
          <w:color w:val="auto"/>
          <w:lang w:val="en-US" w:eastAsia="zh-CN"/>
        </w:rPr>
      </w:pPr>
    </w:p>
    <w:p>
      <w:pPr>
        <w:pStyle w:val="6"/>
        <w:jc w:val="center"/>
        <w:rPr>
          <w:rFonts w:hint="eastAsia" w:ascii="宋体" w:hAnsi="宋体" w:eastAsia="宋体" w:cs="宋体"/>
          <w:b/>
          <w:bCs/>
          <w:color w:val="auto"/>
          <w:sz w:val="24"/>
          <w:highlight w:val="none"/>
          <w:lang w:val="en-US" w:eastAsia="zh-CN"/>
        </w:rPr>
      </w:pPr>
      <w:r>
        <w:rPr>
          <w:rFonts w:hint="eastAsia" w:ascii="宋体" w:hAnsi="宋体" w:cs="宋体"/>
          <w:b/>
          <w:bCs/>
          <w:color w:val="auto"/>
          <w:kern w:val="0"/>
          <w:sz w:val="24"/>
          <w:szCs w:val="20"/>
          <w:highlight w:val="none"/>
          <w:u w:val="none"/>
          <w:lang w:val="en-US" w:eastAsia="zh-CN" w:bidi="ar-SA"/>
        </w:rPr>
        <w:t>7</w:t>
      </w:r>
      <w:r>
        <w:rPr>
          <w:rFonts w:hint="eastAsia" w:ascii="宋体" w:hAnsi="宋体" w:eastAsia="宋体" w:cs="宋体"/>
          <w:b/>
          <w:bCs/>
          <w:color w:val="auto"/>
          <w:kern w:val="0"/>
          <w:sz w:val="24"/>
          <w:szCs w:val="20"/>
          <w:highlight w:val="none"/>
          <w:u w:val="none"/>
          <w:lang w:val="en-US" w:eastAsia="zh-CN" w:bidi="ar-SA"/>
        </w:rPr>
        <w:t>、中小企业声明函(货物)</w:t>
      </w:r>
    </w:p>
    <w:bookmarkEnd w:id="134"/>
    <w:bookmarkEnd w:id="135"/>
    <w:bookmarkEnd w:id="136"/>
    <w:bookmarkEnd w:id="137"/>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 xml:space="preserve">本公司郑重声明，根据《政府采购促进中小企业发展管理办法》（财库﹝2020﹞46 号）的规定，本公司参加（单位名称）的（项目名称）采购活动，提供的货物全部由符合政策要求的中小企业制造。相关企业 （含联合体中的中小企业、签订分包意向协议的中小企业） 的具体情况如下： </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 xml:space="preserve">1. （标的名称） ，属于（采购文件中明确的所属行业） 行业；制造商为（企业名称），从业人员     人，营业收 入为   万元，资产总额为   万元，属于（中型企业、小 型企业、微型企业）； </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 xml:space="preserve">2. （标的名称） ，属于（采购文件中明确的所属行业）行业；制造商为（企业名称），从业人员     人，营业收入为    万元，资产总额为员     万元，属于（中型企业、小型 企业、微型企业）； </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以上企业，不属于大企业的分支机构，不存在控股股东为大企业的情形，也不存在与大企业的负责人为同一人的情形。</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 xml:space="preserve">本企业对上述声明内容的真实性负责。如有虚假，将依法承担相应责任。 </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 xml:space="preserve">企业名称（盖章）：      </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0"/>
          <w:sz w:val="24"/>
          <w:u w:val="single"/>
        </w:rPr>
      </w:pPr>
      <w:r>
        <w:rPr>
          <w:rFonts w:hint="eastAsia" w:ascii="宋体" w:hAnsi="宋体" w:eastAsia="宋体" w:cs="宋体"/>
          <w:color w:val="auto"/>
          <w:kern w:val="2"/>
          <w:sz w:val="21"/>
          <w:szCs w:val="21"/>
          <w:u w:val="none" w:color="000000"/>
          <w:lang w:val="en-US" w:eastAsia="zh-CN" w:bidi="ar-SA"/>
        </w:rPr>
        <w:t xml:space="preserve">日 期：    </w:t>
      </w:r>
      <w:r>
        <w:rPr>
          <w:rFonts w:hint="eastAsia" w:ascii="宋体" w:hAnsi="宋体" w:eastAsia="宋体" w:cs="宋体"/>
          <w:color w:val="auto"/>
          <w:kern w:val="0"/>
          <w:sz w:val="24"/>
          <w:u w:val="single"/>
          <w:lang w:val="en-US" w:eastAsia="zh-CN"/>
        </w:rPr>
        <w:t xml:space="preserve"> </w:t>
      </w:r>
    </w:p>
    <w:p>
      <w:pPr>
        <w:widowControl/>
        <w:kinsoku/>
        <w:topLinePunct w:val="0"/>
        <w:bidi w:val="0"/>
        <w:spacing w:before="100" w:beforeAutospacing="1" w:after="100" w:afterAutospacing="1" w:line="380" w:lineRule="exact"/>
        <w:ind w:firstLine="3159" w:firstLineChars="1300"/>
        <w:jc w:val="left"/>
        <w:rPr>
          <w:rFonts w:hint="eastAsia" w:ascii="宋体" w:hAnsi="宋体" w:eastAsia="宋体" w:cs="宋体"/>
          <w:color w:val="auto"/>
          <w:kern w:val="0"/>
          <w:sz w:val="24"/>
        </w:rPr>
      </w:pPr>
      <w:r>
        <w:rPr>
          <w:rFonts w:hint="eastAsia" w:ascii="宋体" w:hAnsi="宋体" w:eastAsia="宋体" w:cs="宋体"/>
          <w:color w:val="auto"/>
          <w:kern w:val="0"/>
          <w:sz w:val="24"/>
        </w:rPr>
        <w:t xml:space="preserve">        </w:t>
      </w:r>
    </w:p>
    <w:p>
      <w:pPr>
        <w:pStyle w:val="49"/>
        <w:kinsoku/>
        <w:topLinePunct w:val="0"/>
        <w:bidi w:val="0"/>
        <w:spacing w:line="380" w:lineRule="exact"/>
        <w:rPr>
          <w:rFonts w:hint="eastAsia" w:ascii="宋体" w:hAnsi="宋体" w:eastAsia="宋体" w:cs="宋体"/>
          <w:color w:val="auto"/>
          <w:kern w:val="0"/>
          <w:sz w:val="24"/>
        </w:rPr>
      </w:pPr>
    </w:p>
    <w:p>
      <w:pPr>
        <w:pStyle w:val="49"/>
        <w:kinsoku/>
        <w:topLinePunct w:val="0"/>
        <w:bidi w:val="0"/>
        <w:spacing w:line="380" w:lineRule="exact"/>
        <w:rPr>
          <w:rFonts w:hint="eastAsia" w:ascii="宋体" w:hAnsi="宋体" w:eastAsia="宋体" w:cs="宋体"/>
          <w:color w:val="auto"/>
          <w:kern w:val="0"/>
          <w:sz w:val="24"/>
        </w:rPr>
      </w:pP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0"/>
          <w:sz w:val="24"/>
        </w:rPr>
      </w:pPr>
    </w:p>
    <w:p>
      <w:pPr>
        <w:kinsoku/>
        <w:topLinePunct w:val="0"/>
        <w:bidi w:val="0"/>
        <w:spacing w:line="380" w:lineRule="exact"/>
        <w:rPr>
          <w:rFonts w:hint="eastAsia" w:ascii="宋体" w:hAnsi="宋体" w:eastAsia="宋体" w:cs="宋体"/>
          <w:color w:val="auto"/>
        </w:rPr>
      </w:pPr>
      <w:bookmarkStart w:id="141" w:name="_Toc10977"/>
      <w:bookmarkStart w:id="142" w:name="_Toc11803"/>
      <w:bookmarkStart w:id="143" w:name="_Toc10877"/>
      <w:bookmarkStart w:id="144" w:name="_Toc515647824"/>
    </w:p>
    <w:p>
      <w:pPr>
        <w:pStyle w:val="26"/>
        <w:kinsoku/>
        <w:topLinePunct w:val="0"/>
        <w:bidi w:val="0"/>
        <w:spacing w:line="380" w:lineRule="exact"/>
        <w:rPr>
          <w:rFonts w:hint="eastAsia" w:ascii="宋体" w:hAnsi="宋体" w:eastAsia="宋体" w:cs="宋体"/>
          <w:color w:val="auto"/>
        </w:rPr>
      </w:pPr>
    </w:p>
    <w:p>
      <w:pPr>
        <w:kinsoku/>
        <w:topLinePunct w:val="0"/>
        <w:bidi w:val="0"/>
        <w:spacing w:line="380" w:lineRule="exact"/>
        <w:rPr>
          <w:rFonts w:hint="eastAsia" w:ascii="宋体" w:hAnsi="宋体" w:eastAsia="宋体" w:cs="宋体"/>
          <w:color w:val="auto"/>
        </w:rPr>
      </w:pPr>
    </w:p>
    <w:p>
      <w:pPr>
        <w:pStyle w:val="5"/>
        <w:numPr>
          <w:ilvl w:val="0"/>
          <w:numId w:val="0"/>
        </w:numPr>
        <w:kinsoku/>
        <w:topLinePunct w:val="0"/>
        <w:bidi w:val="0"/>
        <w:spacing w:line="380" w:lineRule="exact"/>
        <w:jc w:val="both"/>
        <w:rPr>
          <w:rFonts w:hint="eastAsia" w:ascii="宋体" w:hAnsi="宋体" w:eastAsia="宋体" w:cs="宋体"/>
          <w:b/>
          <w:bCs/>
          <w:color w:val="auto"/>
        </w:rPr>
      </w:pPr>
    </w:p>
    <w:p>
      <w:pPr>
        <w:rPr>
          <w:rFonts w:hint="eastAsia" w:ascii="宋体" w:hAnsi="宋体" w:eastAsia="宋体" w:cs="宋体"/>
          <w:b/>
          <w:bCs/>
          <w:color w:val="auto"/>
        </w:rPr>
      </w:pPr>
    </w:p>
    <w:p>
      <w:pPr>
        <w:pStyle w:val="2"/>
        <w:rPr>
          <w:rFonts w:hint="eastAsia"/>
          <w:color w:val="auto"/>
        </w:rPr>
      </w:pPr>
    </w:p>
    <w:bookmarkEnd w:id="141"/>
    <w:bookmarkEnd w:id="142"/>
    <w:bookmarkEnd w:id="143"/>
    <w:bookmarkEnd w:id="144"/>
    <w:p>
      <w:pPr>
        <w:pStyle w:val="26"/>
        <w:kinsoku/>
        <w:topLinePunct w:val="0"/>
        <w:bidi w:val="0"/>
        <w:spacing w:line="380" w:lineRule="exact"/>
        <w:rPr>
          <w:rFonts w:hint="eastAsia" w:ascii="宋体" w:hAnsi="宋体" w:eastAsia="宋体" w:cs="宋体"/>
          <w:color w:val="auto"/>
          <w:lang w:val="en-US" w:eastAsia="zh-CN"/>
        </w:rPr>
      </w:pPr>
    </w:p>
    <w:p>
      <w:pPr>
        <w:pStyle w:val="5"/>
        <w:numPr>
          <w:ilvl w:val="0"/>
          <w:numId w:val="0"/>
        </w:numPr>
        <w:kinsoku/>
        <w:topLinePunct w:val="0"/>
        <w:bidi w:val="0"/>
        <w:spacing w:line="380" w:lineRule="exact"/>
        <w:jc w:val="center"/>
        <w:rPr>
          <w:rFonts w:hint="eastAsia" w:ascii="宋体" w:hAnsi="宋体" w:eastAsia="宋体" w:cs="宋体"/>
          <w:b/>
          <w:bCs/>
          <w:color w:val="auto"/>
        </w:rPr>
      </w:pPr>
      <w:bookmarkStart w:id="145" w:name="_Toc19284"/>
      <w:bookmarkStart w:id="146" w:name="_Toc8010"/>
      <w:bookmarkStart w:id="147" w:name="_Toc515647825"/>
      <w:bookmarkStart w:id="148" w:name="_Toc23068"/>
      <w:bookmarkStart w:id="149" w:name="OLE_LINK14"/>
      <w:bookmarkStart w:id="150" w:name="OLE_LINK13"/>
      <w:r>
        <w:rPr>
          <w:rFonts w:hint="eastAsia" w:ascii="宋体" w:hAnsi="宋体" w:eastAsia="宋体" w:cs="宋体"/>
          <w:b/>
          <w:bCs/>
          <w:color w:val="auto"/>
        </w:rPr>
        <w:t xml:space="preserve"> </w:t>
      </w:r>
      <w:r>
        <w:rPr>
          <w:rFonts w:hint="eastAsia" w:ascii="宋体" w:hAnsi="宋体" w:cs="宋体"/>
          <w:b/>
          <w:bCs/>
          <w:color w:val="auto"/>
          <w:lang w:val="en-US" w:eastAsia="zh-CN"/>
        </w:rPr>
        <w:t>8</w:t>
      </w:r>
      <w:r>
        <w:rPr>
          <w:rFonts w:hint="eastAsia" w:ascii="宋体" w:hAnsi="宋体" w:eastAsia="宋体" w:cs="宋体"/>
          <w:b/>
          <w:bCs/>
          <w:color w:val="auto"/>
          <w:lang w:val="en-US" w:eastAsia="zh-CN"/>
        </w:rPr>
        <w:t>、</w:t>
      </w:r>
      <w:r>
        <w:rPr>
          <w:rFonts w:hint="eastAsia" w:ascii="宋体" w:hAnsi="宋体" w:eastAsia="宋体" w:cs="宋体"/>
          <w:b/>
          <w:bCs/>
          <w:color w:val="auto"/>
        </w:rPr>
        <w:t>残疾人福利性单位声明函</w:t>
      </w:r>
      <w:bookmarkEnd w:id="145"/>
      <w:bookmarkEnd w:id="146"/>
      <w:bookmarkEnd w:id="147"/>
      <w:bookmarkEnd w:id="148"/>
    </w:p>
    <w:bookmarkEnd w:id="149"/>
    <w:bookmarkEnd w:id="150"/>
    <w:p>
      <w:pPr>
        <w:kinsoku/>
        <w:topLinePunct w:val="0"/>
        <w:bidi w:val="0"/>
        <w:spacing w:line="380" w:lineRule="exact"/>
        <w:ind w:left="1087" w:leftChars="257" w:hanging="540"/>
        <w:jc w:val="center"/>
        <w:rPr>
          <w:rFonts w:hint="eastAsia" w:ascii="宋体" w:hAnsi="宋体" w:eastAsia="宋体" w:cs="宋体"/>
          <w:color w:val="auto"/>
          <w:kern w:val="0"/>
          <w:sz w:val="24"/>
          <w:szCs w:val="20"/>
        </w:rPr>
      </w:pP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本单位对上述声明的真实性负责。如有虚假，将依法承担相应责任。</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2"/>
          <w:sz w:val="21"/>
          <w:szCs w:val="21"/>
          <w:u w:val="none" w:color="000000"/>
          <w:lang w:val="en-US" w:eastAsia="zh-CN" w:bidi="ar-SA"/>
        </w:rPr>
      </w:pPr>
      <w:r>
        <w:rPr>
          <w:rFonts w:hint="eastAsia" w:ascii="宋体" w:hAnsi="宋体" w:eastAsia="宋体" w:cs="宋体"/>
          <w:color w:val="auto"/>
          <w:kern w:val="2"/>
          <w:sz w:val="21"/>
          <w:szCs w:val="21"/>
          <w:u w:val="none" w:color="000000"/>
          <w:lang w:val="en-US" w:eastAsia="zh-CN" w:bidi="ar-SA"/>
        </w:rPr>
        <w:t xml:space="preserve">        残疾人福利性单位名称（盖单位章）：______________</w:t>
      </w:r>
    </w:p>
    <w:p>
      <w:pPr>
        <w:widowControl/>
        <w:kinsoku/>
        <w:topLinePunct w:val="0"/>
        <w:bidi w:val="0"/>
        <w:spacing w:before="100" w:beforeAutospacing="1" w:after="100" w:afterAutospacing="1" w:line="380" w:lineRule="exact"/>
        <w:ind w:firstLine="420"/>
        <w:jc w:val="left"/>
        <w:rPr>
          <w:rFonts w:hint="eastAsia" w:ascii="宋体" w:hAnsi="宋体" w:eastAsia="宋体" w:cs="宋体"/>
          <w:color w:val="auto"/>
          <w:kern w:val="0"/>
          <w:sz w:val="24"/>
          <w:szCs w:val="20"/>
        </w:rPr>
      </w:pPr>
      <w:r>
        <w:rPr>
          <w:rFonts w:hint="eastAsia" w:ascii="宋体" w:hAnsi="宋体" w:eastAsia="宋体" w:cs="宋体"/>
          <w:color w:val="auto"/>
          <w:kern w:val="2"/>
          <w:sz w:val="21"/>
          <w:szCs w:val="21"/>
          <w:u w:val="none" w:color="000000"/>
          <w:lang w:val="en-US" w:eastAsia="zh-CN" w:bidi="ar-SA"/>
        </w:rPr>
        <w:t xml:space="preserve">         日  期：____________________</w:t>
      </w:r>
      <w:r>
        <w:rPr>
          <w:rFonts w:hint="eastAsia" w:ascii="宋体" w:hAnsi="宋体" w:eastAsia="宋体" w:cs="宋体"/>
          <w:color w:val="auto"/>
          <w:kern w:val="0"/>
          <w:sz w:val="24"/>
          <w:szCs w:val="20"/>
        </w:rPr>
        <w:t>_________________________</w:t>
      </w:r>
    </w:p>
    <w:p>
      <w:pPr>
        <w:kinsoku/>
        <w:topLinePunct w:val="0"/>
        <w:bidi w:val="0"/>
        <w:spacing w:line="380" w:lineRule="exact"/>
        <w:ind w:left="1087" w:leftChars="257" w:hanging="540"/>
        <w:jc w:val="center"/>
        <w:rPr>
          <w:rFonts w:hint="eastAsia" w:ascii="宋体" w:hAnsi="宋体" w:eastAsia="宋体" w:cs="宋体"/>
          <w:b/>
          <w:color w:val="auto"/>
          <w:kern w:val="0"/>
          <w:sz w:val="24"/>
          <w:szCs w:val="20"/>
        </w:rPr>
      </w:pPr>
    </w:p>
    <w:p>
      <w:pPr>
        <w:kinsoku/>
        <w:topLinePunct w:val="0"/>
        <w:bidi w:val="0"/>
        <w:spacing w:line="380" w:lineRule="exact"/>
        <w:ind w:left="1087" w:leftChars="257" w:hanging="540"/>
        <w:jc w:val="center"/>
        <w:rPr>
          <w:rFonts w:hint="eastAsia" w:ascii="宋体" w:hAnsi="宋体" w:eastAsia="宋体" w:cs="宋体"/>
          <w:b/>
          <w:color w:val="auto"/>
          <w:kern w:val="0"/>
          <w:sz w:val="24"/>
          <w:szCs w:val="20"/>
        </w:rPr>
      </w:pPr>
    </w:p>
    <w:p>
      <w:pPr>
        <w:pStyle w:val="5"/>
        <w:numPr>
          <w:ilvl w:val="0"/>
          <w:numId w:val="0"/>
        </w:numPr>
        <w:kinsoku/>
        <w:topLinePunct w:val="0"/>
        <w:bidi w:val="0"/>
        <w:spacing w:line="380" w:lineRule="exact"/>
        <w:ind w:left="547" w:leftChars="257"/>
        <w:rPr>
          <w:rFonts w:hint="eastAsia" w:ascii="宋体" w:hAnsi="宋体" w:eastAsia="宋体" w:cs="宋体"/>
          <w:color w:val="auto"/>
        </w:rPr>
      </w:pPr>
    </w:p>
    <w:p>
      <w:pPr>
        <w:pStyle w:val="5"/>
        <w:numPr>
          <w:ilvl w:val="0"/>
          <w:numId w:val="0"/>
        </w:numPr>
        <w:kinsoku/>
        <w:topLinePunct w:val="0"/>
        <w:bidi w:val="0"/>
        <w:spacing w:line="380" w:lineRule="exact"/>
        <w:ind w:left="547" w:leftChars="257"/>
        <w:jc w:val="center"/>
        <w:rPr>
          <w:rFonts w:hint="eastAsia" w:ascii="宋体" w:hAnsi="宋体" w:eastAsia="宋体" w:cs="宋体"/>
          <w:color w:val="auto"/>
        </w:rPr>
      </w:pPr>
    </w:p>
    <w:p>
      <w:pPr>
        <w:pStyle w:val="5"/>
        <w:numPr>
          <w:ilvl w:val="0"/>
          <w:numId w:val="0"/>
        </w:numPr>
        <w:kinsoku/>
        <w:topLinePunct w:val="0"/>
        <w:bidi w:val="0"/>
        <w:spacing w:line="380" w:lineRule="exact"/>
        <w:ind w:left="547" w:leftChars="257"/>
        <w:jc w:val="center"/>
        <w:rPr>
          <w:rFonts w:hint="eastAsia" w:ascii="宋体" w:hAnsi="宋体" w:eastAsia="宋体" w:cs="宋体"/>
          <w:color w:val="auto"/>
        </w:rPr>
      </w:pPr>
    </w:p>
    <w:p>
      <w:pPr>
        <w:pStyle w:val="49"/>
        <w:kinsoku/>
        <w:topLinePunct w:val="0"/>
        <w:bidi w:val="0"/>
        <w:spacing w:line="380" w:lineRule="exact"/>
        <w:ind w:left="0" w:leftChars="0" w:firstLine="0" w:firstLineChars="0"/>
        <w:rPr>
          <w:rFonts w:hint="eastAsia" w:ascii="宋体" w:hAnsi="宋体" w:eastAsia="宋体" w:cs="宋体"/>
          <w:color w:val="auto"/>
        </w:rPr>
      </w:pPr>
    </w:p>
    <w:p>
      <w:pPr>
        <w:pStyle w:val="49"/>
        <w:kinsoku/>
        <w:topLinePunct w:val="0"/>
        <w:bidi w:val="0"/>
        <w:spacing w:line="380" w:lineRule="exact"/>
        <w:rPr>
          <w:rFonts w:hint="eastAsia" w:ascii="宋体" w:hAnsi="宋体" w:eastAsia="宋体" w:cs="宋体"/>
          <w:color w:val="auto"/>
        </w:rPr>
      </w:pPr>
    </w:p>
    <w:p>
      <w:pPr>
        <w:pStyle w:val="49"/>
        <w:shd w:val="clear" w:color="auto" w:fill="auto"/>
        <w:rPr>
          <w:rFonts w:hint="eastAsia" w:ascii="宋体" w:hAnsi="宋体" w:eastAsia="宋体" w:cs="宋体"/>
          <w:color w:val="auto"/>
          <w:sz w:val="24"/>
          <w:highlight w:val="none"/>
        </w:rPr>
      </w:pPr>
      <w:bookmarkStart w:id="151" w:name="_Toc6386"/>
    </w:p>
    <w:p>
      <w:pPr>
        <w:pStyle w:val="49"/>
        <w:shd w:val="clear" w:color="auto" w:fill="auto"/>
        <w:rPr>
          <w:rFonts w:hint="eastAsia" w:ascii="宋体" w:hAnsi="宋体" w:eastAsia="宋体" w:cs="宋体"/>
          <w:color w:val="auto"/>
          <w:sz w:val="24"/>
          <w:highlight w:val="none"/>
        </w:rPr>
      </w:pPr>
    </w:p>
    <w:p>
      <w:pPr>
        <w:pStyle w:val="5"/>
        <w:numPr>
          <w:ilvl w:val="0"/>
          <w:numId w:val="0"/>
        </w:numPr>
        <w:shd w:val="clear" w:color="auto" w:fill="auto"/>
        <w:spacing w:before="0" w:line="240" w:lineRule="atLeast"/>
        <w:jc w:val="center"/>
        <w:rPr>
          <w:rFonts w:hint="eastAsia" w:ascii="宋体" w:hAnsi="宋体" w:cs="宋体"/>
          <w:b/>
          <w:bCs/>
          <w:color w:val="auto"/>
          <w:sz w:val="24"/>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p>
    <w:p>
      <w:pPr>
        <w:pStyle w:val="5"/>
        <w:numPr>
          <w:ilvl w:val="0"/>
          <w:numId w:val="0"/>
        </w:numPr>
        <w:shd w:val="clear" w:color="auto" w:fill="auto"/>
        <w:spacing w:before="0" w:line="240" w:lineRule="atLeast"/>
        <w:jc w:val="center"/>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9</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投标人关联单位的说明</w:t>
      </w:r>
      <w:bookmarkEnd w:id="138"/>
      <w:bookmarkEnd w:id="139"/>
      <w:bookmarkEnd w:id="140"/>
      <w:bookmarkEnd w:id="151"/>
    </w:p>
    <w:p>
      <w:pPr>
        <w:pStyle w:val="8"/>
        <w:shd w:val="clear" w:color="auto" w:fill="auto"/>
        <w:jc w:val="center"/>
        <w:rPr>
          <w:rFonts w:hint="eastAsia" w:ascii="宋体" w:hAnsi="宋体" w:eastAsia="宋体" w:cs="宋体"/>
          <w:color w:val="auto"/>
          <w:highlight w:val="none"/>
        </w:rPr>
      </w:pPr>
    </w:p>
    <w:p>
      <w:pPr>
        <w:pStyle w:val="8"/>
        <w:shd w:val="clear" w:color="auto" w:fill="auto"/>
        <w:ind w:firstLine="426"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说明：投标人应当如实披露与本单位存在下列关联关系的单位名称：</w:t>
      </w:r>
    </w:p>
    <w:p>
      <w:pPr>
        <w:pStyle w:val="8"/>
        <w:shd w:val="clear" w:color="auto" w:fill="auto"/>
        <w:ind w:firstLine="426" w:firstLineChars="200"/>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（1）与投标人单位负责人为同一人的其他单位；</w:t>
      </w:r>
    </w:p>
    <w:p>
      <w:pPr>
        <w:pStyle w:val="8"/>
        <w:shd w:val="clear" w:color="auto" w:fill="auto"/>
        <w:ind w:firstLine="426" w:firstLineChars="2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（2）与投标人存在直接控股、管理关系的其他单位。</w:t>
      </w:r>
    </w:p>
    <w:p>
      <w:pPr>
        <w:pStyle w:val="8"/>
        <w:shd w:val="clear" w:color="auto" w:fill="auto"/>
        <w:ind w:firstLine="0"/>
        <w:rPr>
          <w:rFonts w:hint="eastAsia" w:ascii="宋体" w:hAnsi="宋体" w:eastAsia="宋体" w:cs="宋体"/>
          <w:color w:val="auto"/>
          <w:highlight w:val="none"/>
        </w:rPr>
      </w:pPr>
      <w:bookmarkStart w:id="152" w:name="_Toc515647828"/>
      <w:bookmarkStart w:id="153" w:name="_Toc7414"/>
      <w:bookmarkStart w:id="154" w:name="_Toc17333"/>
    </w:p>
    <w:bookmarkEnd w:id="152"/>
    <w:bookmarkEnd w:id="153"/>
    <w:bookmarkEnd w:id="154"/>
    <w:p>
      <w:pPr>
        <w:pStyle w:val="5"/>
        <w:numPr>
          <w:ilvl w:val="1"/>
          <w:numId w:val="0"/>
        </w:numPr>
        <w:shd w:val="clear" w:color="auto" w:fill="auto"/>
        <w:spacing w:before="0" w:line="240" w:lineRule="atLeast"/>
        <w:jc w:val="both"/>
        <w:rPr>
          <w:rFonts w:hint="eastAsia" w:ascii="宋体" w:hAnsi="宋体" w:eastAsia="宋体" w:cs="宋体"/>
          <w:b/>
          <w:bCs/>
          <w:color w:val="auto"/>
          <w:sz w:val="24"/>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p>
    <w:p>
      <w:pPr>
        <w:rPr>
          <w:rFonts w:hint="eastAsia"/>
          <w:color w:val="auto"/>
          <w:lang w:val="en-US" w:eastAsia="zh-CN"/>
        </w:rPr>
      </w:pPr>
    </w:p>
    <w:p>
      <w:pPr>
        <w:pStyle w:val="5"/>
        <w:numPr>
          <w:ilvl w:val="1"/>
          <w:numId w:val="0"/>
        </w:numPr>
        <w:shd w:val="clear" w:color="auto" w:fill="auto"/>
        <w:spacing w:before="0" w:line="240" w:lineRule="atLeast"/>
        <w:jc w:val="center"/>
        <w:rPr>
          <w:rFonts w:hint="eastAsia" w:ascii="宋体" w:hAnsi="宋体" w:eastAsia="宋体" w:cs="宋体"/>
          <w:b/>
          <w:bCs/>
          <w:color w:val="auto"/>
          <w:sz w:val="24"/>
          <w:highlight w:val="none"/>
          <w:lang w:val="en-US" w:eastAsia="zh-CN"/>
        </w:rPr>
      </w:pPr>
    </w:p>
    <w:p>
      <w:pPr>
        <w:pStyle w:val="5"/>
        <w:numPr>
          <w:ilvl w:val="1"/>
          <w:numId w:val="0"/>
        </w:numPr>
        <w:shd w:val="clear" w:color="auto" w:fill="auto"/>
        <w:spacing w:before="0" w:line="240" w:lineRule="atLeast"/>
        <w:jc w:val="center"/>
        <w:rPr>
          <w:rFonts w:hint="eastAsia" w:ascii="宋体" w:hAnsi="宋体" w:eastAsia="宋体" w:cs="宋体"/>
          <w:b/>
          <w:bCs/>
          <w:color w:val="auto"/>
          <w:sz w:val="24"/>
          <w:highlight w:val="none"/>
          <w:lang w:eastAsia="zh-CN"/>
        </w:rPr>
      </w:pPr>
      <w:r>
        <w:rPr>
          <w:rFonts w:hint="eastAsia" w:ascii="宋体" w:hAnsi="宋体" w:cs="宋体"/>
          <w:b/>
          <w:bCs/>
          <w:color w:val="auto"/>
          <w:sz w:val="24"/>
          <w:highlight w:val="none"/>
          <w:lang w:val="en-US" w:eastAsia="zh-CN"/>
        </w:rPr>
        <w:t>10</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eastAsia="zh-CN"/>
        </w:rPr>
        <w:t>评分标准和细则中技术部分证明材料（格式自拟）</w:t>
      </w:r>
    </w:p>
    <w:p>
      <w:pPr>
        <w:pStyle w:val="5"/>
        <w:numPr>
          <w:ilvl w:val="1"/>
          <w:numId w:val="0"/>
        </w:numPr>
        <w:shd w:val="clear" w:color="auto" w:fill="auto"/>
        <w:spacing w:before="0" w:line="240" w:lineRule="atLeast"/>
        <w:ind w:leftChars="257"/>
        <w:jc w:val="center"/>
        <w:rPr>
          <w:rFonts w:hint="eastAsia" w:ascii="宋体" w:hAnsi="宋体" w:eastAsia="宋体" w:cs="宋体"/>
          <w:color w:val="auto"/>
          <w:sz w:val="24"/>
          <w:highlight w:val="none"/>
          <w:lang w:val="en-US" w:eastAsia="zh-CN"/>
        </w:rPr>
      </w:pPr>
    </w:p>
    <w:p>
      <w:pPr>
        <w:pStyle w:val="5"/>
        <w:numPr>
          <w:ilvl w:val="1"/>
          <w:numId w:val="0"/>
        </w:numPr>
        <w:shd w:val="clear" w:color="auto" w:fill="auto"/>
        <w:spacing w:before="0" w:line="240" w:lineRule="atLeast"/>
        <w:ind w:leftChars="257"/>
        <w:jc w:val="center"/>
        <w:rPr>
          <w:rFonts w:hint="eastAsia" w:ascii="宋体" w:hAnsi="宋体" w:eastAsia="宋体" w:cs="宋体"/>
          <w:color w:val="auto"/>
          <w:sz w:val="24"/>
          <w:highlight w:val="none"/>
          <w:lang w:val="en-US" w:eastAsia="zh-CN"/>
        </w:rPr>
      </w:pPr>
    </w:p>
    <w:p>
      <w:pPr>
        <w:pStyle w:val="14"/>
        <w:shd w:val="clear" w:color="auto" w:fill="auto"/>
        <w:tabs>
          <w:tab w:val="left" w:pos="5580"/>
        </w:tabs>
        <w:spacing w:line="360" w:lineRule="auto"/>
        <w:ind w:left="1087" w:leftChars="257" w:hanging="540"/>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rPr>
        <w:t>说明：1.应提供</w:t>
      </w:r>
      <w:r>
        <w:rPr>
          <w:rFonts w:hint="eastAsia" w:ascii="宋体" w:hAnsi="宋体" w:eastAsia="宋体" w:cs="宋体"/>
          <w:color w:val="auto"/>
          <w:sz w:val="21"/>
          <w:szCs w:val="16"/>
          <w:highlight w:val="none"/>
          <w:u w:val="single" w:color="auto"/>
          <w:lang w:eastAsia="zh-CN"/>
        </w:rPr>
        <w:t>评分标准和细则中技术部分</w:t>
      </w:r>
      <w:r>
        <w:rPr>
          <w:rFonts w:hint="eastAsia" w:ascii="宋体" w:hAnsi="宋体" w:eastAsia="宋体" w:cs="宋体"/>
          <w:color w:val="auto"/>
          <w:sz w:val="21"/>
          <w:szCs w:val="16"/>
          <w:highlight w:val="none"/>
        </w:rPr>
        <w:t>要求的其他资格证明文件</w:t>
      </w:r>
      <w:r>
        <w:rPr>
          <w:rFonts w:hint="eastAsia" w:hAnsi="宋体" w:eastAsia="宋体" w:cs="宋体"/>
          <w:color w:val="auto"/>
          <w:sz w:val="21"/>
          <w:szCs w:val="16"/>
          <w:highlight w:val="none"/>
          <w:lang w:eastAsia="zh-CN"/>
        </w:rPr>
        <w:t>。</w:t>
      </w:r>
    </w:p>
    <w:p>
      <w:pPr>
        <w:pStyle w:val="14"/>
        <w:shd w:val="clear" w:color="auto" w:fill="auto"/>
        <w:tabs>
          <w:tab w:val="left" w:pos="5580"/>
        </w:tabs>
        <w:spacing w:line="360" w:lineRule="auto"/>
        <w:ind w:firstLine="1065" w:firstLineChars="50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2.复印件上应加盖本单位章（自然人投标的无需盖章，需要签字）。</w:t>
      </w:r>
    </w:p>
    <w:p>
      <w:pPr>
        <w:pStyle w:val="14"/>
        <w:shd w:val="clear" w:color="auto" w:fill="auto"/>
        <w:tabs>
          <w:tab w:val="left" w:pos="5580"/>
        </w:tabs>
        <w:spacing w:line="240" w:lineRule="atLeast"/>
        <w:ind w:left="1270" w:leftChars="344" w:hanging="538"/>
        <w:rPr>
          <w:rFonts w:hint="eastAsia"/>
          <w:color w:val="auto"/>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r>
        <w:rPr>
          <w:rFonts w:hint="eastAsia" w:ascii="宋体" w:hAnsi="宋体" w:eastAsia="宋体" w:cs="宋体"/>
          <w:color w:val="auto"/>
          <w:sz w:val="24"/>
          <w:highlight w:val="none"/>
        </w:rPr>
        <w:t xml:space="preserve">   </w:t>
      </w:r>
    </w:p>
    <w:p>
      <w:pPr>
        <w:pStyle w:val="49"/>
        <w:shd w:val="clear" w:color="auto" w:fill="auto"/>
        <w:ind w:left="0" w:leftChars="0" w:firstLine="0" w:firstLineChars="0"/>
        <w:rPr>
          <w:rFonts w:hint="eastAsia"/>
          <w:color w:val="auto"/>
          <w:highlight w:val="none"/>
          <w:lang w:val="en-US" w:eastAsia="zh-CN"/>
        </w:rPr>
      </w:pPr>
    </w:p>
    <w:p>
      <w:pPr>
        <w:pStyle w:val="5"/>
        <w:numPr>
          <w:ilvl w:val="1"/>
          <w:numId w:val="0"/>
        </w:numPr>
        <w:shd w:val="clear" w:color="auto" w:fill="auto"/>
        <w:spacing w:before="0" w:line="240" w:lineRule="atLeast"/>
        <w:ind w:leftChars="257"/>
        <w:jc w:val="center"/>
        <w:rPr>
          <w:rFonts w:hint="eastAsia" w:ascii="宋体" w:hAnsi="宋体" w:eastAsia="宋体" w:cs="宋体"/>
          <w:color w:val="auto"/>
          <w:sz w:val="24"/>
          <w:highlight w:val="none"/>
          <w:lang w:val="en-US" w:eastAsia="zh-CN"/>
        </w:rPr>
      </w:pPr>
    </w:p>
    <w:p>
      <w:pPr>
        <w:pStyle w:val="5"/>
        <w:numPr>
          <w:ilvl w:val="1"/>
          <w:numId w:val="0"/>
        </w:numPr>
        <w:shd w:val="clear" w:color="auto" w:fill="auto"/>
        <w:spacing w:before="0" w:line="240" w:lineRule="atLeast"/>
        <w:jc w:val="center"/>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val="en-US" w:eastAsia="zh-CN"/>
        </w:rPr>
        <w:t>1</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eastAsia="zh-CN"/>
        </w:rPr>
        <w:t>评分标准和细则中商务部分证明材料（格式自拟）</w:t>
      </w:r>
    </w:p>
    <w:p>
      <w:pPr>
        <w:pStyle w:val="14"/>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14"/>
        <w:shd w:val="clear" w:color="auto" w:fill="auto"/>
        <w:tabs>
          <w:tab w:val="left" w:pos="5580"/>
        </w:tabs>
        <w:spacing w:line="240" w:lineRule="atLeast"/>
        <w:ind w:left="1087" w:leftChars="257" w:hanging="540"/>
        <w:rPr>
          <w:rFonts w:hint="eastAsia" w:ascii="宋体" w:hAnsi="宋体" w:eastAsia="宋体" w:cs="宋体"/>
          <w:color w:val="auto"/>
          <w:sz w:val="24"/>
          <w:highlight w:val="none"/>
        </w:rPr>
      </w:pPr>
    </w:p>
    <w:p>
      <w:pPr>
        <w:pStyle w:val="14"/>
        <w:shd w:val="clear" w:color="auto" w:fill="auto"/>
        <w:tabs>
          <w:tab w:val="left" w:pos="5580"/>
        </w:tabs>
        <w:spacing w:line="360" w:lineRule="auto"/>
        <w:ind w:left="1087" w:leftChars="257" w:hanging="540"/>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说明</w:t>
      </w:r>
      <w:r>
        <w:rPr>
          <w:rFonts w:hint="eastAsia" w:ascii="宋体" w:hAnsi="宋体" w:eastAsia="宋体" w:cs="宋体"/>
          <w:color w:val="auto"/>
          <w:sz w:val="21"/>
          <w:szCs w:val="16"/>
          <w:highlight w:val="none"/>
          <w:lang w:val="en-US" w:eastAsia="zh-CN"/>
        </w:rPr>
        <w:t>.</w:t>
      </w:r>
      <w:r>
        <w:rPr>
          <w:rFonts w:hint="eastAsia" w:ascii="宋体" w:hAnsi="宋体" w:eastAsia="宋体" w:cs="宋体"/>
          <w:color w:val="auto"/>
          <w:sz w:val="21"/>
          <w:szCs w:val="16"/>
          <w:highlight w:val="none"/>
        </w:rPr>
        <w:t>1.应提供</w:t>
      </w:r>
      <w:r>
        <w:rPr>
          <w:rFonts w:hint="eastAsia" w:ascii="宋体" w:hAnsi="宋体" w:eastAsia="宋体" w:cs="宋体"/>
          <w:color w:val="auto"/>
          <w:sz w:val="21"/>
          <w:szCs w:val="16"/>
          <w:highlight w:val="none"/>
          <w:lang w:eastAsia="zh-CN"/>
        </w:rPr>
        <w:t>评分标准和细则中商务部分</w:t>
      </w:r>
      <w:r>
        <w:rPr>
          <w:rFonts w:hint="eastAsia" w:ascii="宋体" w:hAnsi="宋体" w:eastAsia="宋体" w:cs="宋体"/>
          <w:color w:val="auto"/>
          <w:sz w:val="21"/>
          <w:szCs w:val="16"/>
          <w:highlight w:val="none"/>
        </w:rPr>
        <w:t>要求的其他资格证明文件。</w:t>
      </w:r>
    </w:p>
    <w:p>
      <w:pPr>
        <w:pStyle w:val="14"/>
        <w:shd w:val="clear" w:color="auto" w:fill="auto"/>
        <w:tabs>
          <w:tab w:val="left" w:pos="5580"/>
        </w:tabs>
        <w:spacing w:line="360" w:lineRule="auto"/>
        <w:ind w:left="1153" w:leftChars="485" w:hanging="120" w:hangingChars="57"/>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rPr>
        <w:t>2.复印件上应加盖本单位章（自然人投标的无需盖章，需要签字）。</w:t>
      </w:r>
    </w:p>
    <w:p>
      <w:pPr>
        <w:pStyle w:val="14"/>
        <w:shd w:val="clear" w:color="auto" w:fill="auto"/>
        <w:tabs>
          <w:tab w:val="left" w:pos="5580"/>
        </w:tabs>
        <w:spacing w:line="360" w:lineRule="auto"/>
        <w:ind w:left="1087" w:leftChars="257" w:hanging="540"/>
        <w:rPr>
          <w:rFonts w:hint="eastAsia" w:ascii="宋体" w:hAnsi="宋体" w:eastAsia="宋体" w:cs="宋体"/>
          <w:color w:val="auto"/>
          <w:sz w:val="24"/>
          <w:highlight w:val="none"/>
          <w:lang w:val="en-US" w:eastAsia="zh-CN"/>
        </w:rPr>
        <w:sectPr>
          <w:pgSz w:w="11905" w:h="16838"/>
          <w:pgMar w:top="1440" w:right="1797" w:bottom="1440" w:left="1797" w:header="850" w:footer="992" w:gutter="0"/>
          <w:pgNumType w:fmt="decimal"/>
          <w:cols w:space="720" w:num="1"/>
          <w:rtlGutter w:val="0"/>
          <w:docGrid w:type="linesAndChars" w:linePitch="325" w:charSpace="635"/>
        </w:sectPr>
      </w:pPr>
      <w:r>
        <w:rPr>
          <w:rFonts w:hint="eastAsia" w:ascii="宋体" w:hAnsi="宋体" w:eastAsia="宋体" w:cs="宋体"/>
          <w:color w:val="auto"/>
          <w:sz w:val="21"/>
          <w:szCs w:val="16"/>
          <w:highlight w:val="none"/>
        </w:rPr>
        <w:t xml:space="preserve"> </w:t>
      </w:r>
      <w:r>
        <w:rPr>
          <w:rFonts w:hint="eastAsia" w:ascii="宋体" w:hAnsi="宋体" w:eastAsia="宋体" w:cs="宋体"/>
          <w:color w:val="auto"/>
          <w:sz w:val="21"/>
          <w:szCs w:val="16"/>
          <w:highlight w:val="none"/>
          <w:lang w:val="en-US" w:eastAsia="zh-CN"/>
        </w:rPr>
        <w:t xml:space="preserve">   </w:t>
      </w:r>
      <w:r>
        <w:rPr>
          <w:rFonts w:hint="eastAsia" w:ascii="宋体" w:hAnsi="宋体" w:eastAsia="宋体" w:cs="宋体"/>
          <w:color w:val="auto"/>
          <w:sz w:val="21"/>
          <w:szCs w:val="16"/>
          <w:highlight w:val="none"/>
        </w:rPr>
        <w:t>3. （本项目不接受联合体）如果是联合体投标，联合体各方需提供的满足</w:t>
      </w:r>
      <w:r>
        <w:rPr>
          <w:rFonts w:hint="eastAsia" w:hAnsi="宋体" w:cs="宋体"/>
          <w:color w:val="auto"/>
          <w:sz w:val="21"/>
          <w:szCs w:val="16"/>
          <w:highlight w:val="none"/>
          <w:lang w:val="en-US" w:eastAsia="zh-CN"/>
        </w:rPr>
        <w:t>招标</w:t>
      </w:r>
      <w:r>
        <w:rPr>
          <w:rFonts w:hint="eastAsia" w:ascii="宋体" w:hAnsi="宋体" w:eastAsia="宋体" w:cs="宋体"/>
          <w:color w:val="auto"/>
          <w:sz w:val="21"/>
          <w:szCs w:val="16"/>
          <w:highlight w:val="none"/>
          <w:lang w:eastAsia="zh-CN"/>
        </w:rPr>
        <w:t>文件</w:t>
      </w:r>
      <w:r>
        <w:rPr>
          <w:rFonts w:hint="eastAsia" w:ascii="宋体" w:hAnsi="宋体" w:eastAsia="宋体" w:cs="宋体"/>
          <w:color w:val="auto"/>
          <w:sz w:val="21"/>
          <w:szCs w:val="16"/>
          <w:highlight w:val="none"/>
        </w:rPr>
        <w:t>要求的其他资格证明文件。</w:t>
      </w:r>
    </w:p>
    <w:p>
      <w:pPr>
        <w:pStyle w:val="5"/>
        <w:numPr>
          <w:ilvl w:val="1"/>
          <w:numId w:val="0"/>
        </w:numPr>
        <w:shd w:val="clear" w:color="auto" w:fill="auto"/>
        <w:spacing w:before="0" w:line="240" w:lineRule="atLeast"/>
        <w:jc w:val="left"/>
        <w:rPr>
          <w:rFonts w:hint="eastAsia" w:ascii="宋体" w:hAnsi="宋体" w:eastAsia="宋体" w:cs="宋体"/>
          <w:color w:val="auto"/>
          <w:sz w:val="24"/>
          <w:highlight w:val="none"/>
          <w:lang w:val="en-US" w:eastAsia="zh-CN"/>
        </w:rPr>
      </w:pPr>
    </w:p>
    <w:p>
      <w:pPr>
        <w:pStyle w:val="5"/>
        <w:numPr>
          <w:ilvl w:val="1"/>
          <w:numId w:val="0"/>
        </w:numPr>
        <w:shd w:val="clear" w:color="auto" w:fill="auto"/>
        <w:spacing w:before="0" w:line="240" w:lineRule="atLeast"/>
        <w:jc w:val="center"/>
        <w:rPr>
          <w:rFonts w:hint="eastAsia" w:ascii="宋体" w:hAnsi="宋体" w:eastAsia="宋体" w:cs="宋体"/>
          <w:b/>
          <w:bCs/>
          <w:color w:val="auto"/>
          <w:sz w:val="24"/>
          <w:highlight w:val="none"/>
          <w:lang w:eastAsia="zh-CN"/>
        </w:rPr>
      </w:pPr>
      <w:r>
        <w:rPr>
          <w:rFonts w:hint="eastAsia" w:ascii="宋体" w:hAnsi="宋体" w:eastAsia="宋体" w:cs="宋体"/>
          <w:b/>
          <w:bCs/>
          <w:color w:val="auto"/>
          <w:sz w:val="24"/>
          <w:highlight w:val="none"/>
          <w:lang w:val="en-US" w:eastAsia="zh-CN"/>
        </w:rPr>
        <w:t>1</w:t>
      </w:r>
      <w:r>
        <w:rPr>
          <w:rFonts w:hint="eastAsia" w:ascii="宋体" w:hAnsi="宋体" w:cs="宋体"/>
          <w:b/>
          <w:bCs/>
          <w:color w:val="auto"/>
          <w:sz w:val="24"/>
          <w:highlight w:val="none"/>
          <w:lang w:val="en-US" w:eastAsia="zh-CN"/>
        </w:rPr>
        <w:t>2</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lang w:eastAsia="zh-CN"/>
        </w:rPr>
        <w:t>投标人认为有必要提供的其他证明材料（格式自拟）</w:t>
      </w:r>
    </w:p>
    <w:p>
      <w:pPr>
        <w:shd w:val="clear" w:color="auto" w:fill="auto"/>
        <w:rPr>
          <w:rFonts w:hint="eastAsia" w:ascii="宋体" w:hAnsi="宋体" w:eastAsia="宋体" w:cs="宋体"/>
          <w:color w:val="auto"/>
          <w:highlight w:val="none"/>
        </w:rPr>
      </w:pPr>
    </w:p>
    <w:p>
      <w:pPr>
        <w:pStyle w:val="14"/>
        <w:shd w:val="clear" w:color="auto" w:fill="auto"/>
        <w:tabs>
          <w:tab w:val="left" w:pos="5580"/>
        </w:tabs>
        <w:spacing w:line="240" w:lineRule="atLeast"/>
        <w:ind w:firstLine="486"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说明：1.复印件上应加盖本单位章（自然人投标的无需盖章，需要签字）。</w:t>
      </w:r>
    </w:p>
    <w:p>
      <w:pPr>
        <w:pStyle w:val="14"/>
        <w:shd w:val="clear" w:color="auto" w:fill="auto"/>
        <w:tabs>
          <w:tab w:val="left" w:pos="5580"/>
        </w:tabs>
        <w:spacing w:line="240" w:lineRule="atLeast"/>
        <w:ind w:left="1214" w:leftChars="570" w:firstLine="0" w:firstLineChars="0"/>
        <w:rPr>
          <w:rFonts w:hint="eastAsia"/>
          <w:color w:val="auto"/>
          <w:highlight w:val="none"/>
        </w:rPr>
      </w:pPr>
      <w:r>
        <w:rPr>
          <w:rFonts w:hint="eastAsia" w:ascii="宋体" w:hAnsi="宋体" w:eastAsia="宋体" w:cs="宋体"/>
          <w:b w:val="0"/>
          <w:bCs w:val="0"/>
          <w:color w:val="auto"/>
          <w:kern w:val="2"/>
          <w:sz w:val="24"/>
          <w:szCs w:val="20"/>
          <w:highlight w:val="none"/>
          <w:u w:val="none" w:color="000000"/>
          <w:lang w:val="en-US" w:eastAsia="zh-CN" w:bidi="ar-SA"/>
        </w:rPr>
        <w:t>2.（本项目不接受联合体）如果是联合体投标，联合体各方需提供的满足</w:t>
      </w:r>
      <w:r>
        <w:rPr>
          <w:rFonts w:hint="eastAsia" w:hAnsi="宋体" w:cs="宋体"/>
          <w:b w:val="0"/>
          <w:bCs w:val="0"/>
          <w:color w:val="auto"/>
          <w:kern w:val="2"/>
          <w:sz w:val="24"/>
          <w:szCs w:val="20"/>
          <w:highlight w:val="none"/>
          <w:u w:val="none" w:color="000000"/>
          <w:lang w:val="en-US" w:eastAsia="zh-CN" w:bidi="ar-SA"/>
        </w:rPr>
        <w:t>招标</w:t>
      </w:r>
      <w:r>
        <w:rPr>
          <w:rFonts w:hint="eastAsia" w:hAnsi="宋体" w:eastAsia="宋体" w:cs="宋体"/>
          <w:b w:val="0"/>
          <w:bCs w:val="0"/>
          <w:color w:val="auto"/>
          <w:kern w:val="2"/>
          <w:sz w:val="24"/>
          <w:szCs w:val="20"/>
          <w:highlight w:val="none"/>
          <w:u w:val="none" w:color="000000"/>
          <w:lang w:val="en-US" w:eastAsia="zh-CN" w:bidi="ar-SA"/>
        </w:rPr>
        <w:t>文件</w:t>
      </w:r>
      <w:r>
        <w:rPr>
          <w:rFonts w:hint="eastAsia" w:ascii="宋体" w:hAnsi="宋体" w:eastAsia="宋体" w:cs="宋体"/>
          <w:b w:val="0"/>
          <w:bCs w:val="0"/>
          <w:color w:val="auto"/>
          <w:kern w:val="2"/>
          <w:sz w:val="24"/>
          <w:szCs w:val="20"/>
          <w:highlight w:val="none"/>
          <w:u w:val="none" w:color="000000"/>
          <w:lang w:val="en-US" w:eastAsia="zh-CN" w:bidi="ar-SA"/>
        </w:rPr>
        <w:t>要求的其他资格证明文件。</w:t>
      </w:r>
    </w:p>
    <w:sectPr>
      <w:pgSz w:w="11905" w:h="16838"/>
      <w:pgMar w:top="1440" w:right="1797" w:bottom="1440" w:left="1797" w:header="850" w:footer="992" w:gutter="0"/>
      <w:pgNumType w:fmt="decimal"/>
      <w:cols w:space="720" w:num="1"/>
      <w:rtlGutter w:val="0"/>
      <w:docGrid w:type="linesAndChars" w:linePitch="325" w:charSpace="6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_x000B__x000C_">
    <w:altName w:val="Courier New"/>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40001" w:csb1="00000000"/>
  </w:font>
  <w:font w:name="ヒラギノ角ゴ Pro W3">
    <w:altName w:val="Yu Gothic"/>
    <w:panose1 w:val="00000000000000000000"/>
    <w:charset w:val="80"/>
    <w:family w:val="auto"/>
    <w:pitch w:val="default"/>
    <w:sig w:usb0="00000000" w:usb1="00000000" w:usb2="00000012" w:usb3="00000000" w:csb0="0002000D" w:csb1="00000000"/>
  </w:font>
  <w:font w:name="长城仿宋">
    <w:altName w:val="宋体"/>
    <w:panose1 w:val="02010609000101010101"/>
    <w:charset w:val="86"/>
    <w:family w:val="modern"/>
    <w:pitch w:val="default"/>
    <w:sig w:usb0="00000000" w:usb1="00000000" w:usb2="00000010" w:usb3="00000000" w:csb0="00040000" w:csb1="00000000"/>
  </w:font>
  <w:font w:name="华文仿宋">
    <w:altName w:val="仿宋"/>
    <w:panose1 w:val="02010600040101010101"/>
    <w:charset w:val="86"/>
    <w:family w:val="swiss"/>
    <w:pitch w:val="default"/>
    <w:sig w:usb0="00000000" w:usb1="00000000" w:usb2="00000000" w:usb3="00000000" w:csb0="0004009F" w:csb1="DFD7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rPr>
        <w:rFonts w:hint="eastAsia"/>
      </w:rPr>
    </w:pPr>
    <w:r>
      <w:rPr>
        <w:sz w:val="13"/>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oqY8k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mipjyQEAAJsDAAAOAAAAAAAAAAEAIAAAAB4BAABkcnMvZTJvRG9j&#10;LnhtbFBLBQYAAAAABgAGAFkBAABZ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sz w:val="13"/>
        <w:szCs w:val="13"/>
      </w:rPr>
      <w:t xml:space="preserve"> </w:t>
    </w:r>
    <w:r>
      <w:rPr>
        <w:rFonts w:hint="eastAsia"/>
      </w:rPr>
      <w:t xml:space="preserve">  </w:t>
    </w:r>
    <w:r>
      <w:rPr>
        <w:rFonts w:hint="eastAsia"/>
        <w:sz w:val="21"/>
        <w:szCs w:val="21"/>
      </w:rPr>
      <w:t xml:space="preserve"> </w:t>
    </w:r>
    <w:r>
      <w:rPr>
        <w:rFonts w:hint="eastAsia"/>
        <w:color w:val="800000"/>
        <w:sz w:val="16"/>
        <w:szCs w:val="20"/>
        <w:lang w:val="en-US" w:eastAsia="zh-CN"/>
      </w:rPr>
      <w:t xml:space="preserve">      </w:t>
    </w:r>
  </w:p>
  <w:p>
    <w:pPr>
      <w:pStyle w:val="17"/>
      <w:tabs>
        <w:tab w:val="center" w:pos="4320"/>
        <w:tab w:val="right" w:pos="8640"/>
        <w:tab w:val="clear" w:pos="4153"/>
        <w:tab w:val="clear"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both"/>
      <w:rPr>
        <w:rFonts w:hint="eastAsia"/>
      </w:rPr>
    </w:pPr>
    <w:r>
      <w:rPr>
        <w:rFonts w:hint="eastAsia"/>
        <w:color w:val="800000"/>
        <w:sz w:val="16"/>
        <w:szCs w:val="20"/>
        <w:lang w:val="en-US" w:eastAsia="zh-CN"/>
      </w:rPr>
      <w:t xml:space="preserve">        </w:t>
    </w:r>
  </w:p>
  <w:p>
    <w:pPr>
      <w:pStyle w:val="17"/>
      <w:keepNext w:val="0"/>
      <w:keepLines w:val="0"/>
      <w:pageBreakBefore w:val="0"/>
      <w:widowControl w:val="0"/>
      <w:kinsoku/>
      <w:wordWrap/>
      <w:overflowPunct/>
      <w:topLinePunct w:val="0"/>
      <w:autoSpaceDE w:val="0"/>
      <w:autoSpaceDN w:val="0"/>
      <w:bidi w:val="0"/>
      <w:adjustRightInd w:val="0"/>
      <w:snapToGrid w:val="0"/>
      <w:spacing w:line="240" w:lineRule="auto"/>
      <w:ind w:left="7200" w:hanging="7200" w:hangingChars="4000"/>
      <w:jc w:val="both"/>
      <w:textAlignment w:val="auto"/>
      <w:rPr>
        <w:rFonts w:hint="default"/>
        <w:lang w:val="en-US"/>
      </w:rPr>
    </w:pPr>
  </w:p>
  <w:p>
    <w:pPr>
      <w:pStyle w:val="17"/>
      <w:ind w:right="360"/>
      <w:jc w:val="right"/>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jc w:val="both"/>
      <w:rPr>
        <w:rFonts w:hint="eastAsia" w:ascii="宋体" w:hAnsi="宋体" w:eastAsia="宋体" w:cs="宋体"/>
        <w:b w:val="0"/>
        <w:bCs w:val="0"/>
        <w:sz w:val="21"/>
        <w:szCs w:val="21"/>
        <w:lang w:val="en-US" w:eastAsia="zh-CN"/>
      </w:rPr>
    </w:pPr>
    <w:r>
      <w:rPr>
        <w:rFonts w:hint="eastAsia" w:ascii="Times New Roman" w:hAnsi="Times New Roman" w:eastAsia="宋体" w:cs="Times New Roman"/>
        <w:sz w:val="22"/>
        <w:szCs w:val="28"/>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BE8236"/>
    <w:multiLevelType w:val="singleLevel"/>
    <w:tmpl w:val="A2BE8236"/>
    <w:lvl w:ilvl="0" w:tentative="0">
      <w:start w:val="1"/>
      <w:numFmt w:val="decimal"/>
      <w:suff w:val="nothing"/>
      <w:lvlText w:val="%1、"/>
      <w:lvlJc w:val="left"/>
    </w:lvl>
  </w:abstractNum>
  <w:abstractNum w:abstractNumId="1">
    <w:nsid w:val="B36C482C"/>
    <w:multiLevelType w:val="singleLevel"/>
    <w:tmpl w:val="B36C482C"/>
    <w:lvl w:ilvl="0" w:tentative="0">
      <w:start w:val="2"/>
      <w:numFmt w:val="chineseCounting"/>
      <w:suff w:val="space"/>
      <w:lvlText w:val="第%1章"/>
      <w:lvlJc w:val="left"/>
      <w:pPr>
        <w:ind w:left="-1816"/>
      </w:pPr>
      <w:rPr>
        <w:rFonts w:hint="eastAsia"/>
      </w:rPr>
    </w:lvl>
  </w:abstractNum>
  <w:abstractNum w:abstractNumId="2">
    <w:nsid w:val="B8A8889F"/>
    <w:multiLevelType w:val="singleLevel"/>
    <w:tmpl w:val="B8A8889F"/>
    <w:lvl w:ilvl="0" w:tentative="0">
      <w:start w:val="2"/>
      <w:numFmt w:val="chineseCounting"/>
      <w:suff w:val="space"/>
      <w:lvlText w:val="（%1）"/>
      <w:lvlJc w:val="left"/>
      <w:rPr>
        <w:rFonts w:hint="eastAsia"/>
      </w:rPr>
    </w:lvl>
  </w:abstractNum>
  <w:abstractNum w:abstractNumId="3">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4">
    <w:nsid w:val="11715540"/>
    <w:multiLevelType w:val="multilevel"/>
    <w:tmpl w:val="11715540"/>
    <w:lvl w:ilvl="0" w:tentative="0">
      <w:start w:val="1"/>
      <w:numFmt w:val="japaneseCounting"/>
      <w:lvlText w:val="（%1）"/>
      <w:lvlJc w:val="left"/>
      <w:pPr>
        <w:tabs>
          <w:tab w:val="left" w:pos="1725"/>
        </w:tabs>
        <w:ind w:left="1725" w:hanging="1080"/>
      </w:pPr>
      <w:rPr>
        <w:rFonts w:hint="default"/>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5">
    <w:nsid w:val="11A64EEE"/>
    <w:multiLevelType w:val="singleLevel"/>
    <w:tmpl w:val="11A64EEE"/>
    <w:lvl w:ilvl="0" w:tentative="0">
      <w:start w:val="1"/>
      <w:numFmt w:val="chineseCounting"/>
      <w:suff w:val="nothing"/>
      <w:lvlText w:val="%1、"/>
      <w:lvlJc w:val="left"/>
      <w:pPr>
        <w:ind w:left="0"/>
      </w:pPr>
      <w:rPr>
        <w:rFonts w:hint="eastAsia"/>
      </w:rPr>
    </w:lvl>
  </w:abstractNum>
  <w:abstractNum w:abstractNumId="6">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5"/>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7">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6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8">
    <w:nsid w:val="55CD4C99"/>
    <w:multiLevelType w:val="singleLevel"/>
    <w:tmpl w:val="55CD4C99"/>
    <w:lvl w:ilvl="0" w:tentative="0">
      <w:start w:val="1"/>
      <w:numFmt w:val="chineseCounting"/>
      <w:suff w:val="nothing"/>
      <w:lvlText w:val="%1、"/>
      <w:lvlJc w:val="left"/>
    </w:lvl>
  </w:abstractNum>
  <w:abstractNum w:abstractNumId="9">
    <w:nsid w:val="6A676287"/>
    <w:multiLevelType w:val="singleLevel"/>
    <w:tmpl w:val="6A676287"/>
    <w:lvl w:ilvl="0" w:tentative="0">
      <w:start w:val="1"/>
      <w:numFmt w:val="decimal"/>
      <w:suff w:val="nothing"/>
      <w:lvlText w:val="（%1）"/>
      <w:lvlJc w:val="left"/>
    </w:lvl>
  </w:abstractNum>
  <w:abstractNum w:abstractNumId="10">
    <w:nsid w:val="6EC8727B"/>
    <w:multiLevelType w:val="singleLevel"/>
    <w:tmpl w:val="6EC8727B"/>
    <w:lvl w:ilvl="0" w:tentative="0">
      <w:start w:val="1"/>
      <w:numFmt w:val="decimal"/>
      <w:suff w:val="nothing"/>
      <w:lvlText w:val="%1、"/>
      <w:lvlJc w:val="left"/>
    </w:lvl>
  </w:abstractNum>
  <w:abstractNum w:abstractNumId="11">
    <w:nsid w:val="71FE02A4"/>
    <w:multiLevelType w:val="singleLevel"/>
    <w:tmpl w:val="71FE02A4"/>
    <w:lvl w:ilvl="0" w:tentative="0">
      <w:start w:val="4"/>
      <w:numFmt w:val="chineseCounting"/>
      <w:suff w:val="nothing"/>
      <w:lvlText w:val="第%1章、"/>
      <w:lvlJc w:val="left"/>
      <w:rPr>
        <w:rFonts w:hint="eastAsia"/>
      </w:rPr>
    </w:lvl>
  </w:abstractNum>
  <w:abstractNum w:abstractNumId="12">
    <w:nsid w:val="78AA6554"/>
    <w:multiLevelType w:val="multilevel"/>
    <w:tmpl w:val="78AA6554"/>
    <w:lvl w:ilvl="0" w:tentative="0">
      <w:start w:val="1"/>
      <w:numFmt w:val="japaneseCounting"/>
      <w:lvlText w:val="（%1）"/>
      <w:lvlJc w:val="left"/>
      <w:pPr>
        <w:tabs>
          <w:tab w:val="left" w:pos="1725"/>
        </w:tabs>
        <w:ind w:left="1725" w:hanging="1080"/>
      </w:pPr>
      <w:rPr>
        <w:rFonts w:hint="default"/>
        <w:lang w:val="en-US"/>
      </w:rPr>
    </w:lvl>
    <w:lvl w:ilvl="1" w:tentative="0">
      <w:start w:val="1"/>
      <w:numFmt w:val="lowerLetter"/>
      <w:lvlText w:val="%2)"/>
      <w:lvlJc w:val="left"/>
      <w:pPr>
        <w:tabs>
          <w:tab w:val="left" w:pos="1485"/>
        </w:tabs>
        <w:ind w:left="1485" w:hanging="420"/>
      </w:p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3585"/>
        </w:tabs>
        <w:ind w:left="3585"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6"/>
  </w:num>
  <w:num w:numId="2">
    <w:abstractNumId w:val="7"/>
  </w:num>
  <w:num w:numId="3">
    <w:abstractNumId w:val="1"/>
  </w:num>
  <w:num w:numId="4">
    <w:abstractNumId w:val="5"/>
  </w:num>
  <w:num w:numId="5">
    <w:abstractNumId w:val="10"/>
  </w:num>
  <w:num w:numId="6">
    <w:abstractNumId w:val="9"/>
  </w:num>
  <w:num w:numId="7">
    <w:abstractNumId w:val="8"/>
  </w:num>
  <w:num w:numId="8">
    <w:abstractNumId w:val="4"/>
  </w:num>
  <w:num w:numId="9">
    <w:abstractNumId w:val="12"/>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6"/>
  <w:drawingGridVerticalSpacing w:val="157"/>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3YjdiODNhMTc2ZWE2OTliODc0NjMzNTU0NWNkOTUifQ=="/>
  </w:docVars>
  <w:rsids>
    <w:rsidRoot w:val="00AE79E0"/>
    <w:rsid w:val="000008FD"/>
    <w:rsid w:val="00003231"/>
    <w:rsid w:val="00003B78"/>
    <w:rsid w:val="00003F23"/>
    <w:rsid w:val="00005025"/>
    <w:rsid w:val="0000620B"/>
    <w:rsid w:val="0000681E"/>
    <w:rsid w:val="0000682D"/>
    <w:rsid w:val="00011FD2"/>
    <w:rsid w:val="000126C8"/>
    <w:rsid w:val="00012CFA"/>
    <w:rsid w:val="00013187"/>
    <w:rsid w:val="000137F2"/>
    <w:rsid w:val="00014B17"/>
    <w:rsid w:val="000165AB"/>
    <w:rsid w:val="000201C1"/>
    <w:rsid w:val="00021187"/>
    <w:rsid w:val="00021198"/>
    <w:rsid w:val="00021864"/>
    <w:rsid w:val="00023055"/>
    <w:rsid w:val="00023185"/>
    <w:rsid w:val="000242CE"/>
    <w:rsid w:val="00024AD6"/>
    <w:rsid w:val="00026A08"/>
    <w:rsid w:val="000279EA"/>
    <w:rsid w:val="000305D5"/>
    <w:rsid w:val="000319B0"/>
    <w:rsid w:val="00034387"/>
    <w:rsid w:val="00034B72"/>
    <w:rsid w:val="00034BA3"/>
    <w:rsid w:val="00034CDA"/>
    <w:rsid w:val="00034F63"/>
    <w:rsid w:val="0003627F"/>
    <w:rsid w:val="0003679A"/>
    <w:rsid w:val="00040E67"/>
    <w:rsid w:val="00041F06"/>
    <w:rsid w:val="000423B1"/>
    <w:rsid w:val="0004299A"/>
    <w:rsid w:val="000429F1"/>
    <w:rsid w:val="000437CC"/>
    <w:rsid w:val="00043E1C"/>
    <w:rsid w:val="00046FC5"/>
    <w:rsid w:val="00047373"/>
    <w:rsid w:val="000476D9"/>
    <w:rsid w:val="0005173F"/>
    <w:rsid w:val="00051864"/>
    <w:rsid w:val="00051ECE"/>
    <w:rsid w:val="000520FE"/>
    <w:rsid w:val="00053450"/>
    <w:rsid w:val="000538D1"/>
    <w:rsid w:val="00054A43"/>
    <w:rsid w:val="00055123"/>
    <w:rsid w:val="00055AB6"/>
    <w:rsid w:val="00055F34"/>
    <w:rsid w:val="00056350"/>
    <w:rsid w:val="00056A13"/>
    <w:rsid w:val="000576A3"/>
    <w:rsid w:val="00063B93"/>
    <w:rsid w:val="00064417"/>
    <w:rsid w:val="000649EF"/>
    <w:rsid w:val="00065388"/>
    <w:rsid w:val="00065665"/>
    <w:rsid w:val="00067D7A"/>
    <w:rsid w:val="00070288"/>
    <w:rsid w:val="00070340"/>
    <w:rsid w:val="000708C5"/>
    <w:rsid w:val="000712BD"/>
    <w:rsid w:val="000719DB"/>
    <w:rsid w:val="00072AC0"/>
    <w:rsid w:val="000738C2"/>
    <w:rsid w:val="000742BD"/>
    <w:rsid w:val="0007479D"/>
    <w:rsid w:val="00075123"/>
    <w:rsid w:val="00075390"/>
    <w:rsid w:val="0007565B"/>
    <w:rsid w:val="00075BB9"/>
    <w:rsid w:val="00076436"/>
    <w:rsid w:val="00076558"/>
    <w:rsid w:val="00077C43"/>
    <w:rsid w:val="00077D8B"/>
    <w:rsid w:val="0008094E"/>
    <w:rsid w:val="00080A6F"/>
    <w:rsid w:val="000816F2"/>
    <w:rsid w:val="00082869"/>
    <w:rsid w:val="00083463"/>
    <w:rsid w:val="00083CDC"/>
    <w:rsid w:val="00084CC1"/>
    <w:rsid w:val="000852D7"/>
    <w:rsid w:val="00085489"/>
    <w:rsid w:val="000863D1"/>
    <w:rsid w:val="00086A7A"/>
    <w:rsid w:val="00086B28"/>
    <w:rsid w:val="000874E4"/>
    <w:rsid w:val="0008796E"/>
    <w:rsid w:val="00087E9D"/>
    <w:rsid w:val="000901E9"/>
    <w:rsid w:val="00090BD9"/>
    <w:rsid w:val="00090F00"/>
    <w:rsid w:val="00091C9B"/>
    <w:rsid w:val="00091DC7"/>
    <w:rsid w:val="000926F6"/>
    <w:rsid w:val="000942A8"/>
    <w:rsid w:val="00094641"/>
    <w:rsid w:val="00094AC9"/>
    <w:rsid w:val="00095245"/>
    <w:rsid w:val="000955A6"/>
    <w:rsid w:val="00095B6E"/>
    <w:rsid w:val="0009686F"/>
    <w:rsid w:val="000A1761"/>
    <w:rsid w:val="000A184E"/>
    <w:rsid w:val="000A1B3C"/>
    <w:rsid w:val="000A2970"/>
    <w:rsid w:val="000A35E1"/>
    <w:rsid w:val="000A3813"/>
    <w:rsid w:val="000A4619"/>
    <w:rsid w:val="000A48D7"/>
    <w:rsid w:val="000A5705"/>
    <w:rsid w:val="000A6219"/>
    <w:rsid w:val="000A6DD1"/>
    <w:rsid w:val="000A7BFA"/>
    <w:rsid w:val="000A7E34"/>
    <w:rsid w:val="000B0CDF"/>
    <w:rsid w:val="000B19BA"/>
    <w:rsid w:val="000B21F3"/>
    <w:rsid w:val="000B5B49"/>
    <w:rsid w:val="000B5CD6"/>
    <w:rsid w:val="000B5D8E"/>
    <w:rsid w:val="000B71A8"/>
    <w:rsid w:val="000B7353"/>
    <w:rsid w:val="000B7627"/>
    <w:rsid w:val="000B7FDE"/>
    <w:rsid w:val="000C062A"/>
    <w:rsid w:val="000C0D0A"/>
    <w:rsid w:val="000C0D63"/>
    <w:rsid w:val="000C1047"/>
    <w:rsid w:val="000C2C5E"/>
    <w:rsid w:val="000C4AF2"/>
    <w:rsid w:val="000C58C5"/>
    <w:rsid w:val="000C627A"/>
    <w:rsid w:val="000C6774"/>
    <w:rsid w:val="000C68DD"/>
    <w:rsid w:val="000C742F"/>
    <w:rsid w:val="000C7D1B"/>
    <w:rsid w:val="000D07C7"/>
    <w:rsid w:val="000D16D6"/>
    <w:rsid w:val="000D1955"/>
    <w:rsid w:val="000D1963"/>
    <w:rsid w:val="000D260B"/>
    <w:rsid w:val="000D296C"/>
    <w:rsid w:val="000D2BE7"/>
    <w:rsid w:val="000D3BE4"/>
    <w:rsid w:val="000D3FDF"/>
    <w:rsid w:val="000D3FE5"/>
    <w:rsid w:val="000D5BFA"/>
    <w:rsid w:val="000D77C3"/>
    <w:rsid w:val="000E0018"/>
    <w:rsid w:val="000E169F"/>
    <w:rsid w:val="000E18AA"/>
    <w:rsid w:val="000E1F61"/>
    <w:rsid w:val="000E30EA"/>
    <w:rsid w:val="000E3822"/>
    <w:rsid w:val="000E416E"/>
    <w:rsid w:val="000E4C55"/>
    <w:rsid w:val="000E57CE"/>
    <w:rsid w:val="000E5BD2"/>
    <w:rsid w:val="000E6242"/>
    <w:rsid w:val="000E689E"/>
    <w:rsid w:val="000E6A46"/>
    <w:rsid w:val="000E6ED7"/>
    <w:rsid w:val="000F0113"/>
    <w:rsid w:val="000F1DED"/>
    <w:rsid w:val="000F2698"/>
    <w:rsid w:val="000F3E84"/>
    <w:rsid w:val="000F3FFF"/>
    <w:rsid w:val="000F4B95"/>
    <w:rsid w:val="000F6140"/>
    <w:rsid w:val="000F6A98"/>
    <w:rsid w:val="000F6AB9"/>
    <w:rsid w:val="000F6B00"/>
    <w:rsid w:val="000F6D6B"/>
    <w:rsid w:val="000F6DA7"/>
    <w:rsid w:val="000F7DEB"/>
    <w:rsid w:val="001008C8"/>
    <w:rsid w:val="00103AEE"/>
    <w:rsid w:val="00104E2B"/>
    <w:rsid w:val="00104E64"/>
    <w:rsid w:val="0010538C"/>
    <w:rsid w:val="001057AF"/>
    <w:rsid w:val="00110A45"/>
    <w:rsid w:val="00111249"/>
    <w:rsid w:val="001123E7"/>
    <w:rsid w:val="001135FE"/>
    <w:rsid w:val="00113871"/>
    <w:rsid w:val="0011439C"/>
    <w:rsid w:val="00114702"/>
    <w:rsid w:val="00116424"/>
    <w:rsid w:val="001167DB"/>
    <w:rsid w:val="00116D76"/>
    <w:rsid w:val="00117062"/>
    <w:rsid w:val="001170CE"/>
    <w:rsid w:val="001178E2"/>
    <w:rsid w:val="00117DEA"/>
    <w:rsid w:val="00117FAC"/>
    <w:rsid w:val="0012043E"/>
    <w:rsid w:val="001209D4"/>
    <w:rsid w:val="001209D7"/>
    <w:rsid w:val="00120A18"/>
    <w:rsid w:val="00120C83"/>
    <w:rsid w:val="00121289"/>
    <w:rsid w:val="001233FB"/>
    <w:rsid w:val="0012425E"/>
    <w:rsid w:val="0012511F"/>
    <w:rsid w:val="00125392"/>
    <w:rsid w:val="001255D4"/>
    <w:rsid w:val="001263BA"/>
    <w:rsid w:val="00126A4E"/>
    <w:rsid w:val="00126AD8"/>
    <w:rsid w:val="00126DF1"/>
    <w:rsid w:val="001276ED"/>
    <w:rsid w:val="00127742"/>
    <w:rsid w:val="00130067"/>
    <w:rsid w:val="00130C17"/>
    <w:rsid w:val="0013112F"/>
    <w:rsid w:val="0013118B"/>
    <w:rsid w:val="001311ED"/>
    <w:rsid w:val="0013431D"/>
    <w:rsid w:val="00134648"/>
    <w:rsid w:val="001348DF"/>
    <w:rsid w:val="00134FD5"/>
    <w:rsid w:val="0013509E"/>
    <w:rsid w:val="00135535"/>
    <w:rsid w:val="00135AED"/>
    <w:rsid w:val="00135BC4"/>
    <w:rsid w:val="00135F38"/>
    <w:rsid w:val="001369C3"/>
    <w:rsid w:val="00137B6B"/>
    <w:rsid w:val="00137D64"/>
    <w:rsid w:val="00137E4C"/>
    <w:rsid w:val="00141038"/>
    <w:rsid w:val="0014151F"/>
    <w:rsid w:val="00141941"/>
    <w:rsid w:val="00142184"/>
    <w:rsid w:val="0014311D"/>
    <w:rsid w:val="00144467"/>
    <w:rsid w:val="001449E6"/>
    <w:rsid w:val="0014579A"/>
    <w:rsid w:val="00145A0C"/>
    <w:rsid w:val="00145E17"/>
    <w:rsid w:val="00147477"/>
    <w:rsid w:val="0015038C"/>
    <w:rsid w:val="001508B1"/>
    <w:rsid w:val="00152331"/>
    <w:rsid w:val="00152403"/>
    <w:rsid w:val="00152CE0"/>
    <w:rsid w:val="00155001"/>
    <w:rsid w:val="001553F5"/>
    <w:rsid w:val="001554EC"/>
    <w:rsid w:val="00155CDB"/>
    <w:rsid w:val="00156646"/>
    <w:rsid w:val="001568CF"/>
    <w:rsid w:val="00157E12"/>
    <w:rsid w:val="00160800"/>
    <w:rsid w:val="00160863"/>
    <w:rsid w:val="0016087F"/>
    <w:rsid w:val="00160A88"/>
    <w:rsid w:val="001613E7"/>
    <w:rsid w:val="0016174A"/>
    <w:rsid w:val="001620F9"/>
    <w:rsid w:val="00165DAF"/>
    <w:rsid w:val="00167DD2"/>
    <w:rsid w:val="0017046D"/>
    <w:rsid w:val="0017080E"/>
    <w:rsid w:val="00171430"/>
    <w:rsid w:val="001714A4"/>
    <w:rsid w:val="00171FC2"/>
    <w:rsid w:val="001729B3"/>
    <w:rsid w:val="00172D11"/>
    <w:rsid w:val="00172FE9"/>
    <w:rsid w:val="001736ED"/>
    <w:rsid w:val="00173D1D"/>
    <w:rsid w:val="00174925"/>
    <w:rsid w:val="00174E84"/>
    <w:rsid w:val="00175BB3"/>
    <w:rsid w:val="00176570"/>
    <w:rsid w:val="00176A44"/>
    <w:rsid w:val="00176CDE"/>
    <w:rsid w:val="00177851"/>
    <w:rsid w:val="00180275"/>
    <w:rsid w:val="0018175A"/>
    <w:rsid w:val="00182153"/>
    <w:rsid w:val="00183525"/>
    <w:rsid w:val="00183724"/>
    <w:rsid w:val="00184539"/>
    <w:rsid w:val="00184EF2"/>
    <w:rsid w:val="0018523C"/>
    <w:rsid w:val="00186A8D"/>
    <w:rsid w:val="0019046D"/>
    <w:rsid w:val="00191194"/>
    <w:rsid w:val="00192441"/>
    <w:rsid w:val="001924AF"/>
    <w:rsid w:val="00192969"/>
    <w:rsid w:val="00192AB0"/>
    <w:rsid w:val="00193398"/>
    <w:rsid w:val="001935E2"/>
    <w:rsid w:val="00193A65"/>
    <w:rsid w:val="00194057"/>
    <w:rsid w:val="0019444D"/>
    <w:rsid w:val="001966AA"/>
    <w:rsid w:val="00196974"/>
    <w:rsid w:val="00196D5E"/>
    <w:rsid w:val="00196F4B"/>
    <w:rsid w:val="001972EB"/>
    <w:rsid w:val="001A0B29"/>
    <w:rsid w:val="001A12FE"/>
    <w:rsid w:val="001A406A"/>
    <w:rsid w:val="001A62A1"/>
    <w:rsid w:val="001A74C3"/>
    <w:rsid w:val="001B0B9D"/>
    <w:rsid w:val="001B1C75"/>
    <w:rsid w:val="001B2BBF"/>
    <w:rsid w:val="001B522A"/>
    <w:rsid w:val="001B560A"/>
    <w:rsid w:val="001B5738"/>
    <w:rsid w:val="001B6E93"/>
    <w:rsid w:val="001B70B5"/>
    <w:rsid w:val="001B7B84"/>
    <w:rsid w:val="001B7F39"/>
    <w:rsid w:val="001C05AB"/>
    <w:rsid w:val="001C1F35"/>
    <w:rsid w:val="001C2A8A"/>
    <w:rsid w:val="001C3B70"/>
    <w:rsid w:val="001C5539"/>
    <w:rsid w:val="001C59BE"/>
    <w:rsid w:val="001C5DC4"/>
    <w:rsid w:val="001C5E26"/>
    <w:rsid w:val="001C6220"/>
    <w:rsid w:val="001C6B18"/>
    <w:rsid w:val="001D0A93"/>
    <w:rsid w:val="001D2F5F"/>
    <w:rsid w:val="001D446C"/>
    <w:rsid w:val="001D5688"/>
    <w:rsid w:val="001D58FF"/>
    <w:rsid w:val="001D629D"/>
    <w:rsid w:val="001D63FD"/>
    <w:rsid w:val="001D6F3F"/>
    <w:rsid w:val="001D6F45"/>
    <w:rsid w:val="001D7E45"/>
    <w:rsid w:val="001E04F1"/>
    <w:rsid w:val="001E20D3"/>
    <w:rsid w:val="001E2E22"/>
    <w:rsid w:val="001E2FC4"/>
    <w:rsid w:val="001E36B7"/>
    <w:rsid w:val="001E47CD"/>
    <w:rsid w:val="001E5159"/>
    <w:rsid w:val="001E5832"/>
    <w:rsid w:val="001E591A"/>
    <w:rsid w:val="001E68D0"/>
    <w:rsid w:val="001F07C5"/>
    <w:rsid w:val="001F1324"/>
    <w:rsid w:val="001F134E"/>
    <w:rsid w:val="001F14AE"/>
    <w:rsid w:val="001F1946"/>
    <w:rsid w:val="001F26BA"/>
    <w:rsid w:val="001F3378"/>
    <w:rsid w:val="001F4661"/>
    <w:rsid w:val="001F4719"/>
    <w:rsid w:val="001F66D5"/>
    <w:rsid w:val="001F6A1F"/>
    <w:rsid w:val="001F7137"/>
    <w:rsid w:val="001F770C"/>
    <w:rsid w:val="00200094"/>
    <w:rsid w:val="00200808"/>
    <w:rsid w:val="00200C69"/>
    <w:rsid w:val="00201148"/>
    <w:rsid w:val="00202825"/>
    <w:rsid w:val="00202D5B"/>
    <w:rsid w:val="00202F2A"/>
    <w:rsid w:val="002036F3"/>
    <w:rsid w:val="00203F5C"/>
    <w:rsid w:val="00204191"/>
    <w:rsid w:val="0020421A"/>
    <w:rsid w:val="002047D3"/>
    <w:rsid w:val="0020497C"/>
    <w:rsid w:val="00205798"/>
    <w:rsid w:val="00205A83"/>
    <w:rsid w:val="00205DEE"/>
    <w:rsid w:val="00207016"/>
    <w:rsid w:val="0021092F"/>
    <w:rsid w:val="00210BCE"/>
    <w:rsid w:val="002111F8"/>
    <w:rsid w:val="002112B7"/>
    <w:rsid w:val="0021169E"/>
    <w:rsid w:val="00211789"/>
    <w:rsid w:val="00211B64"/>
    <w:rsid w:val="00211C86"/>
    <w:rsid w:val="00211FEE"/>
    <w:rsid w:val="002122F0"/>
    <w:rsid w:val="00212CA5"/>
    <w:rsid w:val="00212EB3"/>
    <w:rsid w:val="00213256"/>
    <w:rsid w:val="0021421B"/>
    <w:rsid w:val="0021435E"/>
    <w:rsid w:val="00217577"/>
    <w:rsid w:val="00217846"/>
    <w:rsid w:val="002203C0"/>
    <w:rsid w:val="002209E8"/>
    <w:rsid w:val="002215D0"/>
    <w:rsid w:val="0022309F"/>
    <w:rsid w:val="00224266"/>
    <w:rsid w:val="002248D5"/>
    <w:rsid w:val="00224BDB"/>
    <w:rsid w:val="00225A4D"/>
    <w:rsid w:val="00225E3E"/>
    <w:rsid w:val="00225E4A"/>
    <w:rsid w:val="00227FEE"/>
    <w:rsid w:val="00230CC1"/>
    <w:rsid w:val="00230D14"/>
    <w:rsid w:val="002314E9"/>
    <w:rsid w:val="00231CB1"/>
    <w:rsid w:val="00232C8A"/>
    <w:rsid w:val="0023334B"/>
    <w:rsid w:val="00234A89"/>
    <w:rsid w:val="00234E10"/>
    <w:rsid w:val="00235478"/>
    <w:rsid w:val="002358C7"/>
    <w:rsid w:val="002362AF"/>
    <w:rsid w:val="002362CC"/>
    <w:rsid w:val="00237506"/>
    <w:rsid w:val="002378D0"/>
    <w:rsid w:val="00237B57"/>
    <w:rsid w:val="00243A1C"/>
    <w:rsid w:val="00243B5E"/>
    <w:rsid w:val="00243C20"/>
    <w:rsid w:val="00243D7D"/>
    <w:rsid w:val="00243ECE"/>
    <w:rsid w:val="00245ACA"/>
    <w:rsid w:val="00246F54"/>
    <w:rsid w:val="0025249A"/>
    <w:rsid w:val="0025326E"/>
    <w:rsid w:val="002541D3"/>
    <w:rsid w:val="00254D18"/>
    <w:rsid w:val="00255705"/>
    <w:rsid w:val="00255C2F"/>
    <w:rsid w:val="00255D4D"/>
    <w:rsid w:val="00257088"/>
    <w:rsid w:val="002574B1"/>
    <w:rsid w:val="0025775C"/>
    <w:rsid w:val="0025785F"/>
    <w:rsid w:val="0026096A"/>
    <w:rsid w:val="00260B60"/>
    <w:rsid w:val="0026120E"/>
    <w:rsid w:val="00261315"/>
    <w:rsid w:val="0026223A"/>
    <w:rsid w:val="002632DC"/>
    <w:rsid w:val="00263F02"/>
    <w:rsid w:val="002648FB"/>
    <w:rsid w:val="00266892"/>
    <w:rsid w:val="00266CC0"/>
    <w:rsid w:val="002672ED"/>
    <w:rsid w:val="0027024E"/>
    <w:rsid w:val="00272390"/>
    <w:rsid w:val="0027543F"/>
    <w:rsid w:val="00275F7E"/>
    <w:rsid w:val="002760E4"/>
    <w:rsid w:val="002768B5"/>
    <w:rsid w:val="00277378"/>
    <w:rsid w:val="0028110D"/>
    <w:rsid w:val="00281371"/>
    <w:rsid w:val="002813D2"/>
    <w:rsid w:val="002819B4"/>
    <w:rsid w:val="0028291E"/>
    <w:rsid w:val="00282FBB"/>
    <w:rsid w:val="00283B88"/>
    <w:rsid w:val="00285CC4"/>
    <w:rsid w:val="00286851"/>
    <w:rsid w:val="00290235"/>
    <w:rsid w:val="00290EB7"/>
    <w:rsid w:val="00291B90"/>
    <w:rsid w:val="00291EBD"/>
    <w:rsid w:val="00293933"/>
    <w:rsid w:val="00295F38"/>
    <w:rsid w:val="00296FAA"/>
    <w:rsid w:val="002970FB"/>
    <w:rsid w:val="00297E16"/>
    <w:rsid w:val="002A07DB"/>
    <w:rsid w:val="002A1959"/>
    <w:rsid w:val="002A3638"/>
    <w:rsid w:val="002A484A"/>
    <w:rsid w:val="002A49E9"/>
    <w:rsid w:val="002A4C87"/>
    <w:rsid w:val="002A4E7F"/>
    <w:rsid w:val="002A51FE"/>
    <w:rsid w:val="002A79FB"/>
    <w:rsid w:val="002A7C46"/>
    <w:rsid w:val="002A7D6F"/>
    <w:rsid w:val="002B08C1"/>
    <w:rsid w:val="002B0A6F"/>
    <w:rsid w:val="002B12D0"/>
    <w:rsid w:val="002B17E9"/>
    <w:rsid w:val="002B1A43"/>
    <w:rsid w:val="002B1ABC"/>
    <w:rsid w:val="002B220A"/>
    <w:rsid w:val="002B28DF"/>
    <w:rsid w:val="002B3EF5"/>
    <w:rsid w:val="002B4721"/>
    <w:rsid w:val="002B635D"/>
    <w:rsid w:val="002B6423"/>
    <w:rsid w:val="002B6D27"/>
    <w:rsid w:val="002B6EAE"/>
    <w:rsid w:val="002B7C85"/>
    <w:rsid w:val="002C1472"/>
    <w:rsid w:val="002C1DFD"/>
    <w:rsid w:val="002C316D"/>
    <w:rsid w:val="002C324F"/>
    <w:rsid w:val="002C32A4"/>
    <w:rsid w:val="002C34A7"/>
    <w:rsid w:val="002C404C"/>
    <w:rsid w:val="002C44F8"/>
    <w:rsid w:val="002C48D8"/>
    <w:rsid w:val="002C50D1"/>
    <w:rsid w:val="002C53E5"/>
    <w:rsid w:val="002C5959"/>
    <w:rsid w:val="002C66EA"/>
    <w:rsid w:val="002C6EE6"/>
    <w:rsid w:val="002C76A3"/>
    <w:rsid w:val="002D16A5"/>
    <w:rsid w:val="002D1856"/>
    <w:rsid w:val="002D4063"/>
    <w:rsid w:val="002D6C02"/>
    <w:rsid w:val="002D6F6A"/>
    <w:rsid w:val="002D702A"/>
    <w:rsid w:val="002D73D4"/>
    <w:rsid w:val="002D73FE"/>
    <w:rsid w:val="002E00B8"/>
    <w:rsid w:val="002E023A"/>
    <w:rsid w:val="002E05E3"/>
    <w:rsid w:val="002E0CF1"/>
    <w:rsid w:val="002E131F"/>
    <w:rsid w:val="002E3A5F"/>
    <w:rsid w:val="002E3A69"/>
    <w:rsid w:val="002E3A88"/>
    <w:rsid w:val="002E3B8A"/>
    <w:rsid w:val="002E5DDC"/>
    <w:rsid w:val="002E6CBA"/>
    <w:rsid w:val="002E70C0"/>
    <w:rsid w:val="002E779E"/>
    <w:rsid w:val="002F0126"/>
    <w:rsid w:val="002F1C05"/>
    <w:rsid w:val="002F3E1E"/>
    <w:rsid w:val="002F5154"/>
    <w:rsid w:val="002F5668"/>
    <w:rsid w:val="002F6350"/>
    <w:rsid w:val="002F726F"/>
    <w:rsid w:val="002F7307"/>
    <w:rsid w:val="002F775E"/>
    <w:rsid w:val="003002FC"/>
    <w:rsid w:val="00301764"/>
    <w:rsid w:val="0030256A"/>
    <w:rsid w:val="003049E1"/>
    <w:rsid w:val="00304EE7"/>
    <w:rsid w:val="003064DC"/>
    <w:rsid w:val="0030763F"/>
    <w:rsid w:val="0030791A"/>
    <w:rsid w:val="00311D1C"/>
    <w:rsid w:val="00311FE2"/>
    <w:rsid w:val="00312912"/>
    <w:rsid w:val="00312B46"/>
    <w:rsid w:val="003135CA"/>
    <w:rsid w:val="00314E48"/>
    <w:rsid w:val="00315218"/>
    <w:rsid w:val="003169FF"/>
    <w:rsid w:val="0031704D"/>
    <w:rsid w:val="00317374"/>
    <w:rsid w:val="0031782B"/>
    <w:rsid w:val="00317903"/>
    <w:rsid w:val="00317929"/>
    <w:rsid w:val="00320797"/>
    <w:rsid w:val="00321351"/>
    <w:rsid w:val="003215D0"/>
    <w:rsid w:val="003219FF"/>
    <w:rsid w:val="00321B0F"/>
    <w:rsid w:val="00323327"/>
    <w:rsid w:val="003233D3"/>
    <w:rsid w:val="0032368B"/>
    <w:rsid w:val="00323B3C"/>
    <w:rsid w:val="00323B9B"/>
    <w:rsid w:val="00323EE0"/>
    <w:rsid w:val="003250B5"/>
    <w:rsid w:val="00325C3D"/>
    <w:rsid w:val="00327B00"/>
    <w:rsid w:val="00330EEC"/>
    <w:rsid w:val="00331614"/>
    <w:rsid w:val="003316A2"/>
    <w:rsid w:val="003316AA"/>
    <w:rsid w:val="00331951"/>
    <w:rsid w:val="00333612"/>
    <w:rsid w:val="00333F5A"/>
    <w:rsid w:val="00334464"/>
    <w:rsid w:val="00335143"/>
    <w:rsid w:val="0033520E"/>
    <w:rsid w:val="003355DB"/>
    <w:rsid w:val="003360C0"/>
    <w:rsid w:val="00337E3A"/>
    <w:rsid w:val="00341701"/>
    <w:rsid w:val="00341E1B"/>
    <w:rsid w:val="00342063"/>
    <w:rsid w:val="00343AFA"/>
    <w:rsid w:val="00345340"/>
    <w:rsid w:val="00345DC6"/>
    <w:rsid w:val="00347D7F"/>
    <w:rsid w:val="0035000C"/>
    <w:rsid w:val="0035054D"/>
    <w:rsid w:val="00350672"/>
    <w:rsid w:val="003520CF"/>
    <w:rsid w:val="00352130"/>
    <w:rsid w:val="00352629"/>
    <w:rsid w:val="00352961"/>
    <w:rsid w:val="00352F5E"/>
    <w:rsid w:val="003535C3"/>
    <w:rsid w:val="00355078"/>
    <w:rsid w:val="003554BE"/>
    <w:rsid w:val="00355BD8"/>
    <w:rsid w:val="0035755D"/>
    <w:rsid w:val="00357634"/>
    <w:rsid w:val="003607F7"/>
    <w:rsid w:val="0036156D"/>
    <w:rsid w:val="00361C08"/>
    <w:rsid w:val="00362C15"/>
    <w:rsid w:val="003635A5"/>
    <w:rsid w:val="003639F7"/>
    <w:rsid w:val="00363A88"/>
    <w:rsid w:val="00364D6D"/>
    <w:rsid w:val="003660EB"/>
    <w:rsid w:val="0036682B"/>
    <w:rsid w:val="00366A3F"/>
    <w:rsid w:val="00366D2F"/>
    <w:rsid w:val="00367050"/>
    <w:rsid w:val="0036779C"/>
    <w:rsid w:val="00370079"/>
    <w:rsid w:val="00370746"/>
    <w:rsid w:val="003714B5"/>
    <w:rsid w:val="003727AA"/>
    <w:rsid w:val="003730CA"/>
    <w:rsid w:val="003733A8"/>
    <w:rsid w:val="00373B52"/>
    <w:rsid w:val="00374236"/>
    <w:rsid w:val="00374A30"/>
    <w:rsid w:val="0037500F"/>
    <w:rsid w:val="00375EBC"/>
    <w:rsid w:val="00376B56"/>
    <w:rsid w:val="00377293"/>
    <w:rsid w:val="003773A5"/>
    <w:rsid w:val="003773CE"/>
    <w:rsid w:val="003773E1"/>
    <w:rsid w:val="0037755A"/>
    <w:rsid w:val="0037765D"/>
    <w:rsid w:val="0037791B"/>
    <w:rsid w:val="00380988"/>
    <w:rsid w:val="003810A2"/>
    <w:rsid w:val="00381168"/>
    <w:rsid w:val="003827D4"/>
    <w:rsid w:val="00382C45"/>
    <w:rsid w:val="00383BED"/>
    <w:rsid w:val="00385827"/>
    <w:rsid w:val="00385E4B"/>
    <w:rsid w:val="0038654B"/>
    <w:rsid w:val="00386A77"/>
    <w:rsid w:val="00386B6F"/>
    <w:rsid w:val="00387676"/>
    <w:rsid w:val="00387770"/>
    <w:rsid w:val="00390418"/>
    <w:rsid w:val="003906A3"/>
    <w:rsid w:val="00390901"/>
    <w:rsid w:val="00390A55"/>
    <w:rsid w:val="00390D6E"/>
    <w:rsid w:val="00391153"/>
    <w:rsid w:val="0039119C"/>
    <w:rsid w:val="00392149"/>
    <w:rsid w:val="00392690"/>
    <w:rsid w:val="00392DE4"/>
    <w:rsid w:val="0039363C"/>
    <w:rsid w:val="00393D4C"/>
    <w:rsid w:val="00394FFF"/>
    <w:rsid w:val="00396C19"/>
    <w:rsid w:val="003A1A8E"/>
    <w:rsid w:val="003A1C83"/>
    <w:rsid w:val="003A1CE5"/>
    <w:rsid w:val="003A1FAF"/>
    <w:rsid w:val="003A24EE"/>
    <w:rsid w:val="003A4F37"/>
    <w:rsid w:val="003A6060"/>
    <w:rsid w:val="003A797D"/>
    <w:rsid w:val="003A7E53"/>
    <w:rsid w:val="003B03F9"/>
    <w:rsid w:val="003B0499"/>
    <w:rsid w:val="003B14CC"/>
    <w:rsid w:val="003B16BA"/>
    <w:rsid w:val="003B25CE"/>
    <w:rsid w:val="003B436D"/>
    <w:rsid w:val="003B4CAB"/>
    <w:rsid w:val="003B6267"/>
    <w:rsid w:val="003B76FC"/>
    <w:rsid w:val="003C01E5"/>
    <w:rsid w:val="003C1D2A"/>
    <w:rsid w:val="003C1E0B"/>
    <w:rsid w:val="003C2AF5"/>
    <w:rsid w:val="003C36AD"/>
    <w:rsid w:val="003C4FF3"/>
    <w:rsid w:val="003C5BF9"/>
    <w:rsid w:val="003C6429"/>
    <w:rsid w:val="003C6DB2"/>
    <w:rsid w:val="003C7068"/>
    <w:rsid w:val="003C7A1D"/>
    <w:rsid w:val="003D1587"/>
    <w:rsid w:val="003D1C4D"/>
    <w:rsid w:val="003D302B"/>
    <w:rsid w:val="003D32A3"/>
    <w:rsid w:val="003D38BA"/>
    <w:rsid w:val="003D44D8"/>
    <w:rsid w:val="003D4675"/>
    <w:rsid w:val="003D6965"/>
    <w:rsid w:val="003E04A9"/>
    <w:rsid w:val="003E0849"/>
    <w:rsid w:val="003E1E30"/>
    <w:rsid w:val="003E2182"/>
    <w:rsid w:val="003E333B"/>
    <w:rsid w:val="003E37E5"/>
    <w:rsid w:val="003E3BF0"/>
    <w:rsid w:val="003E4056"/>
    <w:rsid w:val="003E44EB"/>
    <w:rsid w:val="003E4507"/>
    <w:rsid w:val="003E54FB"/>
    <w:rsid w:val="003E5587"/>
    <w:rsid w:val="003E571E"/>
    <w:rsid w:val="003E5FB3"/>
    <w:rsid w:val="003E6E74"/>
    <w:rsid w:val="003E6F20"/>
    <w:rsid w:val="003E7AEF"/>
    <w:rsid w:val="003F101A"/>
    <w:rsid w:val="003F15CD"/>
    <w:rsid w:val="003F2112"/>
    <w:rsid w:val="003F3F4E"/>
    <w:rsid w:val="003F4963"/>
    <w:rsid w:val="003F51D0"/>
    <w:rsid w:val="003F5810"/>
    <w:rsid w:val="003F5F57"/>
    <w:rsid w:val="003F6082"/>
    <w:rsid w:val="003F60E2"/>
    <w:rsid w:val="003F6180"/>
    <w:rsid w:val="003F6452"/>
    <w:rsid w:val="003F659B"/>
    <w:rsid w:val="003F7825"/>
    <w:rsid w:val="003F7D6D"/>
    <w:rsid w:val="0040044F"/>
    <w:rsid w:val="00400942"/>
    <w:rsid w:val="00400AAA"/>
    <w:rsid w:val="0040108E"/>
    <w:rsid w:val="004019B0"/>
    <w:rsid w:val="00402C0A"/>
    <w:rsid w:val="004039CF"/>
    <w:rsid w:val="00403F19"/>
    <w:rsid w:val="00404DF2"/>
    <w:rsid w:val="00404F09"/>
    <w:rsid w:val="0040537E"/>
    <w:rsid w:val="00405A3C"/>
    <w:rsid w:val="00407458"/>
    <w:rsid w:val="00407A64"/>
    <w:rsid w:val="004100F4"/>
    <w:rsid w:val="00410282"/>
    <w:rsid w:val="0041072B"/>
    <w:rsid w:val="00411E24"/>
    <w:rsid w:val="004126E0"/>
    <w:rsid w:val="00415A8A"/>
    <w:rsid w:val="00415CBE"/>
    <w:rsid w:val="00415D23"/>
    <w:rsid w:val="004161D1"/>
    <w:rsid w:val="00416645"/>
    <w:rsid w:val="00416864"/>
    <w:rsid w:val="00416D19"/>
    <w:rsid w:val="0041780A"/>
    <w:rsid w:val="00417A6E"/>
    <w:rsid w:val="00417BC7"/>
    <w:rsid w:val="00417E88"/>
    <w:rsid w:val="00420C05"/>
    <w:rsid w:val="00420E6D"/>
    <w:rsid w:val="004211C4"/>
    <w:rsid w:val="00421C2B"/>
    <w:rsid w:val="004223C5"/>
    <w:rsid w:val="0042307D"/>
    <w:rsid w:val="004237BE"/>
    <w:rsid w:val="00423B8C"/>
    <w:rsid w:val="00423FF8"/>
    <w:rsid w:val="00426294"/>
    <w:rsid w:val="00426B59"/>
    <w:rsid w:val="0042715C"/>
    <w:rsid w:val="00427EEC"/>
    <w:rsid w:val="004310A8"/>
    <w:rsid w:val="00431381"/>
    <w:rsid w:val="004313CD"/>
    <w:rsid w:val="00431502"/>
    <w:rsid w:val="0043170A"/>
    <w:rsid w:val="004321AD"/>
    <w:rsid w:val="00432D5F"/>
    <w:rsid w:val="00432EA8"/>
    <w:rsid w:val="004338B0"/>
    <w:rsid w:val="00434745"/>
    <w:rsid w:val="0043632B"/>
    <w:rsid w:val="00441BE1"/>
    <w:rsid w:val="00441FA2"/>
    <w:rsid w:val="004424AF"/>
    <w:rsid w:val="004425B4"/>
    <w:rsid w:val="00442945"/>
    <w:rsid w:val="00442AA4"/>
    <w:rsid w:val="00443251"/>
    <w:rsid w:val="0044358F"/>
    <w:rsid w:val="0044399C"/>
    <w:rsid w:val="00444061"/>
    <w:rsid w:val="004441B5"/>
    <w:rsid w:val="0044427D"/>
    <w:rsid w:val="004451E6"/>
    <w:rsid w:val="004460F3"/>
    <w:rsid w:val="0044663D"/>
    <w:rsid w:val="0044683C"/>
    <w:rsid w:val="0045012A"/>
    <w:rsid w:val="004511E3"/>
    <w:rsid w:val="00453782"/>
    <w:rsid w:val="00453849"/>
    <w:rsid w:val="004542CB"/>
    <w:rsid w:val="0045480C"/>
    <w:rsid w:val="00454D19"/>
    <w:rsid w:val="00455612"/>
    <w:rsid w:val="00460038"/>
    <w:rsid w:val="0046010D"/>
    <w:rsid w:val="0046069B"/>
    <w:rsid w:val="004607F9"/>
    <w:rsid w:val="00460B47"/>
    <w:rsid w:val="00460F46"/>
    <w:rsid w:val="00461338"/>
    <w:rsid w:val="00461382"/>
    <w:rsid w:val="00462552"/>
    <w:rsid w:val="004630FD"/>
    <w:rsid w:val="0046401C"/>
    <w:rsid w:val="00464999"/>
    <w:rsid w:val="004658CB"/>
    <w:rsid w:val="00465A0C"/>
    <w:rsid w:val="004667AD"/>
    <w:rsid w:val="004668B1"/>
    <w:rsid w:val="004670CE"/>
    <w:rsid w:val="00471C43"/>
    <w:rsid w:val="00472037"/>
    <w:rsid w:val="00473549"/>
    <w:rsid w:val="0047382F"/>
    <w:rsid w:val="00473AFE"/>
    <w:rsid w:val="00474D40"/>
    <w:rsid w:val="00474DB3"/>
    <w:rsid w:val="0047507D"/>
    <w:rsid w:val="00476EE9"/>
    <w:rsid w:val="004776DB"/>
    <w:rsid w:val="00477F37"/>
    <w:rsid w:val="00481B35"/>
    <w:rsid w:val="0048235F"/>
    <w:rsid w:val="00482CF4"/>
    <w:rsid w:val="00483728"/>
    <w:rsid w:val="004845DF"/>
    <w:rsid w:val="004849C7"/>
    <w:rsid w:val="004851F9"/>
    <w:rsid w:val="0049006E"/>
    <w:rsid w:val="0049015B"/>
    <w:rsid w:val="004918CC"/>
    <w:rsid w:val="00492569"/>
    <w:rsid w:val="00492EA5"/>
    <w:rsid w:val="004946A1"/>
    <w:rsid w:val="00494B71"/>
    <w:rsid w:val="004962AD"/>
    <w:rsid w:val="004974CC"/>
    <w:rsid w:val="004A381A"/>
    <w:rsid w:val="004A44AE"/>
    <w:rsid w:val="004A4C5E"/>
    <w:rsid w:val="004A5D0F"/>
    <w:rsid w:val="004A6E1F"/>
    <w:rsid w:val="004A7AB9"/>
    <w:rsid w:val="004A7B48"/>
    <w:rsid w:val="004B1083"/>
    <w:rsid w:val="004B2FCE"/>
    <w:rsid w:val="004B3258"/>
    <w:rsid w:val="004B339D"/>
    <w:rsid w:val="004B411D"/>
    <w:rsid w:val="004B4880"/>
    <w:rsid w:val="004B522D"/>
    <w:rsid w:val="004B580C"/>
    <w:rsid w:val="004B6147"/>
    <w:rsid w:val="004B6214"/>
    <w:rsid w:val="004B6278"/>
    <w:rsid w:val="004B7182"/>
    <w:rsid w:val="004B74DD"/>
    <w:rsid w:val="004B7850"/>
    <w:rsid w:val="004C0519"/>
    <w:rsid w:val="004C084D"/>
    <w:rsid w:val="004C0F35"/>
    <w:rsid w:val="004C193F"/>
    <w:rsid w:val="004C1E29"/>
    <w:rsid w:val="004C2023"/>
    <w:rsid w:val="004C2C02"/>
    <w:rsid w:val="004C36C7"/>
    <w:rsid w:val="004C4656"/>
    <w:rsid w:val="004C49F4"/>
    <w:rsid w:val="004C5351"/>
    <w:rsid w:val="004C5697"/>
    <w:rsid w:val="004C5836"/>
    <w:rsid w:val="004C6035"/>
    <w:rsid w:val="004C6194"/>
    <w:rsid w:val="004C6E98"/>
    <w:rsid w:val="004D067C"/>
    <w:rsid w:val="004D072B"/>
    <w:rsid w:val="004D0C9D"/>
    <w:rsid w:val="004D1634"/>
    <w:rsid w:val="004D1A3A"/>
    <w:rsid w:val="004D3FCF"/>
    <w:rsid w:val="004D5837"/>
    <w:rsid w:val="004D5C9E"/>
    <w:rsid w:val="004D7796"/>
    <w:rsid w:val="004E1166"/>
    <w:rsid w:val="004E33E6"/>
    <w:rsid w:val="004E355E"/>
    <w:rsid w:val="004E3A33"/>
    <w:rsid w:val="004E3FCB"/>
    <w:rsid w:val="004E4947"/>
    <w:rsid w:val="004E5558"/>
    <w:rsid w:val="004E628E"/>
    <w:rsid w:val="004F0179"/>
    <w:rsid w:val="004F07B4"/>
    <w:rsid w:val="004F0E55"/>
    <w:rsid w:val="004F1A17"/>
    <w:rsid w:val="004F2179"/>
    <w:rsid w:val="004F2F65"/>
    <w:rsid w:val="004F4107"/>
    <w:rsid w:val="004F4817"/>
    <w:rsid w:val="004F4CE8"/>
    <w:rsid w:val="004F5E5D"/>
    <w:rsid w:val="005005CA"/>
    <w:rsid w:val="00503F0C"/>
    <w:rsid w:val="005049C2"/>
    <w:rsid w:val="00505000"/>
    <w:rsid w:val="00505F35"/>
    <w:rsid w:val="00506243"/>
    <w:rsid w:val="0051007B"/>
    <w:rsid w:val="005109B4"/>
    <w:rsid w:val="00510FF3"/>
    <w:rsid w:val="0051101A"/>
    <w:rsid w:val="005110F6"/>
    <w:rsid w:val="005123B0"/>
    <w:rsid w:val="00512C46"/>
    <w:rsid w:val="005133F8"/>
    <w:rsid w:val="00516E05"/>
    <w:rsid w:val="0051736C"/>
    <w:rsid w:val="0051783C"/>
    <w:rsid w:val="00520213"/>
    <w:rsid w:val="00521398"/>
    <w:rsid w:val="005216F4"/>
    <w:rsid w:val="00521CF7"/>
    <w:rsid w:val="005230ED"/>
    <w:rsid w:val="005238A4"/>
    <w:rsid w:val="00523F17"/>
    <w:rsid w:val="005241CD"/>
    <w:rsid w:val="00524DC0"/>
    <w:rsid w:val="00525CF8"/>
    <w:rsid w:val="00527504"/>
    <w:rsid w:val="0052792F"/>
    <w:rsid w:val="00527D7D"/>
    <w:rsid w:val="00530019"/>
    <w:rsid w:val="00530C83"/>
    <w:rsid w:val="0053165F"/>
    <w:rsid w:val="005324E4"/>
    <w:rsid w:val="0053342C"/>
    <w:rsid w:val="00533A96"/>
    <w:rsid w:val="005355C1"/>
    <w:rsid w:val="005360E0"/>
    <w:rsid w:val="0053718C"/>
    <w:rsid w:val="00537E7F"/>
    <w:rsid w:val="0054056B"/>
    <w:rsid w:val="00541337"/>
    <w:rsid w:val="00541E82"/>
    <w:rsid w:val="00542409"/>
    <w:rsid w:val="0054258E"/>
    <w:rsid w:val="00543761"/>
    <w:rsid w:val="0054384F"/>
    <w:rsid w:val="005438A9"/>
    <w:rsid w:val="00543A5B"/>
    <w:rsid w:val="00544669"/>
    <w:rsid w:val="0054546A"/>
    <w:rsid w:val="00546F61"/>
    <w:rsid w:val="00547251"/>
    <w:rsid w:val="00550481"/>
    <w:rsid w:val="00550683"/>
    <w:rsid w:val="00551490"/>
    <w:rsid w:val="00551BCD"/>
    <w:rsid w:val="00551CEA"/>
    <w:rsid w:val="00552194"/>
    <w:rsid w:val="00552507"/>
    <w:rsid w:val="0055255E"/>
    <w:rsid w:val="00555A2D"/>
    <w:rsid w:val="0055608D"/>
    <w:rsid w:val="00556248"/>
    <w:rsid w:val="005567A5"/>
    <w:rsid w:val="005600B6"/>
    <w:rsid w:val="0056070C"/>
    <w:rsid w:val="0056129C"/>
    <w:rsid w:val="00561DE3"/>
    <w:rsid w:val="00562825"/>
    <w:rsid w:val="00562CB9"/>
    <w:rsid w:val="00563609"/>
    <w:rsid w:val="00563C9B"/>
    <w:rsid w:val="005651DF"/>
    <w:rsid w:val="0056536A"/>
    <w:rsid w:val="005669E9"/>
    <w:rsid w:val="00567C7B"/>
    <w:rsid w:val="005713D9"/>
    <w:rsid w:val="00573793"/>
    <w:rsid w:val="00573BFA"/>
    <w:rsid w:val="0057417D"/>
    <w:rsid w:val="00576042"/>
    <w:rsid w:val="00576110"/>
    <w:rsid w:val="00576136"/>
    <w:rsid w:val="00577870"/>
    <w:rsid w:val="0058030A"/>
    <w:rsid w:val="0058170B"/>
    <w:rsid w:val="00581D96"/>
    <w:rsid w:val="00584303"/>
    <w:rsid w:val="00584D60"/>
    <w:rsid w:val="0058516E"/>
    <w:rsid w:val="005851F3"/>
    <w:rsid w:val="00586659"/>
    <w:rsid w:val="00586D56"/>
    <w:rsid w:val="00587298"/>
    <w:rsid w:val="005904F0"/>
    <w:rsid w:val="00590CD1"/>
    <w:rsid w:val="00592D2A"/>
    <w:rsid w:val="0059415A"/>
    <w:rsid w:val="00594EC0"/>
    <w:rsid w:val="00595493"/>
    <w:rsid w:val="005A1204"/>
    <w:rsid w:val="005A2ABF"/>
    <w:rsid w:val="005A5F79"/>
    <w:rsid w:val="005A5F8B"/>
    <w:rsid w:val="005A72E5"/>
    <w:rsid w:val="005A7A1D"/>
    <w:rsid w:val="005A7AEA"/>
    <w:rsid w:val="005B06D3"/>
    <w:rsid w:val="005B0BE5"/>
    <w:rsid w:val="005B1CAE"/>
    <w:rsid w:val="005B214C"/>
    <w:rsid w:val="005B2527"/>
    <w:rsid w:val="005B2632"/>
    <w:rsid w:val="005B33BF"/>
    <w:rsid w:val="005B3815"/>
    <w:rsid w:val="005B4E15"/>
    <w:rsid w:val="005B5A7C"/>
    <w:rsid w:val="005B7348"/>
    <w:rsid w:val="005B79A8"/>
    <w:rsid w:val="005C0C02"/>
    <w:rsid w:val="005C0E14"/>
    <w:rsid w:val="005C14DC"/>
    <w:rsid w:val="005C21FF"/>
    <w:rsid w:val="005C3BA3"/>
    <w:rsid w:val="005C4719"/>
    <w:rsid w:val="005C486A"/>
    <w:rsid w:val="005C528A"/>
    <w:rsid w:val="005C53AD"/>
    <w:rsid w:val="005C5B8B"/>
    <w:rsid w:val="005C5C66"/>
    <w:rsid w:val="005C62AB"/>
    <w:rsid w:val="005C7C3E"/>
    <w:rsid w:val="005C7C54"/>
    <w:rsid w:val="005D0271"/>
    <w:rsid w:val="005D03FC"/>
    <w:rsid w:val="005D1EE1"/>
    <w:rsid w:val="005D2E94"/>
    <w:rsid w:val="005D32B9"/>
    <w:rsid w:val="005D3FF4"/>
    <w:rsid w:val="005D4094"/>
    <w:rsid w:val="005D4866"/>
    <w:rsid w:val="005D50B8"/>
    <w:rsid w:val="005E0B12"/>
    <w:rsid w:val="005E2911"/>
    <w:rsid w:val="005E3267"/>
    <w:rsid w:val="005E37AB"/>
    <w:rsid w:val="005E3CB5"/>
    <w:rsid w:val="005E645C"/>
    <w:rsid w:val="005E7A4E"/>
    <w:rsid w:val="005F0D9A"/>
    <w:rsid w:val="005F265C"/>
    <w:rsid w:val="005F328D"/>
    <w:rsid w:val="005F34DC"/>
    <w:rsid w:val="005F3DE4"/>
    <w:rsid w:val="005F3E1C"/>
    <w:rsid w:val="005F3F5F"/>
    <w:rsid w:val="005F472D"/>
    <w:rsid w:val="005F4F61"/>
    <w:rsid w:val="005F78D5"/>
    <w:rsid w:val="0060096E"/>
    <w:rsid w:val="00600A38"/>
    <w:rsid w:val="00600F75"/>
    <w:rsid w:val="006020B2"/>
    <w:rsid w:val="006026B5"/>
    <w:rsid w:val="00602AF5"/>
    <w:rsid w:val="00603A0D"/>
    <w:rsid w:val="00604420"/>
    <w:rsid w:val="00604D8B"/>
    <w:rsid w:val="0060572C"/>
    <w:rsid w:val="00605E01"/>
    <w:rsid w:val="00605FB4"/>
    <w:rsid w:val="00610392"/>
    <w:rsid w:val="006107B7"/>
    <w:rsid w:val="006130F4"/>
    <w:rsid w:val="00614329"/>
    <w:rsid w:val="006147E7"/>
    <w:rsid w:val="006148C0"/>
    <w:rsid w:val="0061506A"/>
    <w:rsid w:val="006156B1"/>
    <w:rsid w:val="00615D13"/>
    <w:rsid w:val="00615F86"/>
    <w:rsid w:val="00616603"/>
    <w:rsid w:val="00620A41"/>
    <w:rsid w:val="00621166"/>
    <w:rsid w:val="0062163B"/>
    <w:rsid w:val="00621C81"/>
    <w:rsid w:val="0062339E"/>
    <w:rsid w:val="00623D09"/>
    <w:rsid w:val="00623DFC"/>
    <w:rsid w:val="0062440C"/>
    <w:rsid w:val="00624524"/>
    <w:rsid w:val="0062472F"/>
    <w:rsid w:val="00625550"/>
    <w:rsid w:val="00626629"/>
    <w:rsid w:val="00627474"/>
    <w:rsid w:val="00627610"/>
    <w:rsid w:val="00630DA0"/>
    <w:rsid w:val="00632B09"/>
    <w:rsid w:val="00633555"/>
    <w:rsid w:val="00633D90"/>
    <w:rsid w:val="00633EC2"/>
    <w:rsid w:val="006347A2"/>
    <w:rsid w:val="00634E5B"/>
    <w:rsid w:val="00635711"/>
    <w:rsid w:val="00635DBA"/>
    <w:rsid w:val="00635EA4"/>
    <w:rsid w:val="00637445"/>
    <w:rsid w:val="00641F14"/>
    <w:rsid w:val="00642501"/>
    <w:rsid w:val="0064308A"/>
    <w:rsid w:val="00643FD1"/>
    <w:rsid w:val="00644099"/>
    <w:rsid w:val="00644E89"/>
    <w:rsid w:val="00645F55"/>
    <w:rsid w:val="00646A25"/>
    <w:rsid w:val="006476B7"/>
    <w:rsid w:val="006510E8"/>
    <w:rsid w:val="006516DC"/>
    <w:rsid w:val="00651C53"/>
    <w:rsid w:val="0065308D"/>
    <w:rsid w:val="00654004"/>
    <w:rsid w:val="0065443A"/>
    <w:rsid w:val="006600B9"/>
    <w:rsid w:val="0066164D"/>
    <w:rsid w:val="00661C1D"/>
    <w:rsid w:val="00661D5F"/>
    <w:rsid w:val="00662E06"/>
    <w:rsid w:val="00662FB6"/>
    <w:rsid w:val="00663CF3"/>
    <w:rsid w:val="00664193"/>
    <w:rsid w:val="006647FA"/>
    <w:rsid w:val="00664E12"/>
    <w:rsid w:val="0066518D"/>
    <w:rsid w:val="006653DB"/>
    <w:rsid w:val="00666349"/>
    <w:rsid w:val="006665F2"/>
    <w:rsid w:val="00666FE8"/>
    <w:rsid w:val="006671DE"/>
    <w:rsid w:val="006704EB"/>
    <w:rsid w:val="0067089D"/>
    <w:rsid w:val="00671C63"/>
    <w:rsid w:val="006723D5"/>
    <w:rsid w:val="006726D4"/>
    <w:rsid w:val="0067287C"/>
    <w:rsid w:val="00672D10"/>
    <w:rsid w:val="006733E5"/>
    <w:rsid w:val="006736C1"/>
    <w:rsid w:val="00674496"/>
    <w:rsid w:val="00674497"/>
    <w:rsid w:val="006744CD"/>
    <w:rsid w:val="0067499E"/>
    <w:rsid w:val="006756EF"/>
    <w:rsid w:val="00676BD2"/>
    <w:rsid w:val="00677784"/>
    <w:rsid w:val="0068018B"/>
    <w:rsid w:val="00680B45"/>
    <w:rsid w:val="006810F1"/>
    <w:rsid w:val="00681A38"/>
    <w:rsid w:val="00681D83"/>
    <w:rsid w:val="00682F92"/>
    <w:rsid w:val="006847D7"/>
    <w:rsid w:val="006856B6"/>
    <w:rsid w:val="0068609C"/>
    <w:rsid w:val="00686B0B"/>
    <w:rsid w:val="0068706D"/>
    <w:rsid w:val="006874D8"/>
    <w:rsid w:val="00687F19"/>
    <w:rsid w:val="00690638"/>
    <w:rsid w:val="00691076"/>
    <w:rsid w:val="00691098"/>
    <w:rsid w:val="00691980"/>
    <w:rsid w:val="00693E86"/>
    <w:rsid w:val="00694648"/>
    <w:rsid w:val="0069481D"/>
    <w:rsid w:val="00694B5F"/>
    <w:rsid w:val="00694C91"/>
    <w:rsid w:val="00695104"/>
    <w:rsid w:val="00696109"/>
    <w:rsid w:val="00696144"/>
    <w:rsid w:val="00696684"/>
    <w:rsid w:val="00696B27"/>
    <w:rsid w:val="006A10C7"/>
    <w:rsid w:val="006A10D8"/>
    <w:rsid w:val="006A10EF"/>
    <w:rsid w:val="006A1B03"/>
    <w:rsid w:val="006A2518"/>
    <w:rsid w:val="006A39AF"/>
    <w:rsid w:val="006A40CB"/>
    <w:rsid w:val="006A46F3"/>
    <w:rsid w:val="006A5308"/>
    <w:rsid w:val="006A577F"/>
    <w:rsid w:val="006A6B2B"/>
    <w:rsid w:val="006A753C"/>
    <w:rsid w:val="006B0351"/>
    <w:rsid w:val="006B0578"/>
    <w:rsid w:val="006B2A74"/>
    <w:rsid w:val="006B2C55"/>
    <w:rsid w:val="006B32A5"/>
    <w:rsid w:val="006B5339"/>
    <w:rsid w:val="006B5367"/>
    <w:rsid w:val="006B54DA"/>
    <w:rsid w:val="006B5D9B"/>
    <w:rsid w:val="006B5EF9"/>
    <w:rsid w:val="006B66C8"/>
    <w:rsid w:val="006B705F"/>
    <w:rsid w:val="006B7579"/>
    <w:rsid w:val="006B7FDD"/>
    <w:rsid w:val="006C012F"/>
    <w:rsid w:val="006C05A8"/>
    <w:rsid w:val="006C0731"/>
    <w:rsid w:val="006C1DF0"/>
    <w:rsid w:val="006C5277"/>
    <w:rsid w:val="006C61AA"/>
    <w:rsid w:val="006C6996"/>
    <w:rsid w:val="006D2000"/>
    <w:rsid w:val="006D3D6F"/>
    <w:rsid w:val="006D5E67"/>
    <w:rsid w:val="006D6704"/>
    <w:rsid w:val="006D693D"/>
    <w:rsid w:val="006E06DF"/>
    <w:rsid w:val="006E08DB"/>
    <w:rsid w:val="006E13F6"/>
    <w:rsid w:val="006E17C0"/>
    <w:rsid w:val="006E188C"/>
    <w:rsid w:val="006E190E"/>
    <w:rsid w:val="006E19E5"/>
    <w:rsid w:val="006E1FBF"/>
    <w:rsid w:val="006E37EA"/>
    <w:rsid w:val="006E3D4E"/>
    <w:rsid w:val="006E49ED"/>
    <w:rsid w:val="006E5612"/>
    <w:rsid w:val="006E56B3"/>
    <w:rsid w:val="006E6620"/>
    <w:rsid w:val="006E7385"/>
    <w:rsid w:val="006E7B1E"/>
    <w:rsid w:val="006F0A3E"/>
    <w:rsid w:val="006F1BBF"/>
    <w:rsid w:val="006F20E6"/>
    <w:rsid w:val="006F258F"/>
    <w:rsid w:val="006F2DED"/>
    <w:rsid w:val="006F3ACD"/>
    <w:rsid w:val="006F3E63"/>
    <w:rsid w:val="006F46C4"/>
    <w:rsid w:val="006F62AF"/>
    <w:rsid w:val="006F7536"/>
    <w:rsid w:val="0070173D"/>
    <w:rsid w:val="0070339D"/>
    <w:rsid w:val="007033FB"/>
    <w:rsid w:val="007040AD"/>
    <w:rsid w:val="00705C81"/>
    <w:rsid w:val="00705D76"/>
    <w:rsid w:val="0070660A"/>
    <w:rsid w:val="007068A4"/>
    <w:rsid w:val="00707CF0"/>
    <w:rsid w:val="00707F3F"/>
    <w:rsid w:val="00711531"/>
    <w:rsid w:val="00712C7E"/>
    <w:rsid w:val="00712D53"/>
    <w:rsid w:val="007132EF"/>
    <w:rsid w:val="007136B0"/>
    <w:rsid w:val="00714D93"/>
    <w:rsid w:val="00716395"/>
    <w:rsid w:val="00716C51"/>
    <w:rsid w:val="00716CC4"/>
    <w:rsid w:val="00716E17"/>
    <w:rsid w:val="007176FE"/>
    <w:rsid w:val="0071790B"/>
    <w:rsid w:val="00717D6B"/>
    <w:rsid w:val="00721CC5"/>
    <w:rsid w:val="00721D24"/>
    <w:rsid w:val="00722543"/>
    <w:rsid w:val="007230A0"/>
    <w:rsid w:val="00723224"/>
    <w:rsid w:val="0072329B"/>
    <w:rsid w:val="00723C85"/>
    <w:rsid w:val="00725FB7"/>
    <w:rsid w:val="00726199"/>
    <w:rsid w:val="007272AF"/>
    <w:rsid w:val="007272F7"/>
    <w:rsid w:val="00730B1B"/>
    <w:rsid w:val="007312DA"/>
    <w:rsid w:val="0073162E"/>
    <w:rsid w:val="00731D13"/>
    <w:rsid w:val="00732771"/>
    <w:rsid w:val="007349FD"/>
    <w:rsid w:val="00734A42"/>
    <w:rsid w:val="00737C5E"/>
    <w:rsid w:val="00737D64"/>
    <w:rsid w:val="00740DCB"/>
    <w:rsid w:val="007424E4"/>
    <w:rsid w:val="00742777"/>
    <w:rsid w:val="00742D47"/>
    <w:rsid w:val="00743AB1"/>
    <w:rsid w:val="00743E21"/>
    <w:rsid w:val="0074550E"/>
    <w:rsid w:val="00745A35"/>
    <w:rsid w:val="00745A48"/>
    <w:rsid w:val="00745B06"/>
    <w:rsid w:val="00745C40"/>
    <w:rsid w:val="007471FA"/>
    <w:rsid w:val="00747369"/>
    <w:rsid w:val="007473D8"/>
    <w:rsid w:val="00747C72"/>
    <w:rsid w:val="007500CF"/>
    <w:rsid w:val="00750850"/>
    <w:rsid w:val="00750D66"/>
    <w:rsid w:val="00751160"/>
    <w:rsid w:val="00752854"/>
    <w:rsid w:val="007535AE"/>
    <w:rsid w:val="00754C61"/>
    <w:rsid w:val="00754F7F"/>
    <w:rsid w:val="00755347"/>
    <w:rsid w:val="00755C51"/>
    <w:rsid w:val="00755C99"/>
    <w:rsid w:val="00756853"/>
    <w:rsid w:val="007568B6"/>
    <w:rsid w:val="007571A1"/>
    <w:rsid w:val="00757DCD"/>
    <w:rsid w:val="00760288"/>
    <w:rsid w:val="00760490"/>
    <w:rsid w:val="00760A2B"/>
    <w:rsid w:val="007618D8"/>
    <w:rsid w:val="0076208F"/>
    <w:rsid w:val="007625DB"/>
    <w:rsid w:val="00762EF7"/>
    <w:rsid w:val="00763199"/>
    <w:rsid w:val="0076430C"/>
    <w:rsid w:val="00764A1D"/>
    <w:rsid w:val="00764DD4"/>
    <w:rsid w:val="00764F2B"/>
    <w:rsid w:val="00765C55"/>
    <w:rsid w:val="007666F9"/>
    <w:rsid w:val="007709DA"/>
    <w:rsid w:val="00770ABF"/>
    <w:rsid w:val="00770BAD"/>
    <w:rsid w:val="007719B5"/>
    <w:rsid w:val="00771D46"/>
    <w:rsid w:val="00772869"/>
    <w:rsid w:val="00772C02"/>
    <w:rsid w:val="00772F8D"/>
    <w:rsid w:val="00773132"/>
    <w:rsid w:val="00773831"/>
    <w:rsid w:val="00773B01"/>
    <w:rsid w:val="00774875"/>
    <w:rsid w:val="00774E2D"/>
    <w:rsid w:val="00774F6E"/>
    <w:rsid w:val="007802A7"/>
    <w:rsid w:val="00780F12"/>
    <w:rsid w:val="007813CF"/>
    <w:rsid w:val="0078213C"/>
    <w:rsid w:val="0078237E"/>
    <w:rsid w:val="00782936"/>
    <w:rsid w:val="0078381E"/>
    <w:rsid w:val="007844C8"/>
    <w:rsid w:val="0078470F"/>
    <w:rsid w:val="007855F1"/>
    <w:rsid w:val="00785690"/>
    <w:rsid w:val="007903F8"/>
    <w:rsid w:val="00790432"/>
    <w:rsid w:val="007904B9"/>
    <w:rsid w:val="007907E1"/>
    <w:rsid w:val="00790808"/>
    <w:rsid w:val="00790FA5"/>
    <w:rsid w:val="00791822"/>
    <w:rsid w:val="007930D5"/>
    <w:rsid w:val="007936DC"/>
    <w:rsid w:val="007936EA"/>
    <w:rsid w:val="007971A4"/>
    <w:rsid w:val="007974FA"/>
    <w:rsid w:val="00797555"/>
    <w:rsid w:val="00797F1D"/>
    <w:rsid w:val="007A0AC9"/>
    <w:rsid w:val="007A1FAF"/>
    <w:rsid w:val="007A2F88"/>
    <w:rsid w:val="007A3752"/>
    <w:rsid w:val="007A38B9"/>
    <w:rsid w:val="007A427A"/>
    <w:rsid w:val="007A45AA"/>
    <w:rsid w:val="007A4B5E"/>
    <w:rsid w:val="007A59E3"/>
    <w:rsid w:val="007A5F57"/>
    <w:rsid w:val="007A6174"/>
    <w:rsid w:val="007A6A9E"/>
    <w:rsid w:val="007A7059"/>
    <w:rsid w:val="007B13EC"/>
    <w:rsid w:val="007B233C"/>
    <w:rsid w:val="007B2825"/>
    <w:rsid w:val="007B31B9"/>
    <w:rsid w:val="007B462B"/>
    <w:rsid w:val="007B57F4"/>
    <w:rsid w:val="007B78B0"/>
    <w:rsid w:val="007B7E15"/>
    <w:rsid w:val="007C0309"/>
    <w:rsid w:val="007C03E0"/>
    <w:rsid w:val="007C0935"/>
    <w:rsid w:val="007C1BF5"/>
    <w:rsid w:val="007C1F01"/>
    <w:rsid w:val="007C27E1"/>
    <w:rsid w:val="007C31F9"/>
    <w:rsid w:val="007C3DE6"/>
    <w:rsid w:val="007C4012"/>
    <w:rsid w:val="007C460F"/>
    <w:rsid w:val="007C49DF"/>
    <w:rsid w:val="007C4CB0"/>
    <w:rsid w:val="007C57AA"/>
    <w:rsid w:val="007D2649"/>
    <w:rsid w:val="007D269D"/>
    <w:rsid w:val="007D3189"/>
    <w:rsid w:val="007D4838"/>
    <w:rsid w:val="007D51D1"/>
    <w:rsid w:val="007D548E"/>
    <w:rsid w:val="007D6896"/>
    <w:rsid w:val="007D7E77"/>
    <w:rsid w:val="007E022F"/>
    <w:rsid w:val="007E0419"/>
    <w:rsid w:val="007E0A1D"/>
    <w:rsid w:val="007E19D9"/>
    <w:rsid w:val="007E3F20"/>
    <w:rsid w:val="007E4803"/>
    <w:rsid w:val="007E4E45"/>
    <w:rsid w:val="007E61C8"/>
    <w:rsid w:val="007E62E8"/>
    <w:rsid w:val="007E6894"/>
    <w:rsid w:val="007E7E6F"/>
    <w:rsid w:val="007F0E76"/>
    <w:rsid w:val="007F1A84"/>
    <w:rsid w:val="007F411B"/>
    <w:rsid w:val="007F4373"/>
    <w:rsid w:val="007F5CC6"/>
    <w:rsid w:val="007F5DA7"/>
    <w:rsid w:val="007F6DD8"/>
    <w:rsid w:val="007F7A3F"/>
    <w:rsid w:val="00800E1B"/>
    <w:rsid w:val="008011CA"/>
    <w:rsid w:val="00802115"/>
    <w:rsid w:val="0080297F"/>
    <w:rsid w:val="00802AEB"/>
    <w:rsid w:val="00804AA7"/>
    <w:rsid w:val="008050D4"/>
    <w:rsid w:val="00805C97"/>
    <w:rsid w:val="00807409"/>
    <w:rsid w:val="00810D7D"/>
    <w:rsid w:val="0081224C"/>
    <w:rsid w:val="008122F0"/>
    <w:rsid w:val="0081255C"/>
    <w:rsid w:val="008130BC"/>
    <w:rsid w:val="008139AE"/>
    <w:rsid w:val="00814482"/>
    <w:rsid w:val="00814613"/>
    <w:rsid w:val="00815814"/>
    <w:rsid w:val="0081713C"/>
    <w:rsid w:val="00817A3E"/>
    <w:rsid w:val="00817E38"/>
    <w:rsid w:val="008203A0"/>
    <w:rsid w:val="0082098C"/>
    <w:rsid w:val="00821049"/>
    <w:rsid w:val="008221ED"/>
    <w:rsid w:val="0082324A"/>
    <w:rsid w:val="00823410"/>
    <w:rsid w:val="00823934"/>
    <w:rsid w:val="00823C0E"/>
    <w:rsid w:val="00825C04"/>
    <w:rsid w:val="00825FD1"/>
    <w:rsid w:val="0082732D"/>
    <w:rsid w:val="00827D38"/>
    <w:rsid w:val="00830D77"/>
    <w:rsid w:val="00833F56"/>
    <w:rsid w:val="00834226"/>
    <w:rsid w:val="00835041"/>
    <w:rsid w:val="00835338"/>
    <w:rsid w:val="00837C25"/>
    <w:rsid w:val="00837CF8"/>
    <w:rsid w:val="0084055A"/>
    <w:rsid w:val="008409F6"/>
    <w:rsid w:val="00841666"/>
    <w:rsid w:val="0084180C"/>
    <w:rsid w:val="00842054"/>
    <w:rsid w:val="00842DBE"/>
    <w:rsid w:val="00843E13"/>
    <w:rsid w:val="00844277"/>
    <w:rsid w:val="00844DE2"/>
    <w:rsid w:val="00844E9F"/>
    <w:rsid w:val="008477BC"/>
    <w:rsid w:val="008477D1"/>
    <w:rsid w:val="008500B8"/>
    <w:rsid w:val="00853B3C"/>
    <w:rsid w:val="00853BF2"/>
    <w:rsid w:val="008579B9"/>
    <w:rsid w:val="00857D81"/>
    <w:rsid w:val="00860125"/>
    <w:rsid w:val="00860281"/>
    <w:rsid w:val="00864DFD"/>
    <w:rsid w:val="00864EE5"/>
    <w:rsid w:val="0086594A"/>
    <w:rsid w:val="008659FF"/>
    <w:rsid w:val="00870BED"/>
    <w:rsid w:val="00871639"/>
    <w:rsid w:val="008722A9"/>
    <w:rsid w:val="00872B76"/>
    <w:rsid w:val="00874032"/>
    <w:rsid w:val="008742D4"/>
    <w:rsid w:val="00875160"/>
    <w:rsid w:val="00877D18"/>
    <w:rsid w:val="0088034E"/>
    <w:rsid w:val="0088059E"/>
    <w:rsid w:val="00880A20"/>
    <w:rsid w:val="00881014"/>
    <w:rsid w:val="00881613"/>
    <w:rsid w:val="008819D7"/>
    <w:rsid w:val="00882328"/>
    <w:rsid w:val="00882CE4"/>
    <w:rsid w:val="008842B3"/>
    <w:rsid w:val="00884581"/>
    <w:rsid w:val="008848A4"/>
    <w:rsid w:val="00885487"/>
    <w:rsid w:val="0088623C"/>
    <w:rsid w:val="00887001"/>
    <w:rsid w:val="008875EC"/>
    <w:rsid w:val="008876A1"/>
    <w:rsid w:val="00887A30"/>
    <w:rsid w:val="0089204A"/>
    <w:rsid w:val="008925C1"/>
    <w:rsid w:val="00892823"/>
    <w:rsid w:val="00892E73"/>
    <w:rsid w:val="00893590"/>
    <w:rsid w:val="00893596"/>
    <w:rsid w:val="00893C65"/>
    <w:rsid w:val="008946D9"/>
    <w:rsid w:val="00894794"/>
    <w:rsid w:val="0089578A"/>
    <w:rsid w:val="00895FEA"/>
    <w:rsid w:val="00896309"/>
    <w:rsid w:val="00896CB1"/>
    <w:rsid w:val="00896D30"/>
    <w:rsid w:val="008973DD"/>
    <w:rsid w:val="008977E0"/>
    <w:rsid w:val="00897C4E"/>
    <w:rsid w:val="008A084B"/>
    <w:rsid w:val="008A0BEC"/>
    <w:rsid w:val="008A1976"/>
    <w:rsid w:val="008A3A8C"/>
    <w:rsid w:val="008A44AB"/>
    <w:rsid w:val="008A5646"/>
    <w:rsid w:val="008A60BD"/>
    <w:rsid w:val="008A646C"/>
    <w:rsid w:val="008A6591"/>
    <w:rsid w:val="008A68A6"/>
    <w:rsid w:val="008A6CCF"/>
    <w:rsid w:val="008A7BCB"/>
    <w:rsid w:val="008B0347"/>
    <w:rsid w:val="008B20D8"/>
    <w:rsid w:val="008B2C6E"/>
    <w:rsid w:val="008B37D1"/>
    <w:rsid w:val="008B4609"/>
    <w:rsid w:val="008B4713"/>
    <w:rsid w:val="008B4CFE"/>
    <w:rsid w:val="008B6593"/>
    <w:rsid w:val="008B7D9A"/>
    <w:rsid w:val="008C0275"/>
    <w:rsid w:val="008C06ED"/>
    <w:rsid w:val="008C1255"/>
    <w:rsid w:val="008C2893"/>
    <w:rsid w:val="008C2B3A"/>
    <w:rsid w:val="008C2DDF"/>
    <w:rsid w:val="008C382F"/>
    <w:rsid w:val="008C4945"/>
    <w:rsid w:val="008C594C"/>
    <w:rsid w:val="008C59D3"/>
    <w:rsid w:val="008C6AC6"/>
    <w:rsid w:val="008C6DBE"/>
    <w:rsid w:val="008D049E"/>
    <w:rsid w:val="008D08B1"/>
    <w:rsid w:val="008D1ADD"/>
    <w:rsid w:val="008D33DB"/>
    <w:rsid w:val="008D3CBB"/>
    <w:rsid w:val="008D489B"/>
    <w:rsid w:val="008D5020"/>
    <w:rsid w:val="008D6086"/>
    <w:rsid w:val="008D6221"/>
    <w:rsid w:val="008D6FA8"/>
    <w:rsid w:val="008E0008"/>
    <w:rsid w:val="008E0A7B"/>
    <w:rsid w:val="008E111A"/>
    <w:rsid w:val="008E1189"/>
    <w:rsid w:val="008E1259"/>
    <w:rsid w:val="008E265B"/>
    <w:rsid w:val="008E31C0"/>
    <w:rsid w:val="008E3C48"/>
    <w:rsid w:val="008E3C68"/>
    <w:rsid w:val="008E4E76"/>
    <w:rsid w:val="008E5C69"/>
    <w:rsid w:val="008E65EC"/>
    <w:rsid w:val="008E6792"/>
    <w:rsid w:val="008E7021"/>
    <w:rsid w:val="008E7ED9"/>
    <w:rsid w:val="008F0C15"/>
    <w:rsid w:val="008F1365"/>
    <w:rsid w:val="008F1512"/>
    <w:rsid w:val="008F1903"/>
    <w:rsid w:val="008F28AA"/>
    <w:rsid w:val="008F385E"/>
    <w:rsid w:val="008F5A54"/>
    <w:rsid w:val="008F5C39"/>
    <w:rsid w:val="008F5D8C"/>
    <w:rsid w:val="008F63D2"/>
    <w:rsid w:val="008F6C65"/>
    <w:rsid w:val="00900279"/>
    <w:rsid w:val="009009D3"/>
    <w:rsid w:val="0090149D"/>
    <w:rsid w:val="00901BC8"/>
    <w:rsid w:val="009027B1"/>
    <w:rsid w:val="00902A61"/>
    <w:rsid w:val="00902D57"/>
    <w:rsid w:val="00903801"/>
    <w:rsid w:val="009041D4"/>
    <w:rsid w:val="00905320"/>
    <w:rsid w:val="00905904"/>
    <w:rsid w:val="00906B8F"/>
    <w:rsid w:val="00907CB6"/>
    <w:rsid w:val="009100A1"/>
    <w:rsid w:val="009102B6"/>
    <w:rsid w:val="009102F3"/>
    <w:rsid w:val="009106B7"/>
    <w:rsid w:val="00910D50"/>
    <w:rsid w:val="0091102A"/>
    <w:rsid w:val="009113B6"/>
    <w:rsid w:val="009119E7"/>
    <w:rsid w:val="009131EA"/>
    <w:rsid w:val="00913747"/>
    <w:rsid w:val="00913E62"/>
    <w:rsid w:val="00914157"/>
    <w:rsid w:val="00914B70"/>
    <w:rsid w:val="00914D00"/>
    <w:rsid w:val="00916340"/>
    <w:rsid w:val="00917B17"/>
    <w:rsid w:val="00920CBB"/>
    <w:rsid w:val="009215B3"/>
    <w:rsid w:val="0092176E"/>
    <w:rsid w:val="00921771"/>
    <w:rsid w:val="00921855"/>
    <w:rsid w:val="00923804"/>
    <w:rsid w:val="009239A8"/>
    <w:rsid w:val="00924006"/>
    <w:rsid w:val="009250CC"/>
    <w:rsid w:val="009250E4"/>
    <w:rsid w:val="00925B70"/>
    <w:rsid w:val="00925D5A"/>
    <w:rsid w:val="009263DA"/>
    <w:rsid w:val="009269D9"/>
    <w:rsid w:val="00927530"/>
    <w:rsid w:val="0093028F"/>
    <w:rsid w:val="009311BF"/>
    <w:rsid w:val="00931895"/>
    <w:rsid w:val="009339B3"/>
    <w:rsid w:val="00934DF3"/>
    <w:rsid w:val="00934ED4"/>
    <w:rsid w:val="009359C1"/>
    <w:rsid w:val="00936246"/>
    <w:rsid w:val="00936BB8"/>
    <w:rsid w:val="00937A5C"/>
    <w:rsid w:val="009407CC"/>
    <w:rsid w:val="0094119C"/>
    <w:rsid w:val="00941460"/>
    <w:rsid w:val="009416A8"/>
    <w:rsid w:val="009422E8"/>
    <w:rsid w:val="00943EB7"/>
    <w:rsid w:val="00944BB1"/>
    <w:rsid w:val="00947807"/>
    <w:rsid w:val="00947CF9"/>
    <w:rsid w:val="00951727"/>
    <w:rsid w:val="00951F8F"/>
    <w:rsid w:val="00954165"/>
    <w:rsid w:val="00955535"/>
    <w:rsid w:val="00955EEC"/>
    <w:rsid w:val="00956106"/>
    <w:rsid w:val="009568E6"/>
    <w:rsid w:val="0095690D"/>
    <w:rsid w:val="00960C65"/>
    <w:rsid w:val="00960CD9"/>
    <w:rsid w:val="00960E15"/>
    <w:rsid w:val="009615D9"/>
    <w:rsid w:val="00961831"/>
    <w:rsid w:val="0096221C"/>
    <w:rsid w:val="00962495"/>
    <w:rsid w:val="009647EF"/>
    <w:rsid w:val="009670ED"/>
    <w:rsid w:val="00967352"/>
    <w:rsid w:val="00967700"/>
    <w:rsid w:val="0096771D"/>
    <w:rsid w:val="00967DB9"/>
    <w:rsid w:val="00970120"/>
    <w:rsid w:val="00970E0E"/>
    <w:rsid w:val="00971384"/>
    <w:rsid w:val="00971916"/>
    <w:rsid w:val="00971EAA"/>
    <w:rsid w:val="00972013"/>
    <w:rsid w:val="00973749"/>
    <w:rsid w:val="00974546"/>
    <w:rsid w:val="0097537A"/>
    <w:rsid w:val="00975419"/>
    <w:rsid w:val="00975464"/>
    <w:rsid w:val="00975672"/>
    <w:rsid w:val="0097685F"/>
    <w:rsid w:val="0098056A"/>
    <w:rsid w:val="009806FE"/>
    <w:rsid w:val="009816D9"/>
    <w:rsid w:val="009818C1"/>
    <w:rsid w:val="00981A95"/>
    <w:rsid w:val="00981D12"/>
    <w:rsid w:val="00983221"/>
    <w:rsid w:val="0098329F"/>
    <w:rsid w:val="00984000"/>
    <w:rsid w:val="009843FC"/>
    <w:rsid w:val="00985ECF"/>
    <w:rsid w:val="00986A3E"/>
    <w:rsid w:val="009870C7"/>
    <w:rsid w:val="009902FB"/>
    <w:rsid w:val="0099063B"/>
    <w:rsid w:val="0099116A"/>
    <w:rsid w:val="00991417"/>
    <w:rsid w:val="00991503"/>
    <w:rsid w:val="00992311"/>
    <w:rsid w:val="0099271E"/>
    <w:rsid w:val="00992C09"/>
    <w:rsid w:val="00993279"/>
    <w:rsid w:val="00993604"/>
    <w:rsid w:val="00994FDE"/>
    <w:rsid w:val="00995928"/>
    <w:rsid w:val="00995F70"/>
    <w:rsid w:val="009964C4"/>
    <w:rsid w:val="009968A9"/>
    <w:rsid w:val="00997029"/>
    <w:rsid w:val="009973BB"/>
    <w:rsid w:val="009979EA"/>
    <w:rsid w:val="009A01DD"/>
    <w:rsid w:val="009A0E02"/>
    <w:rsid w:val="009A28C4"/>
    <w:rsid w:val="009A36FE"/>
    <w:rsid w:val="009A4126"/>
    <w:rsid w:val="009A48AF"/>
    <w:rsid w:val="009A6664"/>
    <w:rsid w:val="009A786A"/>
    <w:rsid w:val="009B15F0"/>
    <w:rsid w:val="009B1E7B"/>
    <w:rsid w:val="009B20FF"/>
    <w:rsid w:val="009B2A02"/>
    <w:rsid w:val="009B2A70"/>
    <w:rsid w:val="009B572B"/>
    <w:rsid w:val="009B5D14"/>
    <w:rsid w:val="009B6080"/>
    <w:rsid w:val="009B695D"/>
    <w:rsid w:val="009B71DA"/>
    <w:rsid w:val="009B756F"/>
    <w:rsid w:val="009C0D73"/>
    <w:rsid w:val="009C11A8"/>
    <w:rsid w:val="009C3E8F"/>
    <w:rsid w:val="009C44D2"/>
    <w:rsid w:val="009C4DA6"/>
    <w:rsid w:val="009C514B"/>
    <w:rsid w:val="009C52C5"/>
    <w:rsid w:val="009C7253"/>
    <w:rsid w:val="009C796C"/>
    <w:rsid w:val="009C7D7A"/>
    <w:rsid w:val="009C7D96"/>
    <w:rsid w:val="009D176A"/>
    <w:rsid w:val="009D256C"/>
    <w:rsid w:val="009D39E9"/>
    <w:rsid w:val="009D3A7E"/>
    <w:rsid w:val="009D406F"/>
    <w:rsid w:val="009D46A1"/>
    <w:rsid w:val="009D4A03"/>
    <w:rsid w:val="009D506D"/>
    <w:rsid w:val="009D5FBF"/>
    <w:rsid w:val="009E1C4C"/>
    <w:rsid w:val="009E2240"/>
    <w:rsid w:val="009E29A8"/>
    <w:rsid w:val="009E3E09"/>
    <w:rsid w:val="009E4001"/>
    <w:rsid w:val="009E48CC"/>
    <w:rsid w:val="009E5B01"/>
    <w:rsid w:val="009F0055"/>
    <w:rsid w:val="009F113B"/>
    <w:rsid w:val="009F2064"/>
    <w:rsid w:val="009F2164"/>
    <w:rsid w:val="009F2CF8"/>
    <w:rsid w:val="009F33CE"/>
    <w:rsid w:val="009F3D24"/>
    <w:rsid w:val="009F3E85"/>
    <w:rsid w:val="009F4552"/>
    <w:rsid w:val="009F5866"/>
    <w:rsid w:val="009F587C"/>
    <w:rsid w:val="009F628B"/>
    <w:rsid w:val="009F6D38"/>
    <w:rsid w:val="009F70D5"/>
    <w:rsid w:val="00A01176"/>
    <w:rsid w:val="00A02C34"/>
    <w:rsid w:val="00A03F0D"/>
    <w:rsid w:val="00A0458E"/>
    <w:rsid w:val="00A04F33"/>
    <w:rsid w:val="00A0612A"/>
    <w:rsid w:val="00A070EA"/>
    <w:rsid w:val="00A0748F"/>
    <w:rsid w:val="00A0753F"/>
    <w:rsid w:val="00A07754"/>
    <w:rsid w:val="00A10C44"/>
    <w:rsid w:val="00A10F8C"/>
    <w:rsid w:val="00A117A1"/>
    <w:rsid w:val="00A11FFF"/>
    <w:rsid w:val="00A12A65"/>
    <w:rsid w:val="00A12B90"/>
    <w:rsid w:val="00A12DA2"/>
    <w:rsid w:val="00A13A72"/>
    <w:rsid w:val="00A15A35"/>
    <w:rsid w:val="00A16338"/>
    <w:rsid w:val="00A168AC"/>
    <w:rsid w:val="00A20282"/>
    <w:rsid w:val="00A202C8"/>
    <w:rsid w:val="00A202D9"/>
    <w:rsid w:val="00A208DF"/>
    <w:rsid w:val="00A2121E"/>
    <w:rsid w:val="00A21AA1"/>
    <w:rsid w:val="00A21C4D"/>
    <w:rsid w:val="00A21C7D"/>
    <w:rsid w:val="00A223FD"/>
    <w:rsid w:val="00A22490"/>
    <w:rsid w:val="00A22EC8"/>
    <w:rsid w:val="00A2338A"/>
    <w:rsid w:val="00A24C2E"/>
    <w:rsid w:val="00A25559"/>
    <w:rsid w:val="00A25C50"/>
    <w:rsid w:val="00A2784A"/>
    <w:rsid w:val="00A27CB5"/>
    <w:rsid w:val="00A3003E"/>
    <w:rsid w:val="00A3093E"/>
    <w:rsid w:val="00A3095C"/>
    <w:rsid w:val="00A30CD0"/>
    <w:rsid w:val="00A312FE"/>
    <w:rsid w:val="00A3196C"/>
    <w:rsid w:val="00A31CD2"/>
    <w:rsid w:val="00A31CD8"/>
    <w:rsid w:val="00A328EB"/>
    <w:rsid w:val="00A32B6C"/>
    <w:rsid w:val="00A33D86"/>
    <w:rsid w:val="00A34848"/>
    <w:rsid w:val="00A34E38"/>
    <w:rsid w:val="00A35020"/>
    <w:rsid w:val="00A35F68"/>
    <w:rsid w:val="00A3734F"/>
    <w:rsid w:val="00A374B9"/>
    <w:rsid w:val="00A37FDE"/>
    <w:rsid w:val="00A40184"/>
    <w:rsid w:val="00A4065C"/>
    <w:rsid w:val="00A4174E"/>
    <w:rsid w:val="00A41B9C"/>
    <w:rsid w:val="00A42695"/>
    <w:rsid w:val="00A42D81"/>
    <w:rsid w:val="00A443A9"/>
    <w:rsid w:val="00A444D0"/>
    <w:rsid w:val="00A44AC4"/>
    <w:rsid w:val="00A450FD"/>
    <w:rsid w:val="00A45114"/>
    <w:rsid w:val="00A45AC9"/>
    <w:rsid w:val="00A4620E"/>
    <w:rsid w:val="00A467FD"/>
    <w:rsid w:val="00A46894"/>
    <w:rsid w:val="00A501B7"/>
    <w:rsid w:val="00A50BD4"/>
    <w:rsid w:val="00A516DD"/>
    <w:rsid w:val="00A51E34"/>
    <w:rsid w:val="00A52588"/>
    <w:rsid w:val="00A567D2"/>
    <w:rsid w:val="00A572A2"/>
    <w:rsid w:val="00A6010A"/>
    <w:rsid w:val="00A605F8"/>
    <w:rsid w:val="00A60EE0"/>
    <w:rsid w:val="00A61456"/>
    <w:rsid w:val="00A6193F"/>
    <w:rsid w:val="00A629C1"/>
    <w:rsid w:val="00A62A44"/>
    <w:rsid w:val="00A62B99"/>
    <w:rsid w:val="00A632EB"/>
    <w:rsid w:val="00A632FE"/>
    <w:rsid w:val="00A63AD6"/>
    <w:rsid w:val="00A64448"/>
    <w:rsid w:val="00A64BD8"/>
    <w:rsid w:val="00A64FBA"/>
    <w:rsid w:val="00A64FCD"/>
    <w:rsid w:val="00A659F2"/>
    <w:rsid w:val="00A65BEE"/>
    <w:rsid w:val="00A67496"/>
    <w:rsid w:val="00A67AF8"/>
    <w:rsid w:val="00A705DC"/>
    <w:rsid w:val="00A70F7E"/>
    <w:rsid w:val="00A71179"/>
    <w:rsid w:val="00A715E1"/>
    <w:rsid w:val="00A71CD7"/>
    <w:rsid w:val="00A72559"/>
    <w:rsid w:val="00A72866"/>
    <w:rsid w:val="00A75B6D"/>
    <w:rsid w:val="00A75FDF"/>
    <w:rsid w:val="00A76242"/>
    <w:rsid w:val="00A76347"/>
    <w:rsid w:val="00A7657F"/>
    <w:rsid w:val="00A76874"/>
    <w:rsid w:val="00A77171"/>
    <w:rsid w:val="00A7793E"/>
    <w:rsid w:val="00A77B5C"/>
    <w:rsid w:val="00A807C2"/>
    <w:rsid w:val="00A81149"/>
    <w:rsid w:val="00A81926"/>
    <w:rsid w:val="00A81E2D"/>
    <w:rsid w:val="00A82819"/>
    <w:rsid w:val="00A8392C"/>
    <w:rsid w:val="00A84379"/>
    <w:rsid w:val="00A845F6"/>
    <w:rsid w:val="00A84C32"/>
    <w:rsid w:val="00A858B6"/>
    <w:rsid w:val="00A858E9"/>
    <w:rsid w:val="00A86180"/>
    <w:rsid w:val="00A86990"/>
    <w:rsid w:val="00A86C04"/>
    <w:rsid w:val="00A9048C"/>
    <w:rsid w:val="00A91899"/>
    <w:rsid w:val="00A91B2B"/>
    <w:rsid w:val="00A931B2"/>
    <w:rsid w:val="00A93736"/>
    <w:rsid w:val="00A93CA9"/>
    <w:rsid w:val="00A94933"/>
    <w:rsid w:val="00A94E4F"/>
    <w:rsid w:val="00A952A6"/>
    <w:rsid w:val="00A957A7"/>
    <w:rsid w:val="00A95C8D"/>
    <w:rsid w:val="00A96147"/>
    <w:rsid w:val="00A96E07"/>
    <w:rsid w:val="00A96E12"/>
    <w:rsid w:val="00A972C5"/>
    <w:rsid w:val="00AA0587"/>
    <w:rsid w:val="00AA0801"/>
    <w:rsid w:val="00AA0DE8"/>
    <w:rsid w:val="00AA273D"/>
    <w:rsid w:val="00AA2CC1"/>
    <w:rsid w:val="00AA2EFA"/>
    <w:rsid w:val="00AA3951"/>
    <w:rsid w:val="00AA3ADB"/>
    <w:rsid w:val="00AA441B"/>
    <w:rsid w:val="00AB1091"/>
    <w:rsid w:val="00AB1E5B"/>
    <w:rsid w:val="00AB227C"/>
    <w:rsid w:val="00AB2B6F"/>
    <w:rsid w:val="00AB3477"/>
    <w:rsid w:val="00AB357C"/>
    <w:rsid w:val="00AB44E6"/>
    <w:rsid w:val="00AB4A2B"/>
    <w:rsid w:val="00AB572F"/>
    <w:rsid w:val="00AB60CD"/>
    <w:rsid w:val="00AB6F2C"/>
    <w:rsid w:val="00AB7B80"/>
    <w:rsid w:val="00AC048B"/>
    <w:rsid w:val="00AC1C9C"/>
    <w:rsid w:val="00AC267E"/>
    <w:rsid w:val="00AC3246"/>
    <w:rsid w:val="00AC36A0"/>
    <w:rsid w:val="00AC399B"/>
    <w:rsid w:val="00AC47E1"/>
    <w:rsid w:val="00AC4AC9"/>
    <w:rsid w:val="00AC4EE1"/>
    <w:rsid w:val="00AC50A4"/>
    <w:rsid w:val="00AC6335"/>
    <w:rsid w:val="00AC6A0C"/>
    <w:rsid w:val="00AC7020"/>
    <w:rsid w:val="00AD0CC2"/>
    <w:rsid w:val="00AD12F6"/>
    <w:rsid w:val="00AD15B0"/>
    <w:rsid w:val="00AD1CBD"/>
    <w:rsid w:val="00AD1D1A"/>
    <w:rsid w:val="00AD1E38"/>
    <w:rsid w:val="00AD221E"/>
    <w:rsid w:val="00AD2DB6"/>
    <w:rsid w:val="00AD307C"/>
    <w:rsid w:val="00AD30C8"/>
    <w:rsid w:val="00AD34D4"/>
    <w:rsid w:val="00AD3D94"/>
    <w:rsid w:val="00AD41CC"/>
    <w:rsid w:val="00AD4205"/>
    <w:rsid w:val="00AD46EE"/>
    <w:rsid w:val="00AD50CD"/>
    <w:rsid w:val="00AD5273"/>
    <w:rsid w:val="00AD6858"/>
    <w:rsid w:val="00AD74D5"/>
    <w:rsid w:val="00AD763C"/>
    <w:rsid w:val="00AE0D5E"/>
    <w:rsid w:val="00AE22CE"/>
    <w:rsid w:val="00AE2C01"/>
    <w:rsid w:val="00AE3135"/>
    <w:rsid w:val="00AE3804"/>
    <w:rsid w:val="00AE3CBE"/>
    <w:rsid w:val="00AE5C9B"/>
    <w:rsid w:val="00AE6772"/>
    <w:rsid w:val="00AE79E0"/>
    <w:rsid w:val="00AE7D55"/>
    <w:rsid w:val="00AF0194"/>
    <w:rsid w:val="00AF0580"/>
    <w:rsid w:val="00AF06CF"/>
    <w:rsid w:val="00AF1827"/>
    <w:rsid w:val="00AF2006"/>
    <w:rsid w:val="00AF208F"/>
    <w:rsid w:val="00AF26A1"/>
    <w:rsid w:val="00AF3DAD"/>
    <w:rsid w:val="00AF5BD3"/>
    <w:rsid w:val="00AF5E95"/>
    <w:rsid w:val="00AF7329"/>
    <w:rsid w:val="00B0068A"/>
    <w:rsid w:val="00B00F74"/>
    <w:rsid w:val="00B02336"/>
    <w:rsid w:val="00B02486"/>
    <w:rsid w:val="00B04C8D"/>
    <w:rsid w:val="00B04D5F"/>
    <w:rsid w:val="00B05154"/>
    <w:rsid w:val="00B0534F"/>
    <w:rsid w:val="00B05DCC"/>
    <w:rsid w:val="00B12215"/>
    <w:rsid w:val="00B12BE1"/>
    <w:rsid w:val="00B13674"/>
    <w:rsid w:val="00B13953"/>
    <w:rsid w:val="00B16A4F"/>
    <w:rsid w:val="00B16DEE"/>
    <w:rsid w:val="00B17192"/>
    <w:rsid w:val="00B208E7"/>
    <w:rsid w:val="00B2316F"/>
    <w:rsid w:val="00B232AF"/>
    <w:rsid w:val="00B23F83"/>
    <w:rsid w:val="00B2454B"/>
    <w:rsid w:val="00B24814"/>
    <w:rsid w:val="00B2524B"/>
    <w:rsid w:val="00B2573C"/>
    <w:rsid w:val="00B25DE3"/>
    <w:rsid w:val="00B2626F"/>
    <w:rsid w:val="00B26F34"/>
    <w:rsid w:val="00B27682"/>
    <w:rsid w:val="00B319D1"/>
    <w:rsid w:val="00B330C3"/>
    <w:rsid w:val="00B336C1"/>
    <w:rsid w:val="00B34A54"/>
    <w:rsid w:val="00B34D79"/>
    <w:rsid w:val="00B36C44"/>
    <w:rsid w:val="00B379A1"/>
    <w:rsid w:val="00B37C87"/>
    <w:rsid w:val="00B4003E"/>
    <w:rsid w:val="00B400EF"/>
    <w:rsid w:val="00B41572"/>
    <w:rsid w:val="00B42D59"/>
    <w:rsid w:val="00B4334D"/>
    <w:rsid w:val="00B45C0B"/>
    <w:rsid w:val="00B45C89"/>
    <w:rsid w:val="00B47177"/>
    <w:rsid w:val="00B47A2D"/>
    <w:rsid w:val="00B5021E"/>
    <w:rsid w:val="00B502E8"/>
    <w:rsid w:val="00B5056D"/>
    <w:rsid w:val="00B506FF"/>
    <w:rsid w:val="00B50FF6"/>
    <w:rsid w:val="00B52414"/>
    <w:rsid w:val="00B5343C"/>
    <w:rsid w:val="00B535F4"/>
    <w:rsid w:val="00B53A6F"/>
    <w:rsid w:val="00B53CAD"/>
    <w:rsid w:val="00B54769"/>
    <w:rsid w:val="00B5599A"/>
    <w:rsid w:val="00B55ECC"/>
    <w:rsid w:val="00B56D38"/>
    <w:rsid w:val="00B57380"/>
    <w:rsid w:val="00B60944"/>
    <w:rsid w:val="00B61A33"/>
    <w:rsid w:val="00B61DBE"/>
    <w:rsid w:val="00B61E45"/>
    <w:rsid w:val="00B620C9"/>
    <w:rsid w:val="00B62560"/>
    <w:rsid w:val="00B634CE"/>
    <w:rsid w:val="00B635D6"/>
    <w:rsid w:val="00B639F0"/>
    <w:rsid w:val="00B6438D"/>
    <w:rsid w:val="00B6469B"/>
    <w:rsid w:val="00B6518D"/>
    <w:rsid w:val="00B652EA"/>
    <w:rsid w:val="00B65545"/>
    <w:rsid w:val="00B65886"/>
    <w:rsid w:val="00B6594F"/>
    <w:rsid w:val="00B67247"/>
    <w:rsid w:val="00B67F68"/>
    <w:rsid w:val="00B70670"/>
    <w:rsid w:val="00B71259"/>
    <w:rsid w:val="00B719E8"/>
    <w:rsid w:val="00B71C06"/>
    <w:rsid w:val="00B71FE4"/>
    <w:rsid w:val="00B723D1"/>
    <w:rsid w:val="00B72466"/>
    <w:rsid w:val="00B72A0C"/>
    <w:rsid w:val="00B74320"/>
    <w:rsid w:val="00B743FE"/>
    <w:rsid w:val="00B753CD"/>
    <w:rsid w:val="00B75D60"/>
    <w:rsid w:val="00B7710E"/>
    <w:rsid w:val="00B801AA"/>
    <w:rsid w:val="00B803B2"/>
    <w:rsid w:val="00B80855"/>
    <w:rsid w:val="00B827BF"/>
    <w:rsid w:val="00B82D67"/>
    <w:rsid w:val="00B82EB1"/>
    <w:rsid w:val="00B83506"/>
    <w:rsid w:val="00B83C43"/>
    <w:rsid w:val="00B85F5D"/>
    <w:rsid w:val="00B86290"/>
    <w:rsid w:val="00B86722"/>
    <w:rsid w:val="00B86BF9"/>
    <w:rsid w:val="00B87949"/>
    <w:rsid w:val="00B87968"/>
    <w:rsid w:val="00B87D47"/>
    <w:rsid w:val="00B907DE"/>
    <w:rsid w:val="00B90B20"/>
    <w:rsid w:val="00B91A97"/>
    <w:rsid w:val="00B92058"/>
    <w:rsid w:val="00B93275"/>
    <w:rsid w:val="00B93847"/>
    <w:rsid w:val="00B940D6"/>
    <w:rsid w:val="00B94110"/>
    <w:rsid w:val="00B95DB5"/>
    <w:rsid w:val="00B95EA9"/>
    <w:rsid w:val="00B96128"/>
    <w:rsid w:val="00BA086D"/>
    <w:rsid w:val="00BA27B9"/>
    <w:rsid w:val="00BA29A3"/>
    <w:rsid w:val="00BA2B5A"/>
    <w:rsid w:val="00BA396A"/>
    <w:rsid w:val="00BA3B4D"/>
    <w:rsid w:val="00BA440E"/>
    <w:rsid w:val="00BA46D5"/>
    <w:rsid w:val="00BA4761"/>
    <w:rsid w:val="00BA5988"/>
    <w:rsid w:val="00BA5EA9"/>
    <w:rsid w:val="00BA6677"/>
    <w:rsid w:val="00BA6CF0"/>
    <w:rsid w:val="00BA7B5F"/>
    <w:rsid w:val="00BA7D53"/>
    <w:rsid w:val="00BB07CA"/>
    <w:rsid w:val="00BB13B0"/>
    <w:rsid w:val="00BB2243"/>
    <w:rsid w:val="00BB2472"/>
    <w:rsid w:val="00BB26BD"/>
    <w:rsid w:val="00BB3071"/>
    <w:rsid w:val="00BB4DA8"/>
    <w:rsid w:val="00BB5C9B"/>
    <w:rsid w:val="00BB654C"/>
    <w:rsid w:val="00BB7259"/>
    <w:rsid w:val="00BB78E4"/>
    <w:rsid w:val="00BB7D10"/>
    <w:rsid w:val="00BC08F9"/>
    <w:rsid w:val="00BC2FB5"/>
    <w:rsid w:val="00BC7E1A"/>
    <w:rsid w:val="00BD0CCA"/>
    <w:rsid w:val="00BD0E1B"/>
    <w:rsid w:val="00BD14DA"/>
    <w:rsid w:val="00BD1520"/>
    <w:rsid w:val="00BD16A2"/>
    <w:rsid w:val="00BD17B8"/>
    <w:rsid w:val="00BD4A82"/>
    <w:rsid w:val="00BD4AF5"/>
    <w:rsid w:val="00BD581A"/>
    <w:rsid w:val="00BD6B29"/>
    <w:rsid w:val="00BE021F"/>
    <w:rsid w:val="00BE0B77"/>
    <w:rsid w:val="00BE1113"/>
    <w:rsid w:val="00BE2894"/>
    <w:rsid w:val="00BE28BA"/>
    <w:rsid w:val="00BE418D"/>
    <w:rsid w:val="00BE43EF"/>
    <w:rsid w:val="00BE4D39"/>
    <w:rsid w:val="00BE6C75"/>
    <w:rsid w:val="00BE6CE2"/>
    <w:rsid w:val="00BE6E37"/>
    <w:rsid w:val="00BE6F01"/>
    <w:rsid w:val="00BF0CD5"/>
    <w:rsid w:val="00BF2BAC"/>
    <w:rsid w:val="00BF35F2"/>
    <w:rsid w:val="00BF3885"/>
    <w:rsid w:val="00BF4700"/>
    <w:rsid w:val="00BF5832"/>
    <w:rsid w:val="00BF60FB"/>
    <w:rsid w:val="00BF61DA"/>
    <w:rsid w:val="00BF7616"/>
    <w:rsid w:val="00C012D5"/>
    <w:rsid w:val="00C03ECB"/>
    <w:rsid w:val="00C0410F"/>
    <w:rsid w:val="00C04D71"/>
    <w:rsid w:val="00C055D0"/>
    <w:rsid w:val="00C05A43"/>
    <w:rsid w:val="00C05BD9"/>
    <w:rsid w:val="00C06C13"/>
    <w:rsid w:val="00C074CA"/>
    <w:rsid w:val="00C11480"/>
    <w:rsid w:val="00C1189D"/>
    <w:rsid w:val="00C120BB"/>
    <w:rsid w:val="00C12496"/>
    <w:rsid w:val="00C124FE"/>
    <w:rsid w:val="00C12A5C"/>
    <w:rsid w:val="00C1366B"/>
    <w:rsid w:val="00C136D9"/>
    <w:rsid w:val="00C149D9"/>
    <w:rsid w:val="00C16774"/>
    <w:rsid w:val="00C20685"/>
    <w:rsid w:val="00C2267C"/>
    <w:rsid w:val="00C2287D"/>
    <w:rsid w:val="00C22FE8"/>
    <w:rsid w:val="00C23066"/>
    <w:rsid w:val="00C235C9"/>
    <w:rsid w:val="00C23A65"/>
    <w:rsid w:val="00C23C09"/>
    <w:rsid w:val="00C24E48"/>
    <w:rsid w:val="00C255CB"/>
    <w:rsid w:val="00C261D6"/>
    <w:rsid w:val="00C27ACA"/>
    <w:rsid w:val="00C308AD"/>
    <w:rsid w:val="00C30E75"/>
    <w:rsid w:val="00C31167"/>
    <w:rsid w:val="00C31EAC"/>
    <w:rsid w:val="00C348FC"/>
    <w:rsid w:val="00C34A09"/>
    <w:rsid w:val="00C35560"/>
    <w:rsid w:val="00C36D02"/>
    <w:rsid w:val="00C40878"/>
    <w:rsid w:val="00C408BB"/>
    <w:rsid w:val="00C40B12"/>
    <w:rsid w:val="00C40BF0"/>
    <w:rsid w:val="00C41E74"/>
    <w:rsid w:val="00C41EEE"/>
    <w:rsid w:val="00C42716"/>
    <w:rsid w:val="00C428C5"/>
    <w:rsid w:val="00C4294E"/>
    <w:rsid w:val="00C448B7"/>
    <w:rsid w:val="00C45DB4"/>
    <w:rsid w:val="00C45F58"/>
    <w:rsid w:val="00C469A0"/>
    <w:rsid w:val="00C46E5A"/>
    <w:rsid w:val="00C47624"/>
    <w:rsid w:val="00C47AC3"/>
    <w:rsid w:val="00C5028A"/>
    <w:rsid w:val="00C504A0"/>
    <w:rsid w:val="00C5082A"/>
    <w:rsid w:val="00C50869"/>
    <w:rsid w:val="00C51262"/>
    <w:rsid w:val="00C52038"/>
    <w:rsid w:val="00C525D6"/>
    <w:rsid w:val="00C53851"/>
    <w:rsid w:val="00C55002"/>
    <w:rsid w:val="00C55728"/>
    <w:rsid w:val="00C55B56"/>
    <w:rsid w:val="00C56EFF"/>
    <w:rsid w:val="00C6012A"/>
    <w:rsid w:val="00C612F0"/>
    <w:rsid w:val="00C61852"/>
    <w:rsid w:val="00C61AEE"/>
    <w:rsid w:val="00C625B0"/>
    <w:rsid w:val="00C631A9"/>
    <w:rsid w:val="00C633B9"/>
    <w:rsid w:val="00C63952"/>
    <w:rsid w:val="00C63D99"/>
    <w:rsid w:val="00C6488D"/>
    <w:rsid w:val="00C65AE3"/>
    <w:rsid w:val="00C66EE0"/>
    <w:rsid w:val="00C672F4"/>
    <w:rsid w:val="00C700B2"/>
    <w:rsid w:val="00C704CE"/>
    <w:rsid w:val="00C70CCA"/>
    <w:rsid w:val="00C72F5C"/>
    <w:rsid w:val="00C7318D"/>
    <w:rsid w:val="00C731B6"/>
    <w:rsid w:val="00C74632"/>
    <w:rsid w:val="00C74FB7"/>
    <w:rsid w:val="00C7504C"/>
    <w:rsid w:val="00C75318"/>
    <w:rsid w:val="00C7575F"/>
    <w:rsid w:val="00C75938"/>
    <w:rsid w:val="00C759C1"/>
    <w:rsid w:val="00C76BB7"/>
    <w:rsid w:val="00C76D91"/>
    <w:rsid w:val="00C80471"/>
    <w:rsid w:val="00C809B8"/>
    <w:rsid w:val="00C810F3"/>
    <w:rsid w:val="00C82E85"/>
    <w:rsid w:val="00C83C54"/>
    <w:rsid w:val="00C83E16"/>
    <w:rsid w:val="00C84924"/>
    <w:rsid w:val="00C84E8A"/>
    <w:rsid w:val="00C8793D"/>
    <w:rsid w:val="00C87B1E"/>
    <w:rsid w:val="00C90018"/>
    <w:rsid w:val="00C90BFA"/>
    <w:rsid w:val="00C92600"/>
    <w:rsid w:val="00C93782"/>
    <w:rsid w:val="00C93E4A"/>
    <w:rsid w:val="00C94BBA"/>
    <w:rsid w:val="00C94EA9"/>
    <w:rsid w:val="00C95513"/>
    <w:rsid w:val="00C95C89"/>
    <w:rsid w:val="00C96C17"/>
    <w:rsid w:val="00CA0FEE"/>
    <w:rsid w:val="00CA1540"/>
    <w:rsid w:val="00CA1659"/>
    <w:rsid w:val="00CA2763"/>
    <w:rsid w:val="00CA3355"/>
    <w:rsid w:val="00CA3699"/>
    <w:rsid w:val="00CA3BB0"/>
    <w:rsid w:val="00CA3D6A"/>
    <w:rsid w:val="00CA4DA6"/>
    <w:rsid w:val="00CA6301"/>
    <w:rsid w:val="00CA7A4C"/>
    <w:rsid w:val="00CB1B6F"/>
    <w:rsid w:val="00CB1E84"/>
    <w:rsid w:val="00CB289A"/>
    <w:rsid w:val="00CB328A"/>
    <w:rsid w:val="00CB37BA"/>
    <w:rsid w:val="00CB4157"/>
    <w:rsid w:val="00CB4437"/>
    <w:rsid w:val="00CB4A4F"/>
    <w:rsid w:val="00CB5402"/>
    <w:rsid w:val="00CB5AB1"/>
    <w:rsid w:val="00CB5C99"/>
    <w:rsid w:val="00CB637D"/>
    <w:rsid w:val="00CB7BB1"/>
    <w:rsid w:val="00CB7F68"/>
    <w:rsid w:val="00CC3265"/>
    <w:rsid w:val="00CC3EB7"/>
    <w:rsid w:val="00CC4C2A"/>
    <w:rsid w:val="00CC55FF"/>
    <w:rsid w:val="00CC69A1"/>
    <w:rsid w:val="00CC6EFE"/>
    <w:rsid w:val="00CC7BAB"/>
    <w:rsid w:val="00CD0675"/>
    <w:rsid w:val="00CD0684"/>
    <w:rsid w:val="00CD148C"/>
    <w:rsid w:val="00CD185E"/>
    <w:rsid w:val="00CD1D2C"/>
    <w:rsid w:val="00CD21B9"/>
    <w:rsid w:val="00CD2FC8"/>
    <w:rsid w:val="00CD3933"/>
    <w:rsid w:val="00CD3D29"/>
    <w:rsid w:val="00CD3D4F"/>
    <w:rsid w:val="00CD3E25"/>
    <w:rsid w:val="00CD3FB0"/>
    <w:rsid w:val="00CD4F6D"/>
    <w:rsid w:val="00CD5121"/>
    <w:rsid w:val="00CD5A03"/>
    <w:rsid w:val="00CD67D6"/>
    <w:rsid w:val="00CD6B69"/>
    <w:rsid w:val="00CD7CAF"/>
    <w:rsid w:val="00CE11E9"/>
    <w:rsid w:val="00CE11FE"/>
    <w:rsid w:val="00CE17F2"/>
    <w:rsid w:val="00CE24B4"/>
    <w:rsid w:val="00CE258D"/>
    <w:rsid w:val="00CE279C"/>
    <w:rsid w:val="00CE30D5"/>
    <w:rsid w:val="00CE470E"/>
    <w:rsid w:val="00CE58BA"/>
    <w:rsid w:val="00CE7CA4"/>
    <w:rsid w:val="00CE7E87"/>
    <w:rsid w:val="00CF0E20"/>
    <w:rsid w:val="00CF1B95"/>
    <w:rsid w:val="00CF210B"/>
    <w:rsid w:val="00CF2CDE"/>
    <w:rsid w:val="00CF2F34"/>
    <w:rsid w:val="00CF302C"/>
    <w:rsid w:val="00CF3462"/>
    <w:rsid w:val="00CF4433"/>
    <w:rsid w:val="00CF55CB"/>
    <w:rsid w:val="00CF572B"/>
    <w:rsid w:val="00CF5C36"/>
    <w:rsid w:val="00CF6C37"/>
    <w:rsid w:val="00CF6F8E"/>
    <w:rsid w:val="00CF711F"/>
    <w:rsid w:val="00CF7C7A"/>
    <w:rsid w:val="00CF7E51"/>
    <w:rsid w:val="00CF7F16"/>
    <w:rsid w:val="00D001EF"/>
    <w:rsid w:val="00D01418"/>
    <w:rsid w:val="00D01613"/>
    <w:rsid w:val="00D0287F"/>
    <w:rsid w:val="00D02E1A"/>
    <w:rsid w:val="00D02E6B"/>
    <w:rsid w:val="00D0475A"/>
    <w:rsid w:val="00D05A65"/>
    <w:rsid w:val="00D05CE8"/>
    <w:rsid w:val="00D079E0"/>
    <w:rsid w:val="00D1002A"/>
    <w:rsid w:val="00D10107"/>
    <w:rsid w:val="00D10AE1"/>
    <w:rsid w:val="00D1291A"/>
    <w:rsid w:val="00D133F8"/>
    <w:rsid w:val="00D136C0"/>
    <w:rsid w:val="00D13798"/>
    <w:rsid w:val="00D14704"/>
    <w:rsid w:val="00D149CA"/>
    <w:rsid w:val="00D14B54"/>
    <w:rsid w:val="00D15181"/>
    <w:rsid w:val="00D153B0"/>
    <w:rsid w:val="00D16DF7"/>
    <w:rsid w:val="00D16F70"/>
    <w:rsid w:val="00D1768D"/>
    <w:rsid w:val="00D17B8B"/>
    <w:rsid w:val="00D17DCF"/>
    <w:rsid w:val="00D20F6E"/>
    <w:rsid w:val="00D21313"/>
    <w:rsid w:val="00D213C7"/>
    <w:rsid w:val="00D222CF"/>
    <w:rsid w:val="00D242C6"/>
    <w:rsid w:val="00D255C8"/>
    <w:rsid w:val="00D2600A"/>
    <w:rsid w:val="00D26BF4"/>
    <w:rsid w:val="00D3001E"/>
    <w:rsid w:val="00D31C9B"/>
    <w:rsid w:val="00D32354"/>
    <w:rsid w:val="00D328D6"/>
    <w:rsid w:val="00D32C4F"/>
    <w:rsid w:val="00D34183"/>
    <w:rsid w:val="00D3432B"/>
    <w:rsid w:val="00D353D9"/>
    <w:rsid w:val="00D3573E"/>
    <w:rsid w:val="00D36292"/>
    <w:rsid w:val="00D36BE7"/>
    <w:rsid w:val="00D400FF"/>
    <w:rsid w:val="00D402A3"/>
    <w:rsid w:val="00D405CB"/>
    <w:rsid w:val="00D414D6"/>
    <w:rsid w:val="00D429C3"/>
    <w:rsid w:val="00D438DE"/>
    <w:rsid w:val="00D441B4"/>
    <w:rsid w:val="00D4616E"/>
    <w:rsid w:val="00D463AA"/>
    <w:rsid w:val="00D50142"/>
    <w:rsid w:val="00D50CF9"/>
    <w:rsid w:val="00D51288"/>
    <w:rsid w:val="00D51578"/>
    <w:rsid w:val="00D52C26"/>
    <w:rsid w:val="00D52CB4"/>
    <w:rsid w:val="00D53932"/>
    <w:rsid w:val="00D53F62"/>
    <w:rsid w:val="00D555F9"/>
    <w:rsid w:val="00D556F1"/>
    <w:rsid w:val="00D5619D"/>
    <w:rsid w:val="00D56ADB"/>
    <w:rsid w:val="00D56C5D"/>
    <w:rsid w:val="00D56F77"/>
    <w:rsid w:val="00D6008F"/>
    <w:rsid w:val="00D60DB7"/>
    <w:rsid w:val="00D613AE"/>
    <w:rsid w:val="00D61943"/>
    <w:rsid w:val="00D62BD7"/>
    <w:rsid w:val="00D63369"/>
    <w:rsid w:val="00D63413"/>
    <w:rsid w:val="00D64361"/>
    <w:rsid w:val="00D64870"/>
    <w:rsid w:val="00D64AAF"/>
    <w:rsid w:val="00D64C8B"/>
    <w:rsid w:val="00D659E4"/>
    <w:rsid w:val="00D661E3"/>
    <w:rsid w:val="00D66282"/>
    <w:rsid w:val="00D6681A"/>
    <w:rsid w:val="00D66BEA"/>
    <w:rsid w:val="00D6722E"/>
    <w:rsid w:val="00D6731B"/>
    <w:rsid w:val="00D70410"/>
    <w:rsid w:val="00D71682"/>
    <w:rsid w:val="00D72721"/>
    <w:rsid w:val="00D74EA2"/>
    <w:rsid w:val="00D75089"/>
    <w:rsid w:val="00D75A42"/>
    <w:rsid w:val="00D81951"/>
    <w:rsid w:val="00D819E4"/>
    <w:rsid w:val="00D829CD"/>
    <w:rsid w:val="00D8305D"/>
    <w:rsid w:val="00D83759"/>
    <w:rsid w:val="00D84259"/>
    <w:rsid w:val="00D842AF"/>
    <w:rsid w:val="00D844AF"/>
    <w:rsid w:val="00D849CC"/>
    <w:rsid w:val="00D85D34"/>
    <w:rsid w:val="00D86AB3"/>
    <w:rsid w:val="00D86D1E"/>
    <w:rsid w:val="00D87115"/>
    <w:rsid w:val="00D87B1F"/>
    <w:rsid w:val="00D9013D"/>
    <w:rsid w:val="00D90539"/>
    <w:rsid w:val="00D90B62"/>
    <w:rsid w:val="00D912FA"/>
    <w:rsid w:val="00D91D17"/>
    <w:rsid w:val="00D91D38"/>
    <w:rsid w:val="00D927DD"/>
    <w:rsid w:val="00D92C17"/>
    <w:rsid w:val="00D934D8"/>
    <w:rsid w:val="00D9467E"/>
    <w:rsid w:val="00D95823"/>
    <w:rsid w:val="00D958FA"/>
    <w:rsid w:val="00D974CF"/>
    <w:rsid w:val="00D97904"/>
    <w:rsid w:val="00D97E0B"/>
    <w:rsid w:val="00DA02A1"/>
    <w:rsid w:val="00DA0F36"/>
    <w:rsid w:val="00DA21E6"/>
    <w:rsid w:val="00DA2DBF"/>
    <w:rsid w:val="00DA2F8B"/>
    <w:rsid w:val="00DA2FDB"/>
    <w:rsid w:val="00DA3FC0"/>
    <w:rsid w:val="00DA475F"/>
    <w:rsid w:val="00DA50C3"/>
    <w:rsid w:val="00DA5358"/>
    <w:rsid w:val="00DA5E0D"/>
    <w:rsid w:val="00DA618B"/>
    <w:rsid w:val="00DA6A3B"/>
    <w:rsid w:val="00DA6C8E"/>
    <w:rsid w:val="00DA6E25"/>
    <w:rsid w:val="00DA7549"/>
    <w:rsid w:val="00DA7628"/>
    <w:rsid w:val="00DA78ED"/>
    <w:rsid w:val="00DA79B2"/>
    <w:rsid w:val="00DA7AEB"/>
    <w:rsid w:val="00DA7BB8"/>
    <w:rsid w:val="00DB0546"/>
    <w:rsid w:val="00DB0570"/>
    <w:rsid w:val="00DB0B57"/>
    <w:rsid w:val="00DB1A0B"/>
    <w:rsid w:val="00DB1A8A"/>
    <w:rsid w:val="00DB22EC"/>
    <w:rsid w:val="00DB2842"/>
    <w:rsid w:val="00DB5120"/>
    <w:rsid w:val="00DB5AE9"/>
    <w:rsid w:val="00DB63E0"/>
    <w:rsid w:val="00DB67B2"/>
    <w:rsid w:val="00DB6970"/>
    <w:rsid w:val="00DB6E92"/>
    <w:rsid w:val="00DB7515"/>
    <w:rsid w:val="00DC0B7E"/>
    <w:rsid w:val="00DC1C58"/>
    <w:rsid w:val="00DC2451"/>
    <w:rsid w:val="00DC2610"/>
    <w:rsid w:val="00DC2A70"/>
    <w:rsid w:val="00DC2BB3"/>
    <w:rsid w:val="00DC4673"/>
    <w:rsid w:val="00DC4CE9"/>
    <w:rsid w:val="00DC5812"/>
    <w:rsid w:val="00DC5C08"/>
    <w:rsid w:val="00DC634F"/>
    <w:rsid w:val="00DC749B"/>
    <w:rsid w:val="00DC7FE1"/>
    <w:rsid w:val="00DD0974"/>
    <w:rsid w:val="00DD1BE8"/>
    <w:rsid w:val="00DD2808"/>
    <w:rsid w:val="00DD472F"/>
    <w:rsid w:val="00DD4954"/>
    <w:rsid w:val="00DD4C91"/>
    <w:rsid w:val="00DD5F88"/>
    <w:rsid w:val="00DD6AF7"/>
    <w:rsid w:val="00DD7F04"/>
    <w:rsid w:val="00DE03AC"/>
    <w:rsid w:val="00DE0744"/>
    <w:rsid w:val="00DE0912"/>
    <w:rsid w:val="00DE0CE7"/>
    <w:rsid w:val="00DE11AA"/>
    <w:rsid w:val="00DE250C"/>
    <w:rsid w:val="00DE2D9B"/>
    <w:rsid w:val="00DE35DC"/>
    <w:rsid w:val="00DE4C68"/>
    <w:rsid w:val="00DE5439"/>
    <w:rsid w:val="00DE547D"/>
    <w:rsid w:val="00DE69D6"/>
    <w:rsid w:val="00DE6D58"/>
    <w:rsid w:val="00DE7091"/>
    <w:rsid w:val="00DE7C48"/>
    <w:rsid w:val="00DE7F94"/>
    <w:rsid w:val="00DF05BF"/>
    <w:rsid w:val="00DF0BFC"/>
    <w:rsid w:val="00DF1933"/>
    <w:rsid w:val="00DF2054"/>
    <w:rsid w:val="00DF2B2F"/>
    <w:rsid w:val="00DF383A"/>
    <w:rsid w:val="00DF3C46"/>
    <w:rsid w:val="00DF7B68"/>
    <w:rsid w:val="00E006FE"/>
    <w:rsid w:val="00E00923"/>
    <w:rsid w:val="00E00A9F"/>
    <w:rsid w:val="00E02DFF"/>
    <w:rsid w:val="00E03F70"/>
    <w:rsid w:val="00E042CE"/>
    <w:rsid w:val="00E055A6"/>
    <w:rsid w:val="00E10940"/>
    <w:rsid w:val="00E112B0"/>
    <w:rsid w:val="00E11603"/>
    <w:rsid w:val="00E12696"/>
    <w:rsid w:val="00E12FC8"/>
    <w:rsid w:val="00E13276"/>
    <w:rsid w:val="00E133DB"/>
    <w:rsid w:val="00E140D6"/>
    <w:rsid w:val="00E14B8C"/>
    <w:rsid w:val="00E163FB"/>
    <w:rsid w:val="00E1664D"/>
    <w:rsid w:val="00E16941"/>
    <w:rsid w:val="00E16BC3"/>
    <w:rsid w:val="00E20B42"/>
    <w:rsid w:val="00E22006"/>
    <w:rsid w:val="00E2221B"/>
    <w:rsid w:val="00E22A59"/>
    <w:rsid w:val="00E236A0"/>
    <w:rsid w:val="00E26279"/>
    <w:rsid w:val="00E27B8C"/>
    <w:rsid w:val="00E3247D"/>
    <w:rsid w:val="00E329E8"/>
    <w:rsid w:val="00E32C2F"/>
    <w:rsid w:val="00E32E78"/>
    <w:rsid w:val="00E33305"/>
    <w:rsid w:val="00E3376D"/>
    <w:rsid w:val="00E33A5A"/>
    <w:rsid w:val="00E342A5"/>
    <w:rsid w:val="00E346CB"/>
    <w:rsid w:val="00E35217"/>
    <w:rsid w:val="00E373F6"/>
    <w:rsid w:val="00E37DFC"/>
    <w:rsid w:val="00E37E76"/>
    <w:rsid w:val="00E410E7"/>
    <w:rsid w:val="00E417AC"/>
    <w:rsid w:val="00E41B52"/>
    <w:rsid w:val="00E433B4"/>
    <w:rsid w:val="00E44618"/>
    <w:rsid w:val="00E4489E"/>
    <w:rsid w:val="00E453E2"/>
    <w:rsid w:val="00E46769"/>
    <w:rsid w:val="00E4694A"/>
    <w:rsid w:val="00E5115E"/>
    <w:rsid w:val="00E512E4"/>
    <w:rsid w:val="00E51AA6"/>
    <w:rsid w:val="00E53016"/>
    <w:rsid w:val="00E530BF"/>
    <w:rsid w:val="00E53911"/>
    <w:rsid w:val="00E53AD9"/>
    <w:rsid w:val="00E53EDA"/>
    <w:rsid w:val="00E546B0"/>
    <w:rsid w:val="00E54C1A"/>
    <w:rsid w:val="00E54E1B"/>
    <w:rsid w:val="00E56A0C"/>
    <w:rsid w:val="00E57FD7"/>
    <w:rsid w:val="00E605CA"/>
    <w:rsid w:val="00E60D97"/>
    <w:rsid w:val="00E62D0A"/>
    <w:rsid w:val="00E63ADC"/>
    <w:rsid w:val="00E64A01"/>
    <w:rsid w:val="00E64D67"/>
    <w:rsid w:val="00E6520C"/>
    <w:rsid w:val="00E65C38"/>
    <w:rsid w:val="00E66CE3"/>
    <w:rsid w:val="00E67725"/>
    <w:rsid w:val="00E67BE5"/>
    <w:rsid w:val="00E70134"/>
    <w:rsid w:val="00E701D5"/>
    <w:rsid w:val="00E71065"/>
    <w:rsid w:val="00E7150A"/>
    <w:rsid w:val="00E716B6"/>
    <w:rsid w:val="00E7190B"/>
    <w:rsid w:val="00E7341C"/>
    <w:rsid w:val="00E7398E"/>
    <w:rsid w:val="00E73B80"/>
    <w:rsid w:val="00E73D2F"/>
    <w:rsid w:val="00E74078"/>
    <w:rsid w:val="00E74536"/>
    <w:rsid w:val="00E74992"/>
    <w:rsid w:val="00E74C71"/>
    <w:rsid w:val="00E74E3A"/>
    <w:rsid w:val="00E7605E"/>
    <w:rsid w:val="00E76DE1"/>
    <w:rsid w:val="00E77574"/>
    <w:rsid w:val="00E77AC8"/>
    <w:rsid w:val="00E8081E"/>
    <w:rsid w:val="00E80E44"/>
    <w:rsid w:val="00E81909"/>
    <w:rsid w:val="00E84074"/>
    <w:rsid w:val="00E84877"/>
    <w:rsid w:val="00E84A88"/>
    <w:rsid w:val="00E85453"/>
    <w:rsid w:val="00E863F8"/>
    <w:rsid w:val="00E86CC2"/>
    <w:rsid w:val="00E86E07"/>
    <w:rsid w:val="00E86E5E"/>
    <w:rsid w:val="00E876B6"/>
    <w:rsid w:val="00E9005B"/>
    <w:rsid w:val="00E90F76"/>
    <w:rsid w:val="00E91F98"/>
    <w:rsid w:val="00E924F6"/>
    <w:rsid w:val="00E92561"/>
    <w:rsid w:val="00E9292D"/>
    <w:rsid w:val="00E9395D"/>
    <w:rsid w:val="00E943F3"/>
    <w:rsid w:val="00E961FD"/>
    <w:rsid w:val="00E96E96"/>
    <w:rsid w:val="00E97FDF"/>
    <w:rsid w:val="00EA0702"/>
    <w:rsid w:val="00EA1CC0"/>
    <w:rsid w:val="00EA42C7"/>
    <w:rsid w:val="00EA4449"/>
    <w:rsid w:val="00EA4579"/>
    <w:rsid w:val="00EA5675"/>
    <w:rsid w:val="00EA66D1"/>
    <w:rsid w:val="00EA7677"/>
    <w:rsid w:val="00EB2D3E"/>
    <w:rsid w:val="00EB2F2E"/>
    <w:rsid w:val="00EB3E30"/>
    <w:rsid w:val="00EB4A95"/>
    <w:rsid w:val="00EB533C"/>
    <w:rsid w:val="00EB641D"/>
    <w:rsid w:val="00EB6EC1"/>
    <w:rsid w:val="00EB6FB3"/>
    <w:rsid w:val="00EB7189"/>
    <w:rsid w:val="00EB789B"/>
    <w:rsid w:val="00EC02CD"/>
    <w:rsid w:val="00EC0ABA"/>
    <w:rsid w:val="00EC1FC3"/>
    <w:rsid w:val="00EC2D5A"/>
    <w:rsid w:val="00EC30CB"/>
    <w:rsid w:val="00EC375B"/>
    <w:rsid w:val="00EC40C3"/>
    <w:rsid w:val="00EC4F2E"/>
    <w:rsid w:val="00EC6E5C"/>
    <w:rsid w:val="00EC6F9C"/>
    <w:rsid w:val="00EC7131"/>
    <w:rsid w:val="00EC720E"/>
    <w:rsid w:val="00EC7C65"/>
    <w:rsid w:val="00EC7F98"/>
    <w:rsid w:val="00ED2248"/>
    <w:rsid w:val="00ED2A3A"/>
    <w:rsid w:val="00ED3A1F"/>
    <w:rsid w:val="00ED3EFC"/>
    <w:rsid w:val="00ED4054"/>
    <w:rsid w:val="00ED4956"/>
    <w:rsid w:val="00ED5AB8"/>
    <w:rsid w:val="00ED7B42"/>
    <w:rsid w:val="00EE124D"/>
    <w:rsid w:val="00EE332D"/>
    <w:rsid w:val="00EE3592"/>
    <w:rsid w:val="00EE36F9"/>
    <w:rsid w:val="00EE4177"/>
    <w:rsid w:val="00EE648B"/>
    <w:rsid w:val="00EE68FD"/>
    <w:rsid w:val="00EE7C38"/>
    <w:rsid w:val="00EF0BB8"/>
    <w:rsid w:val="00EF0E62"/>
    <w:rsid w:val="00EF0EBF"/>
    <w:rsid w:val="00EF1922"/>
    <w:rsid w:val="00EF1FC9"/>
    <w:rsid w:val="00EF262F"/>
    <w:rsid w:val="00EF2817"/>
    <w:rsid w:val="00EF2A7B"/>
    <w:rsid w:val="00EF3BA9"/>
    <w:rsid w:val="00EF4457"/>
    <w:rsid w:val="00EF4D8E"/>
    <w:rsid w:val="00EF52FD"/>
    <w:rsid w:val="00EF5B50"/>
    <w:rsid w:val="00EF63E9"/>
    <w:rsid w:val="00EF6CBB"/>
    <w:rsid w:val="00EF7015"/>
    <w:rsid w:val="00EF7271"/>
    <w:rsid w:val="00EF7A2C"/>
    <w:rsid w:val="00F001FE"/>
    <w:rsid w:val="00F00500"/>
    <w:rsid w:val="00F00A68"/>
    <w:rsid w:val="00F00A84"/>
    <w:rsid w:val="00F01554"/>
    <w:rsid w:val="00F02A29"/>
    <w:rsid w:val="00F033D9"/>
    <w:rsid w:val="00F03723"/>
    <w:rsid w:val="00F037C6"/>
    <w:rsid w:val="00F03E68"/>
    <w:rsid w:val="00F04239"/>
    <w:rsid w:val="00F04FEA"/>
    <w:rsid w:val="00F05A1D"/>
    <w:rsid w:val="00F0698C"/>
    <w:rsid w:val="00F06CDD"/>
    <w:rsid w:val="00F070AC"/>
    <w:rsid w:val="00F07BFF"/>
    <w:rsid w:val="00F105E7"/>
    <w:rsid w:val="00F11B1D"/>
    <w:rsid w:val="00F1226A"/>
    <w:rsid w:val="00F1258C"/>
    <w:rsid w:val="00F131AB"/>
    <w:rsid w:val="00F151AC"/>
    <w:rsid w:val="00F15514"/>
    <w:rsid w:val="00F1568B"/>
    <w:rsid w:val="00F16B36"/>
    <w:rsid w:val="00F17B6E"/>
    <w:rsid w:val="00F2036F"/>
    <w:rsid w:val="00F21178"/>
    <w:rsid w:val="00F22270"/>
    <w:rsid w:val="00F22CA5"/>
    <w:rsid w:val="00F2307A"/>
    <w:rsid w:val="00F23E3B"/>
    <w:rsid w:val="00F240B0"/>
    <w:rsid w:val="00F261CC"/>
    <w:rsid w:val="00F30086"/>
    <w:rsid w:val="00F30959"/>
    <w:rsid w:val="00F312A0"/>
    <w:rsid w:val="00F3159C"/>
    <w:rsid w:val="00F31E22"/>
    <w:rsid w:val="00F31E26"/>
    <w:rsid w:val="00F31FC6"/>
    <w:rsid w:val="00F31FF4"/>
    <w:rsid w:val="00F32175"/>
    <w:rsid w:val="00F3233D"/>
    <w:rsid w:val="00F325B2"/>
    <w:rsid w:val="00F33C79"/>
    <w:rsid w:val="00F354F4"/>
    <w:rsid w:val="00F35940"/>
    <w:rsid w:val="00F36936"/>
    <w:rsid w:val="00F36A38"/>
    <w:rsid w:val="00F3735B"/>
    <w:rsid w:val="00F37467"/>
    <w:rsid w:val="00F37779"/>
    <w:rsid w:val="00F37B12"/>
    <w:rsid w:val="00F37B74"/>
    <w:rsid w:val="00F40DF4"/>
    <w:rsid w:val="00F4130C"/>
    <w:rsid w:val="00F41788"/>
    <w:rsid w:val="00F41D7B"/>
    <w:rsid w:val="00F42085"/>
    <w:rsid w:val="00F43602"/>
    <w:rsid w:val="00F43736"/>
    <w:rsid w:val="00F45082"/>
    <w:rsid w:val="00F45675"/>
    <w:rsid w:val="00F45B5A"/>
    <w:rsid w:val="00F46670"/>
    <w:rsid w:val="00F4686A"/>
    <w:rsid w:val="00F46DD5"/>
    <w:rsid w:val="00F5006D"/>
    <w:rsid w:val="00F508E4"/>
    <w:rsid w:val="00F51128"/>
    <w:rsid w:val="00F5277E"/>
    <w:rsid w:val="00F55257"/>
    <w:rsid w:val="00F553A9"/>
    <w:rsid w:val="00F558D1"/>
    <w:rsid w:val="00F55ADC"/>
    <w:rsid w:val="00F56628"/>
    <w:rsid w:val="00F5666C"/>
    <w:rsid w:val="00F566BA"/>
    <w:rsid w:val="00F56CC8"/>
    <w:rsid w:val="00F57B80"/>
    <w:rsid w:val="00F60472"/>
    <w:rsid w:val="00F604D1"/>
    <w:rsid w:val="00F61447"/>
    <w:rsid w:val="00F61698"/>
    <w:rsid w:val="00F61AF2"/>
    <w:rsid w:val="00F6209B"/>
    <w:rsid w:val="00F6252F"/>
    <w:rsid w:val="00F6253A"/>
    <w:rsid w:val="00F628FE"/>
    <w:rsid w:val="00F63A74"/>
    <w:rsid w:val="00F64798"/>
    <w:rsid w:val="00F64A4B"/>
    <w:rsid w:val="00F64B74"/>
    <w:rsid w:val="00F653F9"/>
    <w:rsid w:val="00F66F40"/>
    <w:rsid w:val="00F66FFC"/>
    <w:rsid w:val="00F6732E"/>
    <w:rsid w:val="00F67835"/>
    <w:rsid w:val="00F70005"/>
    <w:rsid w:val="00F704A5"/>
    <w:rsid w:val="00F72D0E"/>
    <w:rsid w:val="00F73507"/>
    <w:rsid w:val="00F75724"/>
    <w:rsid w:val="00F75DAA"/>
    <w:rsid w:val="00F76380"/>
    <w:rsid w:val="00F76509"/>
    <w:rsid w:val="00F7681B"/>
    <w:rsid w:val="00F76EDB"/>
    <w:rsid w:val="00F7717A"/>
    <w:rsid w:val="00F77419"/>
    <w:rsid w:val="00F80AB8"/>
    <w:rsid w:val="00F812D5"/>
    <w:rsid w:val="00F836BB"/>
    <w:rsid w:val="00F851C1"/>
    <w:rsid w:val="00F85C26"/>
    <w:rsid w:val="00F86142"/>
    <w:rsid w:val="00F8753B"/>
    <w:rsid w:val="00F92A28"/>
    <w:rsid w:val="00F92C0D"/>
    <w:rsid w:val="00F92C86"/>
    <w:rsid w:val="00F92F34"/>
    <w:rsid w:val="00F9336D"/>
    <w:rsid w:val="00F9400D"/>
    <w:rsid w:val="00F948A4"/>
    <w:rsid w:val="00F963DD"/>
    <w:rsid w:val="00F972CD"/>
    <w:rsid w:val="00F97950"/>
    <w:rsid w:val="00F97EA2"/>
    <w:rsid w:val="00FA155D"/>
    <w:rsid w:val="00FA2094"/>
    <w:rsid w:val="00FA2EB8"/>
    <w:rsid w:val="00FA365D"/>
    <w:rsid w:val="00FA36E8"/>
    <w:rsid w:val="00FA37CC"/>
    <w:rsid w:val="00FA7A2E"/>
    <w:rsid w:val="00FB1492"/>
    <w:rsid w:val="00FB1BF3"/>
    <w:rsid w:val="00FB1C90"/>
    <w:rsid w:val="00FB1EA1"/>
    <w:rsid w:val="00FB2E6A"/>
    <w:rsid w:val="00FB3ADF"/>
    <w:rsid w:val="00FB4720"/>
    <w:rsid w:val="00FB49F4"/>
    <w:rsid w:val="00FB4B82"/>
    <w:rsid w:val="00FB4F70"/>
    <w:rsid w:val="00FB67B4"/>
    <w:rsid w:val="00FB71F1"/>
    <w:rsid w:val="00FB731B"/>
    <w:rsid w:val="00FB7FB0"/>
    <w:rsid w:val="00FC052F"/>
    <w:rsid w:val="00FC2C14"/>
    <w:rsid w:val="00FC30FA"/>
    <w:rsid w:val="00FC38F4"/>
    <w:rsid w:val="00FC3C14"/>
    <w:rsid w:val="00FC45B8"/>
    <w:rsid w:val="00FC5154"/>
    <w:rsid w:val="00FC6FC5"/>
    <w:rsid w:val="00FC747E"/>
    <w:rsid w:val="00FC74B8"/>
    <w:rsid w:val="00FD134E"/>
    <w:rsid w:val="00FD173C"/>
    <w:rsid w:val="00FD1750"/>
    <w:rsid w:val="00FD1DD8"/>
    <w:rsid w:val="00FD34D9"/>
    <w:rsid w:val="00FD3564"/>
    <w:rsid w:val="00FD480F"/>
    <w:rsid w:val="00FD487A"/>
    <w:rsid w:val="00FD751A"/>
    <w:rsid w:val="00FE0B38"/>
    <w:rsid w:val="00FE1206"/>
    <w:rsid w:val="00FE1797"/>
    <w:rsid w:val="00FE190E"/>
    <w:rsid w:val="00FE1D88"/>
    <w:rsid w:val="00FE2703"/>
    <w:rsid w:val="00FE60E1"/>
    <w:rsid w:val="00FE67CB"/>
    <w:rsid w:val="00FE7E4B"/>
    <w:rsid w:val="00FF0585"/>
    <w:rsid w:val="00FF151A"/>
    <w:rsid w:val="00FF191B"/>
    <w:rsid w:val="00FF2228"/>
    <w:rsid w:val="00FF2493"/>
    <w:rsid w:val="00FF25EF"/>
    <w:rsid w:val="00FF2A4E"/>
    <w:rsid w:val="00FF3172"/>
    <w:rsid w:val="00FF366A"/>
    <w:rsid w:val="00FF41B1"/>
    <w:rsid w:val="00FF452F"/>
    <w:rsid w:val="00FF4CA8"/>
    <w:rsid w:val="00FF4E67"/>
    <w:rsid w:val="00FF4F99"/>
    <w:rsid w:val="00FF695D"/>
    <w:rsid w:val="00FF70A0"/>
    <w:rsid w:val="00FF7322"/>
    <w:rsid w:val="00FF77A2"/>
    <w:rsid w:val="00FF792F"/>
    <w:rsid w:val="00FF7B66"/>
    <w:rsid w:val="00FF7F07"/>
    <w:rsid w:val="010827C0"/>
    <w:rsid w:val="014F04E5"/>
    <w:rsid w:val="016F283F"/>
    <w:rsid w:val="01920401"/>
    <w:rsid w:val="0195644C"/>
    <w:rsid w:val="019E4202"/>
    <w:rsid w:val="01B87B26"/>
    <w:rsid w:val="01C072D1"/>
    <w:rsid w:val="01C62F65"/>
    <w:rsid w:val="0255198A"/>
    <w:rsid w:val="027423B3"/>
    <w:rsid w:val="028E7BDF"/>
    <w:rsid w:val="02B472A9"/>
    <w:rsid w:val="02C95469"/>
    <w:rsid w:val="02D34744"/>
    <w:rsid w:val="02D61B95"/>
    <w:rsid w:val="03101E00"/>
    <w:rsid w:val="03E11484"/>
    <w:rsid w:val="03F545DA"/>
    <w:rsid w:val="04552530"/>
    <w:rsid w:val="0465519A"/>
    <w:rsid w:val="04B05277"/>
    <w:rsid w:val="04B14A54"/>
    <w:rsid w:val="05087233"/>
    <w:rsid w:val="050D4295"/>
    <w:rsid w:val="05371AF0"/>
    <w:rsid w:val="0548574A"/>
    <w:rsid w:val="05544350"/>
    <w:rsid w:val="05D02834"/>
    <w:rsid w:val="05E64C20"/>
    <w:rsid w:val="05ED6429"/>
    <w:rsid w:val="064A0705"/>
    <w:rsid w:val="06897EFF"/>
    <w:rsid w:val="06A04F45"/>
    <w:rsid w:val="06AF7AFE"/>
    <w:rsid w:val="06B04F83"/>
    <w:rsid w:val="06D500D3"/>
    <w:rsid w:val="074143D2"/>
    <w:rsid w:val="07443158"/>
    <w:rsid w:val="074E6108"/>
    <w:rsid w:val="07D41F0B"/>
    <w:rsid w:val="07EF451C"/>
    <w:rsid w:val="080A62FE"/>
    <w:rsid w:val="082779D0"/>
    <w:rsid w:val="08305869"/>
    <w:rsid w:val="088F1F3E"/>
    <w:rsid w:val="089E6217"/>
    <w:rsid w:val="08BE09DC"/>
    <w:rsid w:val="08C96CD9"/>
    <w:rsid w:val="08D82CBE"/>
    <w:rsid w:val="08DF2475"/>
    <w:rsid w:val="08E421C5"/>
    <w:rsid w:val="08F63846"/>
    <w:rsid w:val="08F830FA"/>
    <w:rsid w:val="091F4B4B"/>
    <w:rsid w:val="092A4459"/>
    <w:rsid w:val="09F101AC"/>
    <w:rsid w:val="09F547F1"/>
    <w:rsid w:val="0A1641A0"/>
    <w:rsid w:val="0A374116"/>
    <w:rsid w:val="0A425D09"/>
    <w:rsid w:val="0A615213"/>
    <w:rsid w:val="0AD361DF"/>
    <w:rsid w:val="0AF139A7"/>
    <w:rsid w:val="0BAF7383"/>
    <w:rsid w:val="0BB97AC8"/>
    <w:rsid w:val="0BCA09F3"/>
    <w:rsid w:val="0BCE4606"/>
    <w:rsid w:val="0BCF5D24"/>
    <w:rsid w:val="0C174BC2"/>
    <w:rsid w:val="0C1A784C"/>
    <w:rsid w:val="0C7D722D"/>
    <w:rsid w:val="0CB97FA9"/>
    <w:rsid w:val="0CCB1770"/>
    <w:rsid w:val="0CCE5B94"/>
    <w:rsid w:val="0CEF39AD"/>
    <w:rsid w:val="0CFF1A4A"/>
    <w:rsid w:val="0D3F1B32"/>
    <w:rsid w:val="0D5F286E"/>
    <w:rsid w:val="0DEB14A0"/>
    <w:rsid w:val="0DEB54DD"/>
    <w:rsid w:val="0E096438"/>
    <w:rsid w:val="0E33119A"/>
    <w:rsid w:val="0E484B44"/>
    <w:rsid w:val="0EEF05BA"/>
    <w:rsid w:val="0F0F11BE"/>
    <w:rsid w:val="0F2203CF"/>
    <w:rsid w:val="0F272863"/>
    <w:rsid w:val="0F2C78B5"/>
    <w:rsid w:val="0F49256A"/>
    <w:rsid w:val="0F6256F4"/>
    <w:rsid w:val="0F6A6B8F"/>
    <w:rsid w:val="0FAC2639"/>
    <w:rsid w:val="0FB2671F"/>
    <w:rsid w:val="0FBF4B97"/>
    <w:rsid w:val="10130368"/>
    <w:rsid w:val="102E514F"/>
    <w:rsid w:val="104C77C0"/>
    <w:rsid w:val="1061783B"/>
    <w:rsid w:val="10BF71E9"/>
    <w:rsid w:val="10D241D0"/>
    <w:rsid w:val="11105DEF"/>
    <w:rsid w:val="111123A7"/>
    <w:rsid w:val="1132247A"/>
    <w:rsid w:val="11511AAD"/>
    <w:rsid w:val="11714438"/>
    <w:rsid w:val="117C475F"/>
    <w:rsid w:val="11D10160"/>
    <w:rsid w:val="1204469C"/>
    <w:rsid w:val="12135469"/>
    <w:rsid w:val="121E04E8"/>
    <w:rsid w:val="12200177"/>
    <w:rsid w:val="126E04C4"/>
    <w:rsid w:val="12900868"/>
    <w:rsid w:val="12C10A21"/>
    <w:rsid w:val="13441AE5"/>
    <w:rsid w:val="134C6DD6"/>
    <w:rsid w:val="136D666B"/>
    <w:rsid w:val="139F799A"/>
    <w:rsid w:val="13B17C71"/>
    <w:rsid w:val="13CE17D5"/>
    <w:rsid w:val="1405689D"/>
    <w:rsid w:val="1425441D"/>
    <w:rsid w:val="14301B0C"/>
    <w:rsid w:val="14711FFC"/>
    <w:rsid w:val="147C18B9"/>
    <w:rsid w:val="147E2158"/>
    <w:rsid w:val="14970D4A"/>
    <w:rsid w:val="14AD4DB8"/>
    <w:rsid w:val="14C4258A"/>
    <w:rsid w:val="15C13494"/>
    <w:rsid w:val="15EC220C"/>
    <w:rsid w:val="15F555B1"/>
    <w:rsid w:val="161E3404"/>
    <w:rsid w:val="169C77DB"/>
    <w:rsid w:val="16CD208A"/>
    <w:rsid w:val="170A6E3A"/>
    <w:rsid w:val="171874E1"/>
    <w:rsid w:val="1720040C"/>
    <w:rsid w:val="174E3C66"/>
    <w:rsid w:val="175005C5"/>
    <w:rsid w:val="17BA0860"/>
    <w:rsid w:val="17FF1CA5"/>
    <w:rsid w:val="186576DB"/>
    <w:rsid w:val="1870581D"/>
    <w:rsid w:val="18852DC4"/>
    <w:rsid w:val="18B43EE8"/>
    <w:rsid w:val="19940024"/>
    <w:rsid w:val="19B73F44"/>
    <w:rsid w:val="1A1C0075"/>
    <w:rsid w:val="1A2235E4"/>
    <w:rsid w:val="1A304E0A"/>
    <w:rsid w:val="1A943AF7"/>
    <w:rsid w:val="1ADC3C25"/>
    <w:rsid w:val="1B2C68C9"/>
    <w:rsid w:val="1B8A22F8"/>
    <w:rsid w:val="1BA809D0"/>
    <w:rsid w:val="1BAD4A8B"/>
    <w:rsid w:val="1BC8769B"/>
    <w:rsid w:val="1C041A94"/>
    <w:rsid w:val="1C456AEB"/>
    <w:rsid w:val="1C817B9F"/>
    <w:rsid w:val="1C8C41A9"/>
    <w:rsid w:val="1C913B90"/>
    <w:rsid w:val="1C982E58"/>
    <w:rsid w:val="1CAA2094"/>
    <w:rsid w:val="1CB338B2"/>
    <w:rsid w:val="1CF52D14"/>
    <w:rsid w:val="1D076741"/>
    <w:rsid w:val="1D0F3860"/>
    <w:rsid w:val="1D2A5E93"/>
    <w:rsid w:val="1D5C49B8"/>
    <w:rsid w:val="1D6227F8"/>
    <w:rsid w:val="1D644556"/>
    <w:rsid w:val="1DAB7C59"/>
    <w:rsid w:val="1DC96A0D"/>
    <w:rsid w:val="1DE1661E"/>
    <w:rsid w:val="1DFE291F"/>
    <w:rsid w:val="1E141822"/>
    <w:rsid w:val="1E385966"/>
    <w:rsid w:val="1E7D1FC4"/>
    <w:rsid w:val="1E990AA4"/>
    <w:rsid w:val="1EC41FC5"/>
    <w:rsid w:val="1EE42889"/>
    <w:rsid w:val="1F494278"/>
    <w:rsid w:val="1F4C5B16"/>
    <w:rsid w:val="1F852551"/>
    <w:rsid w:val="1FA73631"/>
    <w:rsid w:val="1FBB64FE"/>
    <w:rsid w:val="1FC009DE"/>
    <w:rsid w:val="1FC35DD8"/>
    <w:rsid w:val="1FF90AD1"/>
    <w:rsid w:val="201448F3"/>
    <w:rsid w:val="2056004D"/>
    <w:rsid w:val="205F5715"/>
    <w:rsid w:val="206B2007"/>
    <w:rsid w:val="207B4905"/>
    <w:rsid w:val="20A04297"/>
    <w:rsid w:val="20C20C31"/>
    <w:rsid w:val="20C84D12"/>
    <w:rsid w:val="20C97592"/>
    <w:rsid w:val="210F6386"/>
    <w:rsid w:val="21543824"/>
    <w:rsid w:val="2197751D"/>
    <w:rsid w:val="21A6126D"/>
    <w:rsid w:val="21BA77C5"/>
    <w:rsid w:val="21CD2F3E"/>
    <w:rsid w:val="21E40288"/>
    <w:rsid w:val="220F1E76"/>
    <w:rsid w:val="223E3706"/>
    <w:rsid w:val="225D0766"/>
    <w:rsid w:val="227F3C44"/>
    <w:rsid w:val="22813E3B"/>
    <w:rsid w:val="22D14F53"/>
    <w:rsid w:val="22F4274D"/>
    <w:rsid w:val="23447230"/>
    <w:rsid w:val="23DB0465"/>
    <w:rsid w:val="23DE59BA"/>
    <w:rsid w:val="240E27FB"/>
    <w:rsid w:val="2460453E"/>
    <w:rsid w:val="24613453"/>
    <w:rsid w:val="24A43F77"/>
    <w:rsid w:val="24C82820"/>
    <w:rsid w:val="24D16C22"/>
    <w:rsid w:val="24D740D4"/>
    <w:rsid w:val="25011339"/>
    <w:rsid w:val="256E3D48"/>
    <w:rsid w:val="25913702"/>
    <w:rsid w:val="25F50CB6"/>
    <w:rsid w:val="26163EB5"/>
    <w:rsid w:val="26251D06"/>
    <w:rsid w:val="26321F0A"/>
    <w:rsid w:val="26C568DA"/>
    <w:rsid w:val="26D905D7"/>
    <w:rsid w:val="26EA6665"/>
    <w:rsid w:val="2746688A"/>
    <w:rsid w:val="276B6060"/>
    <w:rsid w:val="27822A1D"/>
    <w:rsid w:val="278F23C0"/>
    <w:rsid w:val="27B2145C"/>
    <w:rsid w:val="27C81C1C"/>
    <w:rsid w:val="27FA7131"/>
    <w:rsid w:val="281A0EA7"/>
    <w:rsid w:val="28435545"/>
    <w:rsid w:val="287C121A"/>
    <w:rsid w:val="28962D82"/>
    <w:rsid w:val="28C22024"/>
    <w:rsid w:val="28DA4193"/>
    <w:rsid w:val="28E76FDC"/>
    <w:rsid w:val="28FB2A87"/>
    <w:rsid w:val="290129D3"/>
    <w:rsid w:val="298D5275"/>
    <w:rsid w:val="29F56D48"/>
    <w:rsid w:val="2A0D0CC4"/>
    <w:rsid w:val="2A1B2201"/>
    <w:rsid w:val="2A613DAE"/>
    <w:rsid w:val="2AC8240E"/>
    <w:rsid w:val="2AE474F4"/>
    <w:rsid w:val="2AE91610"/>
    <w:rsid w:val="2AF23A16"/>
    <w:rsid w:val="2B2D0EF2"/>
    <w:rsid w:val="2B551AC1"/>
    <w:rsid w:val="2B69661F"/>
    <w:rsid w:val="2BA271EA"/>
    <w:rsid w:val="2BAE7D76"/>
    <w:rsid w:val="2BCD7395"/>
    <w:rsid w:val="2BCE4856"/>
    <w:rsid w:val="2BEC2B5B"/>
    <w:rsid w:val="2C0B1EB7"/>
    <w:rsid w:val="2C3708A1"/>
    <w:rsid w:val="2C740C6A"/>
    <w:rsid w:val="2C8F5842"/>
    <w:rsid w:val="2CBA5B43"/>
    <w:rsid w:val="2CFE750E"/>
    <w:rsid w:val="2D05394C"/>
    <w:rsid w:val="2D0F7889"/>
    <w:rsid w:val="2D874C30"/>
    <w:rsid w:val="2DF42E5B"/>
    <w:rsid w:val="2E0D4939"/>
    <w:rsid w:val="2E734E6D"/>
    <w:rsid w:val="2EA27501"/>
    <w:rsid w:val="2EE46E89"/>
    <w:rsid w:val="2F3C2100"/>
    <w:rsid w:val="2F3E7857"/>
    <w:rsid w:val="2F5E167A"/>
    <w:rsid w:val="2F624773"/>
    <w:rsid w:val="2F9060E8"/>
    <w:rsid w:val="2FC67558"/>
    <w:rsid w:val="2FE00F3D"/>
    <w:rsid w:val="2FEC4067"/>
    <w:rsid w:val="2FF02C24"/>
    <w:rsid w:val="2FF40230"/>
    <w:rsid w:val="30246A80"/>
    <w:rsid w:val="305C0CAD"/>
    <w:rsid w:val="307325D9"/>
    <w:rsid w:val="30B11ABF"/>
    <w:rsid w:val="30C51EF2"/>
    <w:rsid w:val="318750EF"/>
    <w:rsid w:val="318C73AC"/>
    <w:rsid w:val="31E71DFA"/>
    <w:rsid w:val="31F2015C"/>
    <w:rsid w:val="31F67EDC"/>
    <w:rsid w:val="325D5CAE"/>
    <w:rsid w:val="32E53E60"/>
    <w:rsid w:val="333E257D"/>
    <w:rsid w:val="33492A38"/>
    <w:rsid w:val="337C0898"/>
    <w:rsid w:val="341774EA"/>
    <w:rsid w:val="343C6007"/>
    <w:rsid w:val="3474525E"/>
    <w:rsid w:val="348231C8"/>
    <w:rsid w:val="349756CD"/>
    <w:rsid w:val="34BB1D0D"/>
    <w:rsid w:val="34DB703E"/>
    <w:rsid w:val="352B6080"/>
    <w:rsid w:val="352E7A4E"/>
    <w:rsid w:val="355D1BDD"/>
    <w:rsid w:val="358E0B37"/>
    <w:rsid w:val="35F273D0"/>
    <w:rsid w:val="35FF1075"/>
    <w:rsid w:val="36312BA6"/>
    <w:rsid w:val="363E3E80"/>
    <w:rsid w:val="364147F8"/>
    <w:rsid w:val="36AB0D07"/>
    <w:rsid w:val="36CA51EA"/>
    <w:rsid w:val="36D6589E"/>
    <w:rsid w:val="36F44901"/>
    <w:rsid w:val="371216F3"/>
    <w:rsid w:val="371562DB"/>
    <w:rsid w:val="37256F21"/>
    <w:rsid w:val="37321D6A"/>
    <w:rsid w:val="37555A58"/>
    <w:rsid w:val="37B26BC7"/>
    <w:rsid w:val="37BA272F"/>
    <w:rsid w:val="37DF7667"/>
    <w:rsid w:val="3810197F"/>
    <w:rsid w:val="382F7F59"/>
    <w:rsid w:val="3898459D"/>
    <w:rsid w:val="38B4677D"/>
    <w:rsid w:val="38D65532"/>
    <w:rsid w:val="39585248"/>
    <w:rsid w:val="39682C9F"/>
    <w:rsid w:val="39C0030D"/>
    <w:rsid w:val="39E15BEA"/>
    <w:rsid w:val="3A271963"/>
    <w:rsid w:val="3AF96F3C"/>
    <w:rsid w:val="3AFF6407"/>
    <w:rsid w:val="3B4E1274"/>
    <w:rsid w:val="3B6A75F8"/>
    <w:rsid w:val="3B8A2759"/>
    <w:rsid w:val="3BA20BFD"/>
    <w:rsid w:val="3BA42B0A"/>
    <w:rsid w:val="3BC40B50"/>
    <w:rsid w:val="3BD01B51"/>
    <w:rsid w:val="3C003D8D"/>
    <w:rsid w:val="3C3917A1"/>
    <w:rsid w:val="3C5C2847"/>
    <w:rsid w:val="3C925059"/>
    <w:rsid w:val="3CB5559F"/>
    <w:rsid w:val="3CBC2B52"/>
    <w:rsid w:val="3CE753A4"/>
    <w:rsid w:val="3D094553"/>
    <w:rsid w:val="3D1F312E"/>
    <w:rsid w:val="3D6A7724"/>
    <w:rsid w:val="3DDC1163"/>
    <w:rsid w:val="3E3711E2"/>
    <w:rsid w:val="3E421533"/>
    <w:rsid w:val="3E4E44C1"/>
    <w:rsid w:val="3E8D5E6B"/>
    <w:rsid w:val="3ED01430"/>
    <w:rsid w:val="3EDC25BB"/>
    <w:rsid w:val="3F2274B5"/>
    <w:rsid w:val="3F66594E"/>
    <w:rsid w:val="3F796D91"/>
    <w:rsid w:val="3F9733C2"/>
    <w:rsid w:val="3FA30497"/>
    <w:rsid w:val="3FD247CD"/>
    <w:rsid w:val="3FD414E4"/>
    <w:rsid w:val="40D45C40"/>
    <w:rsid w:val="40DB5220"/>
    <w:rsid w:val="40E81C84"/>
    <w:rsid w:val="40F94293"/>
    <w:rsid w:val="4157061F"/>
    <w:rsid w:val="41662610"/>
    <w:rsid w:val="41921B27"/>
    <w:rsid w:val="41D75722"/>
    <w:rsid w:val="429E34F1"/>
    <w:rsid w:val="42AA6865"/>
    <w:rsid w:val="42C57F36"/>
    <w:rsid w:val="42D27F5D"/>
    <w:rsid w:val="42EA6221"/>
    <w:rsid w:val="434A46EC"/>
    <w:rsid w:val="435C7A89"/>
    <w:rsid w:val="43941B2C"/>
    <w:rsid w:val="43CB2F74"/>
    <w:rsid w:val="444A568D"/>
    <w:rsid w:val="444C4C47"/>
    <w:rsid w:val="44590819"/>
    <w:rsid w:val="445B488C"/>
    <w:rsid w:val="446E48E9"/>
    <w:rsid w:val="44784B34"/>
    <w:rsid w:val="447B1C4D"/>
    <w:rsid w:val="450F3328"/>
    <w:rsid w:val="453252CE"/>
    <w:rsid w:val="453A4CCF"/>
    <w:rsid w:val="45597105"/>
    <w:rsid w:val="455E0086"/>
    <w:rsid w:val="45640302"/>
    <w:rsid w:val="456C63D5"/>
    <w:rsid w:val="45763405"/>
    <w:rsid w:val="46293689"/>
    <w:rsid w:val="465A35BD"/>
    <w:rsid w:val="465D0485"/>
    <w:rsid w:val="465F0134"/>
    <w:rsid w:val="46D93AEF"/>
    <w:rsid w:val="47113641"/>
    <w:rsid w:val="4742292E"/>
    <w:rsid w:val="475E2568"/>
    <w:rsid w:val="47842674"/>
    <w:rsid w:val="4795427E"/>
    <w:rsid w:val="479F32A6"/>
    <w:rsid w:val="47B9126E"/>
    <w:rsid w:val="48322A33"/>
    <w:rsid w:val="4866371A"/>
    <w:rsid w:val="48A95C04"/>
    <w:rsid w:val="48CE652C"/>
    <w:rsid w:val="48D91605"/>
    <w:rsid w:val="48F97216"/>
    <w:rsid w:val="492275A4"/>
    <w:rsid w:val="49446E29"/>
    <w:rsid w:val="49C9699B"/>
    <w:rsid w:val="49DD50AA"/>
    <w:rsid w:val="4A496086"/>
    <w:rsid w:val="4A6C513B"/>
    <w:rsid w:val="4A74295D"/>
    <w:rsid w:val="4AC11C68"/>
    <w:rsid w:val="4ACE1952"/>
    <w:rsid w:val="4AEF15D8"/>
    <w:rsid w:val="4B005883"/>
    <w:rsid w:val="4B036369"/>
    <w:rsid w:val="4B61791F"/>
    <w:rsid w:val="4B7A0F54"/>
    <w:rsid w:val="4BE40D01"/>
    <w:rsid w:val="4C4C09CF"/>
    <w:rsid w:val="4C4D6CFC"/>
    <w:rsid w:val="4CA02851"/>
    <w:rsid w:val="4D141FE0"/>
    <w:rsid w:val="4D646B23"/>
    <w:rsid w:val="4DAC05E6"/>
    <w:rsid w:val="4DC236BE"/>
    <w:rsid w:val="4E0524B6"/>
    <w:rsid w:val="4E0E5897"/>
    <w:rsid w:val="4E4242CC"/>
    <w:rsid w:val="4E5F5F0E"/>
    <w:rsid w:val="4E677615"/>
    <w:rsid w:val="4ED079B5"/>
    <w:rsid w:val="4ED127FF"/>
    <w:rsid w:val="4ED96A7E"/>
    <w:rsid w:val="4F540514"/>
    <w:rsid w:val="4F6666E3"/>
    <w:rsid w:val="4F9C22EA"/>
    <w:rsid w:val="4FA72771"/>
    <w:rsid w:val="4FA9730C"/>
    <w:rsid w:val="4FB22195"/>
    <w:rsid w:val="4FFE3062"/>
    <w:rsid w:val="500372D1"/>
    <w:rsid w:val="50C01628"/>
    <w:rsid w:val="50C65FDD"/>
    <w:rsid w:val="50C77758"/>
    <w:rsid w:val="50E028B4"/>
    <w:rsid w:val="5119769F"/>
    <w:rsid w:val="51271000"/>
    <w:rsid w:val="517D674F"/>
    <w:rsid w:val="51B11960"/>
    <w:rsid w:val="5200468D"/>
    <w:rsid w:val="520B596A"/>
    <w:rsid w:val="5226253D"/>
    <w:rsid w:val="522D7877"/>
    <w:rsid w:val="526D37FE"/>
    <w:rsid w:val="52C728C5"/>
    <w:rsid w:val="52D62F53"/>
    <w:rsid w:val="52E57E15"/>
    <w:rsid w:val="52EB0BC7"/>
    <w:rsid w:val="52FD43C9"/>
    <w:rsid w:val="531B187C"/>
    <w:rsid w:val="533C110A"/>
    <w:rsid w:val="536A3A27"/>
    <w:rsid w:val="53737AE7"/>
    <w:rsid w:val="53DE35D5"/>
    <w:rsid w:val="5403105C"/>
    <w:rsid w:val="543E122D"/>
    <w:rsid w:val="544544DB"/>
    <w:rsid w:val="54454A38"/>
    <w:rsid w:val="54603722"/>
    <w:rsid w:val="5460414F"/>
    <w:rsid w:val="546E385E"/>
    <w:rsid w:val="546E6143"/>
    <w:rsid w:val="54994D7E"/>
    <w:rsid w:val="54B76D9A"/>
    <w:rsid w:val="54C44B46"/>
    <w:rsid w:val="54D34337"/>
    <w:rsid w:val="54DA5D8D"/>
    <w:rsid w:val="54ED35AA"/>
    <w:rsid w:val="551D40DC"/>
    <w:rsid w:val="55B921AE"/>
    <w:rsid w:val="55C217A6"/>
    <w:rsid w:val="55F964C0"/>
    <w:rsid w:val="565A665B"/>
    <w:rsid w:val="566B44F9"/>
    <w:rsid w:val="568000FE"/>
    <w:rsid w:val="56CE1E48"/>
    <w:rsid w:val="57441971"/>
    <w:rsid w:val="5753390A"/>
    <w:rsid w:val="577949F3"/>
    <w:rsid w:val="5781344E"/>
    <w:rsid w:val="578923D3"/>
    <w:rsid w:val="57C837F3"/>
    <w:rsid w:val="57D27E9C"/>
    <w:rsid w:val="58002426"/>
    <w:rsid w:val="584E6149"/>
    <w:rsid w:val="585A65D3"/>
    <w:rsid w:val="587873A1"/>
    <w:rsid w:val="587C29ED"/>
    <w:rsid w:val="587D598D"/>
    <w:rsid w:val="589F3852"/>
    <w:rsid w:val="58BB798B"/>
    <w:rsid w:val="58E77E9A"/>
    <w:rsid w:val="59154646"/>
    <w:rsid w:val="5935428B"/>
    <w:rsid w:val="59537423"/>
    <w:rsid w:val="59695434"/>
    <w:rsid w:val="59CA7788"/>
    <w:rsid w:val="59D06384"/>
    <w:rsid w:val="59EB363D"/>
    <w:rsid w:val="59F359C5"/>
    <w:rsid w:val="5A6E2A15"/>
    <w:rsid w:val="5AF54CD9"/>
    <w:rsid w:val="5B105132"/>
    <w:rsid w:val="5B314FB8"/>
    <w:rsid w:val="5B395408"/>
    <w:rsid w:val="5B5136E8"/>
    <w:rsid w:val="5B8542BD"/>
    <w:rsid w:val="5BB22788"/>
    <w:rsid w:val="5BEF0AD5"/>
    <w:rsid w:val="5C0E64BD"/>
    <w:rsid w:val="5C0F3B78"/>
    <w:rsid w:val="5C247E7A"/>
    <w:rsid w:val="5C36729C"/>
    <w:rsid w:val="5C520E7C"/>
    <w:rsid w:val="5C5611D3"/>
    <w:rsid w:val="5C6E5A67"/>
    <w:rsid w:val="5CC055C4"/>
    <w:rsid w:val="5CC07DD9"/>
    <w:rsid w:val="5D0D35F8"/>
    <w:rsid w:val="5D123E93"/>
    <w:rsid w:val="5D1C654D"/>
    <w:rsid w:val="5D2017FC"/>
    <w:rsid w:val="5DB449D7"/>
    <w:rsid w:val="5DC23869"/>
    <w:rsid w:val="5E6D4E5F"/>
    <w:rsid w:val="5E8343A9"/>
    <w:rsid w:val="5ECF7C24"/>
    <w:rsid w:val="5EFA2F5D"/>
    <w:rsid w:val="5F0E6877"/>
    <w:rsid w:val="5F1405A9"/>
    <w:rsid w:val="5F4E2C09"/>
    <w:rsid w:val="5F7C47FC"/>
    <w:rsid w:val="5FB4164A"/>
    <w:rsid w:val="5FF41E65"/>
    <w:rsid w:val="60675D31"/>
    <w:rsid w:val="606E61E9"/>
    <w:rsid w:val="60D17C50"/>
    <w:rsid w:val="61152866"/>
    <w:rsid w:val="61CE7FA1"/>
    <w:rsid w:val="621A0BDC"/>
    <w:rsid w:val="622017F1"/>
    <w:rsid w:val="62DD1EB5"/>
    <w:rsid w:val="63154001"/>
    <w:rsid w:val="633D39F4"/>
    <w:rsid w:val="634467FD"/>
    <w:rsid w:val="63937429"/>
    <w:rsid w:val="63D0339F"/>
    <w:rsid w:val="6413263F"/>
    <w:rsid w:val="64944B56"/>
    <w:rsid w:val="64B27796"/>
    <w:rsid w:val="64CA1A25"/>
    <w:rsid w:val="64E83DE8"/>
    <w:rsid w:val="64EC3D37"/>
    <w:rsid w:val="64EE1A97"/>
    <w:rsid w:val="65810E59"/>
    <w:rsid w:val="65817895"/>
    <w:rsid w:val="658E039D"/>
    <w:rsid w:val="65924CA9"/>
    <w:rsid w:val="65B46B2F"/>
    <w:rsid w:val="65C26A8E"/>
    <w:rsid w:val="65D200F0"/>
    <w:rsid w:val="65E51C8D"/>
    <w:rsid w:val="65FF6E40"/>
    <w:rsid w:val="660D2ED6"/>
    <w:rsid w:val="660E0C4E"/>
    <w:rsid w:val="6612135A"/>
    <w:rsid w:val="6659207B"/>
    <w:rsid w:val="66AE7DC2"/>
    <w:rsid w:val="66D6776C"/>
    <w:rsid w:val="672A3F5C"/>
    <w:rsid w:val="672C66EE"/>
    <w:rsid w:val="674D4335"/>
    <w:rsid w:val="67726657"/>
    <w:rsid w:val="678A4ED6"/>
    <w:rsid w:val="67BB05DB"/>
    <w:rsid w:val="67BD26DA"/>
    <w:rsid w:val="68120612"/>
    <w:rsid w:val="68744C4B"/>
    <w:rsid w:val="688A35DC"/>
    <w:rsid w:val="6896352A"/>
    <w:rsid w:val="68D51FF8"/>
    <w:rsid w:val="68F41093"/>
    <w:rsid w:val="69232A11"/>
    <w:rsid w:val="694F6758"/>
    <w:rsid w:val="695E2B47"/>
    <w:rsid w:val="69721525"/>
    <w:rsid w:val="69874162"/>
    <w:rsid w:val="69886D18"/>
    <w:rsid w:val="699C0B46"/>
    <w:rsid w:val="699E6EDB"/>
    <w:rsid w:val="6A0C5CC5"/>
    <w:rsid w:val="6A0D4726"/>
    <w:rsid w:val="6A1011E7"/>
    <w:rsid w:val="6A5C61DA"/>
    <w:rsid w:val="6A7D7D3F"/>
    <w:rsid w:val="6A9C5931"/>
    <w:rsid w:val="6AD14FD7"/>
    <w:rsid w:val="6B327947"/>
    <w:rsid w:val="6BC92D5B"/>
    <w:rsid w:val="6BD20370"/>
    <w:rsid w:val="6BDC2A11"/>
    <w:rsid w:val="6BE85984"/>
    <w:rsid w:val="6C4179F9"/>
    <w:rsid w:val="6D2356D5"/>
    <w:rsid w:val="6D374CDD"/>
    <w:rsid w:val="6D4603CA"/>
    <w:rsid w:val="6D7A376E"/>
    <w:rsid w:val="6D924ED4"/>
    <w:rsid w:val="6E1F559C"/>
    <w:rsid w:val="6E74415F"/>
    <w:rsid w:val="6E9A3775"/>
    <w:rsid w:val="6EC425A0"/>
    <w:rsid w:val="6F155591"/>
    <w:rsid w:val="6F564781"/>
    <w:rsid w:val="6F944336"/>
    <w:rsid w:val="6FA110A6"/>
    <w:rsid w:val="6FAD4F96"/>
    <w:rsid w:val="6FC64B3E"/>
    <w:rsid w:val="6FD5610C"/>
    <w:rsid w:val="700A0487"/>
    <w:rsid w:val="70393F60"/>
    <w:rsid w:val="706E6C67"/>
    <w:rsid w:val="70A408DB"/>
    <w:rsid w:val="70A52F39"/>
    <w:rsid w:val="70D34E08"/>
    <w:rsid w:val="70EF5AB4"/>
    <w:rsid w:val="71411CC9"/>
    <w:rsid w:val="71502811"/>
    <w:rsid w:val="71C10F2E"/>
    <w:rsid w:val="71C87C41"/>
    <w:rsid w:val="71C93E5C"/>
    <w:rsid w:val="722453CB"/>
    <w:rsid w:val="72365B57"/>
    <w:rsid w:val="72611287"/>
    <w:rsid w:val="72BB5F8B"/>
    <w:rsid w:val="72BB6655"/>
    <w:rsid w:val="72C712E1"/>
    <w:rsid w:val="72FA1A10"/>
    <w:rsid w:val="73322ECF"/>
    <w:rsid w:val="73662167"/>
    <w:rsid w:val="73952CB3"/>
    <w:rsid w:val="73C55FFA"/>
    <w:rsid w:val="744A0A36"/>
    <w:rsid w:val="7501589A"/>
    <w:rsid w:val="75092F11"/>
    <w:rsid w:val="751C6001"/>
    <w:rsid w:val="752C54C6"/>
    <w:rsid w:val="75686957"/>
    <w:rsid w:val="761A4816"/>
    <w:rsid w:val="76772852"/>
    <w:rsid w:val="767C4B99"/>
    <w:rsid w:val="769D3F76"/>
    <w:rsid w:val="76D36956"/>
    <w:rsid w:val="771D3195"/>
    <w:rsid w:val="7758241F"/>
    <w:rsid w:val="77CE2B0A"/>
    <w:rsid w:val="77F838AE"/>
    <w:rsid w:val="780E7E28"/>
    <w:rsid w:val="781B0555"/>
    <w:rsid w:val="784E07A8"/>
    <w:rsid w:val="78533409"/>
    <w:rsid w:val="78705799"/>
    <w:rsid w:val="78774B27"/>
    <w:rsid w:val="787765F1"/>
    <w:rsid w:val="78D26A7E"/>
    <w:rsid w:val="78F9553C"/>
    <w:rsid w:val="79940026"/>
    <w:rsid w:val="7A162C99"/>
    <w:rsid w:val="7A173ECC"/>
    <w:rsid w:val="7A1C5986"/>
    <w:rsid w:val="7A72753A"/>
    <w:rsid w:val="7A8377B3"/>
    <w:rsid w:val="7AF47429"/>
    <w:rsid w:val="7B0862D8"/>
    <w:rsid w:val="7B130B37"/>
    <w:rsid w:val="7B406A51"/>
    <w:rsid w:val="7B6B4CD9"/>
    <w:rsid w:val="7B9B00FB"/>
    <w:rsid w:val="7BD60ED3"/>
    <w:rsid w:val="7BF7374C"/>
    <w:rsid w:val="7C01654E"/>
    <w:rsid w:val="7C09018C"/>
    <w:rsid w:val="7C3A2988"/>
    <w:rsid w:val="7C420122"/>
    <w:rsid w:val="7C541224"/>
    <w:rsid w:val="7C675C0A"/>
    <w:rsid w:val="7C727ADF"/>
    <w:rsid w:val="7CF02627"/>
    <w:rsid w:val="7D114D01"/>
    <w:rsid w:val="7D741635"/>
    <w:rsid w:val="7DDC6E34"/>
    <w:rsid w:val="7E205AED"/>
    <w:rsid w:val="7E23216E"/>
    <w:rsid w:val="7E751182"/>
    <w:rsid w:val="7E8E57B1"/>
    <w:rsid w:val="7EA41695"/>
    <w:rsid w:val="7EAC1347"/>
    <w:rsid w:val="7EC02801"/>
    <w:rsid w:val="7ED96E19"/>
    <w:rsid w:val="7F1F491B"/>
    <w:rsid w:val="7F245858"/>
    <w:rsid w:val="7F9A1827"/>
    <w:rsid w:val="7FA22F78"/>
    <w:rsid w:val="7FA27CF2"/>
    <w:rsid w:val="7FAF4BA7"/>
    <w:rsid w:val="7FB201B2"/>
    <w:rsid w:val="7FB3011B"/>
    <w:rsid w:val="7FBA3291"/>
    <w:rsid w:val="7FF00A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6">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paragraph" w:styleId="7">
    <w:name w:val="heading 4"/>
    <w:basedOn w:val="1"/>
    <w:next w:val="1"/>
    <w:qFormat/>
    <w:uiPriority w:val="1"/>
    <w:pPr>
      <w:ind w:left="652"/>
      <w:outlineLvl w:val="3"/>
    </w:pPr>
    <w:rPr>
      <w:b/>
      <w:bCs/>
      <w:sz w:val="30"/>
      <w:szCs w:val="30"/>
    </w:rPr>
  </w:style>
  <w:style w:type="character" w:default="1" w:styleId="30">
    <w:name w:val="Default Paragraph Font"/>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2">
    <w:name w:val="Body Text"/>
    <w:basedOn w:val="1"/>
    <w:next w:val="3"/>
    <w:link w:val="43"/>
    <w:qFormat/>
    <w:uiPriority w:val="0"/>
    <w:pPr>
      <w:spacing w:after="120"/>
    </w:pPr>
  </w:style>
  <w:style w:type="paragraph" w:customStyle="1" w:styleId="3">
    <w:name w:val="_Style 2"/>
    <w:basedOn w:val="1"/>
    <w:next w:val="1"/>
    <w:qFormat/>
    <w:uiPriority w:val="0"/>
    <w:pPr>
      <w:ind w:firstLine="200" w:firstLineChars="200"/>
    </w:pPr>
    <w:rPr>
      <w:rFonts w:ascii="Calibri" w:hAnsi="Calibri"/>
      <w:sz w:val="28"/>
      <w:szCs w:val="22"/>
    </w:rPr>
  </w:style>
  <w:style w:type="paragraph" w:styleId="8">
    <w:name w:val="Normal Indent"/>
    <w:basedOn w:val="1"/>
    <w:next w:val="1"/>
    <w:qFormat/>
    <w:uiPriority w:val="0"/>
    <w:pPr>
      <w:adjustRightInd w:val="0"/>
      <w:spacing w:line="360" w:lineRule="atLeast"/>
      <w:ind w:firstLine="482"/>
      <w:textAlignment w:val="baseline"/>
    </w:pPr>
    <w:rPr>
      <w:kern w:val="0"/>
      <w:sz w:val="24"/>
      <w:szCs w:val="20"/>
    </w:rPr>
  </w:style>
  <w:style w:type="paragraph" w:styleId="9">
    <w:name w:val="toa heading"/>
    <w:basedOn w:val="1"/>
    <w:next w:val="1"/>
    <w:unhideWhenUsed/>
    <w:qFormat/>
    <w:uiPriority w:val="99"/>
    <w:pPr>
      <w:spacing w:before="120"/>
    </w:pPr>
    <w:rPr>
      <w:rFonts w:ascii="Cambria" w:hAnsi="Cambria"/>
      <w:sz w:val="24"/>
    </w:rPr>
  </w:style>
  <w:style w:type="paragraph" w:styleId="10">
    <w:name w:val="annotation text"/>
    <w:basedOn w:val="1"/>
    <w:qFormat/>
    <w:uiPriority w:val="0"/>
    <w:pPr>
      <w:jc w:val="left"/>
    </w:pPr>
  </w:style>
  <w:style w:type="paragraph" w:styleId="11">
    <w:name w:val="index 6"/>
    <w:next w:val="1"/>
    <w:qFormat/>
    <w:uiPriority w:val="0"/>
    <w:pPr>
      <w:widowControl w:val="0"/>
      <w:ind w:firstLine="840"/>
      <w:jc w:val="both"/>
    </w:pPr>
    <w:rPr>
      <w:rFonts w:ascii="Calibri" w:hAnsi="Calibri" w:eastAsia="宋体" w:cs="Arial"/>
      <w:kern w:val="2"/>
      <w:sz w:val="21"/>
      <w:szCs w:val="24"/>
      <w:lang w:val="en-US" w:eastAsia="zh-CN" w:bidi="ar-SA"/>
    </w:rPr>
  </w:style>
  <w:style w:type="paragraph" w:styleId="12">
    <w:name w:val="Body Text Indent"/>
    <w:basedOn w:val="1"/>
    <w:next w:val="1"/>
    <w:qFormat/>
    <w:uiPriority w:val="0"/>
    <w:pPr>
      <w:spacing w:after="120"/>
      <w:ind w:left="200" w:leftChars="200"/>
    </w:pPr>
  </w:style>
  <w:style w:type="paragraph" w:styleId="13">
    <w:name w:val="toc 3"/>
    <w:basedOn w:val="1"/>
    <w:next w:val="1"/>
    <w:qFormat/>
    <w:uiPriority w:val="39"/>
    <w:pPr>
      <w:tabs>
        <w:tab w:val="right" w:leader="dot" w:pos="9288"/>
      </w:tabs>
      <w:ind w:left="400" w:leftChars="400"/>
    </w:pPr>
    <w:rPr>
      <w:rFonts w:ascii="宋体"/>
    </w:rPr>
  </w:style>
  <w:style w:type="paragraph" w:styleId="14">
    <w:name w:val="Plain Text"/>
    <w:basedOn w:val="1"/>
    <w:next w:val="15"/>
    <w:link w:val="44"/>
    <w:qFormat/>
    <w:uiPriority w:val="0"/>
    <w:rPr>
      <w:rFonts w:ascii="宋体"/>
      <w:color w:val="000000"/>
      <w:szCs w:val="20"/>
      <w:u w:val="none" w:color="000000"/>
    </w:rPr>
  </w:style>
  <w:style w:type="paragraph" w:styleId="15">
    <w:name w:val="index 7"/>
    <w:basedOn w:val="1"/>
    <w:next w:val="1"/>
    <w:qFormat/>
    <w:uiPriority w:val="0"/>
    <w:pPr>
      <w:autoSpaceDE/>
      <w:autoSpaceDN/>
      <w:adjustRightInd/>
      <w:ind w:left="1200" w:leftChars="1200"/>
    </w:pPr>
    <w:rPr>
      <w:color w:val="auto"/>
      <w:kern w:val="2"/>
      <w:szCs w:val="24"/>
    </w:rPr>
  </w:style>
  <w:style w:type="paragraph" w:styleId="16">
    <w:name w:val="Date"/>
    <w:basedOn w:val="1"/>
    <w:next w:val="1"/>
    <w:link w:val="45"/>
    <w:qFormat/>
    <w:uiPriority w:val="0"/>
    <w:rPr>
      <w:rFonts w:ascii="Arial" w:hAnsi="Arial" w:eastAsia="仿宋_GB2312"/>
      <w:color w:val="000000"/>
      <w:sz w:val="32"/>
      <w:szCs w:val="20"/>
      <w:u w:val="none" w:color="000000"/>
    </w:rPr>
  </w:style>
  <w:style w:type="paragraph" w:styleId="17">
    <w:name w:val="footer"/>
    <w:basedOn w:val="1"/>
    <w:link w:val="46"/>
    <w:qFormat/>
    <w:uiPriority w:val="0"/>
    <w:pPr>
      <w:tabs>
        <w:tab w:val="center" w:pos="4153"/>
        <w:tab w:val="right" w:pos="8306"/>
      </w:tabs>
      <w:snapToGrid w:val="0"/>
      <w:jc w:val="left"/>
    </w:pPr>
    <w:rPr>
      <w:sz w:val="18"/>
      <w:szCs w:val="18"/>
    </w:rPr>
  </w:style>
  <w:style w:type="paragraph" w:styleId="18">
    <w:name w:val="header"/>
    <w:basedOn w:val="1"/>
    <w:link w:val="47"/>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List"/>
    <w:basedOn w:val="1"/>
    <w:qFormat/>
    <w:uiPriority w:val="0"/>
    <w:pPr>
      <w:adjustRightInd/>
      <w:snapToGrid/>
      <w:spacing w:after="0"/>
      <w:ind w:left="200" w:hanging="200" w:hangingChars="200"/>
      <w:contextualSpacing/>
    </w:pPr>
    <w:rPr>
      <w:rFonts w:ascii="Times New Roman" w:hAnsi="Times New Roman" w:eastAsia="宋体"/>
      <w:sz w:val="20"/>
      <w:szCs w:val="20"/>
    </w:rPr>
  </w:style>
  <w:style w:type="paragraph" w:styleId="21">
    <w:name w:val="footnote text"/>
    <w:basedOn w:val="1"/>
    <w:next w:val="2"/>
    <w:qFormat/>
    <w:uiPriority w:val="0"/>
    <w:pPr>
      <w:snapToGrid w:val="0"/>
      <w:jc w:val="left"/>
    </w:pPr>
    <w:rPr>
      <w:rFonts w:ascii="Times New Roman" w:hAnsi="Times New Roman" w:eastAsia="宋体" w:cs="Times New Roman"/>
      <w:sz w:val="18"/>
    </w:rPr>
  </w:style>
  <w:style w:type="paragraph" w:styleId="22">
    <w:name w:val="toc 2"/>
    <w:basedOn w:val="1"/>
    <w:next w:val="1"/>
    <w:qFormat/>
    <w:uiPriority w:val="39"/>
    <w:pPr>
      <w:ind w:left="200" w:leftChars="200"/>
    </w:pPr>
  </w:style>
  <w:style w:type="paragraph" w:styleId="23">
    <w:name w:val="Body Text 2"/>
    <w:basedOn w:val="1"/>
    <w:qFormat/>
    <w:uiPriority w:val="0"/>
    <w:pPr>
      <w:tabs>
        <w:tab w:val="left" w:pos="0"/>
      </w:tabs>
      <w:spacing w:line="400" w:lineRule="atLeast"/>
    </w:pPr>
    <w:rPr>
      <w:rFonts w:ascii="Arial" w:hAnsi="Arial"/>
      <w:color w:val="000000"/>
    </w:rPr>
  </w:style>
  <w:style w:type="paragraph" w:styleId="2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5">
    <w:name w:val="Title"/>
    <w:basedOn w:val="1"/>
    <w:link w:val="77"/>
    <w:qFormat/>
    <w:uiPriority w:val="0"/>
    <w:pPr>
      <w:spacing w:before="240" w:after="60"/>
      <w:ind w:left="425" w:hanging="425"/>
      <w:jc w:val="center"/>
      <w:outlineLvl w:val="0"/>
    </w:pPr>
    <w:rPr>
      <w:rFonts w:ascii="Arial" w:hAnsi="Arial" w:cs="Arial"/>
      <w:b/>
      <w:bCs/>
      <w:sz w:val="32"/>
      <w:szCs w:val="32"/>
    </w:rPr>
  </w:style>
  <w:style w:type="paragraph" w:styleId="26">
    <w:name w:val="Body Text First Indent"/>
    <w:basedOn w:val="2"/>
    <w:next w:val="1"/>
    <w:unhideWhenUsed/>
    <w:qFormat/>
    <w:uiPriority w:val="0"/>
    <w:pPr>
      <w:adjustRightInd/>
      <w:spacing w:after="120" w:line="240" w:lineRule="auto"/>
      <w:ind w:firstLine="420" w:firstLineChars="100"/>
      <w:jc w:val="both"/>
    </w:pPr>
    <w:rPr>
      <w:rFonts w:ascii="Times New Roman"/>
      <w:kern w:val="2"/>
      <w:sz w:val="21"/>
      <w:szCs w:val="24"/>
    </w:rPr>
  </w:style>
  <w:style w:type="paragraph" w:styleId="27">
    <w:name w:val="Body Text First Indent 2"/>
    <w:basedOn w:val="12"/>
    <w:unhideWhenUsed/>
    <w:qFormat/>
    <w:uiPriority w:val="99"/>
    <w:pPr>
      <w:spacing w:after="120" w:line="240" w:lineRule="auto"/>
      <w:ind w:left="420" w:leftChars="200" w:firstLine="420"/>
    </w:pPr>
    <w:rPr>
      <w:rFonts w:cs="宋体"/>
      <w:sz w:val="21"/>
      <w:szCs w:val="21"/>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qFormat/>
    <w:uiPriority w:val="0"/>
    <w:rPr>
      <w:b/>
    </w:rPr>
  </w:style>
  <w:style w:type="character" w:styleId="32">
    <w:name w:val="page number"/>
    <w:basedOn w:val="30"/>
    <w:qFormat/>
    <w:uiPriority w:val="0"/>
  </w:style>
  <w:style w:type="character" w:styleId="33">
    <w:name w:val="FollowedHyperlink"/>
    <w:qFormat/>
    <w:uiPriority w:val="0"/>
    <w:rPr>
      <w:color w:val="333333"/>
      <w:u w:val="none"/>
    </w:rPr>
  </w:style>
  <w:style w:type="character" w:styleId="34">
    <w:name w:val="HTML Definition"/>
    <w:basedOn w:val="30"/>
    <w:qFormat/>
    <w:uiPriority w:val="0"/>
  </w:style>
  <w:style w:type="character" w:styleId="35">
    <w:name w:val="HTML Typewriter"/>
    <w:basedOn w:val="30"/>
    <w:qFormat/>
    <w:uiPriority w:val="0"/>
    <w:rPr>
      <w:rFonts w:ascii="monospace" w:hAnsi="monospace" w:eastAsia="monospace" w:cs="monospace"/>
      <w:sz w:val="20"/>
    </w:rPr>
  </w:style>
  <w:style w:type="character" w:styleId="36">
    <w:name w:val="HTML Acronym"/>
    <w:basedOn w:val="30"/>
    <w:qFormat/>
    <w:uiPriority w:val="0"/>
  </w:style>
  <w:style w:type="character" w:styleId="37">
    <w:name w:val="HTML Variable"/>
    <w:basedOn w:val="30"/>
    <w:qFormat/>
    <w:uiPriority w:val="0"/>
  </w:style>
  <w:style w:type="character" w:styleId="38">
    <w:name w:val="Hyperlink"/>
    <w:qFormat/>
    <w:uiPriority w:val="99"/>
    <w:rPr>
      <w:color w:val="0000FF"/>
      <w:u w:val="single"/>
    </w:rPr>
  </w:style>
  <w:style w:type="character" w:styleId="39">
    <w:name w:val="HTML Code"/>
    <w:basedOn w:val="30"/>
    <w:qFormat/>
    <w:uiPriority w:val="0"/>
    <w:rPr>
      <w:rFonts w:hint="default" w:ascii="monospace" w:hAnsi="monospace" w:eastAsia="monospace" w:cs="monospace"/>
      <w:sz w:val="20"/>
    </w:rPr>
  </w:style>
  <w:style w:type="character" w:styleId="40">
    <w:name w:val="HTML Cite"/>
    <w:basedOn w:val="30"/>
    <w:qFormat/>
    <w:uiPriority w:val="0"/>
  </w:style>
  <w:style w:type="character" w:styleId="41">
    <w:name w:val="HTML Keyboard"/>
    <w:basedOn w:val="30"/>
    <w:qFormat/>
    <w:uiPriority w:val="0"/>
    <w:rPr>
      <w:rFonts w:hint="default" w:ascii="monospace" w:hAnsi="monospace" w:eastAsia="monospace" w:cs="monospace"/>
      <w:sz w:val="20"/>
    </w:rPr>
  </w:style>
  <w:style w:type="character" w:styleId="42">
    <w:name w:val="HTML Sample"/>
    <w:basedOn w:val="30"/>
    <w:qFormat/>
    <w:uiPriority w:val="0"/>
    <w:rPr>
      <w:rFonts w:hint="default" w:ascii="monospace" w:hAnsi="monospace" w:eastAsia="monospace" w:cs="monospace"/>
    </w:rPr>
  </w:style>
  <w:style w:type="character" w:customStyle="1" w:styleId="43">
    <w:name w:val="正文文本 Char"/>
    <w:link w:val="2"/>
    <w:semiHidden/>
    <w:qFormat/>
    <w:locked/>
    <w:uiPriority w:val="0"/>
    <w:rPr>
      <w:rFonts w:eastAsia="宋体"/>
      <w:kern w:val="2"/>
      <w:sz w:val="21"/>
      <w:szCs w:val="24"/>
      <w:lang w:val="en-US" w:eastAsia="zh-CN" w:bidi="ar-SA"/>
    </w:rPr>
  </w:style>
  <w:style w:type="character" w:customStyle="1" w:styleId="44">
    <w:name w:val="纯文本 Char"/>
    <w:link w:val="14"/>
    <w:qFormat/>
    <w:uiPriority w:val="0"/>
    <w:rPr>
      <w:rFonts w:ascii="宋体"/>
      <w:color w:val="000000"/>
      <w:kern w:val="2"/>
      <w:sz w:val="21"/>
      <w:u w:val="none" w:color="000000"/>
    </w:rPr>
  </w:style>
  <w:style w:type="character" w:customStyle="1" w:styleId="45">
    <w:name w:val="日期 Char"/>
    <w:link w:val="16"/>
    <w:qFormat/>
    <w:uiPriority w:val="0"/>
    <w:rPr>
      <w:rFonts w:ascii="Arial" w:hAnsi="Arial" w:eastAsia="仿宋_GB2312"/>
      <w:color w:val="000000"/>
      <w:kern w:val="2"/>
      <w:sz w:val="32"/>
      <w:u w:val="none" w:color="000000"/>
      <w:lang w:val="en-US" w:eastAsia="zh-CN" w:bidi="ar-SA"/>
    </w:rPr>
  </w:style>
  <w:style w:type="character" w:customStyle="1" w:styleId="46">
    <w:name w:val="页脚 Char"/>
    <w:link w:val="17"/>
    <w:qFormat/>
    <w:locked/>
    <w:uiPriority w:val="0"/>
    <w:rPr>
      <w:rFonts w:eastAsia="宋体"/>
      <w:kern w:val="2"/>
      <w:sz w:val="18"/>
      <w:szCs w:val="18"/>
      <w:lang w:val="en-US" w:eastAsia="zh-CN" w:bidi="ar-SA"/>
    </w:rPr>
  </w:style>
  <w:style w:type="character" w:customStyle="1" w:styleId="47">
    <w:name w:val="页眉 Char"/>
    <w:link w:val="18"/>
    <w:qFormat/>
    <w:locked/>
    <w:uiPriority w:val="0"/>
    <w:rPr>
      <w:rFonts w:eastAsia="宋体"/>
      <w:kern w:val="2"/>
      <w:sz w:val="18"/>
      <w:szCs w:val="18"/>
      <w:lang w:val="en-US" w:eastAsia="zh-CN" w:bidi="ar-SA"/>
    </w:rPr>
  </w:style>
  <w:style w:type="paragraph" w:customStyle="1" w:styleId="48">
    <w:name w:val="正文缩进1"/>
    <w:basedOn w:val="1"/>
    <w:qFormat/>
    <w:uiPriority w:val="0"/>
    <w:pPr>
      <w:ind w:firstLine="420" w:firstLineChars="200"/>
    </w:pPr>
  </w:style>
  <w:style w:type="paragraph" w:customStyle="1" w:styleId="49">
    <w:name w:val="正文格式"/>
    <w:basedOn w:val="1"/>
    <w:qFormat/>
    <w:uiPriority w:val="99"/>
    <w:pPr>
      <w:widowControl/>
      <w:adjustRightInd w:val="0"/>
      <w:snapToGrid w:val="0"/>
      <w:spacing w:line="400" w:lineRule="atLeast"/>
      <w:ind w:firstLine="482"/>
      <w:textAlignment w:val="baseline"/>
    </w:pPr>
    <w:rPr>
      <w:rFonts w:ascii="Times New Roman" w:hAnsi="Times New Roman"/>
      <w:kern w:val="0"/>
      <w:sz w:val="24"/>
    </w:rPr>
  </w:style>
  <w:style w:type="character" w:customStyle="1" w:styleId="50">
    <w:name w:val="font01"/>
    <w:basedOn w:val="30"/>
    <w:qFormat/>
    <w:uiPriority w:val="0"/>
    <w:rPr>
      <w:rFonts w:hint="eastAsia" w:ascii="宋体" w:hAnsi="宋体" w:eastAsia="宋体" w:cs="宋体"/>
      <w:color w:val="000000"/>
      <w:sz w:val="22"/>
      <w:szCs w:val="22"/>
      <w:u w:val="none"/>
    </w:rPr>
  </w:style>
  <w:style w:type="character" w:customStyle="1" w:styleId="51">
    <w:name w:val="font111"/>
    <w:basedOn w:val="30"/>
    <w:qFormat/>
    <w:uiPriority w:val="0"/>
    <w:rPr>
      <w:rFonts w:ascii="Arial" w:hAnsi="Arial" w:cs="Arial"/>
      <w:color w:val="000000"/>
      <w:sz w:val="18"/>
      <w:szCs w:val="18"/>
      <w:u w:val="none"/>
    </w:rPr>
  </w:style>
  <w:style w:type="character" w:customStyle="1" w:styleId="52">
    <w:name w:val="Body Text Char"/>
    <w:qFormat/>
    <w:locked/>
    <w:uiPriority w:val="0"/>
    <w:rPr>
      <w:rFonts w:ascii="宋体" w:hAnsi="Arial"/>
      <w:sz w:val="28"/>
    </w:rPr>
  </w:style>
  <w:style w:type="paragraph" w:customStyle="1" w:styleId="53">
    <w:name w:val="black1"/>
    <w:basedOn w:val="1"/>
    <w:qFormat/>
    <w:uiPriority w:val="0"/>
    <w:pPr>
      <w:widowControl/>
      <w:spacing w:before="100" w:beforeLines="0" w:beforeAutospacing="1" w:after="100" w:afterLines="0" w:afterAutospacing="1" w:line="280" w:lineRule="atLeast"/>
      <w:jc w:val="left"/>
    </w:pPr>
    <w:rPr>
      <w:rFonts w:ascii="_x000B__x000C_" w:hAnsi="_x000B__x000C_"/>
      <w:color w:val="000000"/>
      <w:kern w:val="0"/>
      <w:sz w:val="18"/>
      <w:szCs w:val="18"/>
    </w:rPr>
  </w:style>
  <w:style w:type="paragraph" w:customStyle="1" w:styleId="54">
    <w:name w:val="Table Paragraph"/>
    <w:basedOn w:val="1"/>
    <w:qFormat/>
    <w:uiPriority w:val="1"/>
  </w:style>
  <w:style w:type="paragraph" w:customStyle="1" w:styleId="55">
    <w:name w:val="Body 1"/>
    <w:qFormat/>
    <w:uiPriority w:val="0"/>
    <w:pPr>
      <w:outlineLvl w:val="0"/>
    </w:pPr>
    <w:rPr>
      <w:rFonts w:ascii="Helvetica" w:hAnsi="Helvetica" w:eastAsia="ヒラギノ角ゴ Pro W3" w:cs="Times New Roman"/>
      <w:color w:val="000000"/>
      <w:sz w:val="22"/>
      <w:lang w:val="en-US" w:eastAsia="zh-CN" w:bidi="ar-SA"/>
    </w:rPr>
  </w:style>
  <w:style w:type="paragraph" w:customStyle="1" w:styleId="5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57">
    <w:name w:val="Char"/>
    <w:basedOn w:val="1"/>
    <w:next w:val="1"/>
    <w:qFormat/>
    <w:uiPriority w:val="0"/>
    <w:pPr>
      <w:widowControl/>
      <w:spacing w:line="360" w:lineRule="auto"/>
      <w:jc w:val="left"/>
    </w:pPr>
    <w:rPr>
      <w:kern w:val="0"/>
      <w:szCs w:val="20"/>
      <w:lang w:eastAsia="en-US"/>
    </w:rPr>
  </w:style>
  <w:style w:type="paragraph" w:customStyle="1" w:styleId="58">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59">
    <w:name w:val="p0"/>
    <w:basedOn w:val="1"/>
    <w:qFormat/>
    <w:uiPriority w:val="0"/>
    <w:pPr>
      <w:widowControl/>
      <w:jc w:val="left"/>
    </w:pPr>
    <w:rPr>
      <w:rFonts w:ascii="宋体" w:hAnsi="宋体" w:cs="宋体"/>
      <w:kern w:val="0"/>
      <w:sz w:val="18"/>
      <w:szCs w:val="18"/>
    </w:rPr>
  </w:style>
  <w:style w:type="paragraph" w:customStyle="1" w:styleId="60">
    <w:name w:val="WPS Plain"/>
    <w:qFormat/>
    <w:uiPriority w:val="0"/>
    <w:rPr>
      <w:rFonts w:ascii="Times New Roman" w:hAnsi="Times New Roman" w:eastAsia="宋体" w:cs="Times New Roman"/>
      <w:lang w:val="en-US" w:eastAsia="zh-CN" w:bidi="ar-SA"/>
    </w:rPr>
  </w:style>
  <w:style w:type="paragraph" w:customStyle="1" w:styleId="61">
    <w:name w:val="节标题"/>
    <w:basedOn w:val="1"/>
    <w:next w:val="1"/>
    <w:qFormat/>
    <w:uiPriority w:val="0"/>
    <w:pPr>
      <w:widowControl/>
      <w:spacing w:line="289" w:lineRule="atLeast"/>
      <w:jc w:val="center"/>
      <w:textAlignment w:val="baseline"/>
    </w:pPr>
    <w:rPr>
      <w:color w:val="000000"/>
      <w:kern w:val="0"/>
      <w:sz w:val="28"/>
      <w:szCs w:val="20"/>
      <w:u w:val="none" w:color="000000"/>
    </w:rPr>
  </w:style>
  <w:style w:type="paragraph" w:styleId="62">
    <w:name w:val="List Paragraph"/>
    <w:basedOn w:val="1"/>
    <w:qFormat/>
    <w:uiPriority w:val="0"/>
    <w:pPr>
      <w:spacing w:line="360" w:lineRule="auto"/>
      <w:ind w:firstLine="420" w:firstLineChars="200"/>
    </w:pPr>
    <w:rPr>
      <w:rFonts w:ascii="宋体" w:hAnsi="宋体" w:cs="宋体"/>
      <w:sz w:val="24"/>
    </w:rPr>
  </w:style>
  <w:style w:type="paragraph" w:customStyle="1" w:styleId="63">
    <w:name w:val="样式 左侧:  0 厘米 悬挂缩进: 2.5 字符"/>
    <w:basedOn w:val="1"/>
    <w:qFormat/>
    <w:uiPriority w:val="0"/>
    <w:pPr>
      <w:ind w:left="525" w:hanging="525" w:hangingChars="250"/>
    </w:pPr>
    <w:rPr>
      <w:szCs w:val="20"/>
    </w:rPr>
  </w:style>
  <w:style w:type="paragraph" w:customStyle="1" w:styleId="64">
    <w:name w:val="标题 5（有编号）（绿盟科技）"/>
    <w:basedOn w:val="1"/>
    <w:next w:val="56"/>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6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6">
    <w:name w:val="图例"/>
    <w:basedOn w:val="1"/>
    <w:qFormat/>
    <w:uiPriority w:val="0"/>
    <w:pPr>
      <w:spacing w:before="120" w:beforeLines="0" w:after="120" w:afterLines="0" w:line="360" w:lineRule="auto"/>
      <w:jc w:val="center"/>
    </w:pPr>
    <w:rPr>
      <w:rFonts w:eastAsia="仿宋_GB2312"/>
      <w:b/>
      <w:sz w:val="24"/>
    </w:rPr>
  </w:style>
  <w:style w:type="character" w:customStyle="1" w:styleId="67">
    <w:name w:val="font71"/>
    <w:basedOn w:val="30"/>
    <w:qFormat/>
    <w:uiPriority w:val="0"/>
    <w:rPr>
      <w:rFonts w:hint="default" w:ascii="Calibri" w:hAnsi="Calibri" w:cs="Calibri"/>
      <w:b/>
      <w:bCs/>
      <w:color w:val="000000"/>
      <w:sz w:val="21"/>
      <w:szCs w:val="21"/>
      <w:u w:val="none"/>
    </w:rPr>
  </w:style>
  <w:style w:type="character" w:customStyle="1" w:styleId="68">
    <w:name w:val="font61"/>
    <w:basedOn w:val="30"/>
    <w:qFormat/>
    <w:uiPriority w:val="0"/>
    <w:rPr>
      <w:rFonts w:hint="eastAsia" w:ascii="华文仿宋" w:hAnsi="华文仿宋" w:eastAsia="华文仿宋" w:cs="华文仿宋"/>
      <w:color w:val="000000"/>
      <w:sz w:val="21"/>
      <w:szCs w:val="21"/>
      <w:u w:val="none"/>
    </w:rPr>
  </w:style>
  <w:style w:type="character" w:customStyle="1" w:styleId="69">
    <w:name w:val="font91"/>
    <w:basedOn w:val="30"/>
    <w:qFormat/>
    <w:uiPriority w:val="0"/>
    <w:rPr>
      <w:rFonts w:hint="default" w:ascii="Calibri" w:hAnsi="Calibri" w:cs="Calibri"/>
      <w:b/>
      <w:bCs/>
      <w:color w:val="FF0000"/>
      <w:sz w:val="21"/>
      <w:szCs w:val="21"/>
      <w:u w:val="none"/>
    </w:rPr>
  </w:style>
  <w:style w:type="character" w:customStyle="1" w:styleId="70">
    <w:name w:val="font101"/>
    <w:basedOn w:val="30"/>
    <w:qFormat/>
    <w:uiPriority w:val="0"/>
    <w:rPr>
      <w:rFonts w:hint="eastAsia" w:ascii="宋体" w:hAnsi="宋体" w:eastAsia="宋体" w:cs="宋体"/>
      <w:color w:val="000000"/>
      <w:sz w:val="21"/>
      <w:szCs w:val="21"/>
      <w:u w:val="none"/>
    </w:rPr>
  </w:style>
  <w:style w:type="character" w:customStyle="1" w:styleId="71">
    <w:name w:val="font81"/>
    <w:basedOn w:val="30"/>
    <w:qFormat/>
    <w:uiPriority w:val="0"/>
    <w:rPr>
      <w:rFonts w:hint="default" w:ascii="Calibri" w:hAnsi="Calibri" w:cs="Calibri"/>
      <w:color w:val="000000"/>
      <w:sz w:val="21"/>
      <w:szCs w:val="21"/>
      <w:u w:val="none"/>
    </w:rPr>
  </w:style>
  <w:style w:type="character" w:customStyle="1" w:styleId="72">
    <w:name w:val="first-child"/>
    <w:basedOn w:val="30"/>
    <w:qFormat/>
    <w:uiPriority w:val="0"/>
  </w:style>
  <w:style w:type="character" w:customStyle="1" w:styleId="73">
    <w:name w:val="layui-layer-tabnow"/>
    <w:basedOn w:val="30"/>
    <w:qFormat/>
    <w:uiPriority w:val="0"/>
    <w:rPr>
      <w:bdr w:val="single" w:color="CCCCCC" w:sz="6" w:space="0"/>
      <w:shd w:val="clear" w:fill="FFFFFF"/>
    </w:rPr>
  </w:style>
  <w:style w:type="paragraph" w:customStyle="1" w:styleId="74">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75">
    <w:name w:val="答复表头"/>
    <w:basedOn w:val="76"/>
    <w:next w:val="1"/>
    <w:qFormat/>
    <w:uiPriority w:val="0"/>
    <w:pPr>
      <w:tabs>
        <w:tab w:val="left" w:pos="480"/>
      </w:tabs>
    </w:pPr>
    <w:rPr>
      <w:b/>
    </w:rPr>
  </w:style>
  <w:style w:type="paragraph" w:customStyle="1" w:styleId="76">
    <w:name w:val="正表头"/>
    <w:basedOn w:val="1"/>
    <w:qFormat/>
    <w:uiPriority w:val="0"/>
    <w:pPr>
      <w:tabs>
        <w:tab w:val="left" w:pos="480"/>
      </w:tabs>
      <w:autoSpaceDE w:val="0"/>
      <w:autoSpaceDN w:val="0"/>
      <w:adjustRightInd w:val="0"/>
      <w:jc w:val="center"/>
      <w:textAlignment w:val="baseline"/>
    </w:pPr>
    <w:rPr>
      <w:rFonts w:ascii="宋体" w:hAnsi="Tms Rmn"/>
      <w:color w:val="000000"/>
      <w:kern w:val="0"/>
    </w:rPr>
  </w:style>
  <w:style w:type="character" w:customStyle="1" w:styleId="77">
    <w:name w:val="标题 字符"/>
    <w:link w:val="25"/>
    <w:qFormat/>
    <w:uiPriority w:val="0"/>
    <w:rPr>
      <w:rFonts w:ascii="Arial" w:hAnsi="Arial" w:cs="Arial"/>
      <w:b/>
      <w:bCs/>
      <w:sz w:val="32"/>
      <w:szCs w:val="32"/>
    </w:rPr>
  </w:style>
  <w:style w:type="character" w:customStyle="1" w:styleId="78">
    <w:name w:val="NormalCharacter"/>
    <w:semiHidden/>
    <w:qFormat/>
    <w:uiPriority w:val="0"/>
  </w:style>
  <w:style w:type="paragraph" w:customStyle="1" w:styleId="79">
    <w:name w:val="Body text|2"/>
    <w:basedOn w:val="1"/>
    <w:qFormat/>
    <w:uiPriority w:val="0"/>
    <w:pPr>
      <w:widowControl w:val="0"/>
      <w:shd w:val="clear" w:color="auto" w:fill="auto"/>
      <w:spacing w:after="260"/>
      <w:ind w:firstLine="140"/>
    </w:pPr>
    <w:rPr>
      <w:rFonts w:ascii="宋体" w:hAnsi="宋体" w:eastAsia="宋体" w:cs="宋体"/>
      <w:sz w:val="30"/>
      <w:szCs w:val="30"/>
      <w:u w:val="none"/>
      <w:shd w:val="clear" w:color="auto" w:fill="auto"/>
      <w:lang w:val="zh-TW" w:eastAsia="zh-TW" w:bidi="zh-TW"/>
    </w:rPr>
  </w:style>
  <w:style w:type="paragraph" w:customStyle="1" w:styleId="80">
    <w:name w:val="Body text|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81">
    <w:name w:val="Other|1"/>
    <w:basedOn w:val="1"/>
    <w:qFormat/>
    <w:uiPriority w:val="0"/>
    <w:pPr>
      <w:widowControl w:val="0"/>
      <w:shd w:val="clear" w:color="auto" w:fill="auto"/>
      <w:spacing w:line="454" w:lineRule="auto"/>
      <w:ind w:firstLine="140"/>
    </w:pPr>
    <w:rPr>
      <w:rFonts w:ascii="宋体" w:hAnsi="宋体" w:eastAsia="宋体" w:cs="宋体"/>
      <w:sz w:val="22"/>
      <w:szCs w:val="22"/>
      <w:u w:val="none"/>
      <w:shd w:val="clear" w:color="auto" w:fill="auto"/>
      <w:lang w:val="zh-TW" w:eastAsia="zh-TW" w:bidi="zh-TW"/>
    </w:rPr>
  </w:style>
  <w:style w:type="paragraph" w:customStyle="1" w:styleId="82">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91</Pages>
  <Words>49545</Words>
  <Characters>53855</Characters>
  <Lines>310</Lines>
  <Paragraphs>87</Paragraphs>
  <TotalTime>3</TotalTime>
  <ScaleCrop>false</ScaleCrop>
  <LinksUpToDate>false</LinksUpToDate>
  <CharactersWithSpaces>57274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2014-07-12T00:56:00Z</dcterms:created>
  <dc:creator>陈倩倩</dc:creator>
  <cp:lastModifiedBy>Administrator</cp:lastModifiedBy>
  <cp:lastPrinted>2023-03-09T03:48:00Z</cp:lastPrinted>
  <dcterms:modified xsi:type="dcterms:W3CDTF">2023-05-25T12:03:07Z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C5226FD990DA432B9C00A95E23232FEE</vt:lpwstr>
  </property>
</Properties>
</file>