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AE19E">
      <w:pPr>
        <w:spacing w:after="156" w:afterLines="50"/>
        <w:ind w:left="-850" w:leftChars="-405" w:right="-625"/>
        <w:jc w:val="center"/>
        <w:rPr>
          <w:rFonts w:ascii="新宋体" w:hAnsi="新宋体" w:eastAsia="新宋体"/>
          <w:b/>
          <w:sz w:val="40"/>
          <w:szCs w:val="40"/>
          <w:highlight w:val="none"/>
        </w:rPr>
      </w:pPr>
    </w:p>
    <w:p w14:paraId="5BD1D409">
      <w:pPr>
        <w:spacing w:after="156" w:afterLines="50"/>
        <w:ind w:left="-850" w:leftChars="-405" w:right="-625"/>
        <w:jc w:val="center"/>
        <w:rPr>
          <w:rFonts w:hint="eastAsia" w:ascii="宋体" w:hAnsi="宋体" w:eastAsia="宋体" w:cs="宋体"/>
          <w:b/>
          <w:sz w:val="40"/>
          <w:szCs w:val="40"/>
          <w:highlight w:val="none"/>
          <w:lang w:eastAsia="zh-CN"/>
        </w:rPr>
      </w:pPr>
      <w:r>
        <w:rPr>
          <w:rFonts w:hint="eastAsia" w:ascii="宋体" w:hAnsi="宋体" w:cs="宋体"/>
          <w:b/>
          <w:sz w:val="36"/>
          <w:szCs w:val="36"/>
          <w:highlight w:val="none"/>
          <w:lang w:eastAsia="zh-CN"/>
        </w:rPr>
        <w:t>克州财政局惠民惠农“一卡通”补贴资金金融机构代发项目</w:t>
      </w:r>
      <w:r>
        <w:rPr>
          <w:rFonts w:hint="eastAsia" w:ascii="宋体" w:hAnsi="宋体" w:eastAsia="宋体" w:cs="宋体"/>
          <w:b/>
          <w:sz w:val="40"/>
          <w:szCs w:val="40"/>
          <w:highlight w:val="none"/>
          <w:lang w:eastAsia="zh-CN"/>
        </w:rPr>
        <w:t>磋商文件</w:t>
      </w:r>
    </w:p>
    <w:p w14:paraId="6A50B65A">
      <w:pPr>
        <w:pStyle w:val="39"/>
        <w:rPr>
          <w:rFonts w:hint="eastAsia" w:ascii="宋体" w:hAnsi="宋体" w:eastAsia="宋体" w:cs="宋体"/>
        </w:rPr>
      </w:pPr>
    </w:p>
    <w:p w14:paraId="2D7FA31E">
      <w:pPr>
        <w:spacing w:after="156" w:afterLines="50"/>
        <w:ind w:left="-850" w:leftChars="-405" w:right="-625" w:firstLine="3920" w:firstLineChars="1400"/>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rPr>
        <w:t>项目编号：</w:t>
      </w:r>
      <w:r>
        <w:rPr>
          <w:rFonts w:hint="eastAsia" w:ascii="宋体" w:hAnsi="宋体" w:cs="宋体"/>
          <w:b/>
          <w:bCs/>
          <w:sz w:val="32"/>
          <w:szCs w:val="32"/>
          <w:highlight w:val="none"/>
          <w:lang w:val="en-US" w:eastAsia="zh-CN"/>
        </w:rPr>
        <w:t>KZZB</w:t>
      </w:r>
      <w:r>
        <w:rPr>
          <w:rFonts w:hint="eastAsia" w:ascii="宋体" w:hAnsi="宋体" w:eastAsia="宋体" w:cs="宋体"/>
          <w:b/>
          <w:bCs/>
          <w:sz w:val="32"/>
          <w:szCs w:val="32"/>
          <w:highlight w:val="none"/>
          <w:lang w:eastAsia="zh-CN"/>
        </w:rPr>
        <w:t>-</w:t>
      </w:r>
      <w:r>
        <w:rPr>
          <w:rFonts w:hint="eastAsia" w:ascii="宋体" w:hAnsi="宋体" w:cs="宋体"/>
          <w:b/>
          <w:bCs/>
          <w:sz w:val="32"/>
          <w:szCs w:val="32"/>
          <w:highlight w:val="none"/>
          <w:lang w:val="en-US" w:eastAsia="zh-CN"/>
        </w:rPr>
        <w:t>2024241</w:t>
      </w:r>
    </w:p>
    <w:p w14:paraId="2ED5EE93">
      <w:pPr>
        <w:rPr>
          <w:rFonts w:hint="eastAsia" w:ascii="宋体" w:hAnsi="宋体" w:eastAsia="宋体" w:cs="宋体"/>
          <w:bCs/>
          <w:szCs w:val="21"/>
          <w:highlight w:val="none"/>
        </w:rPr>
      </w:pPr>
    </w:p>
    <w:p w14:paraId="537C0E07">
      <w:pPr>
        <w:rPr>
          <w:rFonts w:hint="eastAsia" w:ascii="宋体" w:hAnsi="宋体" w:eastAsia="宋体" w:cs="宋体"/>
          <w:bCs/>
          <w:szCs w:val="21"/>
          <w:highlight w:val="none"/>
        </w:rPr>
      </w:pPr>
    </w:p>
    <w:p w14:paraId="417F33E9">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磋</w:t>
      </w:r>
    </w:p>
    <w:p w14:paraId="7AADBA99">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商</w:t>
      </w:r>
    </w:p>
    <w:p w14:paraId="4FB24DDD">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文</w:t>
      </w:r>
    </w:p>
    <w:p w14:paraId="45539568">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件</w:t>
      </w:r>
    </w:p>
    <w:p w14:paraId="2F2728E5">
      <w:pPr>
        <w:rPr>
          <w:rFonts w:hint="eastAsia" w:ascii="宋体" w:hAnsi="宋体" w:eastAsia="宋体" w:cs="宋体"/>
          <w:sz w:val="28"/>
          <w:szCs w:val="28"/>
          <w:highlight w:val="none"/>
        </w:rPr>
      </w:pPr>
    </w:p>
    <w:p w14:paraId="6112B7B3">
      <w:pPr>
        <w:ind w:firstLine="600"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招 标 人：</w:t>
      </w:r>
      <w:r>
        <w:rPr>
          <w:rFonts w:hint="eastAsia" w:ascii="宋体" w:hAnsi="宋体" w:cs="宋体"/>
          <w:b/>
          <w:sz w:val="30"/>
          <w:szCs w:val="30"/>
          <w:highlight w:val="none"/>
          <w:lang w:eastAsia="zh-CN"/>
        </w:rPr>
        <w:t>克孜勒苏柯尔克孜自治州</w:t>
      </w:r>
      <w:r>
        <w:rPr>
          <w:rFonts w:hint="eastAsia" w:ascii="宋体" w:hAnsi="宋体" w:eastAsia="宋体" w:cs="宋体"/>
          <w:b/>
          <w:sz w:val="30"/>
          <w:szCs w:val="30"/>
          <w:highlight w:val="none"/>
          <w:lang w:eastAsia="zh-CN"/>
        </w:rPr>
        <w:t>财政局</w:t>
      </w:r>
      <w:r>
        <w:rPr>
          <w:rFonts w:hint="eastAsia" w:ascii="宋体" w:hAnsi="宋体" w:eastAsia="宋体" w:cs="宋体"/>
          <w:b/>
          <w:sz w:val="30"/>
          <w:szCs w:val="30"/>
          <w:highlight w:val="none"/>
        </w:rPr>
        <w:t xml:space="preserve">（盖章）  </w:t>
      </w:r>
    </w:p>
    <w:p w14:paraId="78B6BFD8">
      <w:pPr>
        <w:rPr>
          <w:rFonts w:hint="eastAsia" w:ascii="宋体" w:hAnsi="宋体" w:eastAsia="宋体" w:cs="宋体"/>
          <w:b/>
          <w:sz w:val="30"/>
          <w:szCs w:val="30"/>
          <w:highlight w:val="none"/>
        </w:rPr>
      </w:pPr>
    </w:p>
    <w:p w14:paraId="5E08F321">
      <w:pPr>
        <w:ind w:firstLine="600" w:firstLineChars="200"/>
        <w:rPr>
          <w:rFonts w:ascii="宋体"/>
          <w:b/>
          <w:sz w:val="30"/>
          <w:szCs w:val="30"/>
          <w:highlight w:val="none"/>
          <w:u w:val="single"/>
        </w:rPr>
      </w:pPr>
      <w:r>
        <w:rPr>
          <w:rFonts w:hint="eastAsia" w:ascii="宋体" w:hAnsi="宋体" w:eastAsia="宋体" w:cs="宋体"/>
          <w:b/>
          <w:sz w:val="30"/>
          <w:szCs w:val="30"/>
          <w:highlight w:val="none"/>
        </w:rPr>
        <w:t>招标代理机构：</w:t>
      </w:r>
      <w:r>
        <w:rPr>
          <w:rFonts w:hint="eastAsia" w:ascii="宋体" w:hAnsi="宋体" w:eastAsia="宋体" w:cs="宋体"/>
          <w:b/>
          <w:sz w:val="30"/>
          <w:szCs w:val="30"/>
          <w:highlight w:val="none"/>
          <w:lang w:eastAsia="zh-CN"/>
        </w:rPr>
        <w:t>新疆融联通达工程项目管理有限公司</w:t>
      </w:r>
      <w:r>
        <w:rPr>
          <w:rFonts w:hint="eastAsia" w:ascii="宋体" w:hAnsi="宋体" w:eastAsia="宋体" w:cs="宋体"/>
          <w:b/>
          <w:sz w:val="30"/>
          <w:szCs w:val="30"/>
          <w:highlight w:val="none"/>
        </w:rPr>
        <w:t>（盖章）</w:t>
      </w:r>
    </w:p>
    <w:p w14:paraId="5DC7227E">
      <w:pPr>
        <w:jc w:val="center"/>
        <w:rPr>
          <w:rFonts w:ascii="宋体"/>
          <w:b/>
          <w:sz w:val="32"/>
          <w:szCs w:val="32"/>
          <w:highlight w:val="none"/>
        </w:rPr>
      </w:pPr>
    </w:p>
    <w:p w14:paraId="4BA3C405">
      <w:pPr>
        <w:pStyle w:val="2"/>
      </w:pPr>
    </w:p>
    <w:p w14:paraId="2B093020">
      <w:pPr>
        <w:tabs>
          <w:tab w:val="left" w:pos="3397"/>
        </w:tabs>
        <w:jc w:val="left"/>
        <w:rPr>
          <w:rFonts w:hint="eastAsia" w:eastAsia="宋体"/>
          <w:b/>
          <w:sz w:val="36"/>
          <w:highlight w:val="none"/>
          <w:lang w:eastAsia="zh-CN"/>
        </w:rPr>
      </w:pPr>
    </w:p>
    <w:p w14:paraId="7CDB8A7D">
      <w:pPr>
        <w:jc w:val="center"/>
        <w:rPr>
          <w:b/>
          <w:sz w:val="36"/>
          <w:highlight w:val="none"/>
        </w:rPr>
      </w:pPr>
      <w:r>
        <w:rPr>
          <w:rFonts w:hint="eastAsia"/>
          <w:b/>
          <w:sz w:val="36"/>
          <w:highlight w:val="none"/>
        </w:rPr>
        <w:t>目  录</w:t>
      </w:r>
    </w:p>
    <w:p w14:paraId="2922D18A">
      <w:pPr>
        <w:spacing w:line="360" w:lineRule="exact"/>
        <w:jc w:val="center"/>
        <w:rPr>
          <w:b/>
          <w:sz w:val="36"/>
          <w:highlight w:val="none"/>
        </w:rPr>
      </w:pPr>
    </w:p>
    <w:p w14:paraId="57B74A1A">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"_Toc26892" </w:instrText>
      </w:r>
      <w:r>
        <w:rPr>
          <w:highlight w:val="none"/>
        </w:rPr>
        <w:fldChar w:fldCharType="separate"/>
      </w:r>
      <w:r>
        <w:rPr>
          <w:rFonts w:ascii="宋体"/>
          <w:bCs/>
          <w:szCs w:val="32"/>
          <w:highlight w:val="none"/>
        </w:rPr>
        <w:t xml:space="preserve">第一章 </w:t>
      </w:r>
      <w:r>
        <w:rPr>
          <w:rFonts w:hint="eastAsia" w:ascii="宋体"/>
          <w:bCs/>
          <w:szCs w:val="32"/>
          <w:highlight w:val="none"/>
        </w:rPr>
        <w:t>招标公告</w:t>
      </w:r>
      <w:r>
        <w:rPr>
          <w:highlight w:val="none"/>
        </w:rPr>
        <w:tab/>
      </w:r>
      <w:r>
        <w:rPr>
          <w:highlight w:val="none"/>
        </w:rPr>
        <w:fldChar w:fldCharType="end"/>
      </w:r>
    </w:p>
    <w:p w14:paraId="1BFE520D">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"_Toc6289" </w:instrText>
      </w:r>
      <w:r>
        <w:rPr>
          <w:highlight w:val="none"/>
        </w:rPr>
        <w:fldChar w:fldCharType="separate"/>
      </w:r>
      <w:r>
        <w:rPr>
          <w:rFonts w:hint="eastAsia" w:ascii="宋体"/>
          <w:szCs w:val="28"/>
          <w:highlight w:val="none"/>
        </w:rPr>
        <w:t>磋商公告</w:t>
      </w:r>
      <w:r>
        <w:rPr>
          <w:highlight w:val="none"/>
        </w:rPr>
        <w:tab/>
      </w:r>
      <w:r>
        <w:rPr>
          <w:highlight w:val="none"/>
        </w:rPr>
        <w:fldChar w:fldCharType="end"/>
      </w:r>
    </w:p>
    <w:p w14:paraId="01F7EB93">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"_Toc6038" </w:instrText>
      </w:r>
      <w:r>
        <w:rPr>
          <w:highlight w:val="none"/>
        </w:rPr>
        <w:fldChar w:fldCharType="separate"/>
      </w:r>
      <w:r>
        <w:rPr>
          <w:rFonts w:hint="eastAsia" w:ascii="宋体"/>
          <w:szCs w:val="32"/>
          <w:highlight w:val="none"/>
        </w:rPr>
        <w:t>第二章 投标人须知</w:t>
      </w:r>
      <w:r>
        <w:rPr>
          <w:highlight w:val="none"/>
        </w:rPr>
        <w:tab/>
      </w:r>
      <w:r>
        <w:rPr>
          <w:highlight w:val="none"/>
        </w:rPr>
        <w:fldChar w:fldCharType="end"/>
      </w:r>
    </w:p>
    <w:p w14:paraId="7DAF8C15">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"_Toc26232" </w:instrText>
      </w:r>
      <w:r>
        <w:rPr>
          <w:highlight w:val="none"/>
        </w:rPr>
        <w:fldChar w:fldCharType="separate"/>
      </w:r>
      <w:r>
        <w:rPr>
          <w:rFonts w:hint="eastAsia" w:ascii="宋体"/>
          <w:szCs w:val="32"/>
          <w:highlight w:val="none"/>
        </w:rPr>
        <w:t>一、</w:t>
      </w:r>
      <w:r>
        <w:rPr>
          <w:rFonts w:hint="eastAsia" w:ascii="宋体"/>
          <w:szCs w:val="28"/>
          <w:highlight w:val="none"/>
        </w:rPr>
        <w:t>投标人须知前附表</w:t>
      </w:r>
      <w:r>
        <w:rPr>
          <w:highlight w:val="none"/>
        </w:rPr>
        <w:tab/>
      </w:r>
      <w:r>
        <w:rPr>
          <w:highlight w:val="none"/>
        </w:rPr>
        <w:fldChar w:fldCharType="end"/>
      </w:r>
    </w:p>
    <w:p w14:paraId="2EE043C8">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"_Toc30705" </w:instrText>
      </w:r>
      <w:r>
        <w:rPr>
          <w:highlight w:val="none"/>
        </w:rPr>
        <w:fldChar w:fldCharType="separate"/>
      </w:r>
      <w:r>
        <w:rPr>
          <w:rFonts w:hint="eastAsia" w:ascii="宋体"/>
          <w:szCs w:val="28"/>
          <w:highlight w:val="none"/>
        </w:rPr>
        <w:t>二、投标人须知</w:t>
      </w:r>
      <w:r>
        <w:rPr>
          <w:highlight w:val="none"/>
        </w:rPr>
        <w:tab/>
      </w:r>
      <w:r>
        <w:rPr>
          <w:highlight w:val="none"/>
        </w:rPr>
        <w:fldChar w:fldCharType="end"/>
      </w:r>
    </w:p>
    <w:p w14:paraId="189CEA24">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"_Toc25428" </w:instrText>
      </w:r>
      <w:r>
        <w:rPr>
          <w:highlight w:val="none"/>
        </w:rPr>
        <w:fldChar w:fldCharType="separate"/>
      </w:r>
      <w:r>
        <w:rPr>
          <w:rFonts w:hint="eastAsia"/>
          <w:szCs w:val="28"/>
          <w:highlight w:val="none"/>
        </w:rPr>
        <w:t>（一）</w:t>
      </w:r>
      <w:r>
        <w:rPr>
          <w:rFonts w:hint="eastAsia"/>
          <w:szCs w:val="32"/>
          <w:highlight w:val="none"/>
        </w:rPr>
        <w:t>总  则</w:t>
      </w:r>
      <w:r>
        <w:rPr>
          <w:highlight w:val="none"/>
        </w:rPr>
        <w:tab/>
      </w:r>
      <w:r>
        <w:rPr>
          <w:highlight w:val="none"/>
        </w:rPr>
        <w:fldChar w:fldCharType="end"/>
      </w:r>
    </w:p>
    <w:p w14:paraId="44924D7C">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"_Toc13107" </w:instrText>
      </w:r>
      <w:r>
        <w:rPr>
          <w:highlight w:val="none"/>
        </w:rPr>
        <w:fldChar w:fldCharType="separate"/>
      </w:r>
      <w:r>
        <w:rPr>
          <w:rFonts w:hint="eastAsia"/>
          <w:szCs w:val="28"/>
          <w:highlight w:val="none"/>
        </w:rPr>
        <w:t>（二）磋商文件</w:t>
      </w:r>
      <w:r>
        <w:rPr>
          <w:highlight w:val="none"/>
        </w:rPr>
        <w:tab/>
      </w:r>
      <w:r>
        <w:rPr>
          <w:highlight w:val="none"/>
        </w:rPr>
        <w:fldChar w:fldCharType="end"/>
      </w:r>
    </w:p>
    <w:p w14:paraId="504949B3">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"_Toc31024" </w:instrText>
      </w:r>
      <w:r>
        <w:rPr>
          <w:highlight w:val="none"/>
        </w:rPr>
        <w:fldChar w:fldCharType="separate"/>
      </w:r>
      <w:r>
        <w:rPr>
          <w:rFonts w:hint="eastAsia"/>
          <w:szCs w:val="28"/>
          <w:highlight w:val="none"/>
        </w:rPr>
        <w:t>（三）响应文件的编制</w:t>
      </w:r>
      <w:r>
        <w:rPr>
          <w:highlight w:val="none"/>
        </w:rPr>
        <w:tab/>
      </w:r>
      <w:r>
        <w:rPr>
          <w:highlight w:val="none"/>
        </w:rPr>
        <w:fldChar w:fldCharType="end"/>
      </w:r>
    </w:p>
    <w:p w14:paraId="1250943F">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szCs w:val="28"/>
          <w:highlight w:val="none"/>
        </w:rPr>
        <w:t>（四）投标文件的制作、上传及递交要求</w:t>
      </w:r>
      <w:r>
        <w:rPr>
          <w:highlight w:val="none"/>
        </w:rPr>
        <w:tab/>
      </w:r>
      <w:r>
        <w:rPr>
          <w:highlight w:val="none"/>
        </w:rPr>
        <w:fldChar w:fldCharType="end"/>
      </w:r>
    </w:p>
    <w:p w14:paraId="18CB9B0A">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"_Toc6569" </w:instrText>
      </w:r>
      <w:r>
        <w:rPr>
          <w:highlight w:val="none"/>
        </w:rPr>
        <w:fldChar w:fldCharType="separate"/>
      </w:r>
      <w:r>
        <w:rPr>
          <w:rFonts w:hint="eastAsia" w:ascii="黑体" w:eastAsia="黑体"/>
          <w:szCs w:val="28"/>
          <w:highlight w:val="none"/>
        </w:rPr>
        <w:t>（五）开 标、评标和定标</w:t>
      </w:r>
      <w:r>
        <w:rPr>
          <w:highlight w:val="none"/>
        </w:rPr>
        <w:tab/>
      </w:r>
      <w:r>
        <w:rPr>
          <w:highlight w:val="none"/>
        </w:rPr>
        <w:fldChar w:fldCharType="end"/>
      </w:r>
    </w:p>
    <w:p w14:paraId="7F78BC99">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"_Toc7364" </w:instrText>
      </w:r>
      <w:r>
        <w:rPr>
          <w:highlight w:val="none"/>
        </w:rPr>
        <w:fldChar w:fldCharType="separate"/>
      </w:r>
      <w:r>
        <w:rPr>
          <w:rFonts w:hint="eastAsia" w:hAnsi="宋体" w:cs="宋体"/>
          <w:szCs w:val="21"/>
          <w:highlight w:val="none"/>
        </w:rPr>
        <w:t>29.2</w:t>
      </w:r>
      <w:r>
        <w:rPr>
          <w:rFonts w:hint="eastAsia" w:hAnsi="宋体" w:cs="宋体"/>
          <w:bCs/>
          <w:szCs w:val="21"/>
          <w:highlight w:val="none"/>
        </w:rPr>
        <w:t>开标程序（先资格、商务技术后报价）</w:t>
      </w:r>
      <w:r>
        <w:rPr>
          <w:highlight w:val="none"/>
        </w:rPr>
        <w:tab/>
      </w:r>
      <w:r>
        <w:rPr>
          <w:highlight w:val="none"/>
        </w:rPr>
        <w:fldChar w:fldCharType="end"/>
      </w:r>
    </w:p>
    <w:p w14:paraId="2CAAD2B7">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"_Toc21524" </w:instrText>
      </w:r>
      <w:r>
        <w:rPr>
          <w:highlight w:val="none"/>
        </w:rPr>
        <w:fldChar w:fldCharType="separate"/>
      </w:r>
      <w:r>
        <w:rPr>
          <w:rFonts w:hint="eastAsia" w:ascii="黑体" w:eastAsia="黑体"/>
          <w:szCs w:val="28"/>
          <w:highlight w:val="none"/>
        </w:rPr>
        <w:t>（六）合同的授予</w:t>
      </w:r>
      <w:r>
        <w:rPr>
          <w:highlight w:val="none"/>
        </w:rPr>
        <w:tab/>
      </w:r>
      <w:r>
        <w:rPr>
          <w:highlight w:val="none"/>
        </w:rPr>
        <w:fldChar w:fldCharType="end"/>
      </w:r>
    </w:p>
    <w:p w14:paraId="5A7CA27B">
      <w:pPr>
        <w:pStyle w:val="11"/>
        <w:keepNext w:val="0"/>
        <w:keepLines w:val="0"/>
        <w:pageBreakBefore w:val="0"/>
        <w:widowControl w:val="0"/>
        <w:tabs>
          <w:tab w:val="right" w:leader="dot" w:pos="9968"/>
          <w:tab w:val="clear" w:pos="9288"/>
        </w:tabs>
        <w:kinsoku/>
        <w:wordWrap/>
        <w:overflowPunct/>
        <w:topLinePunct w:val="0"/>
        <w:autoSpaceDE/>
        <w:autoSpaceDN/>
        <w:bidi w:val="0"/>
        <w:adjustRightInd/>
        <w:snapToGrid/>
        <w:spacing w:line="220" w:lineRule="exact"/>
        <w:ind w:left="840"/>
        <w:textAlignment w:val="auto"/>
        <w:rPr>
          <w:highlight w:val="none"/>
        </w:rPr>
      </w:pPr>
      <w:r>
        <w:rPr>
          <w:highlight w:val="none"/>
        </w:rPr>
        <w:fldChar w:fldCharType="begin"/>
      </w:r>
      <w:r>
        <w:rPr>
          <w:highlight w:val="none"/>
        </w:rPr>
        <w:instrText xml:space="preserve"> HYPERLINK \l "_Toc29743" </w:instrText>
      </w:r>
      <w:r>
        <w:rPr>
          <w:highlight w:val="none"/>
        </w:rPr>
        <w:fldChar w:fldCharType="separate"/>
      </w:r>
      <w:r>
        <w:rPr>
          <w:rFonts w:hint="eastAsia" w:ascii="黑体" w:eastAsia="黑体"/>
          <w:szCs w:val="28"/>
          <w:highlight w:val="none"/>
        </w:rPr>
        <w:t>（七）纪律和监督</w:t>
      </w:r>
      <w:r>
        <w:rPr>
          <w:highlight w:val="none"/>
        </w:rPr>
        <w:tab/>
      </w:r>
      <w:r>
        <w:rPr>
          <w:highlight w:val="none"/>
        </w:rPr>
        <w:fldChar w:fldCharType="end"/>
      </w:r>
    </w:p>
    <w:p w14:paraId="3C8EA3D4">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"_Toc27114" </w:instrText>
      </w:r>
      <w:r>
        <w:rPr>
          <w:highlight w:val="none"/>
        </w:rPr>
        <w:fldChar w:fldCharType="separate"/>
      </w:r>
      <w:r>
        <w:rPr>
          <w:rFonts w:hint="eastAsia" w:ascii="宋体" w:hAnsi="宋体" w:cs="宋体"/>
          <w:bCs/>
          <w:szCs w:val="32"/>
          <w:highlight w:val="none"/>
        </w:rPr>
        <w:t>投诉相关说明</w:t>
      </w:r>
      <w:r>
        <w:rPr>
          <w:highlight w:val="none"/>
        </w:rPr>
        <w:tab/>
      </w:r>
      <w:r>
        <w:rPr>
          <w:highlight w:val="none"/>
        </w:rPr>
        <w:fldChar w:fldCharType="end"/>
      </w:r>
    </w:p>
    <w:p w14:paraId="0482A7D4">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"_Toc19974" </w:instrText>
      </w:r>
      <w:r>
        <w:rPr>
          <w:highlight w:val="none"/>
        </w:rPr>
        <w:fldChar w:fldCharType="separate"/>
      </w:r>
      <w:r>
        <w:rPr>
          <w:rFonts w:hint="eastAsia" w:ascii="宋体" w:hAnsi="宋体" w:cs="宋体"/>
          <w:bCs/>
          <w:szCs w:val="21"/>
          <w:highlight w:val="none"/>
        </w:rPr>
        <w:t>一、 质疑前置及时间要求</w:t>
      </w:r>
      <w:r>
        <w:rPr>
          <w:highlight w:val="none"/>
        </w:rPr>
        <w:tab/>
      </w:r>
      <w:r>
        <w:rPr>
          <w:highlight w:val="none"/>
        </w:rPr>
        <w:fldChar w:fldCharType="end"/>
      </w:r>
    </w:p>
    <w:p w14:paraId="00458766">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"_Toc15224" </w:instrText>
      </w:r>
      <w:r>
        <w:rPr>
          <w:highlight w:val="none"/>
        </w:rPr>
        <w:fldChar w:fldCharType="separate"/>
      </w:r>
      <w:r>
        <w:rPr>
          <w:rFonts w:hint="eastAsia" w:ascii="宋体" w:hAnsi="宋体" w:cs="宋体"/>
          <w:bCs/>
          <w:szCs w:val="21"/>
          <w:highlight w:val="none"/>
        </w:rPr>
        <w:t>二、书面方式</w:t>
      </w:r>
      <w:r>
        <w:rPr>
          <w:highlight w:val="none"/>
        </w:rPr>
        <w:tab/>
      </w:r>
      <w:r>
        <w:rPr>
          <w:highlight w:val="none"/>
        </w:rPr>
        <w:fldChar w:fldCharType="end"/>
      </w:r>
    </w:p>
    <w:p w14:paraId="2A3D5EC6">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"_Toc10437" </w:instrText>
      </w:r>
      <w:r>
        <w:rPr>
          <w:highlight w:val="none"/>
        </w:rPr>
        <w:fldChar w:fldCharType="separate"/>
      </w:r>
      <w:r>
        <w:rPr>
          <w:rFonts w:hint="eastAsia" w:ascii="宋体" w:hAnsi="宋体" w:cs="宋体"/>
          <w:bCs/>
          <w:szCs w:val="21"/>
          <w:highlight w:val="none"/>
        </w:rPr>
        <w:t>三、虚假、恶意投诉法律责任</w:t>
      </w:r>
      <w:r>
        <w:rPr>
          <w:highlight w:val="none"/>
        </w:rPr>
        <w:tab/>
      </w:r>
      <w:r>
        <w:rPr>
          <w:highlight w:val="none"/>
        </w:rPr>
        <w:fldChar w:fldCharType="end"/>
      </w:r>
    </w:p>
    <w:p w14:paraId="2F18BE23">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"_Toc30496" </w:instrText>
      </w:r>
      <w:r>
        <w:rPr>
          <w:highlight w:val="none"/>
        </w:rPr>
        <w:fldChar w:fldCharType="separate"/>
      </w:r>
      <w:r>
        <w:rPr>
          <w:rFonts w:hint="eastAsia" w:ascii="宋体" w:hAnsi="宋体" w:cs="宋体"/>
          <w:bCs/>
          <w:szCs w:val="32"/>
          <w:highlight w:val="none"/>
        </w:rPr>
        <w:t>质疑函范本</w:t>
      </w:r>
      <w:r>
        <w:rPr>
          <w:highlight w:val="none"/>
        </w:rPr>
        <w:tab/>
      </w:r>
      <w:r>
        <w:rPr>
          <w:highlight w:val="none"/>
        </w:rPr>
        <w:fldChar w:fldCharType="end"/>
      </w:r>
    </w:p>
    <w:p w14:paraId="44956EA6">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"_Toc25524" </w:instrText>
      </w:r>
      <w:r>
        <w:rPr>
          <w:highlight w:val="none"/>
        </w:rPr>
        <w:fldChar w:fldCharType="separate"/>
      </w:r>
      <w:r>
        <w:rPr>
          <w:rFonts w:hint="eastAsia" w:ascii="宋体" w:hAnsi="宋体" w:cs="宋体"/>
          <w:bCs/>
          <w:szCs w:val="21"/>
          <w:highlight w:val="none"/>
        </w:rPr>
        <w:t>一、质疑供应商基本信息</w:t>
      </w:r>
      <w:r>
        <w:rPr>
          <w:highlight w:val="none"/>
        </w:rPr>
        <w:tab/>
      </w:r>
      <w:r>
        <w:rPr>
          <w:highlight w:val="none"/>
        </w:rPr>
        <w:fldChar w:fldCharType="end"/>
      </w:r>
    </w:p>
    <w:p w14:paraId="30B31DE5">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"_Toc19533" </w:instrText>
      </w:r>
      <w:r>
        <w:rPr>
          <w:highlight w:val="none"/>
        </w:rPr>
        <w:fldChar w:fldCharType="separate"/>
      </w:r>
      <w:r>
        <w:rPr>
          <w:rFonts w:hint="eastAsia" w:ascii="宋体" w:hAnsi="宋体" w:cs="宋体"/>
          <w:bCs/>
          <w:szCs w:val="21"/>
          <w:highlight w:val="none"/>
        </w:rPr>
        <w:t>二、质疑项目基本情况</w:t>
      </w:r>
      <w:r>
        <w:rPr>
          <w:highlight w:val="none"/>
        </w:rPr>
        <w:tab/>
      </w:r>
      <w:r>
        <w:rPr>
          <w:highlight w:val="none"/>
        </w:rPr>
        <w:fldChar w:fldCharType="end"/>
      </w:r>
    </w:p>
    <w:p w14:paraId="5DCB1AFA">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"_Toc25298" </w:instrText>
      </w:r>
      <w:r>
        <w:rPr>
          <w:highlight w:val="none"/>
        </w:rPr>
        <w:fldChar w:fldCharType="separate"/>
      </w:r>
      <w:r>
        <w:rPr>
          <w:rFonts w:hint="eastAsia" w:ascii="宋体" w:hAnsi="宋体" w:cs="宋体"/>
          <w:bCs/>
          <w:szCs w:val="21"/>
          <w:highlight w:val="none"/>
        </w:rPr>
        <w:t>三、质疑事项具体内容</w:t>
      </w:r>
      <w:r>
        <w:rPr>
          <w:highlight w:val="none"/>
        </w:rPr>
        <w:tab/>
      </w:r>
      <w:r>
        <w:rPr>
          <w:highlight w:val="none"/>
        </w:rPr>
        <w:fldChar w:fldCharType="end"/>
      </w:r>
    </w:p>
    <w:p w14:paraId="1DD63E7F">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"_Toc20488" </w:instrText>
      </w:r>
      <w:r>
        <w:rPr>
          <w:highlight w:val="none"/>
        </w:rPr>
        <w:fldChar w:fldCharType="separate"/>
      </w:r>
      <w:r>
        <w:rPr>
          <w:rFonts w:hint="eastAsia" w:ascii="宋体" w:hAnsi="宋体" w:cs="宋体"/>
          <w:bCs/>
          <w:szCs w:val="21"/>
          <w:highlight w:val="none"/>
        </w:rPr>
        <w:t>四、与质疑事项相关的质疑请求</w:t>
      </w:r>
      <w:r>
        <w:rPr>
          <w:highlight w:val="none"/>
        </w:rPr>
        <w:tab/>
      </w:r>
      <w:r>
        <w:rPr>
          <w:highlight w:val="none"/>
        </w:rPr>
        <w:fldChar w:fldCharType="end"/>
      </w:r>
    </w:p>
    <w:p w14:paraId="2E5FEE32">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"_Toc7619" </w:instrText>
      </w:r>
      <w:r>
        <w:rPr>
          <w:highlight w:val="none"/>
        </w:rPr>
        <w:fldChar w:fldCharType="separate"/>
      </w:r>
      <w:r>
        <w:rPr>
          <w:rFonts w:hint="eastAsia" w:ascii="黑体" w:eastAsia="黑体"/>
          <w:szCs w:val="30"/>
          <w:highlight w:val="none"/>
        </w:rPr>
        <w:t>第三章  评标办法</w:t>
      </w:r>
      <w:r>
        <w:rPr>
          <w:highlight w:val="none"/>
        </w:rPr>
        <w:tab/>
      </w:r>
      <w:r>
        <w:rPr>
          <w:highlight w:val="none"/>
        </w:rPr>
        <w:fldChar w:fldCharType="end"/>
      </w:r>
    </w:p>
    <w:p w14:paraId="53E60B79">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"_Toc15723" </w:instrText>
      </w:r>
      <w:r>
        <w:rPr>
          <w:highlight w:val="none"/>
        </w:rPr>
        <w:fldChar w:fldCharType="separate"/>
      </w:r>
      <w:r>
        <w:rPr>
          <w:rFonts w:hint="eastAsia" w:ascii="宋体"/>
          <w:szCs w:val="28"/>
          <w:highlight w:val="none"/>
        </w:rPr>
        <w:t>一  总  则</w:t>
      </w:r>
      <w:r>
        <w:rPr>
          <w:highlight w:val="none"/>
        </w:rPr>
        <w:tab/>
      </w:r>
      <w:r>
        <w:rPr>
          <w:highlight w:val="none"/>
        </w:rPr>
        <w:fldChar w:fldCharType="end"/>
      </w:r>
    </w:p>
    <w:p w14:paraId="316F1453">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"_Toc5760" </w:instrText>
      </w:r>
      <w:r>
        <w:rPr>
          <w:highlight w:val="none"/>
        </w:rPr>
        <w:fldChar w:fldCharType="separate"/>
      </w:r>
      <w:r>
        <w:rPr>
          <w:rFonts w:hint="eastAsia" w:ascii="宋体"/>
          <w:szCs w:val="28"/>
          <w:highlight w:val="none"/>
        </w:rPr>
        <w:t>二  投标文件初审</w:t>
      </w:r>
      <w:r>
        <w:rPr>
          <w:highlight w:val="none"/>
        </w:rPr>
        <w:tab/>
      </w:r>
      <w:r>
        <w:rPr>
          <w:highlight w:val="none"/>
        </w:rPr>
        <w:fldChar w:fldCharType="end"/>
      </w:r>
    </w:p>
    <w:p w14:paraId="42FE4761">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"_Toc19366" </w:instrText>
      </w:r>
      <w:r>
        <w:rPr>
          <w:highlight w:val="none"/>
        </w:rPr>
        <w:fldChar w:fldCharType="separate"/>
      </w:r>
      <w:r>
        <w:rPr>
          <w:rFonts w:hint="eastAsia" w:ascii="宋体"/>
          <w:szCs w:val="28"/>
          <w:highlight w:val="none"/>
        </w:rPr>
        <w:t xml:space="preserve">三  </w:t>
      </w:r>
      <w:r>
        <w:rPr>
          <w:rFonts w:hint="eastAsia" w:ascii="宋体"/>
          <w:highlight w:val="none"/>
        </w:rPr>
        <w:t>投标文件的澄清和补正</w:t>
      </w:r>
      <w:r>
        <w:rPr>
          <w:highlight w:val="none"/>
        </w:rPr>
        <w:tab/>
      </w:r>
      <w:r>
        <w:rPr>
          <w:highlight w:val="none"/>
        </w:rPr>
        <w:fldChar w:fldCharType="end"/>
      </w:r>
    </w:p>
    <w:p w14:paraId="1385AD26">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"_Toc18469" </w:instrText>
      </w:r>
      <w:r>
        <w:rPr>
          <w:highlight w:val="none"/>
        </w:rPr>
        <w:fldChar w:fldCharType="separate"/>
      </w:r>
      <w:r>
        <w:rPr>
          <w:rFonts w:hint="eastAsia" w:ascii="宋体"/>
          <w:highlight w:val="none"/>
        </w:rPr>
        <w:t>四 比较与评价</w:t>
      </w:r>
      <w:r>
        <w:rPr>
          <w:highlight w:val="none"/>
        </w:rPr>
        <w:tab/>
      </w:r>
      <w:r>
        <w:rPr>
          <w:highlight w:val="none"/>
        </w:rPr>
        <w:fldChar w:fldCharType="end"/>
      </w:r>
    </w:p>
    <w:p w14:paraId="4C0E5445">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"_Toc767" </w:instrText>
      </w:r>
      <w:r>
        <w:rPr>
          <w:highlight w:val="none"/>
        </w:rPr>
        <w:fldChar w:fldCharType="separate"/>
      </w:r>
      <w:r>
        <w:rPr>
          <w:rFonts w:hint="eastAsia" w:ascii="宋体"/>
          <w:szCs w:val="32"/>
          <w:highlight w:val="none"/>
        </w:rPr>
        <w:t>第四章 技术规格、数量及质量要求</w:t>
      </w:r>
      <w:r>
        <w:rPr>
          <w:highlight w:val="none"/>
        </w:rPr>
        <w:tab/>
      </w:r>
      <w:r>
        <w:rPr>
          <w:highlight w:val="none"/>
        </w:rPr>
        <w:fldChar w:fldCharType="end"/>
      </w:r>
    </w:p>
    <w:p w14:paraId="4A1F740E">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"_Toc29918" </w:instrText>
      </w:r>
      <w:r>
        <w:rPr>
          <w:highlight w:val="none"/>
        </w:rPr>
        <w:fldChar w:fldCharType="separate"/>
      </w:r>
      <w:r>
        <w:rPr>
          <w:rFonts w:hint="eastAsia" w:ascii="宋体"/>
          <w:szCs w:val="30"/>
          <w:highlight w:val="none"/>
        </w:rPr>
        <w:t>第五章 合同条款及格式</w:t>
      </w:r>
      <w:r>
        <w:rPr>
          <w:highlight w:val="none"/>
        </w:rPr>
        <w:tab/>
      </w:r>
      <w:r>
        <w:rPr>
          <w:highlight w:val="none"/>
        </w:rPr>
        <w:fldChar w:fldCharType="end"/>
      </w:r>
    </w:p>
    <w:p w14:paraId="02513D43">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"_Toc23978" </w:instrText>
      </w:r>
      <w:r>
        <w:rPr>
          <w:highlight w:val="none"/>
        </w:rPr>
        <w:fldChar w:fldCharType="separate"/>
      </w:r>
      <w:r>
        <w:rPr>
          <w:rFonts w:hint="eastAsia" w:ascii="宋体" w:hAnsi="宋体" w:cs="宋体"/>
          <w:szCs w:val="21"/>
          <w:highlight w:val="none"/>
        </w:rPr>
        <w:t>（本合同为合同样稿，最终稿由供需双方协商后确定）</w:t>
      </w:r>
      <w:r>
        <w:rPr>
          <w:highlight w:val="none"/>
        </w:rPr>
        <w:tab/>
      </w:r>
      <w:r>
        <w:rPr>
          <w:highlight w:val="none"/>
        </w:rPr>
        <w:fldChar w:fldCharType="end"/>
      </w:r>
    </w:p>
    <w:p w14:paraId="07BA492F">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"_Toc14079" </w:instrText>
      </w:r>
      <w:r>
        <w:rPr>
          <w:highlight w:val="none"/>
        </w:rPr>
        <w:fldChar w:fldCharType="separate"/>
      </w:r>
      <w:r>
        <w:rPr>
          <w:rFonts w:ascii="宋体" w:hAnsi="宋体"/>
          <w:szCs w:val="30"/>
          <w:highlight w:val="none"/>
        </w:rPr>
        <w:t xml:space="preserve">一 </w:t>
      </w:r>
      <w:r>
        <w:rPr>
          <w:rFonts w:hint="eastAsia" w:ascii="宋体"/>
          <w:szCs w:val="30"/>
          <w:highlight w:val="none"/>
        </w:rPr>
        <w:t>合同协议书</w:t>
      </w:r>
      <w:r>
        <w:rPr>
          <w:highlight w:val="none"/>
        </w:rPr>
        <w:tab/>
      </w:r>
      <w:r>
        <w:rPr>
          <w:highlight w:val="none"/>
        </w:rPr>
        <w:fldChar w:fldCharType="end"/>
      </w:r>
    </w:p>
    <w:p w14:paraId="230E12D7">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"_Toc17151" </w:instrText>
      </w:r>
      <w:r>
        <w:rPr>
          <w:highlight w:val="none"/>
        </w:rPr>
        <w:fldChar w:fldCharType="separate"/>
      </w:r>
      <w:r>
        <w:rPr>
          <w:rFonts w:hint="eastAsia" w:ascii="黑体" w:eastAsia="黑体"/>
          <w:szCs w:val="30"/>
          <w:highlight w:val="none"/>
        </w:rPr>
        <w:t>二  合同条款</w:t>
      </w:r>
      <w:r>
        <w:rPr>
          <w:highlight w:val="none"/>
        </w:rPr>
        <w:tab/>
      </w:r>
      <w:r>
        <w:rPr>
          <w:highlight w:val="none"/>
        </w:rPr>
        <w:fldChar w:fldCharType="end"/>
      </w:r>
    </w:p>
    <w:p w14:paraId="3ABCAF7E">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"_Toc7538" </w:instrText>
      </w:r>
      <w:r>
        <w:rPr>
          <w:highlight w:val="none"/>
        </w:rPr>
        <w:fldChar w:fldCharType="separate"/>
      </w:r>
      <w:r>
        <w:rPr>
          <w:rFonts w:hint="eastAsia" w:ascii="宋体"/>
          <w:szCs w:val="30"/>
          <w:highlight w:val="none"/>
        </w:rPr>
        <w:t>第六章  投标文件格式</w:t>
      </w:r>
      <w:r>
        <w:rPr>
          <w:highlight w:val="none"/>
        </w:rPr>
        <w:tab/>
      </w:r>
      <w:r>
        <w:rPr>
          <w:highlight w:val="none"/>
        </w:rPr>
        <w:fldChar w:fldCharType="end"/>
      </w:r>
    </w:p>
    <w:p w14:paraId="791DDCE9">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cs="宋体"/>
          <w:bCs/>
          <w:highlight w:val="none"/>
        </w:rPr>
        <w:t>第一部分 开标一览表及资格证明文件</w:t>
      </w:r>
      <w:r>
        <w:rPr>
          <w:highlight w:val="none"/>
        </w:rPr>
        <w:tab/>
      </w:r>
      <w:r>
        <w:rPr>
          <w:highlight w:val="none"/>
        </w:rPr>
        <w:fldChar w:fldCharType="end"/>
      </w:r>
    </w:p>
    <w:p w14:paraId="379EEC6C">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"_Toc32612" </w:instrText>
      </w:r>
      <w:r>
        <w:rPr>
          <w:highlight w:val="none"/>
        </w:rPr>
        <w:fldChar w:fldCharType="separate"/>
      </w:r>
      <w:r>
        <w:rPr>
          <w:rFonts w:hint="eastAsia" w:ascii="宋体" w:hAnsi="宋体" w:cs="宋体"/>
          <w:highlight w:val="none"/>
        </w:rPr>
        <w:t>1、开标一览表（投标文件格式一）</w:t>
      </w:r>
      <w:r>
        <w:rPr>
          <w:highlight w:val="none"/>
        </w:rPr>
        <w:tab/>
      </w:r>
      <w:r>
        <w:rPr>
          <w:highlight w:val="none"/>
        </w:rPr>
        <w:fldChar w:fldCharType="end"/>
      </w:r>
    </w:p>
    <w:p w14:paraId="746BF9BA">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"_Toc24555" </w:instrText>
      </w:r>
      <w:r>
        <w:rPr>
          <w:highlight w:val="none"/>
        </w:rPr>
        <w:fldChar w:fldCharType="separate"/>
      </w:r>
      <w:r>
        <w:rPr>
          <w:rFonts w:hint="eastAsia" w:ascii="宋体" w:hAnsi="宋体" w:cs="宋体"/>
          <w:highlight w:val="none"/>
        </w:rPr>
        <w:t>2、 法人或者非法人组织的营业执照等证明文件或自然人的身份证明</w:t>
      </w:r>
      <w:r>
        <w:rPr>
          <w:highlight w:val="none"/>
        </w:rPr>
        <w:tab/>
      </w:r>
      <w:r>
        <w:rPr>
          <w:highlight w:val="none"/>
        </w:rPr>
        <w:fldChar w:fldCharType="end"/>
      </w:r>
    </w:p>
    <w:p w14:paraId="76483F1C">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"_Toc26267" </w:instrText>
      </w:r>
      <w:r>
        <w:rPr>
          <w:highlight w:val="none"/>
        </w:rPr>
        <w:fldChar w:fldCharType="separate"/>
      </w:r>
      <w:r>
        <w:rPr>
          <w:rFonts w:hint="eastAsia" w:ascii="宋体" w:hAnsi="宋体" w:cs="宋体"/>
          <w:highlight w:val="none"/>
        </w:rPr>
        <w:t>3 、法定代表人资格证明书（见投标文件格式二，自然人投标的无需提供）</w:t>
      </w:r>
      <w:r>
        <w:rPr>
          <w:highlight w:val="none"/>
        </w:rPr>
        <w:tab/>
      </w:r>
      <w:r>
        <w:rPr>
          <w:highlight w:val="none"/>
        </w:rPr>
        <w:fldChar w:fldCharType="end"/>
      </w:r>
    </w:p>
    <w:p w14:paraId="4DE8A631">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"_Toc15724" </w:instrText>
      </w:r>
      <w:r>
        <w:rPr>
          <w:highlight w:val="none"/>
        </w:rPr>
        <w:fldChar w:fldCharType="separate"/>
      </w:r>
      <w:r>
        <w:rPr>
          <w:rFonts w:hint="eastAsia" w:ascii="宋体" w:hAnsi="宋体" w:cs="宋体"/>
          <w:highlight w:val="none"/>
        </w:rPr>
        <w:t>4 、法定代表人授权委托书(投标文件格式三，自然人投标的无需提供)</w:t>
      </w:r>
      <w:r>
        <w:rPr>
          <w:highlight w:val="none"/>
        </w:rPr>
        <w:tab/>
      </w:r>
      <w:r>
        <w:rPr>
          <w:highlight w:val="none"/>
        </w:rPr>
        <w:fldChar w:fldCharType="end"/>
      </w:r>
    </w:p>
    <w:p w14:paraId="3B4F791A">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"_Toc3400" </w:instrText>
      </w:r>
      <w:r>
        <w:rPr>
          <w:highlight w:val="none"/>
        </w:rPr>
        <w:fldChar w:fldCharType="separate"/>
      </w:r>
      <w:r>
        <w:rPr>
          <w:rFonts w:hint="eastAsia" w:ascii="宋体" w:hAnsi="宋体" w:cs="宋体"/>
          <w:highlight w:val="none"/>
        </w:rPr>
        <w:t>5、投标保证金缴纳凭证或投标担保函</w:t>
      </w:r>
      <w:r>
        <w:rPr>
          <w:highlight w:val="none"/>
        </w:rPr>
        <w:tab/>
      </w:r>
      <w:r>
        <w:rPr>
          <w:highlight w:val="none"/>
        </w:rPr>
        <w:fldChar w:fldCharType="end"/>
      </w:r>
    </w:p>
    <w:p w14:paraId="482F6A9C">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"_Toc8696" </w:instrText>
      </w:r>
      <w:r>
        <w:rPr>
          <w:highlight w:val="none"/>
        </w:rPr>
        <w:fldChar w:fldCharType="separate"/>
      </w:r>
      <w:r>
        <w:rPr>
          <w:rFonts w:hint="eastAsia" w:ascii="宋体" w:hAnsi="宋体" w:cs="宋体"/>
          <w:highlight w:val="none"/>
        </w:rPr>
        <w:t>6、社会保障资金的缴纳记录</w:t>
      </w:r>
      <w:r>
        <w:rPr>
          <w:highlight w:val="none"/>
        </w:rPr>
        <w:tab/>
      </w:r>
      <w:r>
        <w:rPr>
          <w:highlight w:val="none"/>
        </w:rPr>
        <w:fldChar w:fldCharType="end"/>
      </w:r>
    </w:p>
    <w:p w14:paraId="5D452A19">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rFonts w:ascii="宋体" w:hAnsi="宋体" w:cs="宋体"/>
          <w:highlight w:val="none"/>
        </w:rPr>
      </w:pPr>
      <w:r>
        <w:rPr>
          <w:highlight w:val="none"/>
        </w:rPr>
        <w:fldChar w:fldCharType="begin"/>
      </w:r>
      <w:r>
        <w:rPr>
          <w:highlight w:val="none"/>
        </w:rPr>
        <w:instrText xml:space="preserve"> HYPERLINK \l "_Toc5004" </w:instrText>
      </w:r>
      <w:r>
        <w:rPr>
          <w:highlight w:val="none"/>
        </w:rPr>
        <w:fldChar w:fldCharType="separate"/>
      </w:r>
      <w:r>
        <w:rPr>
          <w:rFonts w:hint="eastAsia" w:ascii="宋体" w:hAnsi="宋体" w:cs="宋体"/>
          <w:highlight w:val="none"/>
        </w:rPr>
        <w:t>7、参加政府采购活动前3年内在经营活动中没有重大违法记录的书面声明</w:t>
      </w:r>
      <w:r>
        <w:rPr>
          <w:highlight w:val="none"/>
        </w:rPr>
        <w:tab/>
      </w:r>
      <w:r>
        <w:rPr>
          <w:highlight w:val="none"/>
        </w:rPr>
        <w:fldChar w:fldCharType="end"/>
      </w:r>
    </w:p>
    <w:p w14:paraId="576639B4">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cs="宋体"/>
          <w:highlight w:val="none"/>
        </w:rPr>
        <w:t>8、 投标人须知资料表要求的其他资格证明文件</w:t>
      </w:r>
      <w:r>
        <w:rPr>
          <w:highlight w:val="none"/>
        </w:rPr>
        <w:tab/>
      </w:r>
      <w:r>
        <w:rPr>
          <w:highlight w:val="none"/>
        </w:rPr>
        <w:fldChar w:fldCharType="end"/>
      </w:r>
    </w:p>
    <w:p w14:paraId="69D6E071">
      <w:pPr>
        <w:pStyle w:val="17"/>
        <w:keepNext w:val="0"/>
        <w:keepLines w:val="0"/>
        <w:pageBreakBefore w:val="0"/>
        <w:widowControl w:val="0"/>
        <w:tabs>
          <w:tab w:val="right" w:leader="dot" w:pos="9968"/>
        </w:tabs>
        <w:kinsoku/>
        <w:wordWrap/>
        <w:overflowPunct/>
        <w:topLinePunct w:val="0"/>
        <w:autoSpaceDE/>
        <w:autoSpaceDN/>
        <w:bidi w:val="0"/>
        <w:adjustRightInd/>
        <w:snapToGrid/>
        <w:spacing w:line="220" w:lineRule="exact"/>
        <w:textAlignment w:val="auto"/>
        <w:rPr>
          <w:highlight w:val="none"/>
        </w:rPr>
      </w:pPr>
      <w:r>
        <w:rPr>
          <w:highlight w:val="none"/>
        </w:rPr>
        <w:fldChar w:fldCharType="begin"/>
      </w:r>
      <w:r>
        <w:rPr>
          <w:highlight w:val="none"/>
        </w:rPr>
        <w:instrText xml:space="preserve"> HYPERLINK \l "_Toc29196" </w:instrText>
      </w:r>
      <w:r>
        <w:rPr>
          <w:highlight w:val="none"/>
        </w:rPr>
        <w:fldChar w:fldCharType="separate"/>
      </w:r>
      <w:r>
        <w:rPr>
          <w:rFonts w:hint="eastAsia"/>
          <w:szCs w:val="32"/>
          <w:highlight w:val="none"/>
        </w:rPr>
        <w:t>第二部分  商务及技术文件</w:t>
      </w:r>
      <w:r>
        <w:rPr>
          <w:highlight w:val="none"/>
        </w:rPr>
        <w:tab/>
      </w:r>
      <w:r>
        <w:rPr>
          <w:highlight w:val="none"/>
        </w:rPr>
        <w:fldChar w:fldCharType="end"/>
      </w:r>
    </w:p>
    <w:p w14:paraId="78340BBE">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"_Toc9747" </w:instrText>
      </w:r>
      <w:r>
        <w:rPr>
          <w:highlight w:val="none"/>
        </w:rPr>
        <w:fldChar w:fldCharType="separate"/>
      </w:r>
      <w:r>
        <w:rPr>
          <w:rFonts w:hint="eastAsia" w:ascii="宋体" w:hAnsi="宋体" w:cs="宋体"/>
          <w:bCs/>
          <w:highlight w:val="none"/>
        </w:rPr>
        <w:t>1 、投标书（投标文件格式五）</w:t>
      </w:r>
      <w:r>
        <w:rPr>
          <w:highlight w:val="none"/>
        </w:rPr>
        <w:tab/>
      </w:r>
      <w:r>
        <w:rPr>
          <w:highlight w:val="none"/>
        </w:rPr>
        <w:fldChar w:fldCharType="end"/>
      </w:r>
    </w:p>
    <w:p w14:paraId="2EFD6507">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"_Toc6732" </w:instrText>
      </w:r>
      <w:r>
        <w:rPr>
          <w:highlight w:val="none"/>
        </w:rPr>
        <w:fldChar w:fldCharType="separate"/>
      </w:r>
      <w:r>
        <w:rPr>
          <w:rFonts w:hint="eastAsia" w:ascii="宋体" w:hAnsi="宋体" w:cs="宋体"/>
          <w:bCs/>
          <w:highlight w:val="none"/>
        </w:rPr>
        <w:t>2 、投标分项报价表（投标文件格式六）</w:t>
      </w:r>
      <w:r>
        <w:rPr>
          <w:highlight w:val="none"/>
        </w:rPr>
        <w:tab/>
      </w:r>
      <w:r>
        <w:rPr>
          <w:highlight w:val="none"/>
        </w:rPr>
        <w:fldChar w:fldCharType="end"/>
      </w:r>
    </w:p>
    <w:p w14:paraId="2443D675">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"_Toc28266" </w:instrText>
      </w:r>
      <w:r>
        <w:rPr>
          <w:highlight w:val="none"/>
        </w:rPr>
        <w:fldChar w:fldCharType="separate"/>
      </w:r>
      <w:r>
        <w:rPr>
          <w:rFonts w:hint="eastAsia" w:ascii="宋体" w:hAnsi="宋体" w:cs="宋体"/>
          <w:bCs/>
          <w:highlight w:val="none"/>
        </w:rPr>
        <w:t>3、货物说明一览表（投标文件格式七）</w:t>
      </w:r>
      <w:r>
        <w:rPr>
          <w:highlight w:val="none"/>
        </w:rPr>
        <w:tab/>
      </w:r>
      <w:r>
        <w:rPr>
          <w:highlight w:val="none"/>
        </w:rPr>
        <w:fldChar w:fldCharType="end"/>
      </w:r>
    </w:p>
    <w:p w14:paraId="26C64192">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"_Toc31394" </w:instrText>
      </w:r>
      <w:r>
        <w:rPr>
          <w:highlight w:val="none"/>
        </w:rPr>
        <w:fldChar w:fldCharType="separate"/>
      </w:r>
      <w:r>
        <w:rPr>
          <w:rFonts w:hint="eastAsia" w:ascii="宋体" w:hAnsi="宋体" w:cs="宋体"/>
          <w:bCs/>
          <w:highlight w:val="none"/>
        </w:rPr>
        <w:t>4、技术规格偏离表（投标文件格式八）</w:t>
      </w:r>
      <w:r>
        <w:rPr>
          <w:highlight w:val="none"/>
        </w:rPr>
        <w:tab/>
      </w:r>
      <w:r>
        <w:rPr>
          <w:highlight w:val="none"/>
        </w:rPr>
        <w:fldChar w:fldCharType="end"/>
      </w:r>
    </w:p>
    <w:p w14:paraId="2B62F1BC">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"_Toc11124" </w:instrText>
      </w:r>
      <w:r>
        <w:rPr>
          <w:highlight w:val="none"/>
        </w:rPr>
        <w:fldChar w:fldCharType="separate"/>
      </w:r>
      <w:r>
        <w:rPr>
          <w:rFonts w:hint="eastAsia" w:ascii="宋体" w:hAnsi="宋体" w:cs="宋体"/>
          <w:bCs/>
          <w:highlight w:val="none"/>
        </w:rPr>
        <w:t>5、商务条款偏离表（投标文件格式九）</w:t>
      </w:r>
      <w:r>
        <w:rPr>
          <w:highlight w:val="none"/>
        </w:rPr>
        <w:tab/>
      </w:r>
      <w:r>
        <w:rPr>
          <w:highlight w:val="none"/>
        </w:rPr>
        <w:fldChar w:fldCharType="end"/>
      </w:r>
    </w:p>
    <w:p w14:paraId="21DCE73D">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"_Toc2816" </w:instrText>
      </w:r>
      <w:r>
        <w:rPr>
          <w:highlight w:val="none"/>
        </w:rPr>
        <w:fldChar w:fldCharType="separate"/>
      </w:r>
      <w:r>
        <w:rPr>
          <w:rFonts w:hint="eastAsia" w:ascii="宋体" w:hAnsi="宋体" w:cs="宋体"/>
          <w:bCs/>
          <w:highlight w:val="none"/>
        </w:rPr>
        <w:t>6、投标人关联单位的说明</w:t>
      </w:r>
      <w:r>
        <w:rPr>
          <w:highlight w:val="none"/>
        </w:rPr>
        <w:tab/>
      </w:r>
      <w:r>
        <w:rPr>
          <w:highlight w:val="none"/>
        </w:rPr>
        <w:fldChar w:fldCharType="end"/>
      </w:r>
    </w:p>
    <w:p w14:paraId="5DD88084">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"_Toc32515" </w:instrText>
      </w:r>
      <w:r>
        <w:rPr>
          <w:highlight w:val="none"/>
        </w:rPr>
        <w:fldChar w:fldCharType="separate"/>
      </w:r>
      <w:r>
        <w:rPr>
          <w:rFonts w:hint="eastAsia" w:ascii="宋体" w:hAnsi="宋体" w:cs="宋体"/>
          <w:bCs/>
          <w:highlight w:val="none"/>
        </w:rPr>
        <w:t>7、评分标准和细则中技术部分证明材料（格式自拟）</w:t>
      </w:r>
      <w:r>
        <w:rPr>
          <w:highlight w:val="none"/>
        </w:rPr>
        <w:tab/>
      </w:r>
      <w:r>
        <w:rPr>
          <w:highlight w:val="none"/>
        </w:rPr>
        <w:fldChar w:fldCharType="end"/>
      </w:r>
    </w:p>
    <w:p w14:paraId="067CE00B">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"_Toc28913" </w:instrText>
      </w:r>
      <w:r>
        <w:rPr>
          <w:highlight w:val="none"/>
        </w:rPr>
        <w:fldChar w:fldCharType="separate"/>
      </w:r>
      <w:r>
        <w:rPr>
          <w:rFonts w:hint="eastAsia" w:ascii="宋体" w:hAnsi="宋体" w:cs="宋体"/>
          <w:bCs/>
          <w:highlight w:val="none"/>
        </w:rPr>
        <w:t>8、评分标准和细则中商务部分证明材料（格式自拟）</w:t>
      </w:r>
      <w:r>
        <w:rPr>
          <w:highlight w:val="none"/>
        </w:rPr>
        <w:tab/>
      </w:r>
      <w:r>
        <w:rPr>
          <w:highlight w:val="none"/>
        </w:rPr>
        <w:fldChar w:fldCharType="end"/>
      </w:r>
    </w:p>
    <w:p w14:paraId="73724E4A">
      <w:pPr>
        <w:pStyle w:val="19"/>
        <w:keepNext w:val="0"/>
        <w:keepLines w:val="0"/>
        <w:pageBreakBefore w:val="0"/>
        <w:widowControl w:val="0"/>
        <w:tabs>
          <w:tab w:val="right" w:leader="dot" w:pos="9968"/>
        </w:tabs>
        <w:kinsoku/>
        <w:wordWrap/>
        <w:overflowPunct/>
        <w:topLinePunct w:val="0"/>
        <w:autoSpaceDE/>
        <w:autoSpaceDN/>
        <w:bidi w:val="0"/>
        <w:adjustRightInd/>
        <w:snapToGrid/>
        <w:spacing w:line="220" w:lineRule="exact"/>
        <w:ind w:left="420"/>
        <w:textAlignment w:val="auto"/>
        <w:rPr>
          <w:highlight w:val="none"/>
        </w:rPr>
      </w:pPr>
      <w:r>
        <w:rPr>
          <w:highlight w:val="none"/>
        </w:rPr>
        <w:fldChar w:fldCharType="begin"/>
      </w:r>
      <w:r>
        <w:rPr>
          <w:highlight w:val="none"/>
        </w:rPr>
        <w:instrText xml:space="preserve"> HYPERLINK \l "_Toc24437" </w:instrText>
      </w:r>
      <w:r>
        <w:rPr>
          <w:highlight w:val="none"/>
        </w:rPr>
        <w:fldChar w:fldCharType="separate"/>
      </w:r>
      <w:r>
        <w:rPr>
          <w:rFonts w:hint="eastAsia" w:ascii="宋体" w:hAnsi="宋体" w:cs="宋体"/>
          <w:bCs/>
          <w:highlight w:val="none"/>
        </w:rPr>
        <w:t>9、投标人认为有必要提供的其他证明材料（格式自拟）</w:t>
      </w:r>
      <w:r>
        <w:rPr>
          <w:highlight w:val="none"/>
        </w:rPr>
        <w:tab/>
      </w:r>
      <w:r>
        <w:rPr>
          <w:highlight w:val="none"/>
        </w:rPr>
        <w:fldChar w:fldCharType="end"/>
      </w:r>
    </w:p>
    <w:p w14:paraId="6287405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cs="宋体"/>
          <w:sz w:val="24"/>
          <w:highlight w:val="none"/>
        </w:rPr>
      </w:pPr>
      <w:r>
        <w:rPr>
          <w:rFonts w:hint="eastAsia" w:ascii="宋体" w:hAnsi="宋体" w:cs="宋体"/>
          <w:highlight w:val="none"/>
        </w:rPr>
        <w:fldChar w:fldCharType="end"/>
      </w:r>
      <w:r>
        <w:rPr>
          <w:rFonts w:hint="eastAsia" w:ascii="宋体" w:hAnsi="宋体" w:cs="宋体"/>
          <w:highlight w:val="none"/>
          <w:lang w:val="en-US" w:eastAsia="zh-CN"/>
        </w:rPr>
        <w:t xml:space="preserve">    </w:t>
      </w:r>
      <w:r>
        <w:rPr>
          <w:rFonts w:hint="eastAsia" w:ascii="宋体" w:hAnsi="宋体" w:cs="宋体"/>
          <w:highlight w:val="none"/>
        </w:rPr>
        <w:t>10、关于对本投标文件（响应文件）中资料真实性的承诺.......................................</w:t>
      </w:r>
    </w:p>
    <w:p w14:paraId="012F7013">
      <w:pPr>
        <w:spacing w:line="420" w:lineRule="exact"/>
        <w:jc w:val="center"/>
        <w:outlineLvl w:val="0"/>
        <w:rPr>
          <w:rFonts w:ascii="宋体"/>
          <w:b/>
          <w:bCs/>
          <w:sz w:val="32"/>
          <w:szCs w:val="32"/>
          <w:highlight w:val="none"/>
        </w:rPr>
      </w:pPr>
      <w:r>
        <w:rPr>
          <w:rFonts w:hint="eastAsia" w:ascii="宋体" w:hAnsi="宋体" w:cs="宋体"/>
          <w:sz w:val="24"/>
          <w:highlight w:val="none"/>
        </w:rPr>
        <w:br w:type="page"/>
      </w:r>
      <w:bookmarkStart w:id="0" w:name="_Toc26892"/>
      <w:r>
        <w:rPr>
          <w:rFonts w:hint="eastAsia" w:ascii="宋体"/>
          <w:b/>
          <w:bCs/>
          <w:sz w:val="32"/>
          <w:szCs w:val="32"/>
          <w:highlight w:val="none"/>
        </w:rPr>
        <w:t>第一章招标公告</w:t>
      </w:r>
      <w:bookmarkEnd w:id="0"/>
    </w:p>
    <w:p w14:paraId="27609EAC">
      <w:pPr>
        <w:pStyle w:val="3"/>
        <w:tabs>
          <w:tab w:val="left" w:pos="0"/>
        </w:tabs>
        <w:autoSpaceDE w:val="0"/>
        <w:autoSpaceDN w:val="0"/>
        <w:adjustRightInd w:val="0"/>
        <w:spacing w:before="0" w:after="0" w:line="360" w:lineRule="auto"/>
        <w:jc w:val="center"/>
        <w:rPr>
          <w:rFonts w:hint="eastAsia" w:eastAsia="仿宋"/>
          <w:highlight w:val="none"/>
          <w:lang w:eastAsia="zh-CN"/>
        </w:rPr>
      </w:pPr>
      <w:bookmarkStart w:id="1" w:name="_Toc6038"/>
      <w:r>
        <w:rPr>
          <w:rFonts w:hint="eastAsia" w:ascii="仿宋" w:hAnsi="仿宋" w:eastAsia="仿宋" w:cs="仿宋"/>
          <w:sz w:val="28"/>
          <w:szCs w:val="28"/>
          <w:highlight w:val="none"/>
          <w:shd w:val="clear" w:color="auto" w:fill="FFFFFF"/>
          <w:lang w:eastAsia="zh-CN"/>
        </w:rPr>
        <w:t>克州财政局惠民惠农“一卡通”补贴资金金融机构代发项目</w:t>
      </w:r>
      <w:r>
        <w:rPr>
          <w:rFonts w:hint="eastAsia" w:ascii="仿宋" w:hAnsi="仿宋" w:eastAsia="仿宋" w:cs="仿宋"/>
          <w:sz w:val="28"/>
          <w:szCs w:val="28"/>
          <w:highlight w:val="none"/>
          <w:shd w:val="clear" w:color="auto" w:fill="FFFFFF"/>
        </w:rPr>
        <w:t>竞争性磋商公告</w:t>
      </w:r>
    </w:p>
    <w:p w14:paraId="348A500F">
      <w:pPr>
        <w:pBdr>
          <w:top w:val="single" w:color="auto" w:sz="4" w:space="1"/>
          <w:left w:val="single" w:color="auto" w:sz="4" w:space="4"/>
          <w:bottom w:val="single" w:color="auto" w:sz="4" w:space="1"/>
          <w:right w:val="single" w:color="auto" w:sz="4" w:space="4"/>
        </w:pBdr>
        <w:spacing w:line="320" w:lineRule="exact"/>
        <w:rPr>
          <w:rFonts w:ascii="仿宋" w:hAnsi="仿宋" w:eastAsia="仿宋" w:cs="仿宋"/>
          <w:szCs w:val="21"/>
          <w:highlight w:val="none"/>
        </w:rPr>
      </w:pPr>
      <w:r>
        <w:rPr>
          <w:rFonts w:hint="eastAsia" w:ascii="仿宋" w:hAnsi="仿宋" w:eastAsia="仿宋" w:cs="仿宋"/>
          <w:szCs w:val="21"/>
          <w:highlight w:val="none"/>
        </w:rPr>
        <w:t>项目概况</w:t>
      </w:r>
    </w:p>
    <w:p w14:paraId="62CBD638">
      <w:pPr>
        <w:pBdr>
          <w:top w:val="single" w:color="auto" w:sz="4" w:space="1"/>
          <w:left w:val="single" w:color="auto" w:sz="4" w:space="4"/>
          <w:bottom w:val="single" w:color="auto" w:sz="4" w:space="1"/>
          <w:right w:val="single" w:color="auto" w:sz="4" w:space="4"/>
        </w:pBd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lang w:eastAsia="zh-CN"/>
        </w:rPr>
        <w:t>克州财政局惠民惠农“一卡通”补贴资金金融机构代发项目</w:t>
      </w:r>
      <w:r>
        <w:rPr>
          <w:rFonts w:hint="eastAsia" w:ascii="仿宋" w:hAnsi="仿宋" w:eastAsia="仿宋" w:cs="仿宋"/>
          <w:szCs w:val="21"/>
          <w:highlight w:val="none"/>
        </w:rPr>
        <w:t>的潜在投标人应在供应商登陆政采云平台http://www.zcygov.cn/，在线申请获取竞争性磋商文件（登录政府采购云平台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）。获取竞争性磋商文件，并于</w:t>
      </w:r>
      <w:r>
        <w:rPr>
          <w:rFonts w:hint="eastAsia" w:ascii="仿宋" w:hAnsi="仿宋" w:eastAsia="仿宋" w:cs="仿宋"/>
          <w:color w:val="0000FF"/>
          <w:szCs w:val="21"/>
          <w:highlight w:val="none"/>
        </w:rPr>
        <w:t>202</w:t>
      </w:r>
      <w:r>
        <w:rPr>
          <w:rFonts w:hint="eastAsia" w:ascii="仿宋" w:hAnsi="仿宋" w:eastAsia="仿宋" w:cs="仿宋"/>
          <w:color w:val="0000FF"/>
          <w:szCs w:val="21"/>
          <w:highlight w:val="none"/>
          <w:lang w:val="en-US" w:eastAsia="zh-CN"/>
        </w:rPr>
        <w:t>4</w:t>
      </w:r>
      <w:r>
        <w:rPr>
          <w:rFonts w:hint="eastAsia" w:ascii="仿宋" w:hAnsi="仿宋" w:eastAsia="仿宋" w:cs="仿宋"/>
          <w:color w:val="0000FF"/>
          <w:szCs w:val="21"/>
          <w:highlight w:val="none"/>
        </w:rPr>
        <w:t>年</w:t>
      </w:r>
      <w:r>
        <w:rPr>
          <w:rFonts w:hint="eastAsia" w:ascii="仿宋" w:hAnsi="仿宋" w:eastAsia="仿宋" w:cs="仿宋"/>
          <w:color w:val="0000FF"/>
          <w:szCs w:val="21"/>
          <w:highlight w:val="none"/>
          <w:lang w:val="en-US" w:eastAsia="zh-CN"/>
        </w:rPr>
        <w:t>12</w:t>
      </w:r>
      <w:r>
        <w:rPr>
          <w:rFonts w:hint="eastAsia" w:ascii="仿宋" w:hAnsi="仿宋" w:eastAsia="仿宋" w:cs="仿宋"/>
          <w:color w:val="0000FF"/>
          <w:szCs w:val="21"/>
          <w:highlight w:val="none"/>
        </w:rPr>
        <w:t>月</w:t>
      </w:r>
      <w:r>
        <w:rPr>
          <w:rFonts w:hint="eastAsia" w:ascii="仿宋" w:hAnsi="仿宋" w:eastAsia="仿宋" w:cs="仿宋"/>
          <w:color w:val="0000FF"/>
          <w:szCs w:val="21"/>
          <w:highlight w:val="none"/>
          <w:lang w:val="en-US" w:eastAsia="zh-CN"/>
        </w:rPr>
        <w:t>9</w:t>
      </w:r>
      <w:r>
        <w:rPr>
          <w:rFonts w:hint="eastAsia" w:ascii="仿宋" w:hAnsi="仿宋" w:eastAsia="仿宋" w:cs="仿宋"/>
          <w:color w:val="0000FF"/>
          <w:szCs w:val="21"/>
          <w:highlight w:val="none"/>
        </w:rPr>
        <w:t>日1</w:t>
      </w:r>
      <w:r>
        <w:rPr>
          <w:rFonts w:hint="eastAsia" w:ascii="仿宋" w:hAnsi="仿宋" w:eastAsia="仿宋" w:cs="仿宋"/>
          <w:color w:val="0000FF"/>
          <w:szCs w:val="21"/>
          <w:highlight w:val="none"/>
          <w:lang w:val="en-US" w:eastAsia="zh-CN"/>
        </w:rPr>
        <w:t>0</w:t>
      </w:r>
      <w:r>
        <w:rPr>
          <w:rFonts w:hint="eastAsia" w:ascii="仿宋" w:hAnsi="仿宋" w:eastAsia="仿宋" w:cs="仿宋"/>
          <w:color w:val="0000FF"/>
          <w:szCs w:val="21"/>
          <w:highlight w:val="none"/>
        </w:rPr>
        <w:t>点</w:t>
      </w:r>
      <w:r>
        <w:rPr>
          <w:rFonts w:hint="eastAsia" w:ascii="仿宋" w:hAnsi="仿宋" w:eastAsia="仿宋" w:cs="仿宋"/>
          <w:color w:val="0000FF"/>
          <w:szCs w:val="21"/>
          <w:highlight w:val="none"/>
          <w:lang w:val="en-US" w:eastAsia="zh-CN"/>
        </w:rPr>
        <w:t>3</w:t>
      </w:r>
      <w:r>
        <w:rPr>
          <w:rFonts w:hint="eastAsia" w:ascii="仿宋" w:hAnsi="仿宋" w:eastAsia="仿宋" w:cs="仿宋"/>
          <w:color w:val="0000FF"/>
          <w:szCs w:val="21"/>
          <w:highlight w:val="none"/>
        </w:rPr>
        <w:t>0分</w:t>
      </w:r>
      <w:r>
        <w:rPr>
          <w:rFonts w:hint="eastAsia" w:ascii="仿宋" w:hAnsi="仿宋" w:eastAsia="仿宋" w:cs="仿宋"/>
          <w:szCs w:val="21"/>
          <w:highlight w:val="none"/>
        </w:rPr>
        <w:t>（北京时间）前（上传）电子投标文件。</w:t>
      </w:r>
      <w:bookmarkStart w:id="2" w:name="_Toc35393629"/>
      <w:bookmarkStart w:id="3" w:name="_Toc28359089"/>
      <w:bookmarkStart w:id="4" w:name="_Toc35393798"/>
      <w:bookmarkStart w:id="5" w:name="_Toc28359012"/>
    </w:p>
    <w:bookmarkEnd w:id="2"/>
    <w:bookmarkEnd w:id="3"/>
    <w:bookmarkEnd w:id="4"/>
    <w:bookmarkEnd w:id="5"/>
    <w:p w14:paraId="47198C33">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一、项目基本情况</w:t>
      </w:r>
    </w:p>
    <w:p w14:paraId="0D73DB0A">
      <w:pPr>
        <w:spacing w:line="320" w:lineRule="exact"/>
        <w:ind w:firstLine="420" w:firstLineChars="200"/>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项目编号：</w:t>
      </w:r>
      <w:r>
        <w:rPr>
          <w:rFonts w:hint="eastAsia" w:ascii="仿宋" w:hAnsi="仿宋" w:eastAsia="仿宋" w:cs="仿宋"/>
          <w:kern w:val="0"/>
          <w:szCs w:val="21"/>
          <w:highlight w:val="none"/>
          <w:lang w:val="en-US" w:eastAsia="zh-CN"/>
        </w:rPr>
        <w:t>KZZB</w:t>
      </w:r>
      <w:r>
        <w:rPr>
          <w:rFonts w:hint="eastAsia" w:ascii="仿宋" w:hAnsi="仿宋" w:eastAsia="仿宋" w:cs="仿宋"/>
          <w:kern w:val="0"/>
          <w:szCs w:val="21"/>
          <w:highlight w:val="none"/>
          <w:lang w:eastAsia="zh-CN"/>
        </w:rPr>
        <w:t>-2024</w:t>
      </w:r>
      <w:r>
        <w:rPr>
          <w:rFonts w:hint="eastAsia" w:ascii="仿宋" w:hAnsi="仿宋" w:eastAsia="仿宋" w:cs="仿宋"/>
          <w:kern w:val="0"/>
          <w:szCs w:val="21"/>
          <w:highlight w:val="none"/>
          <w:lang w:val="en-US" w:eastAsia="zh-CN"/>
        </w:rPr>
        <w:t>241</w:t>
      </w:r>
    </w:p>
    <w:p w14:paraId="3EC34E44">
      <w:pPr>
        <w:spacing w:line="320" w:lineRule="exact"/>
        <w:ind w:firstLine="420" w:firstLineChars="20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 xml:space="preserve">项目名称： </w:t>
      </w:r>
      <w:r>
        <w:rPr>
          <w:rFonts w:hint="eastAsia" w:ascii="仿宋" w:hAnsi="仿宋" w:eastAsia="仿宋" w:cs="仿宋"/>
          <w:kern w:val="0"/>
          <w:szCs w:val="21"/>
          <w:highlight w:val="none"/>
          <w:lang w:eastAsia="zh-CN"/>
        </w:rPr>
        <w:t>克州财政局惠民惠农“一卡通”补贴资金金融机构代发项目</w:t>
      </w:r>
    </w:p>
    <w:p w14:paraId="66BE531F">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采购方式：竞争性磋商</w:t>
      </w:r>
    </w:p>
    <w:p w14:paraId="30DDB089">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eastAsia="zh-CN"/>
        </w:rPr>
        <w:t>1</w:t>
      </w:r>
      <w:r>
        <w:rPr>
          <w:rFonts w:hint="eastAsia" w:ascii="仿宋" w:hAnsi="仿宋" w:eastAsia="仿宋" w:cs="仿宋"/>
          <w:szCs w:val="21"/>
          <w:highlight w:val="none"/>
        </w:rPr>
        <w:t>元</w:t>
      </w:r>
    </w:p>
    <w:p w14:paraId="4F62A065">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最高限价：</w:t>
      </w:r>
      <w:r>
        <w:rPr>
          <w:rFonts w:hint="eastAsia" w:ascii="仿宋" w:hAnsi="仿宋" w:eastAsia="仿宋" w:cs="仿宋"/>
          <w:szCs w:val="21"/>
          <w:highlight w:val="none"/>
          <w:lang w:eastAsia="zh-CN"/>
        </w:rPr>
        <w:t>1</w:t>
      </w:r>
      <w:r>
        <w:rPr>
          <w:rFonts w:hint="eastAsia" w:ascii="仿宋" w:hAnsi="仿宋" w:eastAsia="仿宋" w:cs="仿宋"/>
          <w:szCs w:val="21"/>
          <w:highlight w:val="none"/>
        </w:rPr>
        <w:t>元</w:t>
      </w:r>
    </w:p>
    <w:p w14:paraId="57784196">
      <w:pPr>
        <w:spacing w:line="320" w:lineRule="exact"/>
        <w:ind w:left="1470" w:leftChars="200" w:hanging="1050" w:hangingChars="500"/>
        <w:rPr>
          <w:rFonts w:hint="default" w:ascii="仿宋" w:hAnsi="仿宋" w:eastAsia="仿宋" w:cs="仿宋"/>
          <w:szCs w:val="21"/>
          <w:highlight w:val="none"/>
          <w:lang w:val="en-US" w:eastAsia="zh-CN"/>
        </w:rPr>
      </w:pPr>
      <w:r>
        <w:rPr>
          <w:rFonts w:hint="eastAsia" w:ascii="仿宋" w:hAnsi="仿宋" w:eastAsia="仿宋" w:cs="仿宋"/>
          <w:szCs w:val="21"/>
          <w:highlight w:val="none"/>
        </w:rPr>
        <w:t>采购需求：</w:t>
      </w:r>
      <w:r>
        <w:rPr>
          <w:rFonts w:hint="eastAsia" w:ascii="仿宋" w:hAnsi="仿宋" w:eastAsia="仿宋" w:cs="仿宋"/>
          <w:kern w:val="0"/>
          <w:szCs w:val="21"/>
          <w:highlight w:val="none"/>
          <w:lang w:eastAsia="zh-CN"/>
        </w:rPr>
        <w:t>财政局惠民惠农“一卡通”补贴资金金融机构代发</w:t>
      </w:r>
    </w:p>
    <w:p w14:paraId="1FFB1D74">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合同履</w:t>
      </w:r>
      <w:r>
        <w:rPr>
          <w:rFonts w:hint="eastAsia" w:ascii="仿宋" w:hAnsi="仿宋" w:eastAsia="仿宋" w:cs="仿宋"/>
          <w:kern w:val="0"/>
          <w:szCs w:val="21"/>
          <w:highlight w:val="none"/>
        </w:rPr>
        <w:t>行期限：详见竞争性磋商文件</w:t>
      </w:r>
    </w:p>
    <w:p w14:paraId="025AC449">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本项目（否）接受联合体投标。</w:t>
      </w:r>
    </w:p>
    <w:p w14:paraId="43D40EF5">
      <w:pPr>
        <w:spacing w:line="320" w:lineRule="exact"/>
        <w:ind w:firstLine="420" w:firstLineChars="200"/>
        <w:rPr>
          <w:rFonts w:ascii="仿宋" w:hAnsi="仿宋" w:eastAsia="仿宋" w:cs="仿宋"/>
          <w:szCs w:val="21"/>
          <w:highlight w:val="none"/>
        </w:rPr>
      </w:pPr>
      <w:bookmarkStart w:id="6" w:name="_Toc28359090"/>
      <w:bookmarkStart w:id="7" w:name="_Toc35393630"/>
      <w:bookmarkStart w:id="8" w:name="_Toc28359013"/>
      <w:bookmarkStart w:id="9" w:name="_Toc35393799"/>
      <w:r>
        <w:rPr>
          <w:rFonts w:hint="eastAsia" w:ascii="仿宋" w:hAnsi="仿宋" w:eastAsia="仿宋" w:cs="仿宋"/>
          <w:kern w:val="0"/>
          <w:szCs w:val="21"/>
          <w:highlight w:val="none"/>
        </w:rPr>
        <w:t>二、</w:t>
      </w:r>
      <w:r>
        <w:rPr>
          <w:rFonts w:hint="eastAsia" w:ascii="仿宋" w:hAnsi="仿宋" w:eastAsia="仿宋" w:cs="仿宋"/>
          <w:szCs w:val="21"/>
          <w:highlight w:val="none"/>
        </w:rPr>
        <w:t>资格要求：</w:t>
      </w:r>
      <w:bookmarkEnd w:id="6"/>
      <w:bookmarkEnd w:id="7"/>
      <w:bookmarkEnd w:id="8"/>
      <w:bookmarkEnd w:id="9"/>
    </w:p>
    <w:p w14:paraId="03F1A8B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w:t>
      </w:r>
    </w:p>
    <w:p w14:paraId="3AC37F94">
      <w:pPr>
        <w:spacing w:line="320" w:lineRule="exact"/>
        <w:ind w:firstLine="420" w:firstLineChars="200"/>
        <w:rPr>
          <w:rFonts w:hint="eastAsia" w:ascii="仿宋" w:hAnsi="仿宋" w:eastAsia="仿宋" w:cs="仿宋"/>
          <w:szCs w:val="21"/>
          <w:highlight w:val="none"/>
          <w:lang w:eastAsia="zh-CN"/>
        </w:rPr>
      </w:pPr>
      <w:bookmarkStart w:id="10" w:name="_Toc28359014"/>
      <w:bookmarkStart w:id="11" w:name="_Toc28359091"/>
      <w:r>
        <w:rPr>
          <w:rFonts w:hint="eastAsia" w:ascii="仿宋" w:hAnsi="仿宋" w:eastAsia="仿宋" w:cs="仿宋"/>
          <w:szCs w:val="21"/>
          <w:highlight w:val="none"/>
        </w:rPr>
        <w:t>2.落实政府采购政策需满足的资格要求：</w:t>
      </w:r>
      <w:r>
        <w:rPr>
          <w:rFonts w:hint="eastAsia" w:ascii="仿宋" w:hAnsi="仿宋" w:eastAsia="仿宋" w:cs="仿宋"/>
          <w:szCs w:val="21"/>
          <w:highlight w:val="none"/>
          <w:lang w:eastAsia="zh-CN"/>
        </w:rPr>
        <w:t>无</w:t>
      </w:r>
    </w:p>
    <w:p w14:paraId="791A9E4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3.本项目的特定资格要求：</w:t>
      </w:r>
    </w:p>
    <w:p w14:paraId="320EFD5A">
      <w:pPr>
        <w:spacing w:line="320" w:lineRule="exact"/>
        <w:ind w:firstLine="420" w:firstLineChars="200"/>
        <w:rPr>
          <w:rFonts w:hint="eastAsia" w:ascii="仿宋" w:hAnsi="仿宋" w:eastAsia="仿宋" w:cs="仿宋"/>
          <w:szCs w:val="21"/>
          <w:highlight w:val="none"/>
        </w:rPr>
      </w:pPr>
      <w:bookmarkStart w:id="12" w:name="_Toc35393631"/>
      <w:bookmarkStart w:id="13" w:name="_Toc35393800"/>
      <w:r>
        <w:rPr>
          <w:rFonts w:hint="eastAsia" w:ascii="仿宋" w:hAnsi="仿宋" w:eastAsia="仿宋" w:cs="仿宋"/>
          <w:szCs w:val="21"/>
          <w:highlight w:val="none"/>
        </w:rPr>
        <w:t>（1)具备三证合一营业执照；</w:t>
      </w:r>
    </w:p>
    <w:p w14:paraId="55F438EB">
      <w:pPr>
        <w:spacing w:line="320" w:lineRule="exact"/>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（2)法定代表人投标需提供法定代表人资格证明书，委托代理人投标需提供法定代表人授权委托书；</w:t>
      </w:r>
    </w:p>
    <w:p w14:paraId="7DE65F8E">
      <w:pPr>
        <w:spacing w:line="32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1FC6AC5E">
      <w:pPr>
        <w:spacing w:line="32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（4）供应商必须为在中华人民共和国境内依法设立的国有商业银行、股份制商业银行、邮政储蓄银行、城市商业银行等银行机构且具备中国银行保险监督管理委员会核发的《中华人民共和国金融许可证》。</w:t>
      </w:r>
    </w:p>
    <w:p w14:paraId="61774468">
      <w:pPr>
        <w:spacing w:line="320" w:lineRule="exact"/>
        <w:ind w:firstLine="420" w:firstLineChars="200"/>
        <w:rPr>
          <w:rFonts w:ascii="仿宋" w:hAnsi="仿宋" w:eastAsia="仿宋" w:cs="仿宋"/>
          <w:szCs w:val="21"/>
          <w:highlight w:val="none"/>
        </w:rPr>
      </w:pPr>
      <w:r>
        <w:rPr>
          <w:rFonts w:hint="eastAsia" w:ascii="仿宋" w:hAnsi="仿宋" w:eastAsia="仿宋" w:cs="仿宋"/>
          <w:kern w:val="0"/>
          <w:szCs w:val="21"/>
          <w:highlight w:val="none"/>
        </w:rPr>
        <w:t>三、获取</w:t>
      </w:r>
      <w:bookmarkEnd w:id="10"/>
      <w:bookmarkEnd w:id="11"/>
      <w:bookmarkEnd w:id="12"/>
      <w:bookmarkEnd w:id="13"/>
      <w:r>
        <w:rPr>
          <w:rFonts w:hint="eastAsia" w:ascii="仿宋" w:hAnsi="仿宋" w:eastAsia="仿宋" w:cs="仿宋"/>
          <w:kern w:val="0"/>
          <w:szCs w:val="21"/>
          <w:highlight w:val="none"/>
        </w:rPr>
        <w:t>竞</w:t>
      </w:r>
      <w:r>
        <w:rPr>
          <w:rFonts w:hint="eastAsia" w:ascii="仿宋" w:hAnsi="仿宋" w:eastAsia="仿宋" w:cs="仿宋"/>
          <w:szCs w:val="21"/>
          <w:highlight w:val="none"/>
        </w:rPr>
        <w:t>争性磋商文件</w:t>
      </w:r>
    </w:p>
    <w:p w14:paraId="7D11E1B3">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1、时间：</w:t>
      </w:r>
      <w:r>
        <w:rPr>
          <w:rFonts w:hint="eastAsia" w:ascii="仿宋" w:hAnsi="仿宋" w:eastAsia="仿宋" w:cs="仿宋"/>
          <w:b/>
          <w:bCs/>
          <w:szCs w:val="21"/>
          <w:highlight w:val="none"/>
        </w:rPr>
        <w:t>202</w:t>
      </w: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 xml:space="preserve"> 11 </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 xml:space="preserve"> 25</w:t>
      </w:r>
      <w:r>
        <w:rPr>
          <w:rFonts w:hint="eastAsia" w:ascii="仿宋" w:hAnsi="仿宋" w:eastAsia="仿宋" w:cs="仿宋"/>
          <w:b/>
          <w:bCs/>
          <w:szCs w:val="21"/>
          <w:highlight w:val="none"/>
        </w:rPr>
        <w:t>日至202</w:t>
      </w: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 xml:space="preserve"> 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 xml:space="preserve"> 6 </w:t>
      </w:r>
      <w:r>
        <w:rPr>
          <w:rFonts w:hint="eastAsia" w:ascii="仿宋" w:hAnsi="仿宋" w:eastAsia="仿宋" w:cs="仿宋"/>
          <w:b/>
          <w:bCs/>
          <w:szCs w:val="21"/>
          <w:highlight w:val="none"/>
        </w:rPr>
        <w:t>日，每天上午</w:t>
      </w:r>
      <w:r>
        <w:rPr>
          <w:rFonts w:hint="eastAsia" w:ascii="仿宋" w:hAnsi="仿宋" w:eastAsia="仿宋" w:cs="仿宋"/>
          <w:b/>
          <w:bCs/>
          <w:szCs w:val="21"/>
          <w:highlight w:val="none"/>
          <w:lang w:eastAsia="zh-CN"/>
        </w:rPr>
        <w:t>10:00至1</w:t>
      </w: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0</w:t>
      </w:r>
      <w:r>
        <w:rPr>
          <w:rFonts w:hint="eastAsia" w:ascii="仿宋" w:hAnsi="仿宋" w:eastAsia="仿宋" w:cs="仿宋"/>
          <w:b/>
          <w:bCs/>
          <w:szCs w:val="21"/>
          <w:highlight w:val="none"/>
          <w:lang w:eastAsia="zh-CN"/>
        </w:rPr>
        <w:t>0</w:t>
      </w:r>
      <w:r>
        <w:rPr>
          <w:rFonts w:hint="eastAsia" w:ascii="仿宋" w:hAnsi="仿宋" w:eastAsia="仿宋" w:cs="仿宋"/>
          <w:b/>
          <w:bCs/>
          <w:szCs w:val="21"/>
          <w:highlight w:val="none"/>
        </w:rPr>
        <w:t>，下午</w:t>
      </w:r>
      <w:r>
        <w:rPr>
          <w:rFonts w:hint="eastAsia" w:ascii="仿宋" w:hAnsi="仿宋" w:eastAsia="仿宋" w:cs="仿宋"/>
          <w:b/>
          <w:bCs/>
          <w:szCs w:val="21"/>
          <w:highlight w:val="none"/>
          <w:lang w:eastAsia="zh-CN"/>
        </w:rPr>
        <w:t>16:</w:t>
      </w:r>
      <w:r>
        <w:rPr>
          <w:rFonts w:hint="eastAsia" w:ascii="仿宋" w:hAnsi="仿宋" w:eastAsia="仿宋" w:cs="仿宋"/>
          <w:b/>
          <w:bCs/>
          <w:szCs w:val="21"/>
          <w:highlight w:val="none"/>
          <w:lang w:val="en-US" w:eastAsia="zh-CN"/>
        </w:rPr>
        <w:t>00</w:t>
      </w:r>
      <w:r>
        <w:rPr>
          <w:rFonts w:hint="eastAsia" w:ascii="仿宋" w:hAnsi="仿宋" w:eastAsia="仿宋" w:cs="仿宋"/>
          <w:b/>
          <w:bCs/>
          <w:szCs w:val="21"/>
          <w:highlight w:val="none"/>
          <w:lang w:eastAsia="zh-CN"/>
        </w:rPr>
        <w:t>至</w:t>
      </w:r>
      <w:r>
        <w:rPr>
          <w:rFonts w:hint="eastAsia" w:ascii="仿宋" w:hAnsi="仿宋" w:eastAsia="仿宋" w:cs="仿宋"/>
          <w:b/>
          <w:bCs/>
          <w:szCs w:val="21"/>
          <w:highlight w:val="none"/>
          <w:lang w:val="en-US" w:eastAsia="zh-CN"/>
        </w:rPr>
        <w:t>19</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lang w:eastAsia="zh-CN"/>
        </w:rPr>
        <w:t>0</w:t>
      </w:r>
      <w:r>
        <w:rPr>
          <w:rFonts w:hint="eastAsia" w:ascii="仿宋" w:hAnsi="仿宋" w:eastAsia="仿宋" w:cs="仿宋"/>
          <w:szCs w:val="21"/>
          <w:highlight w:val="none"/>
        </w:rPr>
        <w:t>（北京时间，法定节假日除外）</w:t>
      </w:r>
    </w:p>
    <w:p w14:paraId="688CA3B8">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2、地点：供应商登陆政采云平台http://www.zcygov.cn/，在线申请获取竞争性磋商文件（登录政府采购云平台→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w:t>
      </w:r>
    </w:p>
    <w:p w14:paraId="7AEA4A50">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3、方式：（1）线上获取（登录政府采购云平台 → 项目采购 → 获取竞争性磋商文件→ 申请，审核通过后可下载竞争性磋商文件）。本次招标不提供纸质版竞争性磋商文件。（2）供应商获取竞争性磋商文件前应注册成为政府采购云平台正式供应商。</w:t>
      </w:r>
    </w:p>
    <w:p w14:paraId="3996A71F">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4、售价：0元</w:t>
      </w:r>
    </w:p>
    <w:p w14:paraId="2B2AC898">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四、提交投标文件截止时间、开标时间和地点</w:t>
      </w:r>
    </w:p>
    <w:p w14:paraId="375AC259">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截止时间：202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12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（北京时间）</w:t>
      </w:r>
    </w:p>
    <w:p w14:paraId="5C33DA56">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投标地点：政府采购云平台（www.zcygov.cn）</w:t>
      </w:r>
    </w:p>
    <w:p w14:paraId="19F5276C">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供应商应于202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12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9 </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之前将电子投标文件上传到“政采云”平台。</w:t>
      </w:r>
    </w:p>
    <w:p w14:paraId="696207CB">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开标时间：202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12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（北京时间）</w:t>
      </w:r>
    </w:p>
    <w:p w14:paraId="7125EEE6">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开标地点：在政府采购云平台（www.zcygov.cn）上开启投标文件</w:t>
      </w:r>
    </w:p>
    <w:p w14:paraId="38345CA8">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开标时间后，待采购组织机构发出解密通知后30分钟内，供应商须登录“政采云”平台，</w:t>
      </w:r>
      <w:r>
        <w:rPr>
          <w:rFonts w:hint="eastAsia" w:ascii="仿宋" w:hAnsi="仿宋" w:eastAsia="仿宋" w:cs="仿宋"/>
          <w:kern w:val="0"/>
          <w:szCs w:val="21"/>
          <w:highlight w:val="none"/>
        </w:rPr>
        <w:t>用“项目采购-开标评标”功能解密投标文件。</w:t>
      </w:r>
    </w:p>
    <w:p w14:paraId="62597478">
      <w:pPr>
        <w:spacing w:line="320" w:lineRule="exact"/>
        <w:ind w:firstLine="420" w:firstLineChars="200"/>
        <w:rPr>
          <w:rFonts w:ascii="仿宋" w:hAnsi="仿宋" w:eastAsia="仿宋" w:cs="仿宋"/>
          <w:kern w:val="0"/>
          <w:szCs w:val="21"/>
          <w:highlight w:val="none"/>
        </w:rPr>
      </w:pPr>
      <w:bookmarkStart w:id="14" w:name="_Toc28359017"/>
      <w:bookmarkStart w:id="15" w:name="_Toc28359094"/>
      <w:bookmarkStart w:id="16" w:name="_Toc35393634"/>
      <w:bookmarkStart w:id="17" w:name="_Toc35393803"/>
      <w:r>
        <w:rPr>
          <w:rFonts w:hint="eastAsia" w:ascii="仿宋" w:hAnsi="仿宋" w:eastAsia="仿宋" w:cs="仿宋"/>
          <w:kern w:val="0"/>
          <w:szCs w:val="21"/>
          <w:highlight w:val="none"/>
        </w:rPr>
        <w:t>五、公告期限</w:t>
      </w:r>
      <w:bookmarkEnd w:id="14"/>
      <w:bookmarkEnd w:id="15"/>
      <w:bookmarkEnd w:id="16"/>
      <w:bookmarkEnd w:id="17"/>
    </w:p>
    <w:p w14:paraId="5A62BA54">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1C461B00">
      <w:pPr>
        <w:spacing w:line="320" w:lineRule="exact"/>
        <w:ind w:firstLine="420" w:firstLineChars="200"/>
        <w:rPr>
          <w:rFonts w:ascii="仿宋" w:hAnsi="仿宋" w:eastAsia="仿宋" w:cs="仿宋"/>
          <w:szCs w:val="21"/>
          <w:highlight w:val="none"/>
        </w:rPr>
      </w:pPr>
      <w:bookmarkStart w:id="18" w:name="_Toc35393635"/>
      <w:bookmarkStart w:id="19" w:name="_Toc35393804"/>
      <w:r>
        <w:rPr>
          <w:rFonts w:hint="eastAsia" w:ascii="仿宋" w:hAnsi="仿宋" w:eastAsia="仿宋" w:cs="仿宋"/>
          <w:szCs w:val="21"/>
          <w:highlight w:val="none"/>
        </w:rPr>
        <w:t>六、其他补充事宜</w:t>
      </w:r>
      <w:bookmarkEnd w:id="18"/>
      <w:bookmarkEnd w:id="19"/>
    </w:p>
    <w:p w14:paraId="2205EE79">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1.本项目采用全流程不见面电子开评标，投标供应商需要使用CA加密设备，供应商可通过新疆数字证书认证中心官网（https://www.xjca.com.cn/）或下载“新疆政务通”APP自行进行申领。</w:t>
      </w:r>
    </w:p>
    <w:p w14:paraId="515BF402">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2.本项目实行网上投标，采用加密电子投标文件(供应商须使用CA加密设备通过政采云电子投标客户端制作投标文件)。若供应商参与投标，自行承担投标一切费用。</w:t>
      </w:r>
    </w:p>
    <w:p w14:paraId="788A32A1">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1CADB98">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A527857">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5.供应商在开标时须使用制作加密电子投标文件所使用的CA锁及电脑，电脑须提前配置好浏览器（建议使用谷歌浏览器），以便开标时解锁。</w:t>
      </w:r>
    </w:p>
    <w:p w14:paraId="79EE0CB0">
      <w:pP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865E520">
      <w:pPr>
        <w:spacing w:line="320" w:lineRule="exact"/>
        <w:ind w:firstLine="420" w:firstLineChars="200"/>
        <w:rPr>
          <w:rFonts w:ascii="仿宋" w:hAnsi="仿宋" w:eastAsia="仿宋" w:cs="仿宋"/>
          <w:szCs w:val="21"/>
          <w:highlight w:val="none"/>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7.为了保证开评标顺利进行，政采云线上开标功能完全实现，供应商开标所使用的电脑设备须具有视频及语音功能。</w:t>
      </w:r>
    </w:p>
    <w:p w14:paraId="020370B5">
      <w:pPr>
        <w:ind w:left="420" w:leftChars="200"/>
        <w:rPr>
          <w:rFonts w:ascii="仿宋" w:hAnsi="仿宋" w:eastAsia="仿宋" w:cs="仿宋"/>
          <w:b/>
          <w:bCs/>
          <w:szCs w:val="21"/>
          <w:highlight w:val="none"/>
        </w:rPr>
      </w:pPr>
      <w:r>
        <w:rPr>
          <w:rFonts w:ascii="仿宋" w:hAnsi="仿宋" w:eastAsia="仿宋" w:cs="仿宋"/>
          <w:b/>
          <w:bCs/>
          <w:szCs w:val="21"/>
          <w:highlight w:val="none"/>
        </w:rPr>
        <w:t>特别提示：</w:t>
      </w:r>
    </w:p>
    <w:p w14:paraId="00BDE2B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bookmarkStart w:id="20" w:name="_Toc28359018"/>
      <w:bookmarkStart w:id="21" w:name="_Toc35393805"/>
      <w:bookmarkStart w:id="22" w:name="_Toc28359095"/>
      <w:bookmarkStart w:id="23" w:name="_Toc35393636"/>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180A630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7B32DA1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0A6BA2A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E032DC">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E8581B">
      <w:pPr>
        <w:ind w:firstLine="420" w:firstLineChars="200"/>
        <w:rPr>
          <w:rFonts w:ascii="仿宋" w:hAnsi="仿宋" w:eastAsia="仿宋"/>
          <w:szCs w:val="21"/>
          <w:highlight w:val="none"/>
        </w:rPr>
      </w:pPr>
      <w:r>
        <w:rPr>
          <w:rFonts w:hint="eastAsia" w:ascii="仿宋" w:hAnsi="仿宋" w:eastAsia="仿宋" w:cs="仿宋"/>
          <w:kern w:val="0"/>
          <w:szCs w:val="21"/>
          <w:highlight w:val="none"/>
        </w:rPr>
        <w:t>七、凡对</w:t>
      </w:r>
      <w:r>
        <w:rPr>
          <w:rFonts w:hint="eastAsia" w:ascii="仿宋" w:hAnsi="仿宋" w:eastAsia="仿宋" w:cs="仿宋"/>
          <w:szCs w:val="21"/>
          <w:highlight w:val="none"/>
        </w:rPr>
        <w:t>本次采购提出询问，请按以下方式联系。</w:t>
      </w:r>
      <w:bookmarkEnd w:id="20"/>
      <w:bookmarkEnd w:id="21"/>
      <w:bookmarkEnd w:id="22"/>
      <w:bookmarkEnd w:id="23"/>
    </w:p>
    <w:p w14:paraId="0977536A">
      <w:pPr>
        <w:ind w:firstLine="420" w:firstLineChars="200"/>
        <w:rPr>
          <w:rFonts w:ascii="仿宋" w:hAnsi="仿宋" w:eastAsia="仿宋" w:cs="仿宋"/>
          <w:szCs w:val="21"/>
          <w:highlight w:val="none"/>
        </w:rPr>
      </w:pPr>
      <w:r>
        <w:rPr>
          <w:rFonts w:hint="eastAsia" w:ascii="仿宋" w:hAnsi="仿宋" w:eastAsia="仿宋" w:cs="仿宋"/>
          <w:szCs w:val="21"/>
          <w:highlight w:val="none"/>
        </w:rPr>
        <w:t>1.采购人信息</w:t>
      </w:r>
    </w:p>
    <w:p w14:paraId="7D1D3E78">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克孜勒苏柯尔克孜自治州财政局</w:t>
      </w:r>
    </w:p>
    <w:p w14:paraId="25A5FD3B">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地 址：</w:t>
      </w:r>
      <w:r>
        <w:rPr>
          <w:rFonts w:hint="eastAsia" w:ascii="仿宋" w:hAnsi="仿宋" w:eastAsia="仿宋" w:cs="仿宋"/>
          <w:szCs w:val="21"/>
          <w:highlight w:val="none"/>
          <w:lang w:val="en-US" w:eastAsia="zh-CN"/>
        </w:rPr>
        <w:t xml:space="preserve"> 新疆克州阿图什市               </w:t>
      </w:r>
    </w:p>
    <w:p w14:paraId="2DA359A7">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联系方式：</w:t>
      </w:r>
      <w:r>
        <w:rPr>
          <w:rFonts w:hint="eastAsia" w:ascii="仿宋" w:hAnsi="仿宋" w:eastAsia="仿宋" w:cs="仿宋"/>
          <w:szCs w:val="21"/>
          <w:highlight w:val="none"/>
          <w:lang w:val="en-US" w:eastAsia="zh-CN"/>
        </w:rPr>
        <w:t xml:space="preserve">13899480098             </w:t>
      </w:r>
    </w:p>
    <w:p w14:paraId="74DCDCEE">
      <w:pPr>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p>
    <w:p w14:paraId="0880EA5C">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新疆融联通达工程项目管理有限公司</w:t>
      </w:r>
    </w:p>
    <w:p w14:paraId="0043625D">
      <w:pPr>
        <w:ind w:firstLine="420" w:firstLineChars="200"/>
        <w:rPr>
          <w:rFonts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新疆克州阿图什市友谊北路23号</w:t>
      </w:r>
      <w:r>
        <w:rPr>
          <w:rFonts w:hint="eastAsia" w:ascii="仿宋" w:hAnsi="仿宋" w:eastAsia="仿宋" w:cs="仿宋"/>
          <w:szCs w:val="21"/>
          <w:highlight w:val="none"/>
        </w:rPr>
        <w:t xml:space="preserve">    </w:t>
      </w:r>
    </w:p>
    <w:p w14:paraId="76C2378A">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联系方式：</w:t>
      </w:r>
      <w:r>
        <w:rPr>
          <w:rFonts w:hint="eastAsia" w:ascii="仿宋" w:hAnsi="仿宋" w:eastAsia="仿宋" w:cs="仿宋"/>
          <w:szCs w:val="21"/>
          <w:highlight w:val="none"/>
          <w:lang w:eastAsia="zh-CN"/>
        </w:rPr>
        <w:t>黄女士</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17609081174</w:t>
      </w:r>
    </w:p>
    <w:p w14:paraId="183A2750">
      <w:pPr>
        <w:spacing w:line="500" w:lineRule="exact"/>
        <w:jc w:val="center"/>
        <w:outlineLvl w:val="0"/>
        <w:rPr>
          <w:rFonts w:ascii="宋体"/>
          <w:b/>
          <w:sz w:val="32"/>
          <w:szCs w:val="32"/>
          <w:highlight w:val="none"/>
        </w:rPr>
      </w:pPr>
    </w:p>
    <w:p w14:paraId="6CB85046">
      <w:pPr>
        <w:spacing w:line="500" w:lineRule="exact"/>
        <w:jc w:val="center"/>
        <w:outlineLvl w:val="0"/>
        <w:rPr>
          <w:rFonts w:ascii="宋体"/>
          <w:b/>
          <w:sz w:val="32"/>
          <w:szCs w:val="32"/>
          <w:highlight w:val="none"/>
        </w:rPr>
      </w:pPr>
    </w:p>
    <w:p w14:paraId="27080EB1">
      <w:pPr>
        <w:spacing w:line="500" w:lineRule="exact"/>
        <w:jc w:val="center"/>
        <w:outlineLvl w:val="0"/>
        <w:rPr>
          <w:rFonts w:ascii="宋体"/>
          <w:b/>
          <w:sz w:val="32"/>
          <w:szCs w:val="32"/>
          <w:highlight w:val="none"/>
        </w:rPr>
      </w:pPr>
    </w:p>
    <w:p w14:paraId="1BABD751">
      <w:pPr>
        <w:spacing w:line="500" w:lineRule="exact"/>
        <w:jc w:val="center"/>
        <w:outlineLvl w:val="0"/>
        <w:rPr>
          <w:rFonts w:ascii="宋体"/>
          <w:b/>
          <w:sz w:val="32"/>
          <w:szCs w:val="32"/>
          <w:highlight w:val="none"/>
        </w:rPr>
      </w:pPr>
    </w:p>
    <w:p w14:paraId="2A893C84">
      <w:pPr>
        <w:spacing w:line="500" w:lineRule="exact"/>
        <w:jc w:val="center"/>
        <w:outlineLvl w:val="0"/>
        <w:rPr>
          <w:rFonts w:ascii="宋体"/>
          <w:b/>
          <w:sz w:val="32"/>
          <w:szCs w:val="32"/>
          <w:highlight w:val="none"/>
        </w:rPr>
      </w:pPr>
    </w:p>
    <w:p w14:paraId="15F3BF4D">
      <w:pPr>
        <w:spacing w:line="500" w:lineRule="exact"/>
        <w:jc w:val="center"/>
        <w:outlineLvl w:val="0"/>
        <w:rPr>
          <w:rFonts w:ascii="宋体"/>
          <w:b/>
          <w:sz w:val="32"/>
          <w:szCs w:val="32"/>
          <w:highlight w:val="none"/>
        </w:rPr>
      </w:pPr>
    </w:p>
    <w:p w14:paraId="04046125">
      <w:pPr>
        <w:spacing w:line="500" w:lineRule="exact"/>
        <w:jc w:val="center"/>
        <w:outlineLvl w:val="0"/>
        <w:rPr>
          <w:rFonts w:ascii="宋体"/>
          <w:b/>
          <w:sz w:val="32"/>
          <w:szCs w:val="32"/>
          <w:highlight w:val="none"/>
        </w:rPr>
      </w:pPr>
    </w:p>
    <w:p w14:paraId="66DB35E5">
      <w:pPr>
        <w:spacing w:line="500" w:lineRule="exact"/>
        <w:jc w:val="center"/>
        <w:outlineLvl w:val="0"/>
        <w:rPr>
          <w:rFonts w:ascii="宋体"/>
          <w:b/>
          <w:sz w:val="32"/>
          <w:szCs w:val="32"/>
          <w:highlight w:val="none"/>
        </w:rPr>
      </w:pPr>
    </w:p>
    <w:p w14:paraId="2E5D87A4">
      <w:pPr>
        <w:spacing w:line="500" w:lineRule="exact"/>
        <w:jc w:val="center"/>
        <w:outlineLvl w:val="0"/>
        <w:rPr>
          <w:rFonts w:ascii="宋体"/>
          <w:b/>
          <w:sz w:val="32"/>
          <w:szCs w:val="32"/>
          <w:highlight w:val="none"/>
        </w:rPr>
      </w:pPr>
    </w:p>
    <w:p w14:paraId="170C9BBD">
      <w:pPr>
        <w:spacing w:line="500" w:lineRule="exact"/>
        <w:jc w:val="center"/>
        <w:outlineLvl w:val="0"/>
        <w:rPr>
          <w:rFonts w:ascii="宋体"/>
          <w:b/>
          <w:sz w:val="32"/>
          <w:szCs w:val="32"/>
          <w:highlight w:val="none"/>
        </w:rPr>
      </w:pPr>
    </w:p>
    <w:p w14:paraId="15ED10D1">
      <w:pPr>
        <w:spacing w:line="500" w:lineRule="exact"/>
        <w:jc w:val="center"/>
        <w:outlineLvl w:val="0"/>
        <w:rPr>
          <w:rFonts w:ascii="宋体"/>
          <w:b/>
          <w:sz w:val="32"/>
          <w:szCs w:val="32"/>
          <w:highlight w:val="none"/>
        </w:rPr>
      </w:pPr>
    </w:p>
    <w:p w14:paraId="6705052B">
      <w:pPr>
        <w:spacing w:line="500" w:lineRule="exact"/>
        <w:jc w:val="center"/>
        <w:outlineLvl w:val="0"/>
        <w:rPr>
          <w:rFonts w:ascii="宋体"/>
          <w:b/>
          <w:sz w:val="32"/>
          <w:szCs w:val="32"/>
          <w:highlight w:val="none"/>
        </w:rPr>
      </w:pPr>
    </w:p>
    <w:p w14:paraId="12FF2BCB">
      <w:pPr>
        <w:spacing w:line="500" w:lineRule="exact"/>
        <w:jc w:val="center"/>
        <w:outlineLvl w:val="0"/>
        <w:rPr>
          <w:rFonts w:ascii="宋体"/>
          <w:b/>
          <w:sz w:val="32"/>
          <w:szCs w:val="32"/>
          <w:highlight w:val="none"/>
        </w:rPr>
      </w:pPr>
    </w:p>
    <w:p w14:paraId="01A35A86">
      <w:pPr>
        <w:spacing w:line="500" w:lineRule="exact"/>
        <w:jc w:val="center"/>
        <w:outlineLvl w:val="0"/>
        <w:rPr>
          <w:rFonts w:ascii="宋体"/>
          <w:b/>
          <w:sz w:val="32"/>
          <w:szCs w:val="32"/>
          <w:highlight w:val="none"/>
        </w:rPr>
      </w:pPr>
    </w:p>
    <w:p w14:paraId="77DE3B11">
      <w:pPr>
        <w:spacing w:line="500" w:lineRule="exact"/>
        <w:jc w:val="center"/>
        <w:outlineLvl w:val="0"/>
        <w:rPr>
          <w:rFonts w:ascii="宋体"/>
          <w:b/>
          <w:sz w:val="32"/>
          <w:szCs w:val="32"/>
          <w:highlight w:val="none"/>
        </w:rPr>
      </w:pPr>
    </w:p>
    <w:p w14:paraId="19F21FD5">
      <w:pPr>
        <w:spacing w:line="500" w:lineRule="exact"/>
        <w:jc w:val="center"/>
        <w:outlineLvl w:val="0"/>
        <w:rPr>
          <w:rFonts w:ascii="宋体"/>
          <w:b/>
          <w:sz w:val="32"/>
          <w:szCs w:val="32"/>
          <w:highlight w:val="none"/>
        </w:rPr>
      </w:pPr>
    </w:p>
    <w:p w14:paraId="783212B9">
      <w:pPr>
        <w:pStyle w:val="42"/>
        <w:rPr>
          <w:b/>
          <w:color w:val="auto"/>
          <w:sz w:val="32"/>
          <w:szCs w:val="32"/>
          <w:highlight w:val="none"/>
        </w:rPr>
      </w:pPr>
    </w:p>
    <w:p w14:paraId="5931321D">
      <w:pPr>
        <w:rPr>
          <w:rFonts w:hint="eastAsia" w:ascii="宋体"/>
          <w:b/>
          <w:sz w:val="32"/>
          <w:szCs w:val="32"/>
          <w:highlight w:val="none"/>
        </w:rPr>
      </w:pPr>
      <w:r>
        <w:rPr>
          <w:rFonts w:hint="eastAsia" w:ascii="宋体"/>
          <w:b/>
          <w:sz w:val="32"/>
          <w:szCs w:val="32"/>
          <w:highlight w:val="none"/>
        </w:rPr>
        <w:br w:type="page"/>
      </w:r>
    </w:p>
    <w:p w14:paraId="130C4E86">
      <w:pPr>
        <w:spacing w:line="500" w:lineRule="exact"/>
        <w:jc w:val="center"/>
        <w:outlineLvl w:val="0"/>
        <w:rPr>
          <w:rFonts w:ascii="宋体"/>
          <w:b/>
          <w:sz w:val="32"/>
          <w:szCs w:val="32"/>
          <w:highlight w:val="none"/>
        </w:rPr>
      </w:pPr>
      <w:r>
        <w:rPr>
          <w:rFonts w:hint="eastAsia" w:ascii="宋体"/>
          <w:b/>
          <w:sz w:val="32"/>
          <w:szCs w:val="32"/>
          <w:highlight w:val="none"/>
        </w:rPr>
        <w:t>第二章 投标人须知</w:t>
      </w:r>
      <w:bookmarkEnd w:id="1"/>
    </w:p>
    <w:p w14:paraId="0CF5C8AB">
      <w:pPr>
        <w:snapToGrid w:val="0"/>
        <w:spacing w:line="500" w:lineRule="exact"/>
        <w:jc w:val="center"/>
        <w:outlineLvl w:val="1"/>
        <w:rPr>
          <w:rFonts w:ascii="宋体"/>
          <w:b/>
          <w:sz w:val="28"/>
          <w:szCs w:val="28"/>
          <w:highlight w:val="none"/>
        </w:rPr>
      </w:pPr>
      <w:bookmarkStart w:id="24" w:name="_Toc26232"/>
      <w:r>
        <w:rPr>
          <w:rFonts w:hint="eastAsia" w:ascii="宋体"/>
          <w:b/>
          <w:sz w:val="32"/>
          <w:szCs w:val="32"/>
          <w:highlight w:val="none"/>
        </w:rPr>
        <w:t>一、</w:t>
      </w:r>
      <w:r>
        <w:rPr>
          <w:rFonts w:hint="eastAsia" w:ascii="宋体"/>
          <w:b/>
          <w:sz w:val="28"/>
          <w:szCs w:val="28"/>
          <w:highlight w:val="none"/>
        </w:rPr>
        <w:t>投标人须知前附表</w:t>
      </w:r>
      <w:bookmarkEnd w:id="24"/>
    </w:p>
    <w:tbl>
      <w:tblPr>
        <w:tblStyle w:val="24"/>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14:paraId="36B515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1" w:type="pct"/>
            <w:vAlign w:val="center"/>
          </w:tcPr>
          <w:p w14:paraId="4BF0F804">
            <w:pPr>
              <w:pStyle w:val="12"/>
              <w:snapToGrid w:val="0"/>
              <w:spacing w:line="290" w:lineRule="exact"/>
              <w:ind w:left="-94" w:leftChars="-45" w:right="-81" w:rightChars="-39"/>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w:t>
            </w:r>
          </w:p>
        </w:tc>
        <w:tc>
          <w:tcPr>
            <w:tcW w:w="814" w:type="pct"/>
            <w:vAlign w:val="center"/>
          </w:tcPr>
          <w:p w14:paraId="193FA51D">
            <w:pPr>
              <w:pStyle w:val="12"/>
              <w:snapToGrid w:val="0"/>
              <w:spacing w:line="29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内容</w:t>
            </w:r>
          </w:p>
        </w:tc>
        <w:tc>
          <w:tcPr>
            <w:tcW w:w="3924" w:type="pct"/>
            <w:vAlign w:val="center"/>
          </w:tcPr>
          <w:p w14:paraId="56452CD3">
            <w:pPr>
              <w:pStyle w:val="12"/>
              <w:snapToGrid w:val="0"/>
              <w:spacing w:line="29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说明与要求</w:t>
            </w:r>
          </w:p>
        </w:tc>
      </w:tr>
      <w:tr w14:paraId="74F79E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61" w:type="pct"/>
            <w:vAlign w:val="center"/>
          </w:tcPr>
          <w:p w14:paraId="0D479496">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814" w:type="pct"/>
            <w:vAlign w:val="center"/>
          </w:tcPr>
          <w:p w14:paraId="638DB31B">
            <w:pPr>
              <w:widowControl/>
              <w:spacing w:line="29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14:paraId="0573E166">
            <w:pPr>
              <w:widowControl/>
              <w:spacing w:line="29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p w14:paraId="4BF7278A">
            <w:pPr>
              <w:widowControl/>
              <w:spacing w:line="29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采购内容</w:t>
            </w:r>
          </w:p>
          <w:p w14:paraId="0FAB483C">
            <w:pPr>
              <w:widowControl/>
              <w:spacing w:line="290" w:lineRule="exact"/>
              <w:jc w:val="left"/>
              <w:rPr>
                <w:color w:val="000000" w:themeColor="text1"/>
                <w:highlight w:val="none"/>
                <w14:textFill>
                  <w14:solidFill>
                    <w14:schemeClr w14:val="tx1"/>
                  </w14:solidFill>
                </w14:textFill>
              </w:rPr>
            </w:pPr>
          </w:p>
        </w:tc>
        <w:tc>
          <w:tcPr>
            <w:tcW w:w="3924" w:type="pct"/>
            <w:vAlign w:val="center"/>
          </w:tcPr>
          <w:p w14:paraId="234E7CE7">
            <w:pPr>
              <w:widowControl/>
              <w:spacing w:line="29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克州财政局惠民惠农“一卡通”补贴资金金融机构代发项目</w:t>
            </w:r>
          </w:p>
          <w:p w14:paraId="239C1DF5">
            <w:pPr>
              <w:widowControl/>
              <w:spacing w:line="29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val="en-US" w:eastAsia="zh-CN"/>
                <w14:textFill>
                  <w14:solidFill>
                    <w14:schemeClr w14:val="tx1"/>
                  </w14:solidFill>
                </w14:textFill>
              </w:rPr>
              <w:t>KZZB</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lang w:val="en-US" w:eastAsia="zh-CN"/>
                <w14:textFill>
                  <w14:solidFill>
                    <w14:schemeClr w14:val="tx1"/>
                  </w14:solidFill>
                </w14:textFill>
              </w:rPr>
              <w:t xml:space="preserve">241 </w:t>
            </w:r>
          </w:p>
          <w:p w14:paraId="04A49FCD">
            <w:pPr>
              <w:widowControl/>
              <w:spacing w:line="29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采购内容：</w:t>
            </w:r>
            <w:r>
              <w:rPr>
                <w:rFonts w:hint="eastAsia"/>
                <w:color w:val="000000" w:themeColor="text1"/>
                <w:highlight w:val="none"/>
                <w:lang w:eastAsia="zh-CN"/>
                <w14:textFill>
                  <w14:solidFill>
                    <w14:schemeClr w14:val="tx1"/>
                  </w14:solidFill>
                </w14:textFill>
              </w:rPr>
              <w:t>惠民惠农“一卡通”补贴资金金融机构代发</w:t>
            </w:r>
          </w:p>
        </w:tc>
      </w:tr>
      <w:tr w14:paraId="1767E3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vAlign w:val="center"/>
          </w:tcPr>
          <w:p w14:paraId="4B3EC1E2">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814" w:type="pct"/>
            <w:vAlign w:val="center"/>
          </w:tcPr>
          <w:p w14:paraId="7AB49B0D">
            <w:pPr>
              <w:widowControl/>
              <w:spacing w:line="290" w:lineRule="exact"/>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采购人息</w:t>
            </w:r>
          </w:p>
        </w:tc>
        <w:tc>
          <w:tcPr>
            <w:tcW w:w="3924" w:type="pct"/>
            <w:vAlign w:val="center"/>
          </w:tcPr>
          <w:p w14:paraId="2AF2FFDB">
            <w:pPr>
              <w:widowControl/>
              <w:spacing w:line="29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采购单位：</w:t>
            </w:r>
            <w:r>
              <w:rPr>
                <w:rFonts w:hint="eastAsia" w:ascii="宋体" w:hAnsi="宋体" w:cs="宋体"/>
                <w:color w:val="000000" w:themeColor="text1"/>
                <w:kern w:val="0"/>
                <w:szCs w:val="21"/>
                <w:highlight w:val="none"/>
                <w:lang w:eastAsia="zh-CN"/>
                <w14:textFill>
                  <w14:solidFill>
                    <w14:schemeClr w14:val="tx1"/>
                  </w14:solidFill>
                </w14:textFill>
              </w:rPr>
              <w:t>克孜勒苏柯尔克孜自治州财政局</w:t>
            </w:r>
            <w:r>
              <w:rPr>
                <w:rFonts w:hint="eastAsia" w:ascii="宋体" w:hAnsi="宋体" w:cs="宋体"/>
                <w:color w:val="000000" w:themeColor="text1"/>
                <w:kern w:val="0"/>
                <w:szCs w:val="21"/>
                <w:highlight w:val="none"/>
                <w14:textFill>
                  <w14:solidFill>
                    <w14:schemeClr w14:val="tx1"/>
                  </w14:solidFill>
                </w14:textFill>
              </w:rPr>
              <w:t xml:space="preserve">  </w:t>
            </w:r>
          </w:p>
          <w:p w14:paraId="795B8418">
            <w:pPr>
              <w:widowControl/>
              <w:spacing w:line="290" w:lineRule="exac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联 系 人：</w:t>
            </w:r>
            <w:r>
              <w:rPr>
                <w:rFonts w:hint="eastAsia" w:ascii="宋体" w:hAnsi="宋体" w:cs="宋体"/>
                <w:color w:val="000000" w:themeColor="text1"/>
                <w:szCs w:val="21"/>
                <w:highlight w:val="none"/>
                <w:shd w:val="clear" w:color="auto" w:fill="FFFFFF"/>
                <w:lang w:eastAsia="zh-CN"/>
                <w14:textFill>
                  <w14:solidFill>
                    <w14:schemeClr w14:val="tx1"/>
                  </w14:solidFill>
                </w14:textFill>
              </w:rPr>
              <w:t>古女士</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Cs w:val="21"/>
                <w:highlight w:val="none"/>
                <w:shd w:val="clear" w:color="auto" w:fill="FFFFFF"/>
                <w14:textFill>
                  <w14:solidFill>
                    <w14:schemeClr w14:val="tx1"/>
                  </w14:solidFill>
                </w14:textFill>
              </w:rPr>
              <w:t xml:space="preserve">     联系电话：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13899480098            </w:t>
            </w:r>
            <w:r>
              <w:rPr>
                <w:rFonts w:hint="eastAsia" w:ascii="宋体" w:hAnsi="宋体" w:cs="宋体"/>
                <w:color w:val="000000" w:themeColor="text1"/>
                <w:szCs w:val="21"/>
                <w:highlight w:val="none"/>
                <w:shd w:val="clear" w:color="auto" w:fill="FFFFFF"/>
                <w14:textFill>
                  <w14:solidFill>
                    <w14:schemeClr w14:val="tx1"/>
                  </w14:solidFill>
                </w14:textFill>
              </w:rPr>
              <w:t xml:space="preserve"> </w:t>
            </w:r>
          </w:p>
        </w:tc>
      </w:tr>
      <w:tr w14:paraId="739355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vAlign w:val="center"/>
          </w:tcPr>
          <w:p w14:paraId="180B1848">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814" w:type="pct"/>
            <w:vAlign w:val="center"/>
          </w:tcPr>
          <w:p w14:paraId="0F1267B1">
            <w:pPr>
              <w:widowControl/>
              <w:spacing w:line="290" w:lineRule="exact"/>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p>
        </w:tc>
        <w:tc>
          <w:tcPr>
            <w:tcW w:w="3924" w:type="pct"/>
            <w:vAlign w:val="center"/>
          </w:tcPr>
          <w:p w14:paraId="7AB9C9D5">
            <w:pPr>
              <w:widowControl/>
              <w:spacing w:line="29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w:t>
            </w:r>
            <w:r>
              <w:rPr>
                <w:rFonts w:hint="eastAsia" w:ascii="宋体" w:hAnsi="宋体" w:cs="宋体"/>
                <w:color w:val="000000" w:themeColor="text1"/>
                <w:kern w:val="0"/>
                <w:szCs w:val="21"/>
                <w:highlight w:val="none"/>
                <w:lang w:eastAsia="zh-CN"/>
                <w14:textFill>
                  <w14:solidFill>
                    <w14:schemeClr w14:val="tx1"/>
                  </w14:solidFill>
                </w14:textFill>
              </w:rPr>
              <w:t>新疆融联通达工程项目管理有限公司</w:t>
            </w:r>
          </w:p>
          <w:p w14:paraId="7E903D99">
            <w:pPr>
              <w:widowControl/>
              <w:spacing w:line="29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kern w:val="0"/>
                <w:szCs w:val="21"/>
                <w:highlight w:val="none"/>
                <w:lang w:eastAsia="zh-CN"/>
                <w14:textFill>
                  <w14:solidFill>
                    <w14:schemeClr w14:val="tx1"/>
                  </w14:solidFill>
                </w14:textFill>
              </w:rPr>
              <w:t>新疆克州阿图什市友谊北路23号</w:t>
            </w:r>
          </w:p>
          <w:p w14:paraId="3EE282F5">
            <w:pPr>
              <w:widowControl/>
              <w:spacing w:line="290" w:lineRule="exact"/>
              <w:rPr>
                <w:rFonts w:hint="default"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eastAsia="zh-CN"/>
                <w14:textFill>
                  <w14:solidFill>
                    <w14:schemeClr w14:val="tx1"/>
                  </w14:solidFill>
                </w14:textFill>
              </w:rPr>
              <w:t>黄女士</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zCs w:val="21"/>
                <w:highlight w:val="none"/>
                <w:shd w:val="clear" w:color="auto" w:fill="FFFFFF"/>
                <w14:textFill>
                  <w14:solidFill>
                    <w14:schemeClr w14:val="tx1"/>
                  </w14:solidFill>
                </w14:textFill>
              </w:rPr>
              <w:t>联系</w:t>
            </w:r>
            <w:r>
              <w:rPr>
                <w:rFonts w:hint="eastAsia" w:ascii="宋体" w:hAnsi="宋体" w:cs="宋体"/>
                <w:color w:val="000000" w:themeColor="text1"/>
                <w:kern w:val="0"/>
                <w:szCs w:val="21"/>
                <w:highlight w:val="none"/>
                <w14:textFill>
                  <w14:solidFill>
                    <w14:schemeClr w14:val="tx1"/>
                  </w14:solidFill>
                </w14:textFill>
              </w:rPr>
              <w:t>电话：</w:t>
            </w:r>
            <w:r>
              <w:rPr>
                <w:rFonts w:hint="eastAsia" w:ascii="宋体" w:hAnsi="宋体" w:cs="宋体"/>
                <w:color w:val="000000" w:themeColor="text1"/>
                <w:szCs w:val="21"/>
                <w:highlight w:val="none"/>
                <w:lang w:val="en-US" w:eastAsia="zh-CN" w:bidi="ar"/>
                <w14:textFill>
                  <w14:solidFill>
                    <w14:schemeClr w14:val="tx1"/>
                  </w14:solidFill>
                </w14:textFill>
              </w:rPr>
              <w:t>17609081174</w:t>
            </w:r>
          </w:p>
        </w:tc>
      </w:tr>
      <w:tr w14:paraId="6AB2F9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vAlign w:val="center"/>
          </w:tcPr>
          <w:p w14:paraId="23EB2E77">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814" w:type="pct"/>
            <w:vAlign w:val="center"/>
          </w:tcPr>
          <w:p w14:paraId="7D86BB27">
            <w:pPr>
              <w:widowControl/>
              <w:spacing w:line="290" w:lineRule="exact"/>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最终服务地点</w:t>
            </w:r>
          </w:p>
        </w:tc>
        <w:tc>
          <w:tcPr>
            <w:tcW w:w="3924" w:type="pct"/>
            <w:vAlign w:val="center"/>
          </w:tcPr>
          <w:p w14:paraId="4C0BD5FD">
            <w:pPr>
              <w:widowControl/>
              <w:spacing w:line="29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阿图什市</w:t>
            </w:r>
          </w:p>
        </w:tc>
      </w:tr>
      <w:tr w14:paraId="46F7ED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2257F036">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814" w:type="pct"/>
            <w:vAlign w:val="center"/>
          </w:tcPr>
          <w:p w14:paraId="0A94E0DC">
            <w:pPr>
              <w:widowControl/>
              <w:spacing w:line="290" w:lineRule="exact"/>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3924" w:type="pct"/>
            <w:vAlign w:val="center"/>
          </w:tcPr>
          <w:p w14:paraId="1720E92D">
            <w:pPr>
              <w:widowControl/>
              <w:spacing w:line="29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p>
        </w:tc>
      </w:tr>
      <w:tr w14:paraId="3740BB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61" w:type="pct"/>
            <w:vAlign w:val="center"/>
          </w:tcPr>
          <w:p w14:paraId="3A1114E6">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814" w:type="pct"/>
            <w:vAlign w:val="center"/>
          </w:tcPr>
          <w:p w14:paraId="24CF26D1">
            <w:pPr>
              <w:widowControl/>
              <w:spacing w:line="290" w:lineRule="exact"/>
              <w:jc w:val="left"/>
              <w:rPr>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期</w:t>
            </w:r>
          </w:p>
        </w:tc>
        <w:tc>
          <w:tcPr>
            <w:tcW w:w="3924" w:type="pct"/>
            <w:vAlign w:val="center"/>
          </w:tcPr>
          <w:p w14:paraId="5C343441">
            <w:pPr>
              <w:spacing w:line="290" w:lineRule="exact"/>
              <w:jc w:val="left"/>
              <w:rPr>
                <w:rFonts w:hint="eastAsia"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三年</w:t>
            </w:r>
          </w:p>
        </w:tc>
      </w:tr>
      <w:tr w14:paraId="4F4A09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686E4808">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814" w:type="pct"/>
            <w:vAlign w:val="center"/>
          </w:tcPr>
          <w:p w14:paraId="03E844FD">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资金来源                                                                                                                                                                 </w:t>
            </w:r>
          </w:p>
        </w:tc>
        <w:tc>
          <w:tcPr>
            <w:tcW w:w="3924" w:type="pct"/>
            <w:vAlign w:val="center"/>
          </w:tcPr>
          <w:p w14:paraId="517919FF">
            <w:pPr>
              <w:pStyle w:val="12"/>
              <w:snapToGrid w:val="0"/>
              <w:spacing w:line="290" w:lineRule="exac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财政资金</w:t>
            </w:r>
          </w:p>
        </w:tc>
      </w:tr>
      <w:tr w14:paraId="6479F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vAlign w:val="center"/>
          </w:tcPr>
          <w:p w14:paraId="1DD7430D">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814" w:type="pct"/>
            <w:vAlign w:val="center"/>
          </w:tcPr>
          <w:p w14:paraId="1BF74DA5">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招标方式</w:t>
            </w:r>
          </w:p>
        </w:tc>
        <w:tc>
          <w:tcPr>
            <w:tcW w:w="3924" w:type="pct"/>
            <w:vAlign w:val="center"/>
          </w:tcPr>
          <w:p w14:paraId="32224D5B">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竞争性磋商招标</w:t>
            </w:r>
            <w:r>
              <w:rPr>
                <w:rFonts w:hint="eastAsia" w:hAnsi="宋体" w:cs="宋体-18030"/>
                <w:b/>
                <w:color w:val="000000" w:themeColor="text1"/>
                <w:szCs w:val="21"/>
                <w:highlight w:val="none"/>
                <w14:textFill>
                  <w14:solidFill>
                    <w14:schemeClr w14:val="tx1"/>
                  </w14:solidFill>
                </w14:textFill>
              </w:rPr>
              <w:t>(本项目采用网上电子招投标)</w:t>
            </w:r>
            <w:r>
              <w:rPr>
                <w:rFonts w:hint="eastAsia"/>
                <w:color w:val="000000" w:themeColor="text1"/>
                <w:szCs w:val="21"/>
                <w:highlight w:val="none"/>
                <w14:textFill>
                  <w14:solidFill>
                    <w14:schemeClr w14:val="tx1"/>
                  </w14:solidFill>
                </w14:textFill>
              </w:rPr>
              <w:t xml:space="preserve">             </w:t>
            </w:r>
          </w:p>
        </w:tc>
      </w:tr>
      <w:tr w14:paraId="7604AC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35EDEDCA">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814" w:type="pct"/>
            <w:vAlign w:val="center"/>
          </w:tcPr>
          <w:p w14:paraId="54C5E36A">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投标人资格条件及其他要求</w:t>
            </w:r>
          </w:p>
        </w:tc>
        <w:tc>
          <w:tcPr>
            <w:tcW w:w="3924" w:type="pct"/>
            <w:vAlign w:val="center"/>
          </w:tcPr>
          <w:p w14:paraId="6D6E8E06">
            <w:pPr>
              <w:snapToGrid w:val="0"/>
              <w:spacing w:line="290" w:lineRule="exact"/>
              <w:rPr>
                <w:rFonts w:ascii="宋体"/>
                <w:color w:val="000000" w:themeColor="text1"/>
                <w:szCs w:val="21"/>
                <w:highlight w:val="none"/>
                <w:u w:color="000000"/>
                <w14:textFill>
                  <w14:solidFill>
                    <w14:schemeClr w14:val="tx1"/>
                  </w14:solidFill>
                </w14:textFill>
              </w:rPr>
            </w:pPr>
            <w:r>
              <w:rPr>
                <w:rFonts w:hint="eastAsia" w:ascii="宋体"/>
                <w:color w:val="000000" w:themeColor="text1"/>
                <w:szCs w:val="21"/>
                <w:highlight w:val="none"/>
                <w:u w:color="000000"/>
                <w14:textFill>
                  <w14:solidFill>
                    <w14:schemeClr w14:val="tx1"/>
                  </w14:solidFill>
                </w14:textFill>
              </w:rPr>
              <w:t>1、符合《中华人民共和国政府采购法》第二十二条规定；</w:t>
            </w:r>
          </w:p>
          <w:p w14:paraId="220CC043">
            <w:pPr>
              <w:snapToGrid w:val="0"/>
              <w:spacing w:line="290" w:lineRule="exact"/>
              <w:jc w:val="both"/>
              <w:rPr>
                <w:rFonts w:hint="eastAsia" w:ascii="宋体"/>
                <w:color w:val="000000" w:themeColor="text1"/>
                <w:szCs w:val="21"/>
                <w:highlight w:val="none"/>
                <w:u w:color="000000"/>
                <w14:textFill>
                  <w14:solidFill>
                    <w14:schemeClr w14:val="tx1"/>
                  </w14:solidFill>
                </w14:textFill>
              </w:rPr>
            </w:pPr>
            <w:r>
              <w:rPr>
                <w:rFonts w:hint="eastAsia" w:ascii="宋体"/>
                <w:color w:val="000000" w:themeColor="text1"/>
                <w:szCs w:val="21"/>
                <w:highlight w:val="none"/>
                <w:u w:color="000000"/>
                <w14:textFill>
                  <w14:solidFill>
                    <w14:schemeClr w14:val="tx1"/>
                  </w14:solidFill>
                </w14:textFill>
              </w:rPr>
              <w:t>（1)具备三证合一营业执照；</w:t>
            </w:r>
          </w:p>
          <w:p w14:paraId="7A405BEA">
            <w:pPr>
              <w:snapToGrid w:val="0"/>
              <w:spacing w:line="290" w:lineRule="exact"/>
              <w:jc w:val="both"/>
              <w:rPr>
                <w:rFonts w:hint="eastAsia" w:ascii="宋体"/>
                <w:color w:val="000000" w:themeColor="text1"/>
                <w:szCs w:val="21"/>
                <w:highlight w:val="none"/>
                <w:u w:color="000000"/>
                <w14:textFill>
                  <w14:solidFill>
                    <w14:schemeClr w14:val="tx1"/>
                  </w14:solidFill>
                </w14:textFill>
              </w:rPr>
            </w:pPr>
            <w:r>
              <w:rPr>
                <w:rFonts w:hint="eastAsia" w:ascii="宋体"/>
                <w:color w:val="000000" w:themeColor="text1"/>
                <w:szCs w:val="21"/>
                <w:highlight w:val="none"/>
                <w:u w:color="000000"/>
                <w14:textFill>
                  <w14:solidFill>
                    <w14:schemeClr w14:val="tx1"/>
                  </w14:solidFill>
                </w14:textFill>
              </w:rPr>
              <w:t>（2)法定代表人投标需提供法定代表人资格证明书，委托代理人投标需提供法定代表人授权委托书；</w:t>
            </w:r>
          </w:p>
          <w:p w14:paraId="0E55B80D">
            <w:pPr>
              <w:snapToGrid w:val="0"/>
              <w:spacing w:line="290" w:lineRule="exact"/>
              <w:jc w:val="both"/>
              <w:rPr>
                <w:rFonts w:hint="eastAsia" w:ascii="宋体"/>
                <w:color w:val="000000" w:themeColor="text1"/>
                <w:szCs w:val="21"/>
                <w:highlight w:val="none"/>
                <w:u w:color="000000"/>
                <w14:textFill>
                  <w14:solidFill>
                    <w14:schemeClr w14:val="tx1"/>
                  </w14:solidFill>
                </w14:textFill>
              </w:rPr>
            </w:pPr>
            <w:r>
              <w:rPr>
                <w:rFonts w:hint="eastAsia" w:ascii="宋体"/>
                <w:color w:val="000000" w:themeColor="text1"/>
                <w:szCs w:val="21"/>
                <w:highlight w:val="none"/>
                <w:u w:color="000000"/>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41A2DBD4">
            <w:pPr>
              <w:snapToGrid w:val="0"/>
              <w:spacing w:line="290" w:lineRule="exact"/>
              <w:jc w:val="both"/>
              <w:rPr>
                <w:rFonts w:hint="eastAsia" w:ascii="宋体"/>
                <w:color w:val="000000" w:themeColor="text1"/>
                <w:szCs w:val="21"/>
                <w:highlight w:val="none"/>
                <w:u w:color="000000"/>
                <w:lang w:eastAsia="zh-CN"/>
                <w14:textFill>
                  <w14:solidFill>
                    <w14:schemeClr w14:val="tx1"/>
                  </w14:solidFill>
                </w14:textFill>
              </w:rPr>
            </w:pPr>
            <w:r>
              <w:rPr>
                <w:rFonts w:hint="eastAsia" w:ascii="宋体"/>
                <w:color w:val="000000" w:themeColor="text1"/>
                <w:szCs w:val="21"/>
                <w:highlight w:val="none"/>
                <w:u w:color="000000"/>
                <w14:textFill>
                  <w14:solidFill>
                    <w14:schemeClr w14:val="tx1"/>
                  </w14:solidFill>
                </w14:textFill>
              </w:rPr>
              <w:t>（4）</w:t>
            </w:r>
            <w:r>
              <w:rPr>
                <w:rFonts w:hint="eastAsia" w:ascii="宋体"/>
                <w:color w:val="000000" w:themeColor="text1"/>
                <w:szCs w:val="21"/>
                <w:highlight w:val="none"/>
                <w:u w:color="000000"/>
                <w:lang w:eastAsia="zh-CN"/>
                <w14:textFill>
                  <w14:solidFill>
                    <w14:schemeClr w14:val="tx1"/>
                  </w14:solidFill>
                </w14:textFill>
              </w:rPr>
              <w:t>供应商必须为在中华人民共和国境内依法设立的国有商业银行、股份制商业银行、邮政储蓄银行、城市商业银行等银行机构且具备中国银行保险监督管理委员会核发的《中华人民共和国金融许可证》。</w:t>
            </w:r>
          </w:p>
          <w:p w14:paraId="1484C894">
            <w:pPr>
              <w:snapToGrid w:val="0"/>
              <w:spacing w:line="290" w:lineRule="exact"/>
              <w:jc w:val="both"/>
              <w:rPr>
                <w:rFonts w:hint="eastAsia" w:ascii="宋体"/>
                <w:color w:val="000000" w:themeColor="text1"/>
                <w:szCs w:val="21"/>
                <w:highlight w:val="none"/>
                <w:u w:color="000000"/>
                <w14:textFill>
                  <w14:solidFill>
                    <w14:schemeClr w14:val="tx1"/>
                  </w14:solidFill>
                </w14:textFill>
              </w:rPr>
            </w:pPr>
            <w:r>
              <w:rPr>
                <w:rFonts w:hint="eastAsia" w:ascii="宋体"/>
                <w:color w:val="000000" w:themeColor="text1"/>
                <w:szCs w:val="21"/>
                <w:highlight w:val="none"/>
                <w:u w:color="000000"/>
                <w:lang w:val="en-US" w:eastAsia="zh-CN"/>
                <w14:textFill>
                  <w14:solidFill>
                    <w14:schemeClr w14:val="tx1"/>
                  </w14:solidFill>
                </w14:textFill>
              </w:rPr>
              <w:t>(6)</w:t>
            </w:r>
            <w:r>
              <w:rPr>
                <w:rFonts w:hint="eastAsia" w:ascii="宋体"/>
                <w:color w:val="000000" w:themeColor="text1"/>
                <w:szCs w:val="21"/>
                <w:highlight w:val="none"/>
                <w:u w:color="000000"/>
                <w14:textFill>
                  <w14:solidFill>
                    <w14:schemeClr w14:val="tx1"/>
                  </w14:solidFill>
                </w14:textFill>
              </w:rPr>
              <w:t>本项目不接受联合体投标。</w:t>
            </w:r>
          </w:p>
          <w:p w14:paraId="2047E5F6">
            <w:pPr>
              <w:pStyle w:val="43"/>
              <w:rPr>
                <w:color w:val="000000" w:themeColor="text1"/>
                <w:highlight w:val="none"/>
                <w14:textFill>
                  <w14:solidFill>
                    <w14:schemeClr w14:val="tx1"/>
                  </w14:solidFill>
                </w14:textFill>
              </w:rPr>
            </w:pPr>
            <w:r>
              <w:rPr>
                <w:rFonts w:hint="eastAsia" w:hAnsi="Times New Roman"/>
                <w:color w:val="000000" w:themeColor="text1"/>
                <w:kern w:val="2"/>
                <w:sz w:val="21"/>
                <w:szCs w:val="21"/>
                <w:highlight w:val="none"/>
                <w:u w:color="000000"/>
                <w:lang w:val="en-US"/>
                <w14:textFill>
                  <w14:solidFill>
                    <w14:schemeClr w14:val="tx1"/>
                  </w14:solidFill>
                </w14:textFill>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14:paraId="2E4F26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5A35BE48">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814" w:type="pct"/>
            <w:vAlign w:val="center"/>
          </w:tcPr>
          <w:p w14:paraId="0C764FBF">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供应商信用查询</w:t>
            </w:r>
          </w:p>
        </w:tc>
        <w:tc>
          <w:tcPr>
            <w:tcW w:w="3924" w:type="pct"/>
            <w:vAlign w:val="center"/>
          </w:tcPr>
          <w:p w14:paraId="43A73666">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1、查询渠道：信用中国（网址：http://www.creditchina.gov.cn）、中国政府采购网(网址：http://www.ccgp.gov.cn）。</w:t>
            </w:r>
          </w:p>
          <w:p w14:paraId="6B9BC267">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2、截止时点：开标后评标前。</w:t>
            </w:r>
          </w:p>
          <w:p w14:paraId="6537AF37">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3、信用信息查询记录和证据留存的具体方式：由采购组织机构在规定查询时间内打印信用信息查询记录并归入项目档案。</w:t>
            </w:r>
          </w:p>
          <w:p w14:paraId="75095637">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05DE7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1ED9CF5C">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w:t>
            </w:r>
          </w:p>
        </w:tc>
        <w:tc>
          <w:tcPr>
            <w:tcW w:w="814" w:type="pct"/>
            <w:vAlign w:val="center"/>
          </w:tcPr>
          <w:p w14:paraId="7D98B51C">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踏勘现场</w:t>
            </w:r>
          </w:p>
        </w:tc>
        <w:tc>
          <w:tcPr>
            <w:tcW w:w="3924" w:type="pct"/>
            <w:vAlign w:val="center"/>
          </w:tcPr>
          <w:p w14:paraId="383826A8">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不组织,投标人自行组织踏勘现场。</w:t>
            </w:r>
          </w:p>
        </w:tc>
      </w:tr>
      <w:tr w14:paraId="7EFF73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4D815BDD">
            <w:pPr>
              <w:pStyle w:val="12"/>
              <w:snapToGrid w:val="0"/>
              <w:spacing w:line="29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814" w:type="pct"/>
            <w:vAlign w:val="center"/>
          </w:tcPr>
          <w:p w14:paraId="62852EA2">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投标预备会</w:t>
            </w:r>
          </w:p>
        </w:tc>
        <w:tc>
          <w:tcPr>
            <w:tcW w:w="3924" w:type="pct"/>
            <w:vAlign w:val="center"/>
          </w:tcPr>
          <w:p w14:paraId="55D05BE9">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不召开</w:t>
            </w:r>
          </w:p>
        </w:tc>
      </w:tr>
      <w:tr w14:paraId="5CD98C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vAlign w:val="center"/>
          </w:tcPr>
          <w:p w14:paraId="76AAABEB">
            <w:pPr>
              <w:snapToGrid w:val="0"/>
              <w:spacing w:line="290" w:lineRule="exact"/>
              <w:jc w:val="center"/>
              <w:rPr>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13</w:t>
            </w:r>
          </w:p>
        </w:tc>
        <w:tc>
          <w:tcPr>
            <w:tcW w:w="814" w:type="pct"/>
            <w:vAlign w:val="center"/>
          </w:tcPr>
          <w:p w14:paraId="638D237F">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3924" w:type="pct"/>
            <w:vAlign w:val="center"/>
          </w:tcPr>
          <w:p w14:paraId="61B8318C">
            <w:pPr>
              <w:spacing w:line="290" w:lineRule="exact"/>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不接受</w:t>
            </w:r>
          </w:p>
          <w:p w14:paraId="64B209F3">
            <w:pPr>
              <w:pStyle w:val="12"/>
              <w:snapToGrid w:val="0"/>
              <w:spacing w:line="290" w:lineRule="exac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□接受</w:t>
            </w:r>
          </w:p>
        </w:tc>
      </w:tr>
      <w:tr w14:paraId="6FC104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vAlign w:val="center"/>
          </w:tcPr>
          <w:p w14:paraId="7A392D7D">
            <w:pPr>
              <w:snapToGrid w:val="0"/>
              <w:spacing w:line="29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14</w:t>
            </w:r>
          </w:p>
        </w:tc>
        <w:tc>
          <w:tcPr>
            <w:tcW w:w="814" w:type="pct"/>
            <w:vAlign w:val="center"/>
          </w:tcPr>
          <w:p w14:paraId="302B7EFA">
            <w:pPr>
              <w:snapToGrid w:val="0"/>
              <w:spacing w:line="290" w:lineRule="exact"/>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招标代理费</w:t>
            </w:r>
          </w:p>
        </w:tc>
        <w:tc>
          <w:tcPr>
            <w:tcW w:w="3924" w:type="pct"/>
            <w:vAlign w:val="center"/>
          </w:tcPr>
          <w:p w14:paraId="30197F73">
            <w:pPr>
              <w:snapToGrid w:val="0"/>
              <w:spacing w:line="290" w:lineRule="exac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中标单位在领取本项目成交通知书时，规定由中标单位向招标代理机构支付本项目代理费。</w:t>
            </w:r>
          </w:p>
          <w:p w14:paraId="64C0FF18">
            <w:pPr>
              <w:snapToGrid w:val="0"/>
              <w:spacing w:line="290" w:lineRule="exact"/>
              <w:rPr>
                <w:rFonts w:hint="default" w:eastAsia="宋体"/>
                <w:color w:val="000000" w:themeColor="text1"/>
                <w:lang w:val="en-US"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val="en-US" w:eastAsia="zh-CN" w:bidi="ar-SA"/>
                <w14:textFill>
                  <w14:solidFill>
                    <w14:schemeClr w14:val="tx1"/>
                  </w14:solidFill>
                </w14:textFill>
              </w:rPr>
              <w:t>备注：本项目代理费：</w:t>
            </w:r>
            <w:r>
              <w:rPr>
                <w:rFonts w:hint="eastAsia" w:ascii="宋体" w:hAnsi="宋体" w:cs="宋体"/>
                <w:b/>
                <w:bCs/>
                <w:snapToGrid w:val="0"/>
                <w:color w:val="000000" w:themeColor="text1"/>
                <w:kern w:val="2"/>
                <w:sz w:val="21"/>
                <w:szCs w:val="21"/>
                <w:highlight w:val="none"/>
                <w:lang w:val="en-US" w:eastAsia="zh-CN" w:bidi="ar-SA"/>
                <w14:textFill>
                  <w14:solidFill>
                    <w14:schemeClr w14:val="tx1"/>
                  </w14:solidFill>
                </w14:textFill>
              </w:rPr>
              <w:t>15000</w:t>
            </w:r>
            <w:r>
              <w:rPr>
                <w:rFonts w:hint="eastAsia" w:ascii="宋体" w:hAnsi="宋体" w:eastAsia="宋体" w:cs="宋体"/>
                <w:b/>
                <w:bCs/>
                <w:snapToGrid w:val="0"/>
                <w:color w:val="000000" w:themeColor="text1"/>
                <w:kern w:val="2"/>
                <w:sz w:val="21"/>
                <w:szCs w:val="21"/>
                <w:highlight w:val="none"/>
                <w:lang w:val="en-US" w:eastAsia="zh-CN" w:bidi="ar-SA"/>
                <w14:textFill>
                  <w14:solidFill>
                    <w14:schemeClr w14:val="tx1"/>
                  </w14:solidFill>
                </w14:textFill>
              </w:rPr>
              <w:t>.00（大写：</w:t>
            </w:r>
            <w:r>
              <w:rPr>
                <w:rFonts w:hint="eastAsia" w:ascii="宋体" w:hAnsi="宋体" w:cs="宋体"/>
                <w:b/>
                <w:bCs/>
                <w:snapToGrid w:val="0"/>
                <w:color w:val="000000" w:themeColor="text1"/>
                <w:kern w:val="2"/>
                <w:sz w:val="21"/>
                <w:szCs w:val="21"/>
                <w:highlight w:val="none"/>
                <w:lang w:val="en-US" w:eastAsia="zh-CN" w:bidi="ar-SA"/>
                <w14:textFill>
                  <w14:solidFill>
                    <w14:schemeClr w14:val="tx1"/>
                  </w14:solidFill>
                </w14:textFill>
              </w:rPr>
              <w:t>壹万伍仟元整</w:t>
            </w:r>
            <w:r>
              <w:rPr>
                <w:rFonts w:hint="eastAsia" w:ascii="宋体" w:hAnsi="宋体" w:eastAsia="宋体" w:cs="宋体"/>
                <w:b/>
                <w:bCs/>
                <w:snapToGrid w:val="0"/>
                <w:color w:val="000000" w:themeColor="text1"/>
                <w:kern w:val="2"/>
                <w:sz w:val="21"/>
                <w:szCs w:val="21"/>
                <w:highlight w:val="none"/>
                <w:lang w:val="en-US" w:eastAsia="zh-CN" w:bidi="ar-SA"/>
                <w14:textFill>
                  <w14:solidFill>
                    <w14:schemeClr w14:val="tx1"/>
                  </w14:solidFill>
                </w14:textFill>
              </w:rPr>
              <w:t>）</w:t>
            </w:r>
          </w:p>
        </w:tc>
      </w:tr>
      <w:tr w14:paraId="330A98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vAlign w:val="center"/>
          </w:tcPr>
          <w:p w14:paraId="38748CE8">
            <w:pPr>
              <w:pStyle w:val="12"/>
              <w:snapToGrid w:val="0"/>
              <w:spacing w:line="290" w:lineRule="exact"/>
              <w:jc w:val="center"/>
              <w:rPr>
                <w:rFonts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w:t>
            </w:r>
          </w:p>
        </w:tc>
        <w:tc>
          <w:tcPr>
            <w:tcW w:w="814" w:type="pct"/>
            <w:vAlign w:val="center"/>
          </w:tcPr>
          <w:p w14:paraId="311B9DCD">
            <w:pPr>
              <w:snapToGrid w:val="0"/>
              <w:spacing w:line="290" w:lineRule="exact"/>
              <w:jc w:val="left"/>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预算价</w:t>
            </w:r>
          </w:p>
        </w:tc>
        <w:tc>
          <w:tcPr>
            <w:tcW w:w="3924" w:type="pct"/>
            <w:vAlign w:val="center"/>
          </w:tcPr>
          <w:p w14:paraId="1A3B3A30">
            <w:pPr>
              <w:snapToGrid w:val="0"/>
              <w:spacing w:line="290" w:lineRule="exact"/>
              <w:rPr>
                <w:rFonts w:ascii="宋体" w:hAnsi="宋体"/>
                <w:color w:val="000000" w:themeColor="text1"/>
                <w:szCs w:val="21"/>
                <w:highlight w:val="none"/>
                <w14:textFill>
                  <w14:solidFill>
                    <w14:schemeClr w14:val="tx1"/>
                  </w14:solidFill>
                </w14:textFill>
              </w:rPr>
            </w:pPr>
            <w:r>
              <w:rPr>
                <w:rFonts w:hint="eastAsia" w:ascii="宋体" w:hAnsi="Times New Roman" w:eastAsia="宋体" w:cs="Times New Roman"/>
                <w:color w:val="000000" w:themeColor="text1"/>
                <w:kern w:val="2"/>
                <w:sz w:val="21"/>
                <w:szCs w:val="21"/>
                <w:highlight w:val="none"/>
                <w:u w:color="000000"/>
                <w:lang w:val="en-US" w:eastAsia="zh-CN" w:bidi="ar-SA"/>
                <w14:textFill>
                  <w14:solidFill>
                    <w14:schemeClr w14:val="tx1"/>
                  </w14:solidFill>
                </w14:textFill>
              </w:rPr>
              <w:t>本次招标预算价：1.00 元</w:t>
            </w:r>
          </w:p>
        </w:tc>
      </w:tr>
      <w:tr w14:paraId="0C9757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1C4C32B0">
            <w:pPr>
              <w:snapToGrid w:val="0"/>
              <w:spacing w:line="290" w:lineRule="exact"/>
              <w:jc w:val="center"/>
              <w:rPr>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16</w:t>
            </w:r>
          </w:p>
        </w:tc>
        <w:tc>
          <w:tcPr>
            <w:tcW w:w="814" w:type="pct"/>
            <w:vAlign w:val="center"/>
          </w:tcPr>
          <w:p w14:paraId="2038C193">
            <w:pPr>
              <w:pStyle w:val="12"/>
              <w:snapToGrid w:val="0"/>
              <w:spacing w:line="29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投标有效期</w:t>
            </w:r>
          </w:p>
        </w:tc>
        <w:tc>
          <w:tcPr>
            <w:tcW w:w="3924" w:type="pct"/>
            <w:vAlign w:val="center"/>
          </w:tcPr>
          <w:p w14:paraId="2F93FE7F">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投标有效期为</w:t>
            </w:r>
            <w:r>
              <w:rPr>
                <w:rFonts w:hint="eastAsia"/>
                <w:color w:val="000000" w:themeColor="text1"/>
                <w:szCs w:val="21"/>
                <w:highlight w:val="none"/>
                <w:u w:val="single"/>
                <w14:textFill>
                  <w14:solidFill>
                    <w14:schemeClr w14:val="tx1"/>
                  </w14:solidFill>
                </w14:textFill>
              </w:rPr>
              <w:t xml:space="preserve"> 60 </w:t>
            </w:r>
            <w:r>
              <w:rPr>
                <w:rFonts w:hint="eastAsia"/>
                <w:color w:val="000000" w:themeColor="text1"/>
                <w:szCs w:val="21"/>
                <w:highlight w:val="none"/>
                <w14:textFill>
                  <w14:solidFill>
                    <w14:schemeClr w14:val="tx1"/>
                  </w14:solidFill>
                </w14:textFill>
              </w:rPr>
              <w:t>日历天（从投标截止之日算起）。在此期限内，凡符合本采购文件要求的投标文件均保持有效。</w:t>
            </w:r>
          </w:p>
        </w:tc>
      </w:tr>
      <w:tr w14:paraId="03DA30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61" w:type="pct"/>
            <w:vMerge w:val="restart"/>
            <w:vAlign w:val="center"/>
          </w:tcPr>
          <w:p w14:paraId="44C18C0D">
            <w:pPr>
              <w:pStyle w:val="12"/>
              <w:snapToGrid w:val="0"/>
              <w:spacing w:line="290" w:lineRule="exact"/>
              <w:jc w:val="center"/>
              <w:rPr>
                <w:rFonts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17</w:t>
            </w:r>
          </w:p>
        </w:tc>
        <w:tc>
          <w:tcPr>
            <w:tcW w:w="814" w:type="pct"/>
            <w:tcBorders>
              <w:bottom w:val="single" w:color="auto" w:sz="4" w:space="0"/>
            </w:tcBorders>
            <w:vAlign w:val="center"/>
          </w:tcPr>
          <w:p w14:paraId="45078FAA">
            <w:pPr>
              <w:snapToGrid w:val="0"/>
              <w:spacing w:line="290" w:lineRule="exact"/>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投标保证金</w:t>
            </w:r>
          </w:p>
        </w:tc>
        <w:tc>
          <w:tcPr>
            <w:tcW w:w="3924" w:type="pct"/>
            <w:tcBorders>
              <w:bottom w:val="single" w:color="auto" w:sz="4" w:space="0"/>
            </w:tcBorders>
          </w:tcPr>
          <w:p w14:paraId="53C108E3">
            <w:pP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投标保证金交纳方式：</w:t>
            </w:r>
            <w:r>
              <w:rPr>
                <w:rFonts w:hint="eastAsia"/>
                <w:color w:val="000000" w:themeColor="text1"/>
                <w14:textFill>
                  <w14:solidFill>
                    <w14:schemeClr w14:val="tx1"/>
                  </w14:solidFill>
                </w14:textFill>
              </w:rPr>
              <w:t>投标保证金应当以支票、汇票、本票、网上银行支付等方式，优先推荐金融机构、担保机构出具的保函等非现金形式缴纳。</w:t>
            </w:r>
          </w:p>
          <w:p w14:paraId="04425E7F">
            <w:pPr>
              <w:snapToGrid w:val="0"/>
              <w:spacing w:line="290" w:lineRule="exact"/>
              <w:rPr>
                <w:rFonts w:ascii="宋体" w:hAnsi="宋体" w:cs="宋体-18030"/>
                <w:color w:val="000000" w:themeColor="text1"/>
                <w:szCs w:val="21"/>
                <w:highlight w:val="non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投标保证金的金额：</w:t>
            </w:r>
            <w:r>
              <w:rPr>
                <w:rFonts w:hint="eastAsia" w:ascii="宋体" w:hAnsi="宋体" w:cs="宋体"/>
                <w:b/>
                <w:bCs/>
                <w:color w:val="000000" w:themeColor="text1"/>
                <w:szCs w:val="21"/>
                <w:lang w:val="en-US" w:eastAsia="zh-CN"/>
                <w14:textFill>
                  <w14:solidFill>
                    <w14:schemeClr w14:val="tx1"/>
                  </w14:solidFill>
                </w14:textFill>
              </w:rPr>
              <w:t>20000</w:t>
            </w:r>
            <w:r>
              <w:rPr>
                <w:rFonts w:hint="eastAsia" w:ascii="宋体" w:hAnsi="宋体" w:cs="宋体"/>
                <w:b/>
                <w:bCs/>
                <w:color w:val="000000" w:themeColor="text1"/>
                <w:szCs w:val="21"/>
                <w14:textFill>
                  <w14:solidFill>
                    <w14:schemeClr w14:val="tx1"/>
                  </w14:solidFill>
                </w14:textFill>
              </w:rPr>
              <w:t>.00元（</w:t>
            </w:r>
            <w:r>
              <w:rPr>
                <w:rFonts w:hint="eastAsia" w:ascii="宋体" w:hAnsi="宋体" w:cs="宋体"/>
                <w:b/>
                <w:bCs/>
                <w:color w:val="000000" w:themeColor="text1"/>
                <w:szCs w:val="21"/>
                <w:lang w:val="en-US" w:eastAsia="zh-CN"/>
                <w14:textFill>
                  <w14:solidFill>
                    <w14:schemeClr w14:val="tx1"/>
                  </w14:solidFill>
                </w14:textFill>
              </w:rPr>
              <w:t>贰万元整</w:t>
            </w:r>
            <w:r>
              <w:rPr>
                <w:rFonts w:hint="eastAsia" w:ascii="宋体" w:hAnsi="宋体" w:cs="宋体"/>
                <w:b/>
                <w:bCs/>
                <w:color w:val="000000" w:themeColor="text1"/>
                <w:szCs w:val="21"/>
                <w14:textFill>
                  <w14:solidFill>
                    <w14:schemeClr w14:val="tx1"/>
                  </w14:solidFill>
                </w14:textFill>
              </w:rPr>
              <w:t>）</w:t>
            </w:r>
          </w:p>
        </w:tc>
      </w:tr>
      <w:tr w14:paraId="00F31C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vAlign w:val="center"/>
          </w:tcPr>
          <w:p w14:paraId="3B8BCACA">
            <w:pPr>
              <w:snapToGrid w:val="0"/>
              <w:spacing w:line="290" w:lineRule="exact"/>
              <w:jc w:val="center"/>
              <w:rPr>
                <w:rFonts w:ascii="宋体" w:cs="宋体"/>
                <w:color w:val="000000" w:themeColor="text1"/>
                <w:szCs w:val="21"/>
                <w:highlight w:val="none"/>
                <w14:textFill>
                  <w14:solidFill>
                    <w14:schemeClr w14:val="tx1"/>
                  </w14:solidFill>
                </w14:textFill>
              </w:rPr>
            </w:pPr>
          </w:p>
        </w:tc>
        <w:tc>
          <w:tcPr>
            <w:tcW w:w="4738" w:type="pct"/>
            <w:gridSpan w:val="2"/>
            <w:tcBorders>
              <w:top w:val="single" w:color="auto" w:sz="4" w:space="0"/>
            </w:tcBorders>
            <w:vAlign w:val="center"/>
          </w:tcPr>
          <w:p w14:paraId="6DE01D21">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一、投标保证金交纳要求：   </w:t>
            </w:r>
          </w:p>
          <w:p w14:paraId="2FF26666">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1、投标保证金以电汇、网银形式提交的，应在投标截止前以公司法人的基本账户一次性汇入指定账户（以到账时间为准），不接受现金及任何个人汇款。汇款凭证或保函作为该项目投标保证金的缴纳依据。</w:t>
            </w:r>
          </w:p>
          <w:p w14:paraId="4493721F">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2、其他特殊情况处理：有效投标保证金成功交纳后，截止开标时间，供应商无正当理由不参加该项目投标且不递交弃标函，投标保证金不予退还。</w:t>
            </w:r>
          </w:p>
          <w:p w14:paraId="640C0E4D">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户名：克孜勒苏柯尔克孜自治州政务服务和公共资源交易中心</w:t>
            </w:r>
          </w:p>
          <w:p w14:paraId="2B998CCE">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账号：30456301040005069</w:t>
            </w:r>
          </w:p>
          <w:p w14:paraId="49F967E9">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开户行：中国农业银行股份有限公司阿图什天山支行</w:t>
            </w:r>
          </w:p>
          <w:p w14:paraId="1E8CC986">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行号：103893045636</w:t>
            </w:r>
          </w:p>
          <w:p w14:paraId="4B2E6CC0">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联系人：帕女士</w:t>
            </w:r>
          </w:p>
          <w:p w14:paraId="6E5D30D6">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电话：0908-4220265    15809081090</w:t>
            </w:r>
          </w:p>
          <w:p w14:paraId="5A6CD621">
            <w:pPr>
              <w:snapToGrid w:val="0"/>
              <w:spacing w:line="290" w:lineRule="exact"/>
              <w:ind w:firstLine="210" w:firstLineChars="1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（备注：必须写明xx公司xx项目保证金）</w:t>
            </w:r>
          </w:p>
          <w:p w14:paraId="0E42EE85">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二、申请退还投标保证金资料（招投标结束中标结果公示后）：</w:t>
            </w:r>
          </w:p>
          <w:p w14:paraId="3B7DC22F">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1、投标企业：待开标完成后，未中标企业3-5个工作日内政资中心将收取的项目投标保证金按投标企业基本户退回。</w:t>
            </w:r>
          </w:p>
          <w:p w14:paraId="3FE8E95B">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2、中标企业：需提供已签订合同复印件一份，复印件每页需加盖企业公章（并携带合同原件，由中心工作人员核对后退还）。</w:t>
            </w:r>
          </w:p>
          <w:p w14:paraId="612201D2">
            <w:pPr>
              <w:snapToGrid w:val="0"/>
              <w:spacing w:line="29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三、其他特殊情况处理：</w:t>
            </w:r>
          </w:p>
          <w:p w14:paraId="61F5F52F">
            <w:pPr>
              <w:snapToGrid w:val="0"/>
              <w:spacing w:line="29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1、按照招标文件要求规定：投标企业无正当理由不参加该项目投标且在规定开标时间前不递交弃标函，投标保证金不予退还。 </w:t>
            </w:r>
            <w:r>
              <w:rPr>
                <w:rFonts w:hint="eastAsia" w:ascii="宋体" w:hAnsi="宋体" w:cs="宋体"/>
                <w:color w:val="000000" w:themeColor="text1"/>
                <w:highlight w:val="none"/>
                <w14:textFill>
                  <w14:solidFill>
                    <w14:schemeClr w14:val="tx1"/>
                  </w14:solidFill>
                </w14:textFill>
              </w:rPr>
              <w:t xml:space="preserve"> </w:t>
            </w:r>
          </w:p>
        </w:tc>
      </w:tr>
      <w:tr w14:paraId="114568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261" w:type="pct"/>
            <w:vAlign w:val="center"/>
          </w:tcPr>
          <w:p w14:paraId="702864BD">
            <w:pPr>
              <w:snapToGrid w:val="0"/>
              <w:spacing w:line="290" w:lineRule="exact"/>
              <w:jc w:val="center"/>
              <w:rPr>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18</w:t>
            </w:r>
          </w:p>
        </w:tc>
        <w:tc>
          <w:tcPr>
            <w:tcW w:w="814" w:type="pct"/>
            <w:vAlign w:val="center"/>
          </w:tcPr>
          <w:p w14:paraId="62BE13A9">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投标文件形式</w:t>
            </w:r>
          </w:p>
        </w:tc>
        <w:tc>
          <w:tcPr>
            <w:tcW w:w="3924" w:type="pct"/>
            <w:vAlign w:val="center"/>
          </w:tcPr>
          <w:p w14:paraId="18483AC7">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电子投标文件包括“电子加密投标文件”和“备份投标文件”，在投标文件编制完成后同时生成。</w:t>
            </w:r>
          </w:p>
          <w:p w14:paraId="1D742645">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1、“电子加密投标文件” 是指通过“政采云电子交易客户端”完成投标文件编制后生成并加密的数据电文形式的投标文件。</w:t>
            </w:r>
          </w:p>
          <w:p w14:paraId="72748A7B">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5BC7A8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C0E65CC">
            <w:pPr>
              <w:snapToGrid w:val="0"/>
              <w:spacing w:line="290" w:lineRule="exact"/>
              <w:ind w:left="-77" w:leftChars="-37" w:right="-94" w:rightChars="-45"/>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19</w:t>
            </w:r>
          </w:p>
        </w:tc>
        <w:tc>
          <w:tcPr>
            <w:tcW w:w="814" w:type="pct"/>
            <w:vAlign w:val="center"/>
          </w:tcPr>
          <w:p w14:paraId="694A7085">
            <w:pPr>
              <w:pStyle w:val="12"/>
              <w:snapToGrid w:val="0"/>
              <w:spacing w:line="290" w:lineRule="exact"/>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投标文件份数及要求</w:t>
            </w:r>
          </w:p>
        </w:tc>
        <w:tc>
          <w:tcPr>
            <w:tcW w:w="3924" w:type="pct"/>
            <w:vAlign w:val="center"/>
          </w:tcPr>
          <w:p w14:paraId="74436D90">
            <w:pPr>
              <w:pStyle w:val="12"/>
              <w:snapToGrid w:val="0"/>
              <w:spacing w:line="29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1、一份电子加密标书（“.jmbs”格式），一份备份标书文件（“.bfbs”格式）。</w:t>
            </w:r>
          </w:p>
          <w:p w14:paraId="0893469A">
            <w:pPr>
              <w:pStyle w:val="12"/>
              <w:snapToGrid w:val="0"/>
              <w:spacing w:line="290" w:lineRule="exact"/>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2、每份电子投标文件应包括</w:t>
            </w:r>
            <w:r>
              <w:rPr>
                <w:rFonts w:hint="eastAsia" w:hAnsi="宋体"/>
                <w:b/>
                <w:bCs/>
                <w:color w:val="000000" w:themeColor="text1"/>
                <w:szCs w:val="21"/>
                <w:highlight w:val="none"/>
                <w14:textFill>
                  <w14:solidFill>
                    <w14:schemeClr w14:val="tx1"/>
                  </w14:solidFill>
                </w14:textFill>
              </w:rPr>
              <w:t>资格证明文件和商务及技术文件两部分。</w:t>
            </w:r>
          </w:p>
        </w:tc>
      </w:tr>
      <w:tr w14:paraId="2F54B9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restart"/>
            <w:vAlign w:val="center"/>
          </w:tcPr>
          <w:p w14:paraId="33A7D475">
            <w:pPr>
              <w:snapToGrid w:val="0"/>
              <w:spacing w:line="290" w:lineRule="exact"/>
              <w:ind w:left="-77" w:leftChars="-37" w:right="-94" w:rightChars="-45"/>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20</w:t>
            </w:r>
          </w:p>
        </w:tc>
        <w:tc>
          <w:tcPr>
            <w:tcW w:w="814" w:type="pct"/>
            <w:vMerge w:val="restart"/>
            <w:vAlign w:val="center"/>
          </w:tcPr>
          <w:p w14:paraId="455DADDE">
            <w:pPr>
              <w:pStyle w:val="12"/>
              <w:snapToGrid w:val="0"/>
              <w:spacing w:line="290" w:lineRule="exact"/>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lang w:bidi="zh-CN"/>
                <w14:textFill>
                  <w14:solidFill>
                    <w14:schemeClr w14:val="tx1"/>
                  </w14:solidFill>
                </w14:textFill>
              </w:rPr>
              <w:t>投标文件的上传和递交</w:t>
            </w:r>
          </w:p>
        </w:tc>
        <w:tc>
          <w:tcPr>
            <w:tcW w:w="3924" w:type="pct"/>
            <w:vAlign w:val="center"/>
          </w:tcPr>
          <w:p w14:paraId="7CB24E8D">
            <w:pPr>
              <w:pStyle w:val="12"/>
              <w:snapToGrid w:val="0"/>
              <w:spacing w:line="29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1.电子加密投标文件：投标文件制作完成并生成加密标书，在投标截止时间前，供应商需将加密的投标文件上传至政采云平台，</w:t>
            </w:r>
            <w:r>
              <w:rPr>
                <w:rFonts w:hint="eastAsia"/>
                <w:b/>
                <w:bCs/>
                <w:color w:val="000000" w:themeColor="text1"/>
                <w:szCs w:val="21"/>
                <w:highlight w:val="none"/>
                <w:u w:val="single"/>
                <w14:textFill>
                  <w14:solidFill>
                    <w14:schemeClr w14:val="tx1"/>
                  </w14:solidFill>
                </w14:textFill>
              </w:rPr>
              <w:t>在开标时间开始后，待采购组织机构发出解密通知后30分钟内解密投标文件。</w:t>
            </w:r>
          </w:p>
          <w:p w14:paraId="22CB46A6">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a.供应商未能在投标截止时间前成功上传电子加密投标文件的投标无效。</w:t>
            </w:r>
          </w:p>
          <w:p w14:paraId="6E61D8F2">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b.供应商成功上传电子加密投标文件后，可自行打印投标文件接收回执。</w:t>
            </w:r>
          </w:p>
        </w:tc>
      </w:tr>
      <w:tr w14:paraId="494A8E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continue"/>
            <w:vAlign w:val="center"/>
          </w:tcPr>
          <w:p w14:paraId="6DD06204">
            <w:pPr>
              <w:widowControl/>
              <w:snapToGrid w:val="0"/>
              <w:spacing w:line="290" w:lineRule="exact"/>
              <w:ind w:firstLine="88" w:firstLineChars="42"/>
              <w:jc w:val="left"/>
              <w:rPr>
                <w:color w:val="000000" w:themeColor="text1"/>
                <w:szCs w:val="21"/>
                <w:highlight w:val="none"/>
                <w14:textFill>
                  <w14:solidFill>
                    <w14:schemeClr w14:val="tx1"/>
                  </w14:solidFill>
                </w14:textFill>
              </w:rPr>
            </w:pPr>
          </w:p>
        </w:tc>
        <w:tc>
          <w:tcPr>
            <w:tcW w:w="814" w:type="pct"/>
            <w:vMerge w:val="continue"/>
            <w:vAlign w:val="center"/>
          </w:tcPr>
          <w:p w14:paraId="3663E1B3">
            <w:pPr>
              <w:pStyle w:val="12"/>
              <w:snapToGrid w:val="0"/>
              <w:spacing w:line="290" w:lineRule="exact"/>
              <w:rPr>
                <w:rFonts w:hAnsi="宋体" w:cs="宋体"/>
                <w:color w:val="000000" w:themeColor="text1"/>
                <w:szCs w:val="21"/>
                <w:highlight w:val="none"/>
                <w14:textFill>
                  <w14:solidFill>
                    <w14:schemeClr w14:val="tx1"/>
                  </w14:solidFill>
                </w14:textFill>
              </w:rPr>
            </w:pPr>
          </w:p>
        </w:tc>
        <w:tc>
          <w:tcPr>
            <w:tcW w:w="3924" w:type="pct"/>
            <w:vAlign w:val="center"/>
          </w:tcPr>
          <w:p w14:paraId="27C60644">
            <w:pPr>
              <w:pStyle w:val="12"/>
              <w:snapToGrid w:val="0"/>
              <w:spacing w:line="360" w:lineRule="exact"/>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2.备份投标文件：供应商在投标截止时间前将加密的投标文件上传至政府采购云平台，还可以在投标截止时间前以电子邮件方式提供备份投标文件1份（接收人邮箱：19246091@qq.com，接收人：黄女士 联系电话：17609081174“备份投标文件”由供应商自愿提供，采购文件不作强制性要求；如不提供或未按要求提供的，当电子投标文件无法解密时，将导致无备份投标文件而失去投标资格。</w:t>
            </w:r>
          </w:p>
          <w:p w14:paraId="049E8544">
            <w:pPr>
              <w:pStyle w:val="12"/>
              <w:snapToGrid w:val="0"/>
              <w:spacing w:line="360" w:lineRule="exact"/>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C5AA320">
            <w:pPr>
              <w:pStyle w:val="12"/>
              <w:snapToGrid w:val="0"/>
              <w:spacing w:line="290" w:lineRule="exact"/>
              <w:rPr>
                <w:color w:val="000000" w:themeColor="text1"/>
                <w:szCs w:val="21"/>
                <w:highlight w:val="none"/>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1B7DA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vAlign w:val="center"/>
          </w:tcPr>
          <w:p w14:paraId="0007C575">
            <w:pPr>
              <w:snapToGrid w:val="0"/>
              <w:spacing w:line="290" w:lineRule="exact"/>
              <w:ind w:left="-77" w:leftChars="-37" w:right="-94" w:rightChars="-45"/>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w:t>
            </w:r>
          </w:p>
        </w:tc>
        <w:tc>
          <w:tcPr>
            <w:tcW w:w="814" w:type="pct"/>
            <w:vAlign w:val="center"/>
          </w:tcPr>
          <w:p w14:paraId="17F7C239">
            <w:pPr>
              <w:snapToGrid w:val="0"/>
              <w:spacing w:line="290" w:lineRule="exact"/>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投标截止时间及地点</w:t>
            </w:r>
          </w:p>
        </w:tc>
        <w:tc>
          <w:tcPr>
            <w:tcW w:w="3924" w:type="pct"/>
            <w:vAlign w:val="center"/>
          </w:tcPr>
          <w:p w14:paraId="59FFBA64">
            <w:pPr>
              <w:snapToGrid w:val="0"/>
              <w:spacing w:line="290" w:lineRule="exact"/>
              <w:ind w:firstLine="18" w:firstLineChars="9"/>
              <w:rPr>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投标截止时间</w:t>
            </w:r>
            <w:r>
              <w:rPr>
                <w:rFonts w:hint="eastAsia"/>
                <w:b/>
                <w:bCs/>
                <w:color w:val="000000" w:themeColor="text1"/>
                <w:szCs w:val="21"/>
                <w:highlight w:val="none"/>
                <w14:textFill>
                  <w14:solidFill>
                    <w14:schemeClr w14:val="tx1"/>
                  </w14:solidFill>
                </w14:textFill>
              </w:rPr>
              <w:t>：202</w:t>
            </w:r>
            <w:r>
              <w:rPr>
                <w:rFonts w:hint="eastAsia"/>
                <w:b/>
                <w:bCs/>
                <w:color w:val="000000" w:themeColor="text1"/>
                <w:szCs w:val="21"/>
                <w:highlight w:val="none"/>
                <w:lang w:val="en-US" w:eastAsia="zh-CN"/>
                <w14:textFill>
                  <w14:solidFill>
                    <w14:schemeClr w14:val="tx1"/>
                  </w14:solidFill>
                </w14:textFill>
              </w:rPr>
              <w:t>4</w:t>
            </w:r>
            <w:r>
              <w:rPr>
                <w:rFonts w:hint="eastAsia"/>
                <w:b/>
                <w:bCs/>
                <w:color w:val="000000" w:themeColor="text1"/>
                <w:szCs w:val="21"/>
                <w:highlight w:val="none"/>
                <w14:textFill>
                  <w14:solidFill>
                    <w14:schemeClr w14:val="tx1"/>
                  </w14:solidFill>
                </w14:textFill>
              </w:rPr>
              <w:t>年</w:t>
            </w:r>
            <w:r>
              <w:rPr>
                <w:rFonts w:hint="eastAsia"/>
                <w:b/>
                <w:bCs/>
                <w:color w:val="000000" w:themeColor="text1"/>
                <w:szCs w:val="21"/>
                <w:highlight w:val="none"/>
                <w:lang w:val="en-US" w:eastAsia="zh-CN"/>
                <w14:textFill>
                  <w14:solidFill>
                    <w14:schemeClr w14:val="tx1"/>
                  </w14:solidFill>
                </w14:textFill>
              </w:rPr>
              <w:t xml:space="preserve"> 12</w:t>
            </w:r>
            <w:r>
              <w:rPr>
                <w:rFonts w:hint="eastAsia"/>
                <w:b/>
                <w:bCs/>
                <w:color w:val="000000" w:themeColor="text1"/>
                <w:szCs w:val="21"/>
                <w:highlight w:val="none"/>
                <w14:textFill>
                  <w14:solidFill>
                    <w14:schemeClr w14:val="tx1"/>
                  </w14:solidFill>
                </w14:textFill>
              </w:rPr>
              <w:t>月</w:t>
            </w:r>
            <w:r>
              <w:rPr>
                <w:rFonts w:hint="eastAsia"/>
                <w:b/>
                <w:bCs/>
                <w:color w:val="000000" w:themeColor="text1"/>
                <w:szCs w:val="21"/>
                <w:highlight w:val="none"/>
                <w:lang w:val="en-US" w:eastAsia="zh-CN"/>
                <w14:textFill>
                  <w14:solidFill>
                    <w14:schemeClr w14:val="tx1"/>
                  </w14:solidFill>
                </w14:textFill>
              </w:rPr>
              <w:t xml:space="preserve"> 9</w:t>
            </w:r>
            <w:r>
              <w:rPr>
                <w:rFonts w:hint="eastAsia"/>
                <w:b/>
                <w:bCs/>
                <w:color w:val="000000" w:themeColor="text1"/>
                <w:szCs w:val="21"/>
                <w:highlight w:val="none"/>
                <w14:textFill>
                  <w14:solidFill>
                    <w14:schemeClr w14:val="tx1"/>
                  </w14:solidFill>
                </w14:textFill>
              </w:rPr>
              <w:t>日1</w:t>
            </w:r>
            <w:r>
              <w:rPr>
                <w:rFonts w:hint="eastAsia"/>
                <w:b/>
                <w:bCs/>
                <w:color w:val="000000" w:themeColor="text1"/>
                <w:szCs w:val="21"/>
                <w:highlight w:val="none"/>
                <w:lang w:val="en-US" w:eastAsia="zh-CN"/>
                <w14:textFill>
                  <w14:solidFill>
                    <w14:schemeClr w14:val="tx1"/>
                  </w14:solidFill>
                </w14:textFill>
              </w:rPr>
              <w:t>0</w:t>
            </w:r>
            <w:r>
              <w:rPr>
                <w:rFonts w:hint="eastAsia"/>
                <w:b/>
                <w:bCs/>
                <w:color w:val="000000" w:themeColor="text1"/>
                <w:szCs w:val="21"/>
                <w:highlight w:val="none"/>
                <w14:textFill>
                  <w14:solidFill>
                    <w14:schemeClr w14:val="tx1"/>
                  </w14:solidFill>
                </w14:textFill>
              </w:rPr>
              <w:t>时</w:t>
            </w:r>
            <w:r>
              <w:rPr>
                <w:rFonts w:hint="eastAsia"/>
                <w:b/>
                <w:bCs/>
                <w:color w:val="000000" w:themeColor="text1"/>
                <w:szCs w:val="21"/>
                <w:highlight w:val="none"/>
                <w:lang w:val="en-US" w:eastAsia="zh-CN"/>
                <w14:textFill>
                  <w14:solidFill>
                    <w14:schemeClr w14:val="tx1"/>
                  </w14:solidFill>
                </w14:textFill>
              </w:rPr>
              <w:t>3</w:t>
            </w:r>
            <w:r>
              <w:rPr>
                <w:rFonts w:hint="eastAsia"/>
                <w:b/>
                <w:bCs/>
                <w:color w:val="000000" w:themeColor="text1"/>
                <w:szCs w:val="21"/>
                <w:highlight w:val="none"/>
                <w14:textFill>
                  <w14:solidFill>
                    <w14:schemeClr w14:val="tx1"/>
                  </w14:solidFill>
                </w14:textFill>
              </w:rPr>
              <w:t>0分（北京时间）</w:t>
            </w:r>
          </w:p>
          <w:p w14:paraId="6030A588">
            <w:pPr>
              <w:snapToGrid w:val="0"/>
              <w:spacing w:line="290" w:lineRule="exact"/>
              <w:ind w:firstLine="18" w:firstLineChars="9"/>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投标地点：新疆政府采购云平台（www.zcygov.cn）</w:t>
            </w:r>
          </w:p>
        </w:tc>
      </w:tr>
      <w:tr w14:paraId="6CB44F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460001ED">
            <w:pPr>
              <w:pStyle w:val="12"/>
              <w:snapToGrid w:val="0"/>
              <w:spacing w:line="290" w:lineRule="exact"/>
              <w:ind w:left="-77" w:leftChars="-37" w:right="-94" w:rightChars="-45"/>
              <w:jc w:val="center"/>
              <w:rPr>
                <w:rFonts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22</w:t>
            </w:r>
          </w:p>
        </w:tc>
        <w:tc>
          <w:tcPr>
            <w:tcW w:w="814" w:type="pct"/>
            <w:vAlign w:val="center"/>
          </w:tcPr>
          <w:p w14:paraId="0A841876">
            <w:pPr>
              <w:snapToGrid w:val="0"/>
              <w:spacing w:line="290" w:lineRule="exact"/>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开标时间及地点</w:t>
            </w:r>
          </w:p>
        </w:tc>
        <w:tc>
          <w:tcPr>
            <w:tcW w:w="3924" w:type="pct"/>
            <w:vAlign w:val="center"/>
          </w:tcPr>
          <w:p w14:paraId="16209B09">
            <w:pPr>
              <w:snapToGrid w:val="0"/>
              <w:spacing w:line="290" w:lineRule="exact"/>
              <w:ind w:firstLine="18" w:firstLineChars="9"/>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开标时间：同投标截止时间</w:t>
            </w:r>
          </w:p>
          <w:p w14:paraId="7B94BA64">
            <w:pPr>
              <w:snapToGrid w:val="0"/>
              <w:spacing w:line="290" w:lineRule="exact"/>
              <w:ind w:firstLine="18" w:firstLineChars="9"/>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开标地点：在新疆政府采购云平台（www.zcygov.cn）上开启投标文件</w:t>
            </w:r>
          </w:p>
        </w:tc>
      </w:tr>
      <w:tr w14:paraId="094065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715EE25B">
            <w:pPr>
              <w:pStyle w:val="12"/>
              <w:snapToGrid w:val="0"/>
              <w:spacing w:line="290" w:lineRule="exact"/>
              <w:ind w:left="-77" w:leftChars="-37" w:right="-94" w:rightChars="-45"/>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23</w:t>
            </w:r>
          </w:p>
        </w:tc>
        <w:tc>
          <w:tcPr>
            <w:tcW w:w="814" w:type="pct"/>
            <w:vAlign w:val="center"/>
          </w:tcPr>
          <w:p w14:paraId="05BED1BF">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评标委员会的组建</w:t>
            </w:r>
          </w:p>
        </w:tc>
        <w:tc>
          <w:tcPr>
            <w:tcW w:w="3924" w:type="pct"/>
          </w:tcPr>
          <w:p w14:paraId="725933FB">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评标委员会由招标人依法组建；</w:t>
            </w:r>
          </w:p>
          <w:p w14:paraId="6C65CE13">
            <w:pPr>
              <w:pStyle w:val="12"/>
              <w:snapToGrid w:val="0"/>
              <w:spacing w:line="29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评标专家确定方式：从政采云专家库中随机抽取。</w:t>
            </w:r>
          </w:p>
        </w:tc>
      </w:tr>
      <w:tr w14:paraId="68A895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7A4F285E">
            <w:pPr>
              <w:pStyle w:val="12"/>
              <w:snapToGrid w:val="0"/>
              <w:spacing w:line="290" w:lineRule="exact"/>
              <w:ind w:left="-77" w:leftChars="-37" w:right="-94" w:rightChars="-45"/>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w:t>
            </w:r>
          </w:p>
        </w:tc>
        <w:tc>
          <w:tcPr>
            <w:tcW w:w="814" w:type="pct"/>
            <w:vAlign w:val="center"/>
          </w:tcPr>
          <w:p w14:paraId="2E095B45">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是否授权评标委员会确定中标候选人</w:t>
            </w:r>
          </w:p>
        </w:tc>
        <w:tc>
          <w:tcPr>
            <w:tcW w:w="3924" w:type="pct"/>
            <w:vAlign w:val="center"/>
          </w:tcPr>
          <w:p w14:paraId="7C1E5AA0">
            <w:pPr>
              <w:pStyle w:val="12"/>
              <w:snapToGrid w:val="0"/>
              <w:spacing w:line="290" w:lineRule="exact"/>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是，评标委员会推荐</w:t>
            </w:r>
            <w:r>
              <w:rPr>
                <w:rFonts w:hint="eastAsia" w:hAnsi="宋体"/>
                <w:color w:val="000000" w:themeColor="text1"/>
                <w:szCs w:val="21"/>
                <w:highlight w:val="none"/>
                <w:lang w:val="en-US" w:eastAsia="zh-CN"/>
                <w14:textFill>
                  <w14:solidFill>
                    <w14:schemeClr w14:val="tx1"/>
                  </w14:solidFill>
                </w14:textFill>
              </w:rPr>
              <w:t>1</w:t>
            </w:r>
            <w:r>
              <w:rPr>
                <w:rFonts w:hint="eastAsia" w:hAnsi="宋体"/>
                <w:color w:val="000000" w:themeColor="text1"/>
                <w:szCs w:val="21"/>
                <w:highlight w:val="none"/>
                <w14:textFill>
                  <w14:solidFill>
                    <w14:schemeClr w14:val="tx1"/>
                  </w14:solidFill>
                </w14:textFill>
              </w:rPr>
              <w:t>名成交候选人。</w:t>
            </w:r>
          </w:p>
        </w:tc>
      </w:tr>
      <w:tr w14:paraId="38DAB3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6857417B">
            <w:pPr>
              <w:snapToGrid w:val="0"/>
              <w:spacing w:line="290" w:lineRule="exact"/>
              <w:ind w:left="-77" w:leftChars="-37" w:right="-94" w:rightChars="-45"/>
              <w:jc w:val="center"/>
              <w:rPr>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25</w:t>
            </w:r>
          </w:p>
        </w:tc>
        <w:tc>
          <w:tcPr>
            <w:tcW w:w="814" w:type="pct"/>
            <w:vAlign w:val="center"/>
          </w:tcPr>
          <w:p w14:paraId="47848954">
            <w:pPr>
              <w:pStyle w:val="12"/>
              <w:snapToGrid w:val="0"/>
              <w:spacing w:line="290" w:lineRule="exact"/>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中标候选人公示媒介</w:t>
            </w:r>
          </w:p>
        </w:tc>
        <w:tc>
          <w:tcPr>
            <w:tcW w:w="3924" w:type="pct"/>
            <w:vAlign w:val="center"/>
          </w:tcPr>
          <w:p w14:paraId="345E923F">
            <w:pPr>
              <w:pStyle w:val="12"/>
              <w:snapToGrid w:val="0"/>
              <w:spacing w:line="290" w:lineRule="exact"/>
              <w:rPr>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克州公共资源交易中心网、新疆政府采购网，公示期为一个工作日。</w:t>
            </w:r>
          </w:p>
        </w:tc>
      </w:tr>
      <w:tr w14:paraId="1D5004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55C1A8E3">
            <w:pPr>
              <w:snapToGrid w:val="0"/>
              <w:spacing w:line="290" w:lineRule="exact"/>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814" w:type="pct"/>
            <w:vAlign w:val="center"/>
          </w:tcPr>
          <w:p w14:paraId="08D6BE62">
            <w:pPr>
              <w:snapToGrid w:val="0"/>
              <w:spacing w:line="290" w:lineRule="exact"/>
              <w:jc w:val="left"/>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履约</w:t>
            </w:r>
            <w:r>
              <w:rPr>
                <w:rFonts w:hint="eastAsia" w:ascii="宋体"/>
                <w:color w:val="000000" w:themeColor="text1"/>
                <w:szCs w:val="21"/>
                <w:highlight w:val="none"/>
                <w:lang w:eastAsia="zh-CN"/>
                <w14:textFill>
                  <w14:solidFill>
                    <w14:schemeClr w14:val="tx1"/>
                  </w14:solidFill>
                </w14:textFill>
              </w:rPr>
              <w:t>保证金</w:t>
            </w:r>
          </w:p>
        </w:tc>
        <w:tc>
          <w:tcPr>
            <w:tcW w:w="3924" w:type="pct"/>
          </w:tcPr>
          <w:p w14:paraId="13F8B702">
            <w:pPr>
              <w:snapToGrid w:val="0"/>
              <w:spacing w:line="290" w:lineRule="exact"/>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无</w:t>
            </w:r>
          </w:p>
        </w:tc>
      </w:tr>
      <w:tr w14:paraId="3AE607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261" w:type="pct"/>
            <w:vAlign w:val="center"/>
          </w:tcPr>
          <w:p w14:paraId="3FDAD2BE">
            <w:pPr>
              <w:snapToGrid w:val="0"/>
              <w:spacing w:line="29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814" w:type="pct"/>
            <w:vAlign w:val="center"/>
          </w:tcPr>
          <w:p w14:paraId="29077C1C">
            <w:pPr>
              <w:snapToGrid w:val="0"/>
              <w:spacing w:line="2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磋商文件领取</w:t>
            </w:r>
          </w:p>
        </w:tc>
        <w:tc>
          <w:tcPr>
            <w:tcW w:w="3924" w:type="pct"/>
          </w:tcPr>
          <w:p w14:paraId="0E43A74B">
            <w:pPr>
              <w:snapToGrid w:val="0"/>
              <w:spacing w:line="29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11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25 </w:t>
            </w:r>
            <w:r>
              <w:rPr>
                <w:rFonts w:hint="eastAsia" w:ascii="宋体" w:hAnsi="宋体" w:cs="宋体"/>
                <w:color w:val="000000" w:themeColor="text1"/>
                <w:szCs w:val="21"/>
                <w:highlight w:val="none"/>
                <w14:textFill>
                  <w14:solidFill>
                    <w14:schemeClr w14:val="tx1"/>
                  </w14:solidFill>
                </w14:textFill>
              </w:rPr>
              <w:t>日至202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12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日，每天上午</w:t>
            </w:r>
            <w:r>
              <w:rPr>
                <w:rFonts w:hint="eastAsia" w:ascii="宋体" w:hAnsi="宋体" w:cs="宋体"/>
                <w:color w:val="000000" w:themeColor="text1"/>
                <w:szCs w:val="21"/>
                <w:highlight w:val="none"/>
                <w:lang w:eastAsia="zh-CN"/>
                <w14:textFill>
                  <w14:solidFill>
                    <w14:schemeClr w14:val="tx1"/>
                  </w14:solidFill>
                </w14:textFill>
              </w:rPr>
              <w:t>10:00至1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lang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，下午</w:t>
            </w:r>
            <w:r>
              <w:rPr>
                <w:rFonts w:hint="eastAsia" w:ascii="宋体" w:hAnsi="宋体" w:cs="宋体"/>
                <w:color w:val="000000" w:themeColor="text1"/>
                <w:szCs w:val="21"/>
                <w:highlight w:val="none"/>
                <w:lang w:eastAsia="zh-CN"/>
                <w14:textFill>
                  <w14:solidFill>
                    <w14:schemeClr w14:val="tx1"/>
                  </w14:solidFill>
                </w14:textFill>
              </w:rPr>
              <w:t>16:</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lang w:eastAsia="zh-CN"/>
                <w14:textFill>
                  <w14:solidFill>
                    <w14:schemeClr w14:val="tx1"/>
                  </w14:solidFill>
                </w14:textFill>
              </w:rPr>
              <w:t>0至</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0（北京时间）</w:t>
            </w:r>
          </w:p>
          <w:p w14:paraId="74DF882C">
            <w:pPr>
              <w:snapToGrid w:val="0"/>
              <w:spacing w:line="2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地点：供应商登陆政采云平台http://www.zcygov.cn/，在线申请获取磋商文件（登录政府采购云平台 → 项目采购 → 获取磋商文件→申请，审核通过后可下载磋商文件，如有操作性问题，可与政采云在线客服进行咨询，咨询电话：</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w:t>
            </w:r>
          </w:p>
          <w:p w14:paraId="6E745752">
            <w:pPr>
              <w:snapToGrid w:val="0"/>
              <w:spacing w:line="2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方式：（1）线上获取（登录政府采购云平台 → 项目采购 → 获取磋商文件→ 申请，审核通过后可下载磋商文件）。本次招标不提供纸质版磋商文件。</w:t>
            </w:r>
          </w:p>
          <w:p w14:paraId="5403F5B9">
            <w:pPr>
              <w:snapToGrid w:val="0"/>
              <w:spacing w:line="2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（2）供应商获取磋商文件前应注册成为政府采购云平台正式供应商。</w:t>
            </w:r>
          </w:p>
        </w:tc>
      </w:tr>
      <w:tr w14:paraId="0F9797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vAlign w:val="center"/>
          </w:tcPr>
          <w:p w14:paraId="6584141F">
            <w:pPr>
              <w:snapToGrid w:val="0"/>
              <w:spacing w:line="29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814" w:type="pct"/>
            <w:vMerge w:val="restart"/>
            <w:vAlign w:val="center"/>
          </w:tcPr>
          <w:p w14:paraId="2C10C217">
            <w:pPr>
              <w:snapToGrid w:val="0"/>
              <w:spacing w:line="29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重要说明</w:t>
            </w:r>
          </w:p>
        </w:tc>
        <w:tc>
          <w:tcPr>
            <w:tcW w:w="3924" w:type="pct"/>
          </w:tcPr>
          <w:p w14:paraId="504E31C2">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14:paraId="09029960">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0E983F6C">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0DE5B62">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进行咨询。</w:t>
            </w:r>
          </w:p>
          <w:p w14:paraId="22EAA543">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5.供应商在开标时须使用制作加密电子投标文件所使用的CA锁及电脑，电脑须提前配置好浏览器（建议使用谷歌浏览器），以便开标时解锁。</w:t>
            </w:r>
          </w:p>
          <w:p w14:paraId="5420A072">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7A25812E">
            <w:pPr>
              <w:snapToGrid w:val="0"/>
              <w:spacing w:line="29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7.为了保证开评标顺利进行，政采云线上开标功能完全实现，供应商开标所使用的电脑设备须具有视频及语音功能。</w:t>
            </w:r>
          </w:p>
        </w:tc>
      </w:tr>
      <w:tr w14:paraId="6CCF0F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Merge w:val="continue"/>
            <w:vAlign w:val="center"/>
          </w:tcPr>
          <w:p w14:paraId="1B62EDE2">
            <w:pPr>
              <w:snapToGrid w:val="0"/>
              <w:spacing w:line="290" w:lineRule="exact"/>
              <w:rPr>
                <w:rFonts w:ascii="宋体" w:hAnsi="宋体"/>
                <w:b/>
                <w:color w:val="000000" w:themeColor="text1"/>
                <w:szCs w:val="21"/>
                <w:highlight w:val="none"/>
                <w14:textFill>
                  <w14:solidFill>
                    <w14:schemeClr w14:val="tx1"/>
                  </w14:solidFill>
                </w14:textFill>
              </w:rPr>
            </w:pPr>
          </w:p>
        </w:tc>
        <w:tc>
          <w:tcPr>
            <w:tcW w:w="814" w:type="pct"/>
            <w:vMerge w:val="continue"/>
            <w:vAlign w:val="center"/>
          </w:tcPr>
          <w:p w14:paraId="5E5B2DA9">
            <w:pPr>
              <w:snapToGrid w:val="0"/>
              <w:spacing w:line="290" w:lineRule="exact"/>
              <w:rPr>
                <w:rFonts w:ascii="宋体" w:hAnsi="宋体"/>
                <w:b/>
                <w:color w:val="000000" w:themeColor="text1"/>
                <w:szCs w:val="21"/>
                <w:highlight w:val="none"/>
                <w14:textFill>
                  <w14:solidFill>
                    <w14:schemeClr w14:val="tx1"/>
                  </w14:solidFill>
                </w14:textFill>
              </w:rPr>
            </w:pPr>
          </w:p>
        </w:tc>
        <w:tc>
          <w:tcPr>
            <w:tcW w:w="3924" w:type="pct"/>
          </w:tcPr>
          <w:p w14:paraId="0BBF1E30">
            <w:pPr>
              <w:snapToGrid w:val="0"/>
              <w:spacing w:line="29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1、电子招投标情况说明：</w:t>
            </w:r>
          </w:p>
          <w:p w14:paraId="5BB7FF67">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电子招投标</w:t>
            </w:r>
            <w:r>
              <w:rPr>
                <w:rFonts w:hint="eastAsia" w:ascii="宋体" w:hAnsi="宋体" w:cs="宋体"/>
                <w:color w:val="000000" w:themeColor="text1"/>
                <w:szCs w:val="21"/>
                <w:highlight w:val="none"/>
                <w14:textFill>
                  <w14:solidFill>
                    <w14:schemeClr w14:val="tx1"/>
                  </w14:solidFill>
                </w14:textFill>
              </w:rPr>
              <w:t>：本项目以数据电文形式，依托“政府采购云平台（www.zcygov.cn）”进行招投标活动</w:t>
            </w:r>
            <w:r>
              <w:rPr>
                <w:rFonts w:hint="eastAsia" w:ascii="宋体" w:hAnsi="宋体" w:cs="宋体"/>
                <w:b/>
                <w:bCs/>
                <w:color w:val="000000" w:themeColor="text1"/>
                <w:szCs w:val="21"/>
                <w:highlight w:val="none"/>
                <w14:textFill>
                  <w14:solidFill>
                    <w14:schemeClr w14:val="tx1"/>
                  </w14:solidFill>
                </w14:textFill>
              </w:rPr>
              <w:t>。</w:t>
            </w:r>
          </w:p>
          <w:p w14:paraId="4875AEB5">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投标准备</w:t>
            </w:r>
            <w:r>
              <w:rPr>
                <w:rFonts w:hint="eastAsia" w:ascii="宋体" w:hAnsi="宋体" w:cs="宋体"/>
                <w:color w:val="000000" w:themeColor="text1"/>
                <w:szCs w:val="21"/>
                <w:highlight w:val="none"/>
                <w14:textFill>
                  <w14:solidFill>
                    <w14:schemeClr w14:val="tx1"/>
                  </w14:solidFill>
                </w14:textFill>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A7662A1">
            <w:pPr>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采购文件的获取</w:t>
            </w:r>
            <w:r>
              <w:rPr>
                <w:rFonts w:hint="eastAsia" w:ascii="宋体" w:hAnsi="宋体" w:cs="宋体"/>
                <w:color w:val="000000" w:themeColor="text1"/>
                <w:szCs w:val="21"/>
                <w:highlight w:val="none"/>
                <w14:textFill>
                  <w14:solidFill>
                    <w14:schemeClr w14:val="tx1"/>
                  </w14:solidFill>
                </w14:textFill>
              </w:rPr>
              <w:t>：使用账号登录或者</w:t>
            </w:r>
            <w:r>
              <w:rPr>
                <w:rFonts w:hint="eastAsia" w:ascii="宋体" w:hAnsi="宋体" w:cs="宋体"/>
                <w:color w:val="000000" w:themeColor="text1"/>
                <w:szCs w:val="21"/>
                <w:highlight w:val="none"/>
                <w:lang w:bidi="zh-CN"/>
                <w14:textFill>
                  <w14:solidFill>
                    <w14:schemeClr w14:val="tx1"/>
                  </w14:solidFill>
                </w14:textFill>
              </w:rPr>
              <w:t>短信验证码</w:t>
            </w:r>
            <w:r>
              <w:rPr>
                <w:rFonts w:hint="eastAsia" w:ascii="宋体" w:hAnsi="宋体" w:cs="宋体"/>
                <w:color w:val="000000" w:themeColor="text1"/>
                <w:szCs w:val="21"/>
                <w:highlight w:val="none"/>
                <w14:textFill>
                  <w14:solidFill>
                    <w14:schemeClr w14:val="tx1"/>
                  </w14:solidFill>
                </w14:textFill>
              </w:rPr>
              <w:t>或者使用CA登录政采云平台；进入“项目采购”应用，在获取采购文件菜单中选择项目，获取采购文件。</w:t>
            </w:r>
          </w:p>
          <w:p w14:paraId="09496EDD">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投标文件的制作</w:t>
            </w:r>
            <w:r>
              <w:rPr>
                <w:rFonts w:hint="eastAsia" w:ascii="宋体" w:hAnsi="宋体" w:cs="宋体"/>
                <w:color w:val="000000" w:themeColor="text1"/>
                <w:szCs w:val="21"/>
                <w:highlight w:val="none"/>
                <w14:textFill>
                  <w14:solidFill>
                    <w14:schemeClr w14:val="tx1"/>
                  </w14:solidFill>
                </w14:textFill>
              </w:rPr>
              <w:t>：在“政采云电子交易客户端”中完成“填写基本信息”、“导入投标文件”、“标书关联”、“标书检查”、“电子签名”、“生成电子标书”等操作。</w:t>
            </w:r>
          </w:p>
          <w:p w14:paraId="20B67C6D">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投标文件的传输递交</w:t>
            </w:r>
            <w:r>
              <w:rPr>
                <w:rFonts w:hint="eastAsia" w:ascii="宋体" w:hAnsi="宋体" w:cs="宋体"/>
                <w:color w:val="000000" w:themeColor="text1"/>
                <w:szCs w:val="21"/>
                <w:highlight w:val="none"/>
                <w14:textFill>
                  <w14:solidFill>
                    <w14:schemeClr w14:val="tx1"/>
                  </w14:solidFill>
                </w14:textFill>
              </w:rPr>
              <w:t>：供应商在投标截止时间前将加密的投标文件上传至政府采购云平台，还可以在投标截止时间前以电子邮件方式提供备份投标文件1份（接收人邮箱：</w:t>
            </w:r>
            <w:r>
              <w:rPr>
                <w:rFonts w:hint="eastAsia" w:ascii="宋体" w:hAnsi="宋体" w:cs="宋体"/>
                <w:color w:val="000000" w:themeColor="text1"/>
                <w:szCs w:val="21"/>
                <w:highlight w:val="none"/>
                <w:lang w:eastAsia="zh-CN"/>
                <w14:textFill>
                  <w14:solidFill>
                    <w14:schemeClr w14:val="tx1"/>
                  </w14:solidFill>
                </w14:textFill>
              </w:rPr>
              <w:t>19246091</w:t>
            </w:r>
            <w:r>
              <w:rPr>
                <w:rFonts w:hint="eastAsia" w:ascii="宋体" w:hAnsi="宋体" w:cs="宋体"/>
                <w:color w:val="000000" w:themeColor="text1"/>
                <w:szCs w:val="21"/>
                <w:highlight w:val="none"/>
                <w14:textFill>
                  <w14:solidFill>
                    <w14:schemeClr w14:val="tx1"/>
                  </w14:solidFill>
                </w14:textFill>
              </w:rPr>
              <w:t>@qq.</w:t>
            </w:r>
            <w:r>
              <w:rPr>
                <w:rFonts w:hint="eastAsia" w:ascii="宋体" w:hAnsi="宋体" w:cs="宋体"/>
                <w:color w:val="000000" w:themeColor="text1"/>
                <w:szCs w:val="21"/>
                <w:highlight w:val="none"/>
                <w:lang w:eastAsia="zh-CN"/>
                <w14:textFill>
                  <w14:solidFill>
                    <w14:schemeClr w14:val="tx1"/>
                  </w14:solidFill>
                </w14:textFill>
              </w:rPr>
              <w:t>com</w:t>
            </w:r>
            <w:r>
              <w:rPr>
                <w:rFonts w:hint="eastAsia" w:ascii="宋体" w:hAnsi="宋体" w:cs="宋体"/>
                <w:color w:val="000000" w:themeColor="text1"/>
                <w:szCs w:val="21"/>
                <w:highlight w:val="none"/>
                <w14:textFill>
                  <w14:solidFill>
                    <w14:schemeClr w14:val="tx1"/>
                  </w14:solidFill>
                </w14:textFill>
              </w:rPr>
              <w:t>，接收人：</w:t>
            </w:r>
            <w:r>
              <w:rPr>
                <w:rFonts w:hint="eastAsia" w:ascii="宋体" w:hAnsi="宋体" w:cs="宋体"/>
                <w:color w:val="000000" w:themeColor="text1"/>
                <w:szCs w:val="21"/>
                <w:highlight w:val="none"/>
                <w:lang w:eastAsia="zh-CN"/>
                <w14:textFill>
                  <w14:solidFill>
                    <w14:schemeClr w14:val="tx1"/>
                  </w14:solidFill>
                </w14:textFill>
              </w:rPr>
              <w:t>黄女士</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17609081174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bidi="zh-CN"/>
                <w14:textFill>
                  <w14:solidFill>
                    <w14:schemeClr w14:val="tx1"/>
                  </w14:solidFill>
                </w14:textFill>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color w:val="000000" w:themeColor="text1"/>
                <w:szCs w:val="21"/>
                <w:highlight w:val="none"/>
                <w14:textFill>
                  <w14:solidFill>
                    <w14:schemeClr w14:val="tx1"/>
                  </w14:solidFill>
                </w14:textFill>
              </w:rPr>
              <w:t>。</w:t>
            </w:r>
          </w:p>
          <w:p w14:paraId="3BAE64F1">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投标文件的解密</w:t>
            </w:r>
            <w:r>
              <w:rPr>
                <w:rFonts w:hint="eastAsia" w:ascii="宋体" w:hAnsi="宋体" w:cs="宋体"/>
                <w:color w:val="000000" w:themeColor="text1"/>
                <w:szCs w:val="21"/>
                <w:highlight w:val="none"/>
                <w14:textFill>
                  <w14:solidFill>
                    <w14:schemeClr w14:val="tx1"/>
                  </w14:solidFill>
                </w14:textFill>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4A26F5D">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具体操作指南</w:t>
            </w:r>
            <w:r>
              <w:rPr>
                <w:rFonts w:hint="eastAsia" w:ascii="宋体" w:hAnsi="宋体" w:cs="宋体"/>
                <w:color w:val="000000" w:themeColor="text1"/>
                <w:szCs w:val="21"/>
                <w:highlight w:val="none"/>
                <w14:textFill>
                  <w14:solidFill>
                    <w14:schemeClr w14:val="tx1"/>
                  </w14:solidFill>
                </w14:textFill>
              </w:rPr>
              <w:t>：详见政采云平台“服务中心-帮助文档-项目采购-操作流程-电子招投标-政府采购项目电子交易管理操作指南-供应商”。</w:t>
            </w:r>
          </w:p>
          <w:p w14:paraId="0E94603D">
            <w:pPr>
              <w:snapToGrid w:val="0"/>
              <w:spacing w:line="2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（8）供应商在进行上述操作时，如遇技术问题可登录政采云（https://</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\h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www.zcygov.cn/</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），点击右侧咨询小采，获取采小蜜智能服务管家帮助，或拨打政采云服务热线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 xml:space="preserve"> 获取热线服务帮助。</w:t>
            </w:r>
          </w:p>
          <w:p w14:paraId="3509298A">
            <w:pPr>
              <w:pStyle w:val="5"/>
              <w:adjustRightInd/>
              <w:snapToGrid w:val="0"/>
              <w:spacing w:line="290" w:lineRule="exact"/>
              <w:ind w:firstLine="420" w:firstLineChars="200"/>
              <w:textAlignment w:val="auto"/>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温馨提醒：供应商应提前上传，以便在上传时遇到技术问题，有充足的时间请教平台的技术人员。</w:t>
            </w:r>
          </w:p>
          <w:p w14:paraId="27E72AC4">
            <w:pPr>
              <w:snapToGrid w:val="0"/>
              <w:spacing w:line="290" w:lineRule="exact"/>
              <w:ind w:firstLine="403" w:firstLineChars="192"/>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color w:val="000000" w:themeColor="text1"/>
                <w:szCs w:val="21"/>
                <w:highlight w:val="none"/>
                <w14:textFill>
                  <w14:solidFill>
                    <w14:schemeClr w14:val="tx1"/>
                  </w14:solidFill>
                </w14:textFill>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cs="宋体"/>
                <w:bCs/>
                <w:color w:val="000000" w:themeColor="text1"/>
                <w:szCs w:val="21"/>
                <w:highlight w:val="none"/>
                <w14:textFill>
                  <w14:solidFill>
                    <w14:schemeClr w14:val="tx1"/>
                  </w14:solidFill>
                </w14:textFill>
              </w:rPr>
              <w:t>未按规定获取采购文件或逾期提出的不予受理、答复。</w:t>
            </w:r>
          </w:p>
        </w:tc>
      </w:tr>
      <w:tr w14:paraId="209E5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Align w:val="center"/>
          </w:tcPr>
          <w:p w14:paraId="76A9AD63">
            <w:pPr>
              <w:snapToGrid w:val="0"/>
              <w:spacing w:line="290" w:lineRule="exact"/>
              <w:rPr>
                <w:rFonts w:hint="default" w:ascii="宋体" w:hAnsi="宋体" w:eastAsia="宋体"/>
                <w:b/>
                <w:color w:val="000000" w:themeColor="text1"/>
                <w:szCs w:val="21"/>
                <w:highlight w:val="none"/>
                <w:lang w:val="en-US" w:eastAsia="zh-CN"/>
                <w14:textFill>
                  <w14:solidFill>
                    <w14:schemeClr w14:val="tx1"/>
                  </w14:solidFill>
                </w14:textFill>
              </w:rPr>
            </w:pPr>
            <w:bookmarkStart w:id="25" w:name="_Toc30705"/>
            <w:r>
              <w:rPr>
                <w:rFonts w:hint="eastAsia" w:ascii="宋体" w:hAnsi="宋体"/>
                <w:b/>
                <w:color w:val="000000" w:themeColor="text1"/>
                <w:szCs w:val="21"/>
                <w:highlight w:val="none"/>
                <w:lang w:val="en-US" w:eastAsia="zh-CN"/>
                <w14:textFill>
                  <w14:solidFill>
                    <w14:schemeClr w14:val="tx1"/>
                  </w14:solidFill>
                </w14:textFill>
              </w:rPr>
              <w:t>29</w:t>
            </w:r>
          </w:p>
        </w:tc>
        <w:tc>
          <w:tcPr>
            <w:tcW w:w="814" w:type="pct"/>
            <w:vAlign w:val="center"/>
          </w:tcPr>
          <w:p w14:paraId="797EB143">
            <w:pPr>
              <w:snapToGrid w:val="0"/>
              <w:spacing w:line="290" w:lineRule="exact"/>
              <w:ind w:firstLine="403" w:firstLineChars="192"/>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3924" w:type="pct"/>
          </w:tcPr>
          <w:p w14:paraId="5D3DA9AF">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着重提醒各投标人注意，并认真查看</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中的每一个条款及要求，因误读</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而造成的后果，招标人概不负责。</w:t>
            </w:r>
          </w:p>
          <w:p w14:paraId="3E470FFE">
            <w:pPr>
              <w:snapToGrid w:val="0"/>
              <w:spacing w:line="290" w:lineRule="exact"/>
              <w:ind w:firstLine="403" w:firstLineChars="192"/>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2、投标人使用相同IP地址的，一经发现，相关部门将进一步核实，查实后按串通投标处理。</w:t>
            </w:r>
          </w:p>
          <w:p w14:paraId="26B7F301">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为保证本项目质量，良好的售后服务，最</w:t>
            </w:r>
            <w:r>
              <w:rPr>
                <w:rFonts w:hint="eastAsia" w:ascii="宋体" w:hAnsi="宋体" w:eastAsia="宋体" w:cs="宋体"/>
                <w:color w:val="000000" w:themeColor="text1"/>
                <w:szCs w:val="21"/>
                <w:highlight w:val="none"/>
                <w:lang w:eastAsia="zh-CN"/>
                <w14:textFill>
                  <w14:solidFill>
                    <w14:schemeClr w14:val="tx1"/>
                  </w14:solidFill>
                </w14:textFill>
              </w:rPr>
              <w:t>高</w:t>
            </w:r>
            <w:r>
              <w:rPr>
                <w:rFonts w:hint="eastAsia" w:ascii="宋体" w:hAnsi="宋体" w:eastAsia="宋体" w:cs="宋体"/>
                <w:color w:val="000000" w:themeColor="text1"/>
                <w:szCs w:val="21"/>
                <w:highlight w:val="none"/>
                <w14:textFill>
                  <w14:solidFill>
                    <w14:schemeClr w14:val="tx1"/>
                  </w14:solidFill>
                </w14:textFill>
              </w:rPr>
              <w:t>报价不作为中标的唯一依据。</w:t>
            </w:r>
          </w:p>
          <w:p w14:paraId="26F40FDA">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0E387B51">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其它：</w:t>
            </w:r>
          </w:p>
          <w:p w14:paraId="2136D008">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（1）投标企业严格遵守国家的法律法规及招标纪律，无违法违纪及商业贿赂行为。</w:t>
            </w:r>
          </w:p>
          <w:p w14:paraId="3A43F462">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（2）不管投标结果如何，供应商均应自行承担投标所需一切费用。</w:t>
            </w:r>
          </w:p>
          <w:p w14:paraId="0F3C9289">
            <w:pPr>
              <w:snapToGrid w:val="0"/>
              <w:spacing w:line="290" w:lineRule="exact"/>
              <w:ind w:firstLine="403" w:firstLineChars="19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（3）供应商应以书面形式保证中标后由本公司组织实施，不得以任何理由将项目转包给其他机构。</w:t>
            </w:r>
          </w:p>
          <w:p w14:paraId="71C74266">
            <w:pPr>
              <w:snapToGrid w:val="0"/>
              <w:spacing w:line="290" w:lineRule="exact"/>
              <w:ind w:firstLine="403" w:firstLineChars="192"/>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）磋商响应文件中的报价为一次报价，各投标单位进行二次报价（磋商），采购人也可以根据磋商情况进行多轮报价，投标报价评审以最终报价为准，二次报价不得</w:t>
            </w:r>
            <w:r>
              <w:rPr>
                <w:rFonts w:hint="eastAsia" w:ascii="宋体" w:hAnsi="宋体" w:eastAsia="宋体" w:cs="宋体"/>
                <w:color w:val="000000" w:themeColor="text1"/>
                <w:szCs w:val="21"/>
                <w:highlight w:val="none"/>
                <w:lang w:eastAsia="zh-CN"/>
                <w14:textFill>
                  <w14:solidFill>
                    <w14:schemeClr w14:val="tx1"/>
                  </w14:solidFill>
                </w14:textFill>
              </w:rPr>
              <w:t>低</w:t>
            </w:r>
            <w:r>
              <w:rPr>
                <w:rFonts w:hint="eastAsia" w:ascii="宋体" w:hAnsi="宋体" w:eastAsia="宋体" w:cs="宋体"/>
                <w:color w:val="000000" w:themeColor="text1"/>
                <w:szCs w:val="21"/>
                <w:highlight w:val="none"/>
                <w14:textFill>
                  <w14:solidFill>
                    <w14:schemeClr w14:val="tx1"/>
                  </w14:solidFill>
                </w14:textFill>
              </w:rPr>
              <w:t>于一次报价</w:t>
            </w:r>
            <w:r>
              <w:rPr>
                <w:rFonts w:hint="eastAsia" w:ascii="宋体" w:hAnsi="宋体" w:eastAsia="宋体" w:cs="宋体"/>
                <w:color w:val="000000" w:themeColor="text1"/>
                <w:szCs w:val="21"/>
                <w:highlight w:val="none"/>
                <w:lang w:eastAsia="zh-CN"/>
                <w14:textFill>
                  <w14:solidFill>
                    <w14:schemeClr w14:val="tx1"/>
                  </w14:solidFill>
                </w14:textFill>
              </w:rPr>
              <w:t>，依次类推。</w:t>
            </w:r>
          </w:p>
          <w:p w14:paraId="1E8762FD">
            <w:pPr>
              <w:snapToGrid w:val="0"/>
              <w:spacing w:line="290" w:lineRule="exact"/>
              <w:ind w:firstLine="403" w:firstLineChars="192"/>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本次招标所属行业为其他未列明行业。</w:t>
            </w:r>
          </w:p>
          <w:p w14:paraId="26437C91">
            <w:pPr>
              <w:snapToGrid w:val="0"/>
              <w:spacing w:line="290" w:lineRule="exact"/>
              <w:ind w:firstLine="403" w:firstLineChars="192"/>
              <w:rPr>
                <w:rFonts w:hint="eastAsia"/>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磋商文件中如出现前后不一致情况，均以前附表内容为准。</w:t>
            </w:r>
          </w:p>
        </w:tc>
      </w:tr>
    </w:tbl>
    <w:p w14:paraId="494E78AE">
      <w:pPr>
        <w:pageBreakBefore/>
        <w:spacing w:before="312" w:beforeLines="100" w:after="312" w:afterLines="100" w:line="440" w:lineRule="exact"/>
        <w:jc w:val="center"/>
        <w:outlineLvl w:val="1"/>
        <w:rPr>
          <w:rFonts w:ascii="宋体"/>
          <w:b/>
          <w:sz w:val="28"/>
          <w:szCs w:val="32"/>
          <w:highlight w:val="none"/>
        </w:rPr>
      </w:pPr>
      <w:r>
        <w:rPr>
          <w:rFonts w:hint="eastAsia" w:ascii="宋体"/>
          <w:b/>
          <w:sz w:val="28"/>
          <w:szCs w:val="28"/>
          <w:highlight w:val="none"/>
        </w:rPr>
        <w:t>二、投标人须知</w:t>
      </w:r>
      <w:bookmarkEnd w:id="25"/>
    </w:p>
    <w:p w14:paraId="5FE64A5F">
      <w:pPr>
        <w:spacing w:line="440" w:lineRule="exact"/>
        <w:jc w:val="center"/>
        <w:outlineLvl w:val="2"/>
        <w:rPr>
          <w:rFonts w:ascii="宋体"/>
          <w:sz w:val="28"/>
          <w:szCs w:val="28"/>
          <w:highlight w:val="none"/>
        </w:rPr>
      </w:pPr>
      <w:bookmarkStart w:id="26" w:name="_Toc25428"/>
      <w:bookmarkStart w:id="27" w:name="_Toc469495724"/>
      <w:r>
        <w:rPr>
          <w:rFonts w:hint="eastAsia" w:ascii="宋体"/>
          <w:b/>
          <w:sz w:val="28"/>
          <w:szCs w:val="28"/>
          <w:highlight w:val="none"/>
        </w:rPr>
        <w:t>（一）</w:t>
      </w:r>
      <w:r>
        <w:rPr>
          <w:rFonts w:hint="eastAsia" w:ascii="宋体"/>
          <w:b/>
          <w:sz w:val="28"/>
          <w:szCs w:val="32"/>
          <w:highlight w:val="none"/>
        </w:rPr>
        <w:t>总  则</w:t>
      </w:r>
      <w:bookmarkEnd w:id="26"/>
      <w:bookmarkEnd w:id="27"/>
    </w:p>
    <w:p w14:paraId="5FC954EF">
      <w:pPr>
        <w:snapToGrid w:val="0"/>
        <w:spacing w:line="440" w:lineRule="exact"/>
        <w:ind w:firstLine="420" w:firstLineChars="200"/>
        <w:rPr>
          <w:rFonts w:ascii="宋体"/>
          <w:b/>
          <w:szCs w:val="21"/>
          <w:highlight w:val="none"/>
        </w:rPr>
      </w:pPr>
      <w:r>
        <w:rPr>
          <w:rFonts w:hint="eastAsia" w:ascii="宋体"/>
          <w:b/>
          <w:szCs w:val="21"/>
          <w:highlight w:val="none"/>
        </w:rPr>
        <w:t>1.项目概况</w:t>
      </w:r>
    </w:p>
    <w:p w14:paraId="383E0D14">
      <w:pPr>
        <w:snapToGrid w:val="0"/>
        <w:spacing w:line="440" w:lineRule="exact"/>
        <w:ind w:firstLine="420" w:firstLineChars="200"/>
        <w:rPr>
          <w:rFonts w:ascii="宋体"/>
          <w:szCs w:val="21"/>
          <w:highlight w:val="none"/>
          <w:u w:val="single"/>
        </w:rPr>
      </w:pPr>
      <w:r>
        <w:rPr>
          <w:rFonts w:hint="eastAsia" w:ascii="宋体"/>
          <w:szCs w:val="21"/>
          <w:highlight w:val="none"/>
        </w:rPr>
        <w:t>1.1本次招标采购项目名称：见投标人须知前附表。</w:t>
      </w:r>
    </w:p>
    <w:p w14:paraId="038F0779">
      <w:pPr>
        <w:snapToGrid w:val="0"/>
        <w:spacing w:line="440" w:lineRule="exact"/>
        <w:ind w:firstLine="420" w:firstLineChars="200"/>
        <w:rPr>
          <w:rFonts w:ascii="宋体"/>
          <w:szCs w:val="21"/>
          <w:highlight w:val="none"/>
          <w:u w:val="single"/>
        </w:rPr>
      </w:pPr>
      <w:r>
        <w:rPr>
          <w:rFonts w:hint="eastAsia" w:ascii="宋体"/>
          <w:szCs w:val="21"/>
          <w:highlight w:val="none"/>
        </w:rPr>
        <w:t xml:space="preserve">               项目编号：见投标人须知前附表。</w:t>
      </w:r>
    </w:p>
    <w:p w14:paraId="64244D83">
      <w:pPr>
        <w:snapToGrid w:val="0"/>
        <w:spacing w:line="440" w:lineRule="exact"/>
        <w:ind w:firstLine="420" w:firstLineChars="200"/>
        <w:rPr>
          <w:rFonts w:ascii="宋体"/>
          <w:szCs w:val="21"/>
          <w:highlight w:val="none"/>
          <w:u w:val="single"/>
        </w:rPr>
      </w:pPr>
      <w:r>
        <w:rPr>
          <w:rFonts w:hint="eastAsia" w:ascii="宋体"/>
          <w:szCs w:val="21"/>
          <w:highlight w:val="none"/>
        </w:rPr>
        <w:t xml:space="preserve">                 招标人：见投标人须知前附表。</w:t>
      </w:r>
    </w:p>
    <w:p w14:paraId="35FF4109">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供货期（服务周期）：见投标人须知前附表。</w:t>
      </w:r>
    </w:p>
    <w:p w14:paraId="3DAACE7C">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供货地点：见投标人须知前附表。</w:t>
      </w:r>
    </w:p>
    <w:p w14:paraId="74DA1B57">
      <w:pPr>
        <w:snapToGrid w:val="0"/>
        <w:spacing w:line="440" w:lineRule="exact"/>
        <w:ind w:firstLine="420" w:firstLineChars="200"/>
        <w:rPr>
          <w:rFonts w:ascii="宋体"/>
          <w:szCs w:val="21"/>
          <w:highlight w:val="none"/>
          <w:u w:val="single"/>
        </w:rPr>
      </w:pPr>
      <w:r>
        <w:rPr>
          <w:rFonts w:hint="eastAsia" w:ascii="宋体"/>
          <w:szCs w:val="21"/>
          <w:highlight w:val="none"/>
        </w:rPr>
        <w:t>1.2招标人及联系人: 见投标人须知前附表。</w:t>
      </w:r>
    </w:p>
    <w:p w14:paraId="696529D3">
      <w:pPr>
        <w:snapToGrid w:val="0"/>
        <w:spacing w:line="440" w:lineRule="exact"/>
        <w:ind w:firstLine="525" w:firstLineChars="250"/>
        <w:rPr>
          <w:rFonts w:ascii="宋体"/>
          <w:szCs w:val="21"/>
          <w:highlight w:val="none"/>
          <w:u w:val="single"/>
        </w:rPr>
      </w:pPr>
      <w:r>
        <w:rPr>
          <w:rFonts w:hint="eastAsia" w:ascii="宋体"/>
          <w:szCs w:val="21"/>
          <w:highlight w:val="none"/>
        </w:rPr>
        <w:t xml:space="preserve"> 代理机构及联系人: 见投标人须知前附表。</w:t>
      </w:r>
    </w:p>
    <w:p w14:paraId="7E743620">
      <w:pPr>
        <w:snapToGrid w:val="0"/>
        <w:spacing w:line="440" w:lineRule="exact"/>
        <w:ind w:firstLine="420" w:firstLineChars="200"/>
        <w:rPr>
          <w:rFonts w:ascii="宋体"/>
          <w:szCs w:val="21"/>
          <w:highlight w:val="none"/>
        </w:rPr>
      </w:pPr>
      <w:r>
        <w:rPr>
          <w:rFonts w:hint="eastAsia" w:ascii="宋体"/>
          <w:szCs w:val="21"/>
          <w:highlight w:val="none"/>
        </w:rPr>
        <w:t>1.3资金来源：见投标人须知前附表。</w:t>
      </w:r>
    </w:p>
    <w:p w14:paraId="6CBDA09D">
      <w:pPr>
        <w:snapToGrid w:val="0"/>
        <w:spacing w:line="440" w:lineRule="exact"/>
        <w:ind w:firstLine="420" w:firstLineChars="200"/>
        <w:rPr>
          <w:rFonts w:ascii="宋体"/>
          <w:szCs w:val="21"/>
          <w:highlight w:val="none"/>
        </w:rPr>
      </w:pPr>
      <w:r>
        <w:rPr>
          <w:rFonts w:hint="eastAsia" w:ascii="宋体"/>
          <w:szCs w:val="21"/>
          <w:highlight w:val="none"/>
        </w:rPr>
        <w:t>1.4本项目预算：见投标人须知前附表。</w:t>
      </w:r>
    </w:p>
    <w:p w14:paraId="1129BA05">
      <w:pPr>
        <w:snapToGrid w:val="0"/>
        <w:spacing w:line="440" w:lineRule="exact"/>
        <w:ind w:firstLine="420" w:firstLineChars="200"/>
        <w:rPr>
          <w:rFonts w:ascii="宋体"/>
          <w:szCs w:val="21"/>
          <w:highlight w:val="none"/>
        </w:rPr>
      </w:pPr>
      <w:r>
        <w:rPr>
          <w:rFonts w:hint="eastAsia" w:ascii="宋体"/>
          <w:szCs w:val="21"/>
          <w:highlight w:val="none"/>
        </w:rPr>
        <w:t>1.5本项目控制价：见投标人须知前附表。</w:t>
      </w:r>
    </w:p>
    <w:p w14:paraId="027E28D9">
      <w:pPr>
        <w:snapToGrid w:val="0"/>
        <w:spacing w:line="440" w:lineRule="exact"/>
        <w:ind w:firstLine="420" w:firstLineChars="200"/>
        <w:rPr>
          <w:rFonts w:ascii="宋体"/>
          <w:b/>
          <w:szCs w:val="21"/>
          <w:highlight w:val="none"/>
        </w:rPr>
      </w:pPr>
      <w:r>
        <w:rPr>
          <w:rFonts w:hint="eastAsia" w:ascii="宋体"/>
          <w:b/>
          <w:szCs w:val="21"/>
          <w:highlight w:val="none"/>
        </w:rPr>
        <w:t>2.招标范围：</w:t>
      </w:r>
    </w:p>
    <w:p w14:paraId="62507F59">
      <w:pPr>
        <w:snapToGrid w:val="0"/>
        <w:spacing w:line="440" w:lineRule="exact"/>
        <w:ind w:firstLine="420" w:firstLineChars="200"/>
        <w:rPr>
          <w:rFonts w:ascii="宋体"/>
          <w:szCs w:val="21"/>
          <w:highlight w:val="none"/>
          <w:u w:val="single"/>
        </w:rPr>
      </w:pPr>
      <w:r>
        <w:rPr>
          <w:rFonts w:hint="eastAsia" w:ascii="宋体"/>
          <w:szCs w:val="21"/>
          <w:highlight w:val="none"/>
        </w:rPr>
        <w:t>2.1 采购内容：见投标人须知前附表。</w:t>
      </w:r>
    </w:p>
    <w:p w14:paraId="37D103AE">
      <w:pPr>
        <w:snapToGrid w:val="0"/>
        <w:spacing w:line="440" w:lineRule="exact"/>
        <w:ind w:firstLine="420" w:firstLineChars="200"/>
        <w:rPr>
          <w:rFonts w:ascii="宋体"/>
          <w:szCs w:val="21"/>
          <w:highlight w:val="none"/>
        </w:rPr>
      </w:pPr>
      <w:r>
        <w:rPr>
          <w:rFonts w:hint="eastAsia" w:ascii="宋体"/>
          <w:szCs w:val="21"/>
          <w:highlight w:val="none"/>
        </w:rPr>
        <w:t>2.2 技术要求：详见采购文件第四章采购内容及技术要求。</w:t>
      </w:r>
    </w:p>
    <w:p w14:paraId="553229A3">
      <w:pPr>
        <w:snapToGrid w:val="0"/>
        <w:spacing w:line="440" w:lineRule="exact"/>
        <w:ind w:firstLine="420" w:firstLineChars="200"/>
        <w:rPr>
          <w:rFonts w:ascii="宋体"/>
          <w:b/>
          <w:szCs w:val="21"/>
          <w:highlight w:val="none"/>
        </w:rPr>
      </w:pPr>
      <w:r>
        <w:rPr>
          <w:rFonts w:hint="eastAsia" w:ascii="宋体"/>
          <w:b/>
          <w:szCs w:val="21"/>
          <w:highlight w:val="none"/>
        </w:rPr>
        <w:t>3.标包划分：</w:t>
      </w:r>
    </w:p>
    <w:p w14:paraId="0F79DDE6">
      <w:pPr>
        <w:snapToGrid w:val="0"/>
        <w:spacing w:line="440" w:lineRule="exact"/>
        <w:ind w:firstLine="420" w:firstLineChars="200"/>
        <w:jc w:val="left"/>
        <w:rPr>
          <w:rFonts w:ascii="宋体"/>
          <w:szCs w:val="21"/>
          <w:highlight w:val="none"/>
        </w:rPr>
      </w:pPr>
      <w:r>
        <w:rPr>
          <w:rFonts w:hint="eastAsia" w:ascii="宋体"/>
          <w:szCs w:val="21"/>
          <w:highlight w:val="none"/>
        </w:rPr>
        <w:t>3.1本项目划分：</w:t>
      </w:r>
      <w:r>
        <w:rPr>
          <w:rFonts w:hint="eastAsia" w:ascii="宋体"/>
          <w:szCs w:val="21"/>
          <w:highlight w:val="none"/>
          <w:u w:val="single"/>
        </w:rPr>
        <w:t xml:space="preserve"> 1 </w:t>
      </w:r>
      <w:r>
        <w:rPr>
          <w:rFonts w:hint="eastAsia" w:ascii="宋体"/>
          <w:szCs w:val="21"/>
          <w:highlight w:val="none"/>
        </w:rPr>
        <w:t xml:space="preserve"> </w:t>
      </w:r>
      <w:r>
        <w:rPr>
          <w:rFonts w:hint="eastAsia"/>
          <w:szCs w:val="21"/>
          <w:highlight w:val="none"/>
        </w:rPr>
        <w:t>个标包</w:t>
      </w:r>
      <w:r>
        <w:rPr>
          <w:rFonts w:hint="eastAsia" w:ascii="宋体" w:hAnsi="宋体" w:cs="宋体"/>
          <w:kern w:val="0"/>
          <w:szCs w:val="21"/>
          <w:highlight w:val="none"/>
        </w:rPr>
        <w:t>。</w:t>
      </w:r>
    </w:p>
    <w:p w14:paraId="1BAD4300">
      <w:pPr>
        <w:snapToGrid w:val="0"/>
        <w:spacing w:line="440" w:lineRule="exact"/>
        <w:ind w:firstLine="420" w:firstLineChars="200"/>
        <w:rPr>
          <w:rFonts w:ascii="宋体"/>
          <w:b/>
          <w:szCs w:val="21"/>
          <w:highlight w:val="none"/>
        </w:rPr>
      </w:pPr>
      <w:r>
        <w:rPr>
          <w:rFonts w:hint="eastAsia" w:ascii="宋体"/>
          <w:b/>
          <w:szCs w:val="21"/>
          <w:highlight w:val="none"/>
        </w:rPr>
        <w:t>4.招标方式：</w:t>
      </w:r>
    </w:p>
    <w:p w14:paraId="52F8CB4E">
      <w:pPr>
        <w:snapToGrid w:val="0"/>
        <w:spacing w:line="440" w:lineRule="exact"/>
        <w:ind w:firstLine="420" w:firstLineChars="200"/>
        <w:rPr>
          <w:rFonts w:ascii="宋体"/>
          <w:szCs w:val="21"/>
          <w:highlight w:val="none"/>
        </w:rPr>
      </w:pPr>
      <w:r>
        <w:rPr>
          <w:rFonts w:hint="eastAsia" w:ascii="宋体"/>
          <w:szCs w:val="21"/>
          <w:highlight w:val="none"/>
        </w:rPr>
        <w:t>4.1本项目招标方式：见投标人须知前附表。</w:t>
      </w:r>
    </w:p>
    <w:p w14:paraId="2B5EB836">
      <w:pPr>
        <w:snapToGrid w:val="0"/>
        <w:spacing w:line="440" w:lineRule="exact"/>
        <w:ind w:firstLine="420" w:firstLineChars="200"/>
        <w:rPr>
          <w:rFonts w:ascii="宋体"/>
          <w:b/>
          <w:szCs w:val="21"/>
          <w:highlight w:val="none"/>
        </w:rPr>
      </w:pPr>
      <w:r>
        <w:rPr>
          <w:rFonts w:hint="eastAsia" w:ascii="宋体"/>
          <w:b/>
          <w:szCs w:val="21"/>
          <w:highlight w:val="none"/>
        </w:rPr>
        <w:t>5.计价方式：</w:t>
      </w:r>
    </w:p>
    <w:p w14:paraId="1EAB5988">
      <w:pPr>
        <w:snapToGrid w:val="0"/>
        <w:spacing w:line="440" w:lineRule="exact"/>
        <w:ind w:firstLine="420" w:firstLineChars="200"/>
        <w:rPr>
          <w:rFonts w:ascii="宋体"/>
          <w:szCs w:val="21"/>
          <w:highlight w:val="none"/>
        </w:rPr>
      </w:pPr>
      <w:r>
        <w:rPr>
          <w:rFonts w:hint="eastAsia" w:ascii="宋体"/>
          <w:szCs w:val="21"/>
          <w:highlight w:val="none"/>
        </w:rPr>
        <w:t>5.1本次招标项目合同采用</w:t>
      </w:r>
      <w:r>
        <w:rPr>
          <w:rFonts w:hint="eastAsia" w:ascii="宋体"/>
          <w:szCs w:val="21"/>
          <w:highlight w:val="none"/>
          <w:u w:val="single"/>
        </w:rPr>
        <w:t xml:space="preserve">   固定</w:t>
      </w:r>
      <w:r>
        <w:rPr>
          <w:rFonts w:hint="eastAsia" w:ascii="宋体"/>
          <w:szCs w:val="21"/>
          <w:highlight w:val="none"/>
          <w:u w:val="single"/>
          <w:lang w:eastAsia="zh-CN"/>
        </w:rPr>
        <w:t>总价</w:t>
      </w:r>
      <w:r>
        <w:rPr>
          <w:rFonts w:hint="eastAsia" w:ascii="宋体"/>
          <w:szCs w:val="21"/>
          <w:highlight w:val="none"/>
          <w:u w:val="single"/>
        </w:rPr>
        <w:t xml:space="preserve"> 。</w:t>
      </w:r>
    </w:p>
    <w:p w14:paraId="615F6563">
      <w:pPr>
        <w:snapToGrid w:val="0"/>
        <w:spacing w:line="440" w:lineRule="exact"/>
        <w:ind w:firstLine="420" w:firstLineChars="200"/>
        <w:rPr>
          <w:rFonts w:ascii="宋体"/>
          <w:b/>
          <w:szCs w:val="21"/>
          <w:highlight w:val="none"/>
        </w:rPr>
      </w:pPr>
      <w:r>
        <w:rPr>
          <w:rFonts w:hint="eastAsia" w:ascii="宋体"/>
          <w:b/>
          <w:szCs w:val="21"/>
          <w:highlight w:val="none"/>
        </w:rPr>
        <w:t>6.评标办法：</w:t>
      </w:r>
    </w:p>
    <w:p w14:paraId="6FAF0918">
      <w:pPr>
        <w:snapToGrid w:val="0"/>
        <w:spacing w:line="440" w:lineRule="exact"/>
        <w:ind w:firstLine="420" w:firstLineChars="200"/>
        <w:rPr>
          <w:rFonts w:ascii="宋体"/>
          <w:szCs w:val="21"/>
          <w:highlight w:val="none"/>
        </w:rPr>
      </w:pPr>
      <w:r>
        <w:rPr>
          <w:rFonts w:hint="eastAsia" w:ascii="宋体"/>
          <w:szCs w:val="21"/>
          <w:highlight w:val="none"/>
        </w:rPr>
        <w:t>6.1本次招标评标采用</w:t>
      </w:r>
      <w:r>
        <w:rPr>
          <w:rFonts w:hint="eastAsia" w:ascii="宋体"/>
          <w:szCs w:val="21"/>
          <w:highlight w:val="none"/>
          <w:u w:val="single"/>
        </w:rPr>
        <w:t xml:space="preserve">  符合磋商文件的综合评分法 </w:t>
      </w:r>
      <w:r>
        <w:rPr>
          <w:rFonts w:hint="eastAsia" w:ascii="宋体"/>
          <w:szCs w:val="21"/>
          <w:highlight w:val="none"/>
        </w:rPr>
        <w:t>（详见第三章评标办法）</w:t>
      </w:r>
    </w:p>
    <w:p w14:paraId="75BBA571">
      <w:pPr>
        <w:snapToGrid w:val="0"/>
        <w:spacing w:line="440" w:lineRule="exact"/>
        <w:ind w:firstLine="420" w:firstLineChars="200"/>
        <w:rPr>
          <w:rFonts w:ascii="宋体"/>
          <w:b/>
          <w:szCs w:val="21"/>
          <w:highlight w:val="none"/>
        </w:rPr>
      </w:pPr>
      <w:r>
        <w:rPr>
          <w:rFonts w:hint="eastAsia" w:ascii="宋体"/>
          <w:b/>
          <w:szCs w:val="21"/>
          <w:highlight w:val="none"/>
        </w:rPr>
        <w:t>7.投标人资格：</w:t>
      </w:r>
    </w:p>
    <w:p w14:paraId="7B865B98">
      <w:pPr>
        <w:snapToGrid w:val="0"/>
        <w:spacing w:line="440" w:lineRule="exact"/>
        <w:ind w:firstLine="420" w:firstLineChars="200"/>
        <w:rPr>
          <w:rFonts w:ascii="宋体"/>
          <w:szCs w:val="21"/>
          <w:highlight w:val="none"/>
        </w:rPr>
      </w:pPr>
      <w:r>
        <w:rPr>
          <w:rFonts w:hint="eastAsia" w:ascii="宋体"/>
          <w:szCs w:val="21"/>
          <w:highlight w:val="none"/>
        </w:rPr>
        <w:t>7.1参与采购活动的投标人必须是满足《中华人民共和国政府采购法》规定条件的法人、其他组织或者自然人：</w:t>
      </w:r>
    </w:p>
    <w:p w14:paraId="44E8DE1F">
      <w:pPr>
        <w:snapToGrid w:val="0"/>
        <w:spacing w:line="440" w:lineRule="exact"/>
        <w:ind w:firstLine="420" w:firstLineChars="200"/>
        <w:rPr>
          <w:rFonts w:ascii="宋体"/>
          <w:szCs w:val="21"/>
          <w:highlight w:val="none"/>
        </w:rPr>
      </w:pPr>
      <w:r>
        <w:rPr>
          <w:rFonts w:hint="eastAsia" w:ascii="宋体"/>
          <w:szCs w:val="21"/>
          <w:highlight w:val="none"/>
        </w:rPr>
        <w:t>7.2由于政府采购项目的差异性，投标人在参与具体政府采购项目活动时，应仔细阅读该项目的资质要求,具体见投标人须知前附表。</w:t>
      </w:r>
    </w:p>
    <w:p w14:paraId="70558735">
      <w:pPr>
        <w:snapToGrid w:val="0"/>
        <w:spacing w:line="440" w:lineRule="exact"/>
        <w:ind w:firstLine="420" w:firstLineChars="200"/>
        <w:rPr>
          <w:rFonts w:ascii="宋体"/>
          <w:szCs w:val="21"/>
          <w:highlight w:val="none"/>
        </w:rPr>
      </w:pPr>
      <w:r>
        <w:rPr>
          <w:rFonts w:hint="eastAsia" w:ascii="宋体"/>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729F7609">
      <w:pPr>
        <w:snapToGrid w:val="0"/>
        <w:spacing w:line="440" w:lineRule="exact"/>
        <w:ind w:firstLine="420" w:firstLineChars="200"/>
        <w:rPr>
          <w:rFonts w:ascii="宋体"/>
          <w:szCs w:val="21"/>
          <w:highlight w:val="none"/>
        </w:rPr>
      </w:pPr>
      <w:r>
        <w:rPr>
          <w:rFonts w:hint="eastAsia" w:ascii="宋体"/>
          <w:szCs w:val="21"/>
          <w:highlight w:val="none"/>
        </w:rPr>
        <w:t>7.4投标人必须确保自己在信息库中注册的信息真实、准确，并保证投标文件中的有关信息与库中的信息相一致。否则，投标人因此蒙受损失，招标人概不负责。</w:t>
      </w:r>
    </w:p>
    <w:p w14:paraId="14F66342">
      <w:pPr>
        <w:spacing w:line="440" w:lineRule="exact"/>
        <w:ind w:firstLine="420" w:firstLineChars="200"/>
        <w:rPr>
          <w:b/>
          <w:szCs w:val="21"/>
          <w:highlight w:val="none"/>
        </w:rPr>
      </w:pPr>
      <w:r>
        <w:rPr>
          <w:rFonts w:hint="eastAsia"/>
          <w:b/>
          <w:szCs w:val="21"/>
          <w:highlight w:val="none"/>
        </w:rPr>
        <w:t>8. 投标费用</w:t>
      </w:r>
    </w:p>
    <w:p w14:paraId="6D32EB3A">
      <w:pPr>
        <w:snapToGrid w:val="0"/>
        <w:spacing w:line="440" w:lineRule="exact"/>
        <w:ind w:firstLine="420" w:firstLineChars="200"/>
        <w:rPr>
          <w:rFonts w:ascii="宋体"/>
          <w:szCs w:val="21"/>
          <w:highlight w:val="none"/>
        </w:rPr>
      </w:pPr>
      <w:r>
        <w:rPr>
          <w:rFonts w:hint="eastAsia" w:ascii="宋体"/>
          <w:szCs w:val="21"/>
          <w:highlight w:val="none"/>
        </w:rPr>
        <w:t>8.1投标人准备和参加投标活动发生的费用自理。</w:t>
      </w:r>
    </w:p>
    <w:p w14:paraId="11D6F854">
      <w:pPr>
        <w:spacing w:line="440" w:lineRule="exact"/>
        <w:ind w:firstLine="420" w:firstLineChars="200"/>
        <w:rPr>
          <w:b/>
          <w:szCs w:val="21"/>
          <w:highlight w:val="none"/>
        </w:rPr>
      </w:pPr>
      <w:r>
        <w:rPr>
          <w:rFonts w:hint="eastAsia"/>
          <w:b/>
          <w:szCs w:val="21"/>
          <w:highlight w:val="none"/>
        </w:rPr>
        <w:t>9.</w:t>
      </w:r>
      <w:bookmarkStart w:id="28" w:name="_Toc296602429"/>
      <w:bookmarkStart w:id="29" w:name="_Toc152045539"/>
      <w:bookmarkStart w:id="30" w:name="_Toc247592876"/>
      <w:bookmarkStart w:id="31" w:name="_Toc247527563"/>
      <w:bookmarkStart w:id="32" w:name="_Toc144974507"/>
      <w:bookmarkStart w:id="33" w:name="_Toc247513962"/>
      <w:bookmarkStart w:id="34" w:name="_Toc152042315"/>
      <w:r>
        <w:rPr>
          <w:rFonts w:hint="eastAsia"/>
          <w:b/>
          <w:szCs w:val="21"/>
          <w:highlight w:val="none"/>
        </w:rPr>
        <w:t xml:space="preserve"> 踏勘现场</w:t>
      </w:r>
      <w:bookmarkEnd w:id="28"/>
      <w:bookmarkEnd w:id="29"/>
      <w:bookmarkEnd w:id="30"/>
      <w:bookmarkEnd w:id="31"/>
      <w:bookmarkEnd w:id="32"/>
      <w:bookmarkEnd w:id="33"/>
      <w:bookmarkEnd w:id="34"/>
    </w:p>
    <w:p w14:paraId="3FC6D61A">
      <w:pPr>
        <w:spacing w:line="440" w:lineRule="exact"/>
        <w:ind w:firstLine="409" w:firstLineChars="195"/>
        <w:rPr>
          <w:rFonts w:hint="eastAsia"/>
          <w:highlight w:val="none"/>
        </w:rPr>
      </w:pPr>
      <w:r>
        <w:rPr>
          <w:rFonts w:hint="eastAsia" w:ascii="宋体"/>
          <w:szCs w:val="21"/>
          <w:highlight w:val="none"/>
        </w:rPr>
        <w:t>9.1 投标人须知前附表规定组织踏勘现场的，招标人按投标人须知前附表规定的时间、地点组织投标人踏勘项目现场。如需踏勘现场，</w:t>
      </w:r>
      <w:r>
        <w:rPr>
          <w:rFonts w:hint="eastAsia"/>
          <w:highlight w:val="none"/>
        </w:rPr>
        <w:t>投标人自行踏勘现场的，可咨询本项目采购人或采购代理机构联系人。</w:t>
      </w:r>
    </w:p>
    <w:p w14:paraId="14148F48">
      <w:pPr>
        <w:spacing w:line="440" w:lineRule="exact"/>
        <w:ind w:firstLine="409" w:firstLineChars="195"/>
        <w:rPr>
          <w:rFonts w:ascii="宋体"/>
          <w:szCs w:val="21"/>
          <w:highlight w:val="none"/>
        </w:rPr>
      </w:pPr>
      <w:r>
        <w:rPr>
          <w:rFonts w:hint="eastAsia" w:ascii="宋体"/>
          <w:szCs w:val="21"/>
          <w:highlight w:val="none"/>
        </w:rPr>
        <w:t>9.2 投标人踏勘现场发生的费用自理。</w:t>
      </w:r>
    </w:p>
    <w:p w14:paraId="14C2E95B">
      <w:pPr>
        <w:spacing w:line="440" w:lineRule="exact"/>
        <w:ind w:firstLine="409" w:firstLineChars="195"/>
        <w:rPr>
          <w:rFonts w:ascii="宋体"/>
          <w:szCs w:val="21"/>
          <w:highlight w:val="none"/>
        </w:rPr>
      </w:pPr>
      <w:r>
        <w:rPr>
          <w:rFonts w:hint="eastAsia" w:ascii="宋体"/>
          <w:szCs w:val="21"/>
          <w:highlight w:val="none"/>
        </w:rPr>
        <w:t>9.3 除招标人的原因外，投标人自行负责在踏勘现场中所发生的人员伤亡和财产损失。</w:t>
      </w:r>
    </w:p>
    <w:p w14:paraId="4CC0B1A3">
      <w:pPr>
        <w:spacing w:line="440" w:lineRule="exact"/>
        <w:ind w:firstLine="409" w:firstLineChars="195"/>
        <w:rPr>
          <w:rFonts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bookmarkStart w:id="35" w:name="_Toc144974508"/>
      <w:bookmarkStart w:id="36" w:name="_Toc247527564"/>
      <w:bookmarkStart w:id="37" w:name="_Toc152045540"/>
      <w:bookmarkStart w:id="38" w:name="_Toc247513963"/>
      <w:bookmarkStart w:id="39" w:name="_Toc152042316"/>
      <w:bookmarkStart w:id="40" w:name="_Toc296602430"/>
      <w:bookmarkStart w:id="41" w:name="_Toc247592877"/>
    </w:p>
    <w:p w14:paraId="12E473B9">
      <w:pPr>
        <w:spacing w:line="440" w:lineRule="exact"/>
        <w:ind w:firstLine="420" w:firstLineChars="200"/>
        <w:rPr>
          <w:b/>
          <w:szCs w:val="21"/>
          <w:highlight w:val="none"/>
        </w:rPr>
      </w:pPr>
      <w:r>
        <w:rPr>
          <w:rFonts w:hint="eastAsia"/>
          <w:b/>
          <w:szCs w:val="21"/>
          <w:highlight w:val="none"/>
        </w:rPr>
        <w:t>10. 投标预备会</w:t>
      </w:r>
      <w:bookmarkEnd w:id="35"/>
      <w:bookmarkEnd w:id="36"/>
      <w:bookmarkEnd w:id="37"/>
      <w:bookmarkEnd w:id="38"/>
      <w:bookmarkEnd w:id="39"/>
      <w:bookmarkEnd w:id="40"/>
      <w:bookmarkEnd w:id="41"/>
    </w:p>
    <w:p w14:paraId="6C16F715">
      <w:pPr>
        <w:spacing w:line="440" w:lineRule="exact"/>
        <w:ind w:firstLine="409" w:firstLineChars="195"/>
        <w:rPr>
          <w:rFonts w:ascii="宋体"/>
          <w:szCs w:val="21"/>
          <w:highlight w:val="none"/>
        </w:rPr>
      </w:pPr>
      <w:r>
        <w:rPr>
          <w:rFonts w:hint="eastAsia" w:ascii="宋体"/>
          <w:szCs w:val="21"/>
          <w:highlight w:val="none"/>
        </w:rPr>
        <w:t>10.1投标人须知前附表规定召开投标预备会的，招标人按投标人须知前附表规定的时间和地点召开投标预备会，澄清投标人提出的问题。</w:t>
      </w:r>
    </w:p>
    <w:p w14:paraId="0C8B4217">
      <w:pPr>
        <w:spacing w:line="440" w:lineRule="exact"/>
        <w:ind w:firstLine="409" w:firstLineChars="195"/>
        <w:rPr>
          <w:rFonts w:ascii="宋体"/>
          <w:szCs w:val="21"/>
          <w:highlight w:val="none"/>
        </w:rPr>
      </w:pPr>
      <w:r>
        <w:rPr>
          <w:rFonts w:hint="eastAsia" w:ascii="宋体"/>
          <w:szCs w:val="21"/>
          <w:highlight w:val="none"/>
        </w:rPr>
        <w:t>10.2投标人应在投标人须知前附表规定的时间前，将提出的问题送达招标人，以便招标人澄清。</w:t>
      </w:r>
    </w:p>
    <w:p w14:paraId="2504A590">
      <w:pPr>
        <w:spacing w:line="440" w:lineRule="exact"/>
        <w:ind w:firstLine="409" w:firstLineChars="195"/>
        <w:rPr>
          <w:rFonts w:ascii="宋体"/>
          <w:szCs w:val="21"/>
          <w:highlight w:val="none"/>
        </w:rPr>
      </w:pPr>
      <w:r>
        <w:rPr>
          <w:rFonts w:hint="eastAsia" w:ascii="宋体"/>
          <w:szCs w:val="21"/>
          <w:highlight w:val="none"/>
        </w:rPr>
        <w:t>10.3招标人在投标人须知前附表规定的时间，将对投标人所提的问题进行澄清。该澄清内容为采购文件的组成部分。</w:t>
      </w:r>
    </w:p>
    <w:p w14:paraId="0269D22B">
      <w:pPr>
        <w:spacing w:line="440" w:lineRule="exact"/>
        <w:ind w:firstLine="420" w:firstLineChars="200"/>
        <w:rPr>
          <w:rFonts w:hint="eastAsia" w:eastAsia="宋体"/>
          <w:b/>
          <w:szCs w:val="21"/>
          <w:highlight w:val="none"/>
          <w:lang w:eastAsia="zh-CN"/>
        </w:rPr>
      </w:pPr>
      <w:r>
        <w:rPr>
          <w:rFonts w:hint="eastAsia"/>
          <w:b/>
          <w:szCs w:val="21"/>
          <w:highlight w:val="none"/>
        </w:rPr>
        <w:t>11. 联合投标</w:t>
      </w:r>
      <w:r>
        <w:rPr>
          <w:rFonts w:hint="eastAsia"/>
          <w:b/>
          <w:szCs w:val="21"/>
          <w:highlight w:val="none"/>
          <w:lang w:eastAsia="zh-CN"/>
        </w:rPr>
        <w:t>（本项目不接受</w:t>
      </w:r>
      <w:r>
        <w:rPr>
          <w:rFonts w:hint="eastAsia"/>
          <w:b/>
          <w:szCs w:val="21"/>
          <w:highlight w:val="none"/>
          <w:lang w:val="en-US" w:eastAsia="zh-CN"/>
        </w:rPr>
        <w:t>联合体</w:t>
      </w:r>
      <w:r>
        <w:rPr>
          <w:rFonts w:hint="eastAsia"/>
          <w:b/>
          <w:szCs w:val="21"/>
          <w:highlight w:val="none"/>
          <w:lang w:eastAsia="zh-CN"/>
        </w:rPr>
        <w:t>）</w:t>
      </w:r>
    </w:p>
    <w:p w14:paraId="6D2818C4">
      <w:pPr>
        <w:spacing w:line="440" w:lineRule="exact"/>
        <w:ind w:firstLine="409" w:firstLineChars="195"/>
        <w:rPr>
          <w:rFonts w:ascii="宋体"/>
          <w:szCs w:val="21"/>
          <w:highlight w:val="none"/>
        </w:rPr>
      </w:pPr>
      <w:r>
        <w:rPr>
          <w:rFonts w:hint="eastAsia" w:ascii="宋体"/>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8791A28">
      <w:pPr>
        <w:spacing w:line="400" w:lineRule="exact"/>
        <w:ind w:firstLine="409" w:firstLineChars="195"/>
        <w:rPr>
          <w:rFonts w:ascii="宋体"/>
          <w:szCs w:val="21"/>
          <w:highlight w:val="none"/>
        </w:rPr>
      </w:pPr>
      <w:r>
        <w:rPr>
          <w:rFonts w:hint="eastAsia" w:ascii="宋体"/>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04D762B">
      <w:pPr>
        <w:spacing w:line="400" w:lineRule="exact"/>
        <w:ind w:firstLine="411" w:firstLineChars="196"/>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3 联合体应当确定其中一个单位为投标的全权代表，负责参加投标的一切事务，并承担投标及履约中应承担的全部责任与义务。</w:t>
      </w:r>
    </w:p>
    <w:p w14:paraId="3F7C6BBF">
      <w:pPr>
        <w:pStyle w:val="10"/>
        <w:spacing w:after="0" w:line="400" w:lineRule="exact"/>
        <w:ind w:left="0" w:leftChars="0" w:firstLine="424" w:firstLineChars="202"/>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4 联合体各方应当共同与招标人签订采购合同，就采购合同约定的事项对招标人承担连带责任。</w:t>
      </w:r>
    </w:p>
    <w:p w14:paraId="58EE7804">
      <w:pPr>
        <w:spacing w:line="440" w:lineRule="exact"/>
        <w:ind w:firstLine="411" w:firstLineChars="196"/>
        <w:jc w:val="left"/>
        <w:rPr>
          <w:rFonts w:ascii="宋体"/>
          <w:b/>
          <w:szCs w:val="21"/>
          <w:highlight w:val="none"/>
        </w:rPr>
      </w:pPr>
      <w:r>
        <w:rPr>
          <w:rFonts w:hint="eastAsia" w:ascii="宋体"/>
          <w:b/>
          <w:szCs w:val="21"/>
          <w:highlight w:val="none"/>
        </w:rPr>
        <w:t>12.招标代理费</w:t>
      </w:r>
    </w:p>
    <w:p w14:paraId="18AA1451">
      <w:pPr>
        <w:spacing w:line="440" w:lineRule="exact"/>
        <w:ind w:left="210" w:leftChars="100" w:firstLine="315" w:firstLineChars="150"/>
        <w:jc w:val="left"/>
        <w:rPr>
          <w:rFonts w:ascii="宋体"/>
          <w:bCs/>
          <w:szCs w:val="21"/>
          <w:highlight w:val="none"/>
        </w:rPr>
      </w:pPr>
      <w:r>
        <w:rPr>
          <w:rFonts w:hint="eastAsia" w:ascii="宋体"/>
          <w:bCs/>
          <w:szCs w:val="21"/>
          <w:highlight w:val="none"/>
        </w:rPr>
        <w:t>12.1</w:t>
      </w:r>
      <w:r>
        <w:rPr>
          <w:rFonts w:hint="eastAsia" w:ascii="宋体"/>
          <w:szCs w:val="21"/>
          <w:highlight w:val="none"/>
        </w:rPr>
        <w:t>中标单位在领取本项目中标通知书时，按照规定由中标单位向招标代理机构支付本项目代理费。</w:t>
      </w:r>
    </w:p>
    <w:p w14:paraId="6F3A5F16">
      <w:pPr>
        <w:spacing w:line="440" w:lineRule="exact"/>
        <w:ind w:firstLine="420" w:firstLineChars="200"/>
        <w:rPr>
          <w:b/>
          <w:szCs w:val="21"/>
          <w:highlight w:val="none"/>
        </w:rPr>
      </w:pPr>
      <w:r>
        <w:rPr>
          <w:rFonts w:hint="eastAsia"/>
          <w:b/>
          <w:szCs w:val="21"/>
          <w:highlight w:val="none"/>
        </w:rPr>
        <w:t>13.投标人应注意的事项</w:t>
      </w:r>
    </w:p>
    <w:p w14:paraId="69670478">
      <w:pPr>
        <w:spacing w:line="440" w:lineRule="exact"/>
        <w:ind w:firstLine="420" w:firstLineChars="200"/>
        <w:rPr>
          <w:rFonts w:ascii="宋体"/>
          <w:bCs/>
          <w:szCs w:val="21"/>
          <w:highlight w:val="none"/>
        </w:rPr>
      </w:pPr>
      <w:r>
        <w:rPr>
          <w:rFonts w:hint="eastAsia" w:ascii="宋体" w:hAnsi="宋体"/>
          <w:szCs w:val="21"/>
          <w:highlight w:val="none"/>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59D4DD25">
      <w:pPr>
        <w:spacing w:line="440" w:lineRule="exact"/>
        <w:ind w:firstLine="420" w:firstLineChars="200"/>
        <w:rPr>
          <w:rFonts w:ascii="宋体"/>
          <w:bCs/>
          <w:szCs w:val="21"/>
          <w:highlight w:val="none"/>
        </w:rPr>
      </w:pPr>
      <w:r>
        <w:rPr>
          <w:rFonts w:hint="eastAsia" w:ascii="宋体"/>
          <w:bCs/>
          <w:szCs w:val="21"/>
          <w:highlight w:val="none"/>
        </w:rPr>
        <w:t>13.2 投标人对采购内容中规定的技术参数、规格等要求必须完全响应或优于采购文件中的要求。</w:t>
      </w:r>
    </w:p>
    <w:p w14:paraId="322A6C5F">
      <w:pPr>
        <w:spacing w:line="440" w:lineRule="exact"/>
        <w:ind w:firstLine="411" w:firstLineChars="196"/>
        <w:rPr>
          <w:rFonts w:ascii="宋体"/>
          <w:bCs/>
          <w:szCs w:val="21"/>
          <w:highlight w:val="none"/>
        </w:rPr>
      </w:pPr>
      <w:r>
        <w:rPr>
          <w:rFonts w:hint="eastAsia" w:ascii="宋体"/>
          <w:bCs/>
          <w:szCs w:val="21"/>
          <w:highlight w:val="none"/>
        </w:rPr>
        <w:t>13.3所有投标人的投标保证金都应在采购文件规定的投标保证金缴纳截止日期前缴纳。</w:t>
      </w:r>
    </w:p>
    <w:p w14:paraId="1975F30A">
      <w:pPr>
        <w:spacing w:line="440" w:lineRule="exact"/>
        <w:ind w:firstLine="411" w:firstLineChars="196"/>
        <w:rPr>
          <w:rFonts w:ascii="宋体"/>
          <w:bCs/>
          <w:szCs w:val="21"/>
          <w:highlight w:val="none"/>
        </w:rPr>
      </w:pPr>
      <w:r>
        <w:rPr>
          <w:rFonts w:hint="eastAsia" w:ascii="宋体"/>
          <w:bCs/>
          <w:szCs w:val="21"/>
          <w:highlight w:val="none"/>
        </w:rPr>
        <w:t>13.4</w:t>
      </w:r>
      <w:r>
        <w:rPr>
          <w:rFonts w:ascii="宋体"/>
          <w:bCs/>
          <w:szCs w:val="21"/>
          <w:highlight w:val="none"/>
        </w:rPr>
        <w:t>单位负责人为同一人或者存在直接控股、管理关系的不同供应商，不得参加同一合同项下的政府采购活动。</w:t>
      </w:r>
      <w:r>
        <w:rPr>
          <w:rFonts w:ascii="宋体" w:hAnsi="宋体" w:cs="宋体"/>
          <w:szCs w:val="21"/>
          <w:highlight w:val="none"/>
        </w:rPr>
        <w:t>为采购项目提供整体设计、规范编制或者项目管理、监理、检测等服务的供应商，不得再参加该采购项目的其他采购活动。</w:t>
      </w:r>
    </w:p>
    <w:p w14:paraId="7D3D05F4">
      <w:pPr>
        <w:snapToGrid w:val="0"/>
        <w:spacing w:line="440" w:lineRule="exact"/>
        <w:ind w:firstLine="420" w:firstLineChars="200"/>
        <w:rPr>
          <w:rFonts w:ascii="宋体"/>
          <w:szCs w:val="21"/>
          <w:highlight w:val="none"/>
        </w:rPr>
      </w:pPr>
      <w:r>
        <w:rPr>
          <w:rFonts w:hint="eastAsia" w:ascii="宋体"/>
          <w:bCs/>
          <w:szCs w:val="21"/>
          <w:highlight w:val="none"/>
        </w:rPr>
        <w:t>13.5本项目只接受</w:t>
      </w:r>
      <w:r>
        <w:rPr>
          <w:rFonts w:hint="eastAsia" w:ascii="宋体"/>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52DBABC1">
      <w:pPr>
        <w:wordWrap w:val="0"/>
        <w:spacing w:line="440" w:lineRule="exact"/>
        <w:ind w:firstLine="420" w:firstLineChars="200"/>
        <w:rPr>
          <w:rFonts w:ascii="宋体"/>
          <w:bCs/>
          <w:szCs w:val="21"/>
          <w:highlight w:val="none"/>
        </w:rPr>
      </w:pPr>
      <w:r>
        <w:rPr>
          <w:rFonts w:hint="eastAsia" w:ascii="宋体"/>
          <w:bCs/>
          <w:szCs w:val="21"/>
          <w:highlight w:val="none"/>
        </w:rPr>
        <w:t>13.6  投标人被视为充分熟悉本招标项目所在地的与履行合同有关的各种情况，包括但不限于：</w:t>
      </w:r>
    </w:p>
    <w:p w14:paraId="1B6BB453">
      <w:pPr>
        <w:spacing w:line="400" w:lineRule="exact"/>
        <w:ind w:firstLine="315" w:firstLineChars="150"/>
        <w:rPr>
          <w:rFonts w:ascii="宋体"/>
          <w:bCs/>
          <w:szCs w:val="21"/>
          <w:highlight w:val="none"/>
        </w:rPr>
      </w:pPr>
      <w:r>
        <w:rPr>
          <w:rFonts w:hint="eastAsia" w:ascii="宋体"/>
          <w:bCs/>
          <w:szCs w:val="21"/>
          <w:highlight w:val="none"/>
        </w:rPr>
        <w:t>（1）国家对本次投标货物和服务的生产、安装调试、验收、维修等有关法律、法规及行业管理标准；</w:t>
      </w:r>
    </w:p>
    <w:p w14:paraId="212A9C54">
      <w:pPr>
        <w:spacing w:line="400" w:lineRule="exact"/>
        <w:ind w:firstLine="315" w:firstLineChars="150"/>
        <w:rPr>
          <w:rFonts w:ascii="宋体"/>
          <w:bCs/>
          <w:szCs w:val="21"/>
          <w:highlight w:val="none"/>
        </w:rPr>
      </w:pPr>
      <w:r>
        <w:rPr>
          <w:rFonts w:hint="eastAsia" w:ascii="宋体"/>
          <w:bCs/>
          <w:szCs w:val="21"/>
          <w:highlight w:val="none"/>
        </w:rPr>
        <w:t>（2）本地区有关管理部门的相关规定；</w:t>
      </w:r>
    </w:p>
    <w:p w14:paraId="24164D4A">
      <w:pPr>
        <w:spacing w:line="400" w:lineRule="exact"/>
        <w:ind w:firstLine="315" w:firstLineChars="150"/>
        <w:rPr>
          <w:rFonts w:ascii="宋体"/>
          <w:bCs/>
          <w:szCs w:val="21"/>
          <w:highlight w:val="none"/>
        </w:rPr>
      </w:pPr>
      <w:r>
        <w:rPr>
          <w:rFonts w:hint="eastAsia" w:ascii="宋体"/>
          <w:bCs/>
          <w:szCs w:val="21"/>
          <w:highlight w:val="none"/>
        </w:rPr>
        <w:t>（3）招标人的相关场地情况、基础建设、电力供应情况及相关设计标准。</w:t>
      </w:r>
    </w:p>
    <w:p w14:paraId="616FB8F6">
      <w:pPr>
        <w:spacing w:line="400" w:lineRule="exact"/>
        <w:ind w:firstLine="315" w:firstLineChars="150"/>
        <w:rPr>
          <w:rFonts w:ascii="宋体"/>
          <w:bCs/>
          <w:szCs w:val="21"/>
          <w:highlight w:val="none"/>
        </w:rPr>
      </w:pPr>
      <w:r>
        <w:rPr>
          <w:rFonts w:hint="eastAsia" w:ascii="宋体"/>
          <w:bCs/>
          <w:szCs w:val="21"/>
          <w:highlight w:val="none"/>
        </w:rPr>
        <w:t>本采购文件不再对上述情况进行描述。</w:t>
      </w:r>
    </w:p>
    <w:p w14:paraId="5C38CE33">
      <w:pPr>
        <w:spacing w:before="312" w:beforeLines="100" w:after="312" w:afterLines="100" w:line="440" w:lineRule="exact"/>
        <w:jc w:val="center"/>
        <w:outlineLvl w:val="2"/>
        <w:rPr>
          <w:rFonts w:ascii="宋体"/>
          <w:b/>
          <w:sz w:val="28"/>
          <w:szCs w:val="28"/>
          <w:highlight w:val="none"/>
        </w:rPr>
      </w:pPr>
      <w:bookmarkStart w:id="42" w:name="_Toc469495725"/>
      <w:bookmarkStart w:id="43" w:name="_Toc13107"/>
      <w:r>
        <w:rPr>
          <w:rFonts w:hint="eastAsia" w:ascii="宋体"/>
          <w:b/>
          <w:sz w:val="28"/>
          <w:szCs w:val="28"/>
          <w:highlight w:val="none"/>
          <w:lang w:eastAsia="zh-CN"/>
        </w:rPr>
        <w:t>（</w:t>
      </w:r>
      <w:r>
        <w:rPr>
          <w:rFonts w:hint="eastAsia" w:ascii="宋体"/>
          <w:b/>
          <w:sz w:val="28"/>
          <w:szCs w:val="28"/>
          <w:highlight w:val="none"/>
        </w:rPr>
        <w:t>二）</w:t>
      </w:r>
      <w:bookmarkEnd w:id="42"/>
      <w:r>
        <w:rPr>
          <w:rFonts w:hint="eastAsia" w:ascii="宋体"/>
          <w:b/>
          <w:sz w:val="28"/>
          <w:szCs w:val="28"/>
          <w:highlight w:val="none"/>
        </w:rPr>
        <w:t>磋商文件</w:t>
      </w:r>
      <w:bookmarkEnd w:id="43"/>
    </w:p>
    <w:p w14:paraId="704E0839">
      <w:pPr>
        <w:spacing w:line="440" w:lineRule="exact"/>
        <w:ind w:firstLine="420" w:firstLineChars="200"/>
        <w:rPr>
          <w:b/>
          <w:szCs w:val="21"/>
          <w:highlight w:val="none"/>
        </w:rPr>
      </w:pPr>
      <w:r>
        <w:rPr>
          <w:rFonts w:hint="eastAsia"/>
          <w:b/>
          <w:szCs w:val="21"/>
          <w:highlight w:val="none"/>
        </w:rPr>
        <w:t>15. 采购文件的编制依据</w:t>
      </w:r>
    </w:p>
    <w:p w14:paraId="10A4392D">
      <w:pPr>
        <w:spacing w:line="440" w:lineRule="exact"/>
        <w:ind w:firstLine="420" w:firstLineChars="200"/>
        <w:rPr>
          <w:rFonts w:ascii="宋体"/>
          <w:szCs w:val="21"/>
          <w:highlight w:val="none"/>
        </w:rPr>
      </w:pPr>
      <w:r>
        <w:rPr>
          <w:rFonts w:hint="eastAsia" w:ascii="宋体"/>
          <w:szCs w:val="21"/>
          <w:highlight w:val="none"/>
        </w:rPr>
        <w:t>根据《中华人民共和国政府采购法》、《政府采购货物和服务招标投标管理办法》和《中华人民共和国合同法》</w:t>
      </w:r>
      <w:r>
        <w:rPr>
          <w:rFonts w:hint="eastAsia" w:ascii="宋体"/>
          <w:spacing w:val="-2"/>
          <w:szCs w:val="21"/>
          <w:highlight w:val="none"/>
        </w:rPr>
        <w:t>等相关法律法规和规章及部、省、市级规范性文件的规定，编制本采购文件。</w:t>
      </w:r>
    </w:p>
    <w:p w14:paraId="1B1386C7">
      <w:pPr>
        <w:spacing w:line="440" w:lineRule="exact"/>
        <w:ind w:firstLine="420" w:firstLineChars="200"/>
        <w:rPr>
          <w:b/>
          <w:szCs w:val="21"/>
          <w:highlight w:val="none"/>
        </w:rPr>
      </w:pPr>
      <w:r>
        <w:rPr>
          <w:rFonts w:hint="eastAsia"/>
          <w:b/>
          <w:szCs w:val="21"/>
          <w:highlight w:val="none"/>
        </w:rPr>
        <w:t>16. 磋商文件的组成</w:t>
      </w:r>
    </w:p>
    <w:p w14:paraId="75E18558">
      <w:pPr>
        <w:spacing w:line="440" w:lineRule="exact"/>
        <w:ind w:firstLine="420" w:firstLineChars="200"/>
        <w:rPr>
          <w:rFonts w:ascii="宋体"/>
          <w:szCs w:val="21"/>
          <w:highlight w:val="none"/>
        </w:rPr>
      </w:pPr>
      <w:r>
        <w:rPr>
          <w:rFonts w:hint="eastAsia" w:ascii="宋体"/>
          <w:szCs w:val="21"/>
          <w:highlight w:val="none"/>
        </w:rPr>
        <w:t>16.1 磋商文件包括内容：</w:t>
      </w:r>
    </w:p>
    <w:p w14:paraId="6733D019">
      <w:pPr>
        <w:spacing w:line="440" w:lineRule="exact"/>
        <w:ind w:firstLine="1470" w:firstLineChars="700"/>
        <w:rPr>
          <w:rFonts w:ascii="宋体"/>
          <w:szCs w:val="21"/>
          <w:highlight w:val="none"/>
        </w:rPr>
      </w:pPr>
      <w:r>
        <w:rPr>
          <w:rFonts w:hint="eastAsia" w:ascii="宋体"/>
          <w:szCs w:val="21"/>
          <w:highlight w:val="none"/>
        </w:rPr>
        <w:t xml:space="preserve">第一章  </w:t>
      </w:r>
      <w:r>
        <w:rPr>
          <w:rFonts w:hint="eastAsia"/>
          <w:bCs/>
          <w:szCs w:val="21"/>
          <w:highlight w:val="none"/>
        </w:rPr>
        <w:t>磋商</w:t>
      </w:r>
      <w:r>
        <w:rPr>
          <w:rFonts w:hint="eastAsia" w:ascii="宋体"/>
          <w:szCs w:val="21"/>
          <w:highlight w:val="none"/>
        </w:rPr>
        <w:t>公告</w:t>
      </w:r>
    </w:p>
    <w:p w14:paraId="0492A52D">
      <w:pPr>
        <w:spacing w:line="440" w:lineRule="exact"/>
        <w:ind w:firstLine="1470" w:firstLineChars="700"/>
        <w:rPr>
          <w:rFonts w:ascii="宋体"/>
          <w:szCs w:val="21"/>
          <w:highlight w:val="none"/>
        </w:rPr>
      </w:pPr>
      <w:r>
        <w:rPr>
          <w:rFonts w:hint="eastAsia" w:ascii="宋体"/>
          <w:szCs w:val="21"/>
          <w:highlight w:val="none"/>
        </w:rPr>
        <w:t>第二章  投标须知</w:t>
      </w:r>
    </w:p>
    <w:p w14:paraId="07AD9DFE">
      <w:pPr>
        <w:spacing w:line="440" w:lineRule="exact"/>
        <w:ind w:firstLine="1470" w:firstLineChars="700"/>
        <w:rPr>
          <w:rFonts w:ascii="宋体"/>
          <w:szCs w:val="21"/>
          <w:highlight w:val="none"/>
        </w:rPr>
      </w:pPr>
      <w:r>
        <w:rPr>
          <w:rFonts w:hint="eastAsia" w:ascii="宋体"/>
          <w:szCs w:val="21"/>
          <w:highlight w:val="none"/>
        </w:rPr>
        <w:t>第三章  评标办法</w:t>
      </w:r>
    </w:p>
    <w:p w14:paraId="13BFF33E">
      <w:pPr>
        <w:spacing w:line="440" w:lineRule="exact"/>
        <w:ind w:firstLine="1470" w:firstLineChars="700"/>
        <w:rPr>
          <w:rFonts w:ascii="宋体"/>
          <w:szCs w:val="21"/>
          <w:highlight w:val="none"/>
        </w:rPr>
      </w:pPr>
      <w:r>
        <w:rPr>
          <w:rFonts w:hint="eastAsia" w:ascii="宋体"/>
          <w:szCs w:val="21"/>
          <w:highlight w:val="none"/>
        </w:rPr>
        <w:t>第四章  采购内容及技术要求</w:t>
      </w:r>
    </w:p>
    <w:p w14:paraId="5363F97B">
      <w:pPr>
        <w:spacing w:line="440" w:lineRule="exact"/>
        <w:ind w:firstLine="1470" w:firstLineChars="700"/>
        <w:rPr>
          <w:rFonts w:ascii="宋体"/>
          <w:szCs w:val="21"/>
          <w:highlight w:val="none"/>
        </w:rPr>
      </w:pPr>
      <w:r>
        <w:rPr>
          <w:rFonts w:hint="eastAsia" w:ascii="宋体"/>
          <w:szCs w:val="21"/>
          <w:highlight w:val="none"/>
        </w:rPr>
        <w:t>第五章  合同条款及格式</w:t>
      </w:r>
    </w:p>
    <w:p w14:paraId="2F35CF83">
      <w:pPr>
        <w:spacing w:line="440" w:lineRule="exact"/>
        <w:ind w:firstLine="1470" w:firstLineChars="700"/>
        <w:rPr>
          <w:rFonts w:ascii="宋体"/>
          <w:szCs w:val="21"/>
          <w:highlight w:val="none"/>
        </w:rPr>
      </w:pPr>
      <w:r>
        <w:rPr>
          <w:rFonts w:hint="eastAsia" w:ascii="宋体"/>
          <w:szCs w:val="21"/>
          <w:highlight w:val="none"/>
        </w:rPr>
        <w:t>第六章  投标文件格式文本</w:t>
      </w:r>
    </w:p>
    <w:p w14:paraId="16C04F29">
      <w:pPr>
        <w:spacing w:line="440" w:lineRule="exact"/>
        <w:rPr>
          <w:rFonts w:ascii="宋体"/>
          <w:szCs w:val="21"/>
          <w:highlight w:val="none"/>
        </w:rPr>
      </w:pPr>
      <w:r>
        <w:rPr>
          <w:rFonts w:hint="eastAsia" w:ascii="宋体"/>
          <w:szCs w:val="21"/>
          <w:highlight w:val="none"/>
        </w:rPr>
        <w:t xml:space="preserve">   16.2 除16.1内容外，招标答疑亦为采购文件的组成部分，对招标人和投标人起约束作用。</w:t>
      </w:r>
    </w:p>
    <w:p w14:paraId="5ED04720">
      <w:pPr>
        <w:pStyle w:val="12"/>
        <w:wordWrap w:val="0"/>
        <w:spacing w:line="400" w:lineRule="exact"/>
        <w:rPr>
          <w:color w:val="auto"/>
          <w:szCs w:val="21"/>
          <w:highlight w:val="none"/>
        </w:rPr>
      </w:pPr>
      <w:r>
        <w:rPr>
          <w:rFonts w:hint="eastAsia"/>
          <w:color w:val="auto"/>
          <w:szCs w:val="21"/>
          <w:highlight w:val="none"/>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7A7A53EB">
      <w:pPr>
        <w:wordWrap w:val="0"/>
        <w:spacing w:line="440" w:lineRule="exact"/>
        <w:rPr>
          <w:rFonts w:ascii="宋体"/>
          <w:szCs w:val="21"/>
          <w:highlight w:val="none"/>
        </w:rPr>
      </w:pPr>
      <w:r>
        <w:rPr>
          <w:rFonts w:hint="eastAsia" w:ascii="宋体"/>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0A55C5DD">
      <w:pPr>
        <w:spacing w:line="440" w:lineRule="exact"/>
        <w:ind w:firstLine="420" w:firstLineChars="200"/>
        <w:rPr>
          <w:rFonts w:ascii="宋体"/>
          <w:b/>
          <w:bCs/>
          <w:szCs w:val="21"/>
          <w:highlight w:val="none"/>
        </w:rPr>
      </w:pPr>
      <w:r>
        <w:rPr>
          <w:rFonts w:hint="eastAsia" w:ascii="宋体"/>
          <w:b/>
          <w:bCs/>
          <w:szCs w:val="21"/>
          <w:highlight w:val="none"/>
        </w:rPr>
        <w:t>17. 磋商文件的修改、补充、解释</w:t>
      </w:r>
    </w:p>
    <w:p w14:paraId="0C1D6A67">
      <w:pPr>
        <w:wordWrap w:val="0"/>
        <w:spacing w:line="400" w:lineRule="exact"/>
        <w:ind w:firstLine="315" w:firstLineChars="150"/>
        <w:rPr>
          <w:rFonts w:ascii="宋体" w:hAnsi="宋体"/>
          <w:szCs w:val="21"/>
          <w:highlight w:val="none"/>
        </w:rPr>
      </w:pPr>
      <w:r>
        <w:rPr>
          <w:rFonts w:hint="eastAsia" w:ascii="宋体" w:hAnsi="宋体"/>
          <w:szCs w:val="21"/>
          <w:highlight w:val="none"/>
        </w:rPr>
        <w:t>17.1磋商文件发出后，招标人在规定的投标截止时间前可对采购文件进行必要的修改和补充，并以更正公告形式在政采云平台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2400A808">
      <w:pPr>
        <w:wordWrap w:val="0"/>
        <w:spacing w:line="400" w:lineRule="exact"/>
        <w:ind w:firstLine="315" w:firstLineChars="150"/>
        <w:rPr>
          <w:rFonts w:ascii="宋体" w:hAnsi="宋体"/>
          <w:szCs w:val="21"/>
          <w:highlight w:val="none"/>
        </w:rPr>
      </w:pPr>
      <w:r>
        <w:rPr>
          <w:rFonts w:hint="eastAsia" w:ascii="宋体" w:hAnsi="宋体"/>
          <w:szCs w:val="21"/>
          <w:highlight w:val="none"/>
        </w:rPr>
        <w:t xml:space="preserve">17.2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宋体" w:hAnsi="宋体"/>
          <w:bCs/>
          <w:szCs w:val="21"/>
          <w:highlight w:val="none"/>
        </w:rPr>
        <w:t xml:space="preserve">17.3 </w:t>
      </w:r>
      <w:r>
        <w:rPr>
          <w:rFonts w:hint="eastAsia" w:ascii="宋体" w:hAnsi="宋体"/>
          <w:szCs w:val="21"/>
          <w:highlight w:val="none"/>
        </w:rPr>
        <w:t>供应商在规定的时间内未对采购文件提出疑问、质疑或要求澄清的，将视其为无异议。</w:t>
      </w:r>
    </w:p>
    <w:p w14:paraId="0B6E5BBD">
      <w:pPr>
        <w:spacing w:line="400" w:lineRule="exact"/>
        <w:ind w:firstLine="420" w:firstLineChars="200"/>
        <w:rPr>
          <w:rFonts w:ascii="宋体" w:hAnsi="宋体"/>
          <w:bCs/>
          <w:szCs w:val="21"/>
          <w:highlight w:val="none"/>
        </w:rPr>
      </w:pPr>
      <w:r>
        <w:rPr>
          <w:rFonts w:hint="eastAsia" w:ascii="宋体" w:hAnsi="宋体"/>
          <w:bCs/>
          <w:szCs w:val="21"/>
          <w:highlight w:val="none"/>
        </w:rPr>
        <w:t xml:space="preserve">17.4 磋商文件的解释 </w:t>
      </w:r>
    </w:p>
    <w:p w14:paraId="47E6DB71">
      <w:pPr>
        <w:spacing w:line="400" w:lineRule="exact"/>
        <w:ind w:firstLine="420" w:firstLineChars="200"/>
        <w:rPr>
          <w:rFonts w:ascii="宋体" w:hAnsi="宋体"/>
          <w:szCs w:val="21"/>
          <w:highlight w:val="none"/>
        </w:rPr>
      </w:pPr>
      <w:r>
        <w:rPr>
          <w:rFonts w:hint="eastAsia" w:ascii="宋体" w:hAnsi="宋体"/>
          <w:szCs w:val="21"/>
          <w:highlight w:val="none"/>
        </w:rPr>
        <w:t>本磋商文件由招标人（或其委托的招标代理机构）负责解释。</w:t>
      </w:r>
    </w:p>
    <w:p w14:paraId="73A516A3">
      <w:pPr>
        <w:spacing w:line="400" w:lineRule="exact"/>
        <w:rPr>
          <w:rFonts w:ascii="宋体" w:hAnsi="宋体"/>
          <w:b/>
          <w:szCs w:val="21"/>
          <w:highlight w:val="none"/>
        </w:rPr>
      </w:pPr>
      <w:r>
        <w:rPr>
          <w:rFonts w:hint="eastAsia" w:ascii="宋体" w:hAnsi="宋体" w:cs="宋体"/>
          <w:b/>
          <w:szCs w:val="21"/>
          <w:highlight w:val="none"/>
        </w:rPr>
        <w:t xml:space="preserve">   </w:t>
      </w:r>
      <w:r>
        <w:rPr>
          <w:rFonts w:hint="eastAsia"/>
          <w:b/>
          <w:szCs w:val="21"/>
          <w:highlight w:val="none"/>
        </w:rPr>
        <w:t xml:space="preserve">18. </w:t>
      </w:r>
      <w:r>
        <w:rPr>
          <w:rFonts w:hint="eastAsia" w:ascii="宋体" w:hAnsi="宋体"/>
          <w:b/>
          <w:szCs w:val="21"/>
          <w:highlight w:val="none"/>
        </w:rPr>
        <w:t>磋商文件的发出</w:t>
      </w:r>
    </w:p>
    <w:p w14:paraId="065C21E4">
      <w:pPr>
        <w:spacing w:line="400" w:lineRule="exact"/>
        <w:ind w:firstLine="315" w:firstLineChars="150"/>
        <w:rPr>
          <w:rFonts w:ascii="宋体" w:hAnsi="宋体"/>
          <w:szCs w:val="21"/>
          <w:highlight w:val="none"/>
        </w:rPr>
      </w:pPr>
      <w:r>
        <w:rPr>
          <w:rFonts w:hint="eastAsia" w:ascii="宋体" w:hAnsi="宋体"/>
          <w:szCs w:val="21"/>
          <w:highlight w:val="none"/>
        </w:rPr>
        <w:t>18.1  磋商文件、磋商文件的澄清、修改、补充及招标答疑等均应报相关部门备案后，方可发出。</w:t>
      </w:r>
    </w:p>
    <w:p w14:paraId="1FC3C181">
      <w:pPr>
        <w:spacing w:line="400" w:lineRule="exact"/>
        <w:ind w:firstLine="420"/>
        <w:rPr>
          <w:rFonts w:ascii="宋体"/>
          <w:szCs w:val="21"/>
          <w:highlight w:val="none"/>
        </w:rPr>
      </w:pPr>
      <w:bookmarkStart w:id="44" w:name="_Toc469495726"/>
      <w:r>
        <w:rPr>
          <w:rFonts w:hint="eastAsia"/>
          <w:b/>
          <w:szCs w:val="21"/>
          <w:highlight w:val="none"/>
        </w:rPr>
        <w:t xml:space="preserve">19. </w:t>
      </w:r>
      <w:r>
        <w:rPr>
          <w:rFonts w:hint="eastAsia" w:ascii="宋体"/>
          <w:szCs w:val="21"/>
          <w:highlight w:val="none"/>
        </w:rPr>
        <w:t>凡需要设置样品情形时，必须明确是否需要随样品提交检测报告，并明确检测机构的要求、检测内容、中标样品封存等事项。</w:t>
      </w:r>
    </w:p>
    <w:p w14:paraId="7573386E">
      <w:pPr>
        <w:spacing w:before="312" w:beforeLines="100" w:after="312" w:afterLines="100" w:line="440" w:lineRule="exact"/>
        <w:jc w:val="center"/>
        <w:outlineLvl w:val="2"/>
        <w:rPr>
          <w:rFonts w:ascii="宋体"/>
          <w:b/>
          <w:sz w:val="28"/>
          <w:szCs w:val="28"/>
          <w:highlight w:val="none"/>
        </w:rPr>
      </w:pPr>
      <w:bookmarkStart w:id="45" w:name="_Toc31024"/>
      <w:r>
        <w:rPr>
          <w:rFonts w:hint="eastAsia" w:ascii="宋体"/>
          <w:b/>
          <w:sz w:val="28"/>
          <w:szCs w:val="28"/>
          <w:highlight w:val="none"/>
        </w:rPr>
        <w:t>（三）响应文件的编制</w:t>
      </w:r>
      <w:bookmarkEnd w:id="44"/>
      <w:bookmarkEnd w:id="45"/>
    </w:p>
    <w:p w14:paraId="6DBE2FA1">
      <w:pPr>
        <w:spacing w:line="440" w:lineRule="exact"/>
        <w:ind w:firstLine="304" w:firstLineChars="145"/>
        <w:rPr>
          <w:rFonts w:ascii="宋体" w:cs="宋体"/>
          <w:b/>
          <w:szCs w:val="21"/>
          <w:highlight w:val="none"/>
        </w:rPr>
      </w:pPr>
      <w:r>
        <w:rPr>
          <w:rFonts w:hint="eastAsia"/>
          <w:b/>
          <w:szCs w:val="21"/>
          <w:highlight w:val="none"/>
        </w:rPr>
        <w:t xml:space="preserve">20. </w:t>
      </w:r>
      <w:r>
        <w:rPr>
          <w:rFonts w:hint="eastAsia" w:ascii="宋体" w:cs="宋体"/>
          <w:b/>
          <w:szCs w:val="21"/>
          <w:highlight w:val="none"/>
        </w:rPr>
        <w:t>投标的语言及度量衡单位</w:t>
      </w:r>
    </w:p>
    <w:p w14:paraId="78C25529">
      <w:pPr>
        <w:spacing w:line="440" w:lineRule="exact"/>
        <w:ind w:firstLine="283" w:firstLineChars="135"/>
        <w:rPr>
          <w:rFonts w:ascii="宋体"/>
          <w:szCs w:val="21"/>
          <w:highlight w:val="none"/>
        </w:rPr>
      </w:pPr>
      <w:r>
        <w:rPr>
          <w:rFonts w:hint="eastAsia" w:ascii="宋体"/>
          <w:szCs w:val="21"/>
          <w:highlight w:val="none"/>
        </w:rPr>
        <w:t>20.1</w:t>
      </w:r>
      <w:r>
        <w:rPr>
          <w:rFonts w:ascii="宋体" w:hAnsi="宋体"/>
          <w:szCs w:val="21"/>
          <w:highlight w:val="none"/>
        </w:rPr>
        <w:t>投标人</w:t>
      </w:r>
      <w:r>
        <w:rPr>
          <w:rFonts w:hint="eastAsia" w:ascii="宋体" w:hAnsi="宋体"/>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F2A2247">
      <w:pPr>
        <w:spacing w:line="440" w:lineRule="exact"/>
        <w:ind w:firstLine="283" w:firstLineChars="135"/>
        <w:rPr>
          <w:rFonts w:ascii="宋体"/>
          <w:szCs w:val="21"/>
          <w:highlight w:val="none"/>
        </w:rPr>
      </w:pPr>
      <w:r>
        <w:rPr>
          <w:rFonts w:hint="eastAsia" w:ascii="宋体"/>
          <w:szCs w:val="21"/>
          <w:highlight w:val="none"/>
        </w:rPr>
        <w:t xml:space="preserve"> 20.2除采购文件中另有规定外，投标书所使用的度量衡均须采用法定计量单位。</w:t>
      </w:r>
    </w:p>
    <w:p w14:paraId="55A9A8D8">
      <w:pPr>
        <w:spacing w:line="400" w:lineRule="exact"/>
        <w:ind w:firstLine="205" w:firstLineChars="98"/>
        <w:rPr>
          <w:rFonts w:ascii="宋体" w:hAnsi="宋体"/>
          <w:b/>
          <w:szCs w:val="21"/>
          <w:highlight w:val="none"/>
        </w:rPr>
      </w:pPr>
      <w:r>
        <w:rPr>
          <w:rFonts w:hint="eastAsia"/>
          <w:b/>
          <w:szCs w:val="21"/>
          <w:highlight w:val="none"/>
        </w:rPr>
        <w:t>21. 响应</w:t>
      </w:r>
      <w:r>
        <w:rPr>
          <w:rFonts w:hint="eastAsia" w:ascii="宋体" w:hAnsi="宋体"/>
          <w:b/>
          <w:szCs w:val="21"/>
          <w:highlight w:val="none"/>
        </w:rPr>
        <w:t>文件的组成</w:t>
      </w:r>
    </w:p>
    <w:p w14:paraId="2E740A90">
      <w:pPr>
        <w:spacing w:line="400" w:lineRule="exact"/>
        <w:ind w:firstLine="417" w:firstLineChars="199"/>
        <w:rPr>
          <w:rFonts w:hint="eastAsia" w:ascii="宋体" w:hAnsi="宋体"/>
          <w:b/>
          <w:bCs/>
          <w:szCs w:val="21"/>
          <w:highlight w:val="none"/>
        </w:rPr>
      </w:pPr>
      <w:r>
        <w:rPr>
          <w:rFonts w:hint="eastAsia" w:ascii="宋体" w:hAnsi="宋体"/>
          <w:b/>
          <w:bCs/>
          <w:szCs w:val="21"/>
          <w:highlight w:val="none"/>
        </w:rPr>
        <w:t>商务部分</w:t>
      </w:r>
    </w:p>
    <w:p w14:paraId="744C0CFE">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一、</w:t>
      </w:r>
      <w:r>
        <w:rPr>
          <w:rFonts w:hint="eastAsia" w:ascii="宋体" w:hAnsi="宋体"/>
          <w:szCs w:val="21"/>
          <w:highlight w:val="none"/>
        </w:rPr>
        <w:t>投标函；</w:t>
      </w:r>
    </w:p>
    <w:p w14:paraId="339B426B">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二、</w:t>
      </w:r>
      <w:r>
        <w:rPr>
          <w:rFonts w:hint="eastAsia" w:ascii="宋体" w:hAnsi="宋体"/>
          <w:szCs w:val="21"/>
          <w:highlight w:val="none"/>
        </w:rPr>
        <w:t xml:space="preserve">法定代表人身份证明（附法定代表人身份证复印件）； </w:t>
      </w:r>
    </w:p>
    <w:p w14:paraId="5DC33C89">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三、</w:t>
      </w:r>
      <w:r>
        <w:rPr>
          <w:rFonts w:hint="eastAsia" w:ascii="宋体" w:hAnsi="宋体"/>
          <w:szCs w:val="21"/>
          <w:highlight w:val="none"/>
        </w:rPr>
        <w:t>授权委托书（附被授权人身份证复印件）；</w:t>
      </w:r>
    </w:p>
    <w:p w14:paraId="0C3C6948">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四、</w:t>
      </w:r>
      <w:r>
        <w:rPr>
          <w:rFonts w:hint="eastAsia" w:ascii="宋体" w:hAnsi="宋体"/>
          <w:szCs w:val="21"/>
          <w:highlight w:val="none"/>
        </w:rPr>
        <w:t xml:space="preserve">投标保证金缴纳凭证或投标担保函 </w:t>
      </w:r>
    </w:p>
    <w:p w14:paraId="555AD3E0">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五、</w:t>
      </w:r>
      <w:r>
        <w:rPr>
          <w:rFonts w:hint="eastAsia" w:ascii="宋体" w:hAnsi="宋体"/>
          <w:szCs w:val="21"/>
          <w:highlight w:val="none"/>
        </w:rPr>
        <w:t>开标一览表；</w:t>
      </w:r>
    </w:p>
    <w:p w14:paraId="484EE270">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六、</w:t>
      </w:r>
      <w:r>
        <w:rPr>
          <w:rFonts w:hint="eastAsia" w:ascii="宋体" w:hAnsi="宋体"/>
          <w:szCs w:val="21"/>
          <w:highlight w:val="none"/>
        </w:rPr>
        <w:t>投标人基本情况；</w:t>
      </w:r>
    </w:p>
    <w:p w14:paraId="1E37966A">
      <w:pPr>
        <w:spacing w:line="400" w:lineRule="exact"/>
        <w:ind w:firstLine="417" w:firstLineChars="199"/>
        <w:rPr>
          <w:rFonts w:hint="eastAsia" w:ascii="宋体" w:hAnsi="宋体"/>
          <w:szCs w:val="21"/>
          <w:highlight w:val="none"/>
        </w:rPr>
      </w:pPr>
      <w:r>
        <w:rPr>
          <w:rFonts w:hint="eastAsia" w:ascii="宋体" w:hAnsi="宋体"/>
          <w:szCs w:val="21"/>
          <w:highlight w:val="none"/>
        </w:rPr>
        <w:t>1）投标人基本情况表；</w:t>
      </w:r>
    </w:p>
    <w:p w14:paraId="1ED915FC">
      <w:pPr>
        <w:spacing w:line="400" w:lineRule="exact"/>
        <w:ind w:firstLine="417" w:firstLineChars="199"/>
        <w:rPr>
          <w:rFonts w:hint="eastAsia" w:ascii="宋体" w:hAnsi="宋体"/>
          <w:szCs w:val="21"/>
          <w:highlight w:val="none"/>
        </w:rPr>
      </w:pPr>
      <w:r>
        <w:rPr>
          <w:rFonts w:hint="eastAsia" w:ascii="宋体" w:hAnsi="宋体"/>
          <w:szCs w:val="21"/>
          <w:highlight w:val="none"/>
        </w:rPr>
        <w:t>2）三证合一的营业执照</w:t>
      </w:r>
    </w:p>
    <w:p w14:paraId="20E3DBA9">
      <w:pPr>
        <w:spacing w:line="400" w:lineRule="exact"/>
        <w:ind w:firstLine="417" w:firstLineChars="199"/>
        <w:rPr>
          <w:rFonts w:hint="eastAsia" w:ascii="宋体" w:hAnsi="宋体"/>
          <w:szCs w:val="21"/>
          <w:highlight w:val="none"/>
          <w:lang w:val="en-US" w:eastAsia="zh-CN"/>
        </w:rPr>
      </w:pPr>
      <w:r>
        <w:rPr>
          <w:rFonts w:hint="eastAsia" w:ascii="宋体" w:hAnsi="宋体"/>
          <w:szCs w:val="21"/>
          <w:highlight w:val="none"/>
        </w:rPr>
        <w:t>3）</w:t>
      </w:r>
      <w:r>
        <w:rPr>
          <w:rFonts w:hint="eastAsia" w:ascii="宋体" w:hAnsi="宋体"/>
          <w:szCs w:val="21"/>
          <w:highlight w:val="none"/>
          <w:lang w:eastAsia="zh-CN"/>
        </w:rPr>
        <w:t>供应商必须为在中华人民共和国境内依法设立的国有商业银行、股份制商业银行、邮政储蓄银行、城市商业银行等银行机构且具备中国银行保险监督管理委员会核发的《中华人民共和国金融许可证》。</w:t>
      </w:r>
    </w:p>
    <w:p w14:paraId="51DD9A50">
      <w:pPr>
        <w:pStyle w:val="39"/>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w:t>
      </w:r>
      <w:r>
        <w:rPr>
          <w:rFonts w:hint="default" w:ascii="宋体" w:hAnsi="宋体" w:eastAsia="宋体" w:cs="Times New Roman"/>
          <w:kern w:val="2"/>
          <w:sz w:val="21"/>
          <w:szCs w:val="21"/>
          <w:highlight w:val="none"/>
          <w:lang w:val="en-US" w:eastAsia="zh-CN" w:bidi="ar-SA"/>
        </w:rPr>
        <w:t>无重大违法记录声明</w:t>
      </w:r>
    </w:p>
    <w:p w14:paraId="70300A87">
      <w:pPr>
        <w:pStyle w:val="39"/>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w:t>
      </w:r>
      <w:r>
        <w:rPr>
          <w:rFonts w:hint="default" w:ascii="宋体" w:hAnsi="宋体" w:eastAsia="宋体" w:cs="Times New Roman"/>
          <w:kern w:val="2"/>
          <w:sz w:val="21"/>
          <w:szCs w:val="21"/>
          <w:highlight w:val="none"/>
          <w:lang w:val="en-US" w:eastAsia="zh-CN" w:bidi="ar-SA"/>
        </w:rPr>
        <w:t>供反商业贿赂承诺书</w:t>
      </w:r>
    </w:p>
    <w:p w14:paraId="0F8C7053">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七、</w:t>
      </w:r>
      <w:r>
        <w:rPr>
          <w:rFonts w:hint="eastAsia" w:ascii="宋体" w:hAnsi="宋体"/>
          <w:szCs w:val="21"/>
          <w:highlight w:val="none"/>
        </w:rPr>
        <w:t xml:space="preserve">商务条款偏离表； </w:t>
      </w:r>
    </w:p>
    <w:p w14:paraId="3BEBACAC">
      <w:pPr>
        <w:spacing w:line="400" w:lineRule="exact"/>
        <w:ind w:firstLine="417" w:firstLineChars="199"/>
        <w:rPr>
          <w:rFonts w:hint="eastAsia" w:ascii="宋体" w:hAnsi="宋体"/>
          <w:szCs w:val="21"/>
          <w:highlight w:val="none"/>
        </w:rPr>
      </w:pPr>
      <w:r>
        <w:rPr>
          <w:rFonts w:hint="eastAsia" w:ascii="宋体" w:hAnsi="宋体"/>
          <w:szCs w:val="21"/>
          <w:highlight w:val="none"/>
          <w:lang w:eastAsia="zh-CN"/>
        </w:rPr>
        <w:t>八、类似业绩（如有）</w:t>
      </w:r>
      <w:r>
        <w:rPr>
          <w:rFonts w:hint="eastAsia" w:ascii="宋体" w:hAnsi="宋体"/>
          <w:szCs w:val="21"/>
          <w:highlight w:val="none"/>
        </w:rPr>
        <w:t xml:space="preserve"> </w:t>
      </w:r>
    </w:p>
    <w:p w14:paraId="1B657E16">
      <w:pPr>
        <w:spacing w:line="400" w:lineRule="exact"/>
        <w:ind w:firstLine="417" w:firstLineChars="199"/>
        <w:rPr>
          <w:rFonts w:hint="eastAsia"/>
        </w:rPr>
      </w:pPr>
      <w:r>
        <w:rPr>
          <w:rFonts w:hint="eastAsia" w:ascii="宋体" w:hAnsi="宋体"/>
          <w:szCs w:val="21"/>
          <w:highlight w:val="none"/>
          <w:lang w:eastAsia="zh-CN"/>
        </w:rPr>
        <w:t>九、</w:t>
      </w:r>
      <w:r>
        <w:rPr>
          <w:rFonts w:hint="eastAsia" w:ascii="宋体" w:hAnsi="宋体"/>
          <w:szCs w:val="21"/>
          <w:highlight w:val="none"/>
        </w:rPr>
        <w:t>其他商务资格证明资料（格式自定）</w:t>
      </w:r>
    </w:p>
    <w:p w14:paraId="37F37525">
      <w:pPr>
        <w:spacing w:line="400" w:lineRule="exact"/>
        <w:ind w:firstLine="417" w:firstLineChars="199"/>
        <w:rPr>
          <w:rFonts w:hint="eastAsia" w:ascii="宋体" w:hAnsi="宋体"/>
          <w:b/>
          <w:bCs/>
          <w:szCs w:val="21"/>
          <w:highlight w:val="none"/>
        </w:rPr>
      </w:pPr>
      <w:r>
        <w:rPr>
          <w:rFonts w:hint="eastAsia" w:ascii="宋体" w:hAnsi="宋体"/>
          <w:b/>
          <w:bCs/>
          <w:szCs w:val="21"/>
          <w:highlight w:val="none"/>
        </w:rPr>
        <w:t>技术部分</w:t>
      </w:r>
    </w:p>
    <w:p w14:paraId="7179EC7D">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十、技术参数响应表</w:t>
      </w:r>
    </w:p>
    <w:p w14:paraId="07032AB8">
      <w:pPr>
        <w:numPr>
          <w:ilvl w:val="0"/>
          <w:numId w:val="0"/>
        </w:numPr>
        <w:spacing w:line="400" w:lineRule="exact"/>
        <w:ind w:firstLine="420" w:firstLineChars="200"/>
        <w:rPr>
          <w:rFonts w:hint="eastAsia" w:ascii="宋体" w:hAnsi="宋体"/>
          <w:szCs w:val="21"/>
          <w:highlight w:val="none"/>
        </w:rPr>
      </w:pPr>
      <w:r>
        <w:rPr>
          <w:rFonts w:hint="eastAsia" w:ascii="宋体" w:hAnsi="宋体"/>
          <w:szCs w:val="21"/>
          <w:highlight w:val="none"/>
          <w:lang w:eastAsia="zh-CN"/>
        </w:rPr>
        <w:t>十一、</w:t>
      </w:r>
      <w:r>
        <w:rPr>
          <w:rFonts w:hint="eastAsia" w:ascii="宋体" w:hAnsi="宋体"/>
          <w:szCs w:val="21"/>
          <w:highlight w:val="none"/>
        </w:rPr>
        <w:t>技术方案（投标人自行编写的技术文件</w:t>
      </w:r>
      <w:r>
        <w:rPr>
          <w:rFonts w:hint="eastAsia" w:ascii="宋体" w:hAnsi="宋体"/>
          <w:szCs w:val="21"/>
          <w:highlight w:val="none"/>
          <w:lang w:eastAsia="zh-CN"/>
        </w:rPr>
        <w:t>，包括但不限于</w:t>
      </w:r>
      <w:r>
        <w:rPr>
          <w:rFonts w:hint="eastAsia" w:ascii="宋体" w:hAnsi="宋体"/>
          <w:szCs w:val="21"/>
          <w:highlight w:val="none"/>
        </w:rPr>
        <w:t>）</w:t>
      </w:r>
    </w:p>
    <w:p w14:paraId="4AEBF197">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（1）针对本次招标内容的实施方案</w:t>
      </w:r>
    </w:p>
    <w:p w14:paraId="52D4FEB2">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（2）服务质量保证措施。</w:t>
      </w:r>
      <w:r>
        <w:rPr>
          <w:rFonts w:hint="eastAsia" w:ascii="宋体" w:hAnsi="宋体" w:eastAsia="宋体" w:cs="Times New Roman"/>
          <w:kern w:val="2"/>
          <w:sz w:val="21"/>
          <w:szCs w:val="21"/>
          <w:highlight w:val="none"/>
          <w:lang w:val="en-US" w:eastAsia="zh-CN" w:bidi="ar-SA"/>
        </w:rPr>
        <w:softHyphen/>
      </w:r>
    </w:p>
    <w:p w14:paraId="25FFC4CB">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（3）售后与承诺（范围、标准及期限等）。</w:t>
      </w:r>
    </w:p>
    <w:p w14:paraId="508F73BA">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（4）优惠措施（后期服务费用及方式）。</w:t>
      </w:r>
    </w:p>
    <w:p w14:paraId="752D1977">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（5）投标服务符合竞争性磋商文件规定的其他证明文件及磋商响应人认为需加以说明的其他内容。</w:t>
      </w:r>
    </w:p>
    <w:p w14:paraId="2094F535">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（6）投标承诺书（附件1）</w:t>
      </w:r>
    </w:p>
    <w:p w14:paraId="2D9DB304">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（7）评分标准和细则中技术部分证明材料（格式自拟）</w:t>
      </w:r>
    </w:p>
    <w:p w14:paraId="5CF1FAC8">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（8）投标人认为有必要提供的其他证明材料（格式自拟）</w:t>
      </w:r>
    </w:p>
    <w:p w14:paraId="5BD43839">
      <w:pPr>
        <w:spacing w:line="400" w:lineRule="exact"/>
        <w:ind w:firstLine="420" w:firstLineChars="200"/>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十二、投标人认为需要提交的技术资料（根据评审标准自行添加）</w:t>
      </w:r>
    </w:p>
    <w:p w14:paraId="69354BE7">
      <w:pPr>
        <w:spacing w:line="400" w:lineRule="exact"/>
        <w:ind w:firstLine="417" w:firstLineChars="199"/>
        <w:rPr>
          <w:rFonts w:ascii="宋体"/>
          <w:szCs w:val="21"/>
          <w:highlight w:val="none"/>
        </w:rPr>
      </w:pPr>
      <w:r>
        <w:rPr>
          <w:rFonts w:hint="eastAsia" w:ascii="宋体" w:hAnsi="宋体" w:cs="宋体"/>
          <w:b/>
          <w:kern w:val="0"/>
          <w:szCs w:val="21"/>
          <w:highlight w:val="none"/>
          <w:u w:val="single"/>
        </w:rPr>
        <w:t>注：以上材料须逐页加盖单位公章。</w:t>
      </w:r>
    </w:p>
    <w:p w14:paraId="4D649F8E">
      <w:pPr>
        <w:spacing w:line="400" w:lineRule="exact"/>
        <w:ind w:firstLine="417" w:firstLineChars="199"/>
        <w:rPr>
          <w:rFonts w:ascii="宋体" w:hAnsi="宋体"/>
          <w:szCs w:val="21"/>
          <w:highlight w:val="none"/>
        </w:rPr>
      </w:pPr>
      <w:r>
        <w:rPr>
          <w:rFonts w:hint="eastAsia" w:ascii="宋体"/>
          <w:szCs w:val="21"/>
          <w:highlight w:val="none"/>
        </w:rPr>
        <w:t>21.</w:t>
      </w:r>
      <w:r>
        <w:rPr>
          <w:rFonts w:hint="eastAsia" w:ascii="宋体"/>
          <w:szCs w:val="21"/>
          <w:highlight w:val="none"/>
          <w:lang w:val="en-US" w:eastAsia="zh-CN"/>
        </w:rPr>
        <w:t>1</w:t>
      </w:r>
      <w:r>
        <w:rPr>
          <w:rFonts w:hint="eastAsia" w:ascii="宋体" w:hAnsi="宋体"/>
          <w:szCs w:val="21"/>
          <w:highlight w:val="none"/>
        </w:rPr>
        <w:t>投标文件的要求</w:t>
      </w:r>
    </w:p>
    <w:p w14:paraId="6BD7A126">
      <w:pPr>
        <w:spacing w:line="400" w:lineRule="exact"/>
        <w:ind w:firstLine="417" w:firstLineChars="199"/>
        <w:rPr>
          <w:rFonts w:ascii="宋体" w:hAnsi="宋体"/>
          <w:szCs w:val="21"/>
          <w:highlight w:val="none"/>
        </w:rPr>
      </w:pPr>
      <w:r>
        <w:rPr>
          <w:rFonts w:hint="eastAsia" w:ascii="宋体" w:hAnsi="宋体"/>
          <w:szCs w:val="21"/>
          <w:highlight w:val="none"/>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39F7EE0">
      <w:pPr>
        <w:spacing w:line="400" w:lineRule="exact"/>
        <w:ind w:firstLine="417" w:firstLineChars="199"/>
        <w:rPr>
          <w:rFonts w:ascii="宋体" w:hAnsi="宋体"/>
          <w:szCs w:val="21"/>
          <w:highlight w:val="none"/>
        </w:rPr>
      </w:pPr>
      <w:r>
        <w:rPr>
          <w:rFonts w:hint="eastAsia" w:ascii="宋体" w:hAnsi="宋体"/>
          <w:szCs w:val="21"/>
          <w:highlight w:val="none"/>
        </w:rPr>
        <w:t>（2）投标文件格式应按本采购文件第六章格式要求编制，不得对采购文件格式进行增删更改，否则按无效标处理。</w:t>
      </w:r>
    </w:p>
    <w:p w14:paraId="49065F5C">
      <w:pPr>
        <w:spacing w:line="400" w:lineRule="exact"/>
        <w:ind w:firstLine="417" w:firstLineChars="199"/>
        <w:rPr>
          <w:rFonts w:ascii="宋体" w:hAnsi="宋体"/>
          <w:szCs w:val="21"/>
          <w:highlight w:val="none"/>
        </w:rPr>
      </w:pPr>
      <w:r>
        <w:rPr>
          <w:rFonts w:hint="eastAsia" w:ascii="宋体" w:hAnsi="宋体"/>
          <w:szCs w:val="21"/>
          <w:highlight w:val="none"/>
        </w:rPr>
        <w:t xml:space="preserve">（3）对采购文件格式可更改的例外情况：采购文件第六章附件格式要求中明确规定表格中行数不够用时可按相同格式增加行数，其他一切内容和格式不得更改。 </w:t>
      </w:r>
    </w:p>
    <w:p w14:paraId="45B5E57A">
      <w:pPr>
        <w:spacing w:line="400" w:lineRule="exact"/>
        <w:ind w:firstLine="417" w:firstLineChars="199"/>
        <w:rPr>
          <w:rFonts w:ascii="宋体" w:hAnsi="宋体"/>
          <w:szCs w:val="21"/>
          <w:highlight w:val="none"/>
        </w:rPr>
      </w:pPr>
      <w:r>
        <w:rPr>
          <w:rFonts w:hint="eastAsia" w:ascii="宋体" w:hAnsi="宋体"/>
          <w:szCs w:val="21"/>
          <w:highlight w:val="none"/>
        </w:rPr>
        <w:t>（4）投标文件为电子投标文件，电子投标文件按“政采云供应商项目采购-电子招投标操作指南”及本采购文件要求制作、加密传输。</w:t>
      </w:r>
    </w:p>
    <w:p w14:paraId="2E8D0FE8">
      <w:pPr>
        <w:spacing w:line="400" w:lineRule="exact"/>
        <w:ind w:firstLine="417" w:firstLineChars="199"/>
        <w:rPr>
          <w:rFonts w:ascii="宋体"/>
          <w:szCs w:val="21"/>
          <w:highlight w:val="none"/>
        </w:rPr>
      </w:pPr>
      <w:r>
        <w:rPr>
          <w:rFonts w:hint="eastAsia" w:ascii="宋体" w:hAnsi="宋体"/>
          <w:szCs w:val="21"/>
          <w:highlight w:val="none"/>
        </w:rPr>
        <w:t>（5）投标文件未在投标截止时间前完成传输的，视为投标文件撤回；投标文件未按时解密也未提供备份投标文件的，亦视为投标文件撤回。</w:t>
      </w:r>
    </w:p>
    <w:p w14:paraId="56F12E86">
      <w:pPr>
        <w:spacing w:line="440" w:lineRule="exact"/>
        <w:ind w:firstLine="420" w:firstLineChars="200"/>
        <w:rPr>
          <w:rFonts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磋商报价</w:t>
      </w:r>
    </w:p>
    <w:p w14:paraId="5669A055">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1本项目报价为分次报价，供应商响应文件中的报价作为第一次报价；以最终竞争性磋商报价作为评审价。</w:t>
      </w:r>
    </w:p>
    <w:p w14:paraId="71071CCB">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2凡要求供应商考虑在报价中的内容供应商在响应文件中没有考虑、没有计入的或未单独列出，采购人认为供应商已将此项费用涵盖在其它费用价格中。</w:t>
      </w:r>
    </w:p>
    <w:p w14:paraId="46000AF1">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3报价注意事项：</w:t>
      </w:r>
    </w:p>
    <w:p w14:paraId="30753B68">
      <w:pPr>
        <w:spacing w:line="440" w:lineRule="exact"/>
        <w:ind w:firstLine="420" w:firstLineChars="200"/>
        <w:rPr>
          <w:rFonts w:hint="eastAsia" w:ascii="宋体"/>
          <w:color w:val="auto"/>
          <w:szCs w:val="21"/>
          <w:highlight w:val="none"/>
        </w:rPr>
      </w:pPr>
      <w:r>
        <w:rPr>
          <w:rFonts w:hint="eastAsia" w:ascii="宋体"/>
          <w:color w:val="auto"/>
          <w:szCs w:val="21"/>
          <w:highlight w:val="none"/>
        </w:rPr>
        <w:t>（1）价格一律以（年）利率计算，以%为单位标准；</w:t>
      </w:r>
    </w:p>
    <w:p w14:paraId="693E8ED9">
      <w:pPr>
        <w:spacing w:line="440" w:lineRule="exact"/>
        <w:ind w:firstLine="420" w:firstLineChars="200"/>
        <w:rPr>
          <w:rFonts w:hint="eastAsia" w:ascii="宋体"/>
          <w:color w:val="auto"/>
          <w:szCs w:val="21"/>
          <w:highlight w:val="none"/>
        </w:rPr>
      </w:pPr>
      <w:r>
        <w:rPr>
          <w:rFonts w:hint="eastAsia" w:ascii="宋体"/>
          <w:color w:val="auto"/>
          <w:szCs w:val="21"/>
          <w:highlight w:val="none"/>
        </w:rPr>
        <w:t>（2）供应商报价时应充分考虑所有可能影响到报价的报价因素，一旦招标结束最终成交，总价将固定，不予调整。如发生漏、缺、少项，都将被认为是成交人的报价让利行为，损失自负。</w:t>
      </w:r>
    </w:p>
    <w:p w14:paraId="233C4B78">
      <w:pPr>
        <w:spacing w:line="440" w:lineRule="exact"/>
        <w:ind w:firstLine="420" w:firstLineChars="200"/>
        <w:rPr>
          <w:rFonts w:ascii="宋体"/>
          <w:b/>
          <w:szCs w:val="21"/>
          <w:highlight w:val="none"/>
        </w:rPr>
      </w:pPr>
      <w:r>
        <w:rPr>
          <w:rFonts w:hint="eastAsia" w:ascii="宋体"/>
          <w:b/>
          <w:szCs w:val="21"/>
          <w:highlight w:val="none"/>
        </w:rPr>
        <w:t>23. 投标有效期</w:t>
      </w:r>
    </w:p>
    <w:p w14:paraId="6ACF4C9D">
      <w:pPr>
        <w:spacing w:line="440" w:lineRule="exact"/>
        <w:ind w:firstLine="420" w:firstLineChars="200"/>
        <w:rPr>
          <w:rFonts w:ascii="宋体"/>
          <w:szCs w:val="21"/>
          <w:highlight w:val="none"/>
        </w:rPr>
      </w:pPr>
      <w:r>
        <w:rPr>
          <w:rFonts w:hint="eastAsia" w:ascii="宋体"/>
          <w:szCs w:val="21"/>
          <w:highlight w:val="none"/>
        </w:rPr>
        <w:t>23.1 除投标人须知前附表另有规定外，投标有效期为60天。</w:t>
      </w:r>
    </w:p>
    <w:p w14:paraId="0A7BF347">
      <w:pPr>
        <w:spacing w:line="440" w:lineRule="exact"/>
        <w:ind w:firstLine="420" w:firstLineChars="200"/>
        <w:rPr>
          <w:rFonts w:ascii="宋体"/>
          <w:szCs w:val="21"/>
          <w:highlight w:val="none"/>
        </w:rPr>
      </w:pPr>
      <w:r>
        <w:rPr>
          <w:rFonts w:hint="eastAsia" w:ascii="宋体"/>
          <w:szCs w:val="21"/>
          <w:highlight w:val="none"/>
        </w:rPr>
        <w:t>23.2在投标有效期内，投标人撤销或修改其投标文件的，应承担采购文件和法律规定的责任。</w:t>
      </w:r>
    </w:p>
    <w:p w14:paraId="19075EDA">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C434DD6">
      <w:pPr>
        <w:spacing w:line="440" w:lineRule="exact"/>
        <w:ind w:firstLine="403" w:firstLineChars="192"/>
        <w:rPr>
          <w:rFonts w:ascii="宋体"/>
          <w:b/>
          <w:szCs w:val="21"/>
          <w:highlight w:val="none"/>
        </w:rPr>
      </w:pPr>
      <w:r>
        <w:rPr>
          <w:rFonts w:hint="eastAsia" w:ascii="宋体"/>
          <w:b/>
          <w:szCs w:val="21"/>
          <w:highlight w:val="none"/>
        </w:rPr>
        <w:t>24. 投标保证金</w:t>
      </w:r>
    </w:p>
    <w:p w14:paraId="02D88E85">
      <w:pPr>
        <w:spacing w:line="400" w:lineRule="exact"/>
        <w:ind w:firstLine="420" w:firstLineChars="200"/>
        <w:rPr>
          <w:rFonts w:ascii="宋体"/>
          <w:szCs w:val="21"/>
          <w:highlight w:val="none"/>
        </w:rPr>
      </w:pPr>
      <w:r>
        <w:rPr>
          <w:rFonts w:hint="eastAsia" w:ascii="宋体"/>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E33332F">
      <w:pPr>
        <w:spacing w:line="400" w:lineRule="exact"/>
        <w:ind w:firstLine="420" w:firstLineChars="200"/>
        <w:rPr>
          <w:rFonts w:ascii="宋体"/>
          <w:szCs w:val="21"/>
          <w:highlight w:val="none"/>
        </w:rPr>
      </w:pPr>
      <w:r>
        <w:rPr>
          <w:rFonts w:hint="eastAsia" w:ascii="宋体"/>
          <w:szCs w:val="21"/>
          <w:highlight w:val="none"/>
        </w:rPr>
        <w:t>24.2自中标通知书发出之日起5个工作日内退还未中标投标人的投标保证金，自政府采购合同签订之日起5个工作日内退还中标人的投标保证金。</w:t>
      </w:r>
    </w:p>
    <w:p w14:paraId="36178783">
      <w:pPr>
        <w:spacing w:line="400" w:lineRule="exact"/>
        <w:ind w:firstLine="420" w:firstLineChars="200"/>
        <w:rPr>
          <w:rFonts w:ascii="宋体"/>
          <w:szCs w:val="21"/>
          <w:highlight w:val="none"/>
        </w:rPr>
      </w:pPr>
      <w:r>
        <w:rPr>
          <w:rFonts w:hint="eastAsia" w:ascii="宋体"/>
          <w:szCs w:val="21"/>
          <w:highlight w:val="none"/>
        </w:rPr>
        <w:t xml:space="preserve">24.3有下列情形之一的，投标保证金将不予退还： </w:t>
      </w:r>
    </w:p>
    <w:p w14:paraId="1B135B59">
      <w:pPr>
        <w:spacing w:line="400" w:lineRule="exact"/>
        <w:ind w:firstLine="420" w:firstLineChars="200"/>
        <w:rPr>
          <w:rFonts w:ascii="宋体"/>
          <w:szCs w:val="21"/>
          <w:highlight w:val="none"/>
        </w:rPr>
      </w:pPr>
      <w:r>
        <w:rPr>
          <w:rFonts w:hint="eastAsia" w:ascii="宋体"/>
          <w:szCs w:val="21"/>
          <w:highlight w:val="none"/>
        </w:rPr>
        <w:t>（1）投标人在规定的投标有效期内撤回或修改其投标文件；</w:t>
      </w:r>
    </w:p>
    <w:p w14:paraId="7680DE6C">
      <w:pPr>
        <w:spacing w:line="400" w:lineRule="exact"/>
        <w:ind w:firstLine="420" w:firstLineChars="200"/>
        <w:rPr>
          <w:rFonts w:ascii="宋体"/>
          <w:szCs w:val="21"/>
          <w:highlight w:val="none"/>
        </w:rPr>
      </w:pPr>
      <w:r>
        <w:rPr>
          <w:rFonts w:hint="eastAsia" w:ascii="宋体"/>
          <w:szCs w:val="21"/>
          <w:highlight w:val="none"/>
        </w:rPr>
        <w:t>（2）成交通知书发出后三十天内，中标人无正当理由拒签合同协议书或未按采购文件规定提交履约担保。</w:t>
      </w:r>
    </w:p>
    <w:p w14:paraId="7627C5F6">
      <w:pPr>
        <w:spacing w:line="400" w:lineRule="exact"/>
        <w:ind w:firstLine="420" w:firstLineChars="200"/>
        <w:rPr>
          <w:rFonts w:ascii="宋体"/>
          <w:szCs w:val="21"/>
          <w:highlight w:val="none"/>
        </w:rPr>
      </w:pPr>
      <w:r>
        <w:rPr>
          <w:rFonts w:hint="eastAsia" w:ascii="宋体"/>
          <w:szCs w:val="21"/>
          <w:highlight w:val="none"/>
        </w:rPr>
        <w:t>（3）提供虚假材料谋取中标的；</w:t>
      </w:r>
    </w:p>
    <w:p w14:paraId="1B8E586E">
      <w:pPr>
        <w:spacing w:line="400" w:lineRule="exact"/>
        <w:ind w:firstLine="420" w:firstLineChars="200"/>
        <w:rPr>
          <w:rFonts w:ascii="宋体"/>
          <w:szCs w:val="21"/>
          <w:highlight w:val="none"/>
        </w:rPr>
      </w:pPr>
      <w:r>
        <w:rPr>
          <w:rFonts w:hint="eastAsia" w:ascii="宋体"/>
          <w:szCs w:val="21"/>
          <w:highlight w:val="none"/>
        </w:rPr>
        <w:t>（4）经查实属于陪标、串通投标的等。</w:t>
      </w:r>
    </w:p>
    <w:p w14:paraId="331BFDBB">
      <w:pPr>
        <w:spacing w:line="400" w:lineRule="exact"/>
        <w:ind w:firstLine="420" w:firstLineChars="200"/>
        <w:rPr>
          <w:rFonts w:ascii="宋体"/>
          <w:szCs w:val="21"/>
          <w:highlight w:val="none"/>
        </w:rPr>
      </w:pPr>
      <w:bookmarkStart w:id="46" w:name="_Toc469495727"/>
      <w:r>
        <w:rPr>
          <w:rFonts w:hint="eastAsia" w:ascii="宋体"/>
          <w:szCs w:val="21"/>
          <w:highlight w:val="none"/>
        </w:rPr>
        <w:t>24.4投标保证金按投标人须知前附表第24条规定执行。</w:t>
      </w:r>
    </w:p>
    <w:p w14:paraId="26F944AF">
      <w:pPr>
        <w:pStyle w:val="3"/>
        <w:jc w:val="center"/>
        <w:rPr>
          <w:sz w:val="28"/>
          <w:szCs w:val="28"/>
          <w:highlight w:val="none"/>
        </w:rPr>
      </w:pPr>
      <w:bookmarkStart w:id="47" w:name="_Toc859"/>
      <w:r>
        <w:rPr>
          <w:rFonts w:hint="eastAsia"/>
          <w:sz w:val="28"/>
          <w:szCs w:val="28"/>
          <w:highlight w:val="none"/>
        </w:rPr>
        <w:t>（四）</w:t>
      </w:r>
      <w:bookmarkEnd w:id="46"/>
      <w:r>
        <w:rPr>
          <w:rFonts w:hint="eastAsia"/>
          <w:sz w:val="28"/>
          <w:szCs w:val="28"/>
          <w:highlight w:val="none"/>
        </w:rPr>
        <w:t>投标文件的制作、上传及递交要求</w:t>
      </w:r>
      <w:bookmarkEnd w:id="47"/>
    </w:p>
    <w:p w14:paraId="17301663">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25.投标文件的制作要求</w:t>
      </w:r>
    </w:p>
    <w:p w14:paraId="4B3567B6">
      <w:pPr>
        <w:pStyle w:val="5"/>
        <w:snapToGrid w:val="0"/>
        <w:spacing w:line="360" w:lineRule="auto"/>
        <w:rPr>
          <w:rFonts w:ascii="宋体" w:hAnsi="宋体" w:cs="宋体"/>
          <w:sz w:val="21"/>
          <w:szCs w:val="21"/>
          <w:highlight w:val="none"/>
        </w:rPr>
      </w:pPr>
      <w:r>
        <w:rPr>
          <w:rFonts w:hint="eastAsia" w:ascii="宋体" w:hAnsi="宋体" w:cs="宋体"/>
          <w:bCs/>
          <w:sz w:val="21"/>
          <w:szCs w:val="21"/>
          <w:highlight w:val="none"/>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997BA62">
      <w:pPr>
        <w:pStyle w:val="5"/>
        <w:snapToGrid w:val="0"/>
        <w:spacing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C51EDB5">
      <w:pPr>
        <w:pStyle w:val="5"/>
        <w:snapToGrid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备份电子投标文件：通过“政采云”平台电子投标工具制作投标文件所产生的备份文件。</w:t>
      </w:r>
    </w:p>
    <w:p w14:paraId="210DEBDD">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（2）供应商应对所提供的全部资料的真实性、有效性承担法律责任，电子投标文件中所须加盖公章部分均采用CA签章。</w:t>
      </w:r>
    </w:p>
    <w:p w14:paraId="3182ABBE">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0A654181">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（4）投标计量单位，采购文件已有明确规定的，使用采购文件规定的计量单位；采购文件没有规定的，应采用中华人民共和国法定计量单位（货币单位：人民币元）。</w:t>
      </w:r>
    </w:p>
    <w:p w14:paraId="783EF941">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（5）若供应商不按采购文件的要求提供资格审查材料，其风险由供应商自行承担。</w:t>
      </w:r>
    </w:p>
    <w:p w14:paraId="3DC33DCA">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（6）与本次投标无关的内容请不要制作在内，确保投标文件有针对性、简洁明了。</w:t>
      </w:r>
    </w:p>
    <w:p w14:paraId="404B260D">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26.投标文件的上传</w:t>
      </w:r>
    </w:p>
    <w:p w14:paraId="0B949CF2">
      <w:pPr>
        <w:pStyle w:val="5"/>
        <w:snapToGrid w:val="0"/>
        <w:spacing w:line="360" w:lineRule="auto"/>
        <w:rPr>
          <w:rFonts w:ascii="宋体" w:hAnsi="宋体" w:cs="宋体"/>
          <w:b/>
          <w:bCs/>
          <w:sz w:val="21"/>
          <w:szCs w:val="21"/>
          <w:highlight w:val="none"/>
        </w:rPr>
      </w:pPr>
      <w:r>
        <w:rPr>
          <w:rFonts w:hint="eastAsia" w:ascii="宋体" w:hAnsi="宋体" w:cs="宋体"/>
          <w:b/>
          <w:bCs/>
          <w:sz w:val="21"/>
          <w:szCs w:val="21"/>
          <w:highlight w:val="none"/>
        </w:rPr>
        <w:t>（1）</w:t>
      </w:r>
      <w:r>
        <w:rPr>
          <w:rFonts w:hint="eastAsia" w:ascii="宋体" w:hAnsi="宋体" w:cs="宋体"/>
          <w:b/>
          <w:bCs/>
          <w:sz w:val="21"/>
          <w:szCs w:val="21"/>
          <w:highlight w:val="none"/>
          <w:lang w:bidi="zh-CN"/>
        </w:rPr>
        <w:t>电子加密投标文件（“.jmbs”格式）</w:t>
      </w:r>
      <w:r>
        <w:rPr>
          <w:rFonts w:hint="eastAsia" w:ascii="宋体" w:hAnsi="宋体" w:cs="宋体"/>
          <w:b/>
          <w:bCs/>
          <w:sz w:val="21"/>
          <w:szCs w:val="21"/>
          <w:highlight w:val="none"/>
        </w:rPr>
        <w:t>：</w:t>
      </w:r>
    </w:p>
    <w:p w14:paraId="58BBD417">
      <w:pPr>
        <w:pStyle w:val="5"/>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a.</w:t>
      </w:r>
      <w:r>
        <w:rPr>
          <w:rFonts w:hint="eastAsia" w:ascii="宋体" w:hAnsi="宋体" w:cs="宋体"/>
          <w:bCs/>
          <w:sz w:val="21"/>
          <w:szCs w:val="21"/>
          <w:highlight w:val="none"/>
        </w:rPr>
        <w:t xml:space="preserve"> </w:t>
      </w:r>
      <w:r>
        <w:rPr>
          <w:rFonts w:hint="eastAsia" w:ascii="宋体" w:hAnsi="宋体" w:cs="宋体"/>
          <w:bCs/>
          <w:sz w:val="21"/>
          <w:szCs w:val="21"/>
          <w:highlight w:val="none"/>
          <w:lang w:bidi="zh-CN"/>
        </w:rPr>
        <w:t>供应商应在投标截止时间前将电子加密投标文件成功上传递交至新疆政府采购云平台，否则投标无效；</w:t>
      </w:r>
    </w:p>
    <w:p w14:paraId="13B212C5">
      <w:pPr>
        <w:pStyle w:val="5"/>
        <w:snapToGrid w:val="0"/>
        <w:spacing w:line="360" w:lineRule="auto"/>
        <w:ind w:firstLine="525" w:firstLineChars="250"/>
        <w:rPr>
          <w:rFonts w:ascii="宋体" w:hAnsi="宋体" w:cs="宋体"/>
          <w:bCs/>
          <w:sz w:val="21"/>
          <w:szCs w:val="21"/>
          <w:highlight w:val="none"/>
        </w:rPr>
      </w:pPr>
      <w:r>
        <w:rPr>
          <w:rFonts w:hint="eastAsia" w:ascii="宋体" w:hAnsi="宋体" w:cs="宋体"/>
          <w:bCs/>
          <w:sz w:val="21"/>
          <w:szCs w:val="21"/>
          <w:highlight w:val="none"/>
          <w:lang w:bidi="zh-CN"/>
        </w:rPr>
        <w:t>b.供应商成功上传电子加密投标文件后，可自行打印投标文件接收回执。</w:t>
      </w:r>
    </w:p>
    <w:p w14:paraId="4996C2D0">
      <w:pPr>
        <w:pStyle w:val="5"/>
        <w:snapToGrid w:val="0"/>
        <w:spacing w:line="360" w:lineRule="auto"/>
        <w:rPr>
          <w:rFonts w:ascii="宋体" w:hAnsi="宋体" w:cs="宋体"/>
          <w:b/>
          <w:bCs/>
          <w:sz w:val="21"/>
          <w:szCs w:val="21"/>
          <w:highlight w:val="none"/>
          <w:lang w:bidi="zh-CN"/>
        </w:rPr>
      </w:pPr>
      <w:r>
        <w:rPr>
          <w:rFonts w:hint="eastAsia" w:ascii="宋体" w:hAnsi="宋体" w:cs="宋体"/>
          <w:b/>
          <w:bCs/>
          <w:sz w:val="21"/>
          <w:szCs w:val="21"/>
          <w:highlight w:val="none"/>
        </w:rPr>
        <w:t>（2）</w:t>
      </w:r>
      <w:r>
        <w:rPr>
          <w:rFonts w:hint="eastAsia" w:ascii="宋体" w:hAnsi="宋体" w:cs="宋体"/>
          <w:b/>
          <w:bCs/>
          <w:sz w:val="21"/>
          <w:szCs w:val="21"/>
          <w:highlight w:val="none"/>
          <w:lang w:bidi="zh-CN"/>
        </w:rPr>
        <w:t>备份投标文件（“.bfbs”格式）：</w:t>
      </w:r>
    </w:p>
    <w:p w14:paraId="7F5A7FE7">
      <w:pPr>
        <w:pStyle w:val="5"/>
        <w:snapToGrid w:val="0"/>
        <w:spacing w:line="360" w:lineRule="auto"/>
        <w:ind w:firstLine="525" w:firstLineChars="250"/>
        <w:rPr>
          <w:rFonts w:ascii="宋体" w:hAnsi="宋体" w:cs="宋体"/>
          <w:color w:val="auto"/>
          <w:sz w:val="21"/>
          <w:szCs w:val="21"/>
          <w:highlight w:val="none"/>
          <w:lang w:bidi="zh-CN"/>
        </w:rPr>
      </w:pPr>
      <w:r>
        <w:rPr>
          <w:rFonts w:hint="eastAsia" w:ascii="宋体" w:hAnsi="宋体" w:cs="宋体"/>
          <w:bCs/>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cs="宋体"/>
          <w:sz w:val="21"/>
          <w:szCs w:val="21"/>
          <w:highlight w:val="none"/>
          <w:lang w:bidi="zh-CN"/>
        </w:rPr>
        <w:t>“备份投标文件”以投标截止时间前指定接收邮箱最终收到的文件为准，逾期或未按要求提供的视为未提供，建议供应商提前1日办理邮件提</w:t>
      </w:r>
      <w:r>
        <w:rPr>
          <w:rFonts w:hint="eastAsia" w:ascii="宋体" w:hAnsi="宋体" w:cs="宋体"/>
          <w:color w:val="auto"/>
          <w:sz w:val="21"/>
          <w:szCs w:val="21"/>
          <w:highlight w:val="none"/>
          <w:lang w:bidi="zh-CN"/>
        </w:rPr>
        <w:t>供事宜（接收人邮箱：</w:t>
      </w:r>
      <w:r>
        <w:rPr>
          <w:color w:val="auto"/>
          <w:highlight w:val="none"/>
          <w:u w:val="single"/>
        </w:rPr>
        <w:fldChar w:fldCharType="begin"/>
      </w:r>
      <w:r>
        <w:rPr>
          <w:color w:val="auto"/>
          <w:highlight w:val="none"/>
          <w:u w:val="single"/>
        </w:rPr>
        <w:instrText xml:space="preserve"> HYPERLINK "mailto:1207446769@qq.com，接收人：陈加轲，电话：15157655122" </w:instrText>
      </w:r>
      <w:r>
        <w:rPr>
          <w:color w:val="auto"/>
          <w:highlight w:val="none"/>
          <w:u w:val="single"/>
        </w:rPr>
        <w:fldChar w:fldCharType="separate"/>
      </w:r>
      <w:r>
        <w:rPr>
          <w:rFonts w:hint="eastAsia" w:ascii="宋体" w:hAnsi="宋体" w:cs="宋体"/>
          <w:color w:val="auto"/>
          <w:sz w:val="21"/>
          <w:szCs w:val="21"/>
          <w:highlight w:val="none"/>
          <w:u w:val="single"/>
          <w:lang w:bidi="zh-CN"/>
        </w:rPr>
        <w:t>19246091@qq.com</w:t>
      </w:r>
      <w:r>
        <w:rPr>
          <w:rStyle w:val="34"/>
          <w:rFonts w:hint="eastAsia" w:ascii="宋体" w:hAnsi="宋体" w:cs="宋体"/>
          <w:color w:val="auto"/>
          <w:sz w:val="21"/>
          <w:szCs w:val="21"/>
          <w:highlight w:val="none"/>
          <w:u w:val="single"/>
          <w:lang w:bidi="zh-CN"/>
        </w:rPr>
        <w:t>，接收人：黄女士，电话：</w:t>
      </w:r>
      <w:r>
        <w:rPr>
          <w:rFonts w:hint="eastAsia" w:ascii="宋体" w:hAnsi="宋体" w:cs="宋体"/>
          <w:color w:val="auto"/>
          <w:sz w:val="21"/>
          <w:szCs w:val="21"/>
          <w:highlight w:val="none"/>
          <w:u w:val="single"/>
          <w:lang w:val="en-US" w:bidi="zh-CN"/>
        </w:rPr>
        <w:t>1</w:t>
      </w:r>
      <w:r>
        <w:rPr>
          <w:rFonts w:hint="eastAsia" w:ascii="宋体" w:hAnsi="宋体" w:cs="宋体"/>
          <w:color w:val="auto"/>
          <w:sz w:val="21"/>
          <w:szCs w:val="21"/>
          <w:highlight w:val="none"/>
          <w:u w:val="single"/>
          <w:lang w:bidi="zh-CN"/>
        </w:rPr>
        <w:fldChar w:fldCharType="end"/>
      </w:r>
      <w:r>
        <w:rPr>
          <w:rFonts w:hint="eastAsia" w:ascii="宋体" w:hAnsi="宋体" w:cs="宋体"/>
          <w:color w:val="auto"/>
          <w:sz w:val="21"/>
          <w:szCs w:val="21"/>
          <w:highlight w:val="none"/>
          <w:u w:val="single"/>
          <w:lang w:val="en-US" w:bidi="zh-CN"/>
        </w:rPr>
        <w:t>7609081174</w:t>
      </w:r>
      <w:r>
        <w:rPr>
          <w:rFonts w:hint="eastAsia" w:ascii="宋体" w:hAnsi="宋体" w:cs="宋体"/>
          <w:color w:val="auto"/>
          <w:sz w:val="21"/>
          <w:szCs w:val="21"/>
          <w:highlight w:val="none"/>
          <w:lang w:bidi="zh-CN"/>
        </w:rPr>
        <w:t>）；</w:t>
      </w:r>
    </w:p>
    <w:p w14:paraId="7B6BB663">
      <w:pPr>
        <w:pStyle w:val="5"/>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156ABB2">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27.</w:t>
      </w:r>
      <w:r>
        <w:rPr>
          <w:rFonts w:hint="eastAsia" w:ascii="宋体" w:hAnsi="宋体" w:cs="宋体"/>
          <w:b/>
          <w:szCs w:val="21"/>
          <w:highlight w:val="none"/>
        </w:rPr>
        <w:t>投标文件的递交要求</w:t>
      </w:r>
    </w:p>
    <w:p w14:paraId="30A12F4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（1）供应商须按照采购文件和政采云平台的要求编制并加密投标文件。在投标文件递交截止时间以前完成投标文件的传输递交，截止时间后递交的投标文件，将被拒收。</w:t>
      </w:r>
    </w:p>
    <w:p w14:paraId="6939830A">
      <w:pPr>
        <w:tabs>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（2）备份电子投标文件必须在投标截止时间前送达指定的投标地点。备份电子投标文件在截止时间后提交，采购组织机构将拒绝接收。</w:t>
      </w:r>
    </w:p>
    <w:p w14:paraId="60AA515B">
      <w:pPr>
        <w:tabs>
          <w:tab w:val="left" w:pos="1418"/>
        </w:tabs>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cs="宋体"/>
          <w:szCs w:val="21"/>
          <w:highlight w:val="none"/>
        </w:rPr>
        <w:t>（3）如有特殊情况，采购组织机构延长截止时间和开标时间，采购组织机构和供应商的权利和义务将受到新的截止时间和开标时间的约束。</w:t>
      </w:r>
    </w:p>
    <w:p w14:paraId="5DA05222">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28．投标文件的补充、修改与撤回</w:t>
      </w:r>
    </w:p>
    <w:p w14:paraId="4BAD2D25">
      <w:pPr>
        <w:tabs>
          <w:tab w:val="left" w:pos="960"/>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B195BEE">
      <w:pPr>
        <w:spacing w:before="312" w:beforeLines="100" w:after="312" w:afterLines="100" w:line="440" w:lineRule="exact"/>
        <w:jc w:val="center"/>
        <w:outlineLvl w:val="2"/>
        <w:rPr>
          <w:rFonts w:ascii="黑体" w:eastAsia="黑体"/>
          <w:sz w:val="28"/>
          <w:szCs w:val="28"/>
          <w:highlight w:val="none"/>
        </w:rPr>
      </w:pPr>
      <w:bookmarkStart w:id="48" w:name="_Toc469495728"/>
      <w:bookmarkStart w:id="49" w:name="_Toc6569"/>
      <w:r>
        <w:rPr>
          <w:rFonts w:hint="eastAsia" w:ascii="黑体" w:eastAsia="黑体"/>
          <w:sz w:val="28"/>
          <w:szCs w:val="28"/>
          <w:highlight w:val="none"/>
        </w:rPr>
        <w:t>（五）开 标、评标和定标</w:t>
      </w:r>
      <w:bookmarkEnd w:id="48"/>
      <w:bookmarkEnd w:id="49"/>
    </w:p>
    <w:p w14:paraId="3F855760">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29. 开标</w:t>
      </w:r>
    </w:p>
    <w:p w14:paraId="310CDA54">
      <w:pPr>
        <w:snapToGrid w:val="0"/>
        <w:spacing w:line="360" w:lineRule="auto"/>
        <w:ind w:firstLine="420" w:firstLineChars="200"/>
        <w:rPr>
          <w:rFonts w:ascii="宋体" w:hAnsi="宋体" w:cs="宋体"/>
          <w:b/>
          <w:bCs/>
          <w:szCs w:val="21"/>
          <w:highlight w:val="none"/>
        </w:rPr>
      </w:pPr>
      <w:bookmarkStart w:id="50" w:name="_Toc73975822"/>
      <w:r>
        <w:rPr>
          <w:rFonts w:hint="eastAsia" w:ascii="宋体" w:hAnsi="宋体" w:cs="宋体"/>
          <w:b/>
          <w:bCs/>
          <w:szCs w:val="21"/>
          <w:highlight w:val="none"/>
        </w:rPr>
        <w:t>29.1开标邀请</w:t>
      </w:r>
      <w:bookmarkEnd w:id="50"/>
    </w:p>
    <w:p w14:paraId="442266DB">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（1）开标准备：本项目开标的准备工作由采购组织机构负责落实，开标过程由采购组织机构负责记录；</w:t>
      </w:r>
    </w:p>
    <w:p w14:paraId="7BF4B5FD">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（2）开标主持：本项目开标由采购人或者采购代理机构主持；</w:t>
      </w:r>
    </w:p>
    <w:p w14:paraId="37DEE3C8">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（3）开标邀请：本项目采用电子交易，采购组织机构将按照采购文件规定的时间通过“新疆政府采购云平台，网址：</w:t>
      </w:r>
      <w:r>
        <w:rPr>
          <w:highlight w:val="none"/>
        </w:rPr>
        <w:fldChar w:fldCharType="begin"/>
      </w:r>
      <w:r>
        <w:rPr>
          <w:highlight w:val="none"/>
        </w:rPr>
        <w:instrText xml:space="preserve"> HYPERLINK "http://www.zcygov.cn" </w:instrText>
      </w:r>
      <w:r>
        <w:rPr>
          <w:highlight w:val="none"/>
        </w:rPr>
        <w:fldChar w:fldCharType="separate"/>
      </w:r>
      <w:r>
        <w:rPr>
          <w:rStyle w:val="34"/>
          <w:rFonts w:hint="eastAsia" w:hAnsi="宋体" w:cs="宋体"/>
          <w:color w:val="auto"/>
          <w:szCs w:val="21"/>
          <w:highlight w:val="none"/>
          <w:u w:val="none"/>
        </w:rPr>
        <w:t>www.zcygov.cn</w:t>
      </w:r>
      <w:r>
        <w:rPr>
          <w:rStyle w:val="34"/>
          <w:rFonts w:hint="eastAsia" w:hAnsi="宋体" w:cs="宋体"/>
          <w:color w:val="auto"/>
          <w:szCs w:val="21"/>
          <w:highlight w:val="none"/>
          <w:u w:val="none"/>
        </w:rPr>
        <w:fldChar w:fldCharType="end"/>
      </w:r>
      <w:r>
        <w:rPr>
          <w:rFonts w:hint="eastAsia" w:hAnsi="宋体" w:cs="宋体"/>
          <w:color w:val="auto"/>
          <w:szCs w:val="21"/>
          <w:highlight w:val="none"/>
        </w:rPr>
        <w:t>”组织开标、开启投标响应文件，所有供应商均应当准时在线参加。</w:t>
      </w:r>
    </w:p>
    <w:p w14:paraId="389B06BF">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45502B8">
      <w:pPr>
        <w:snapToGrid w:val="0"/>
        <w:spacing w:line="360" w:lineRule="auto"/>
        <w:ind w:firstLine="420" w:firstLineChars="200"/>
        <w:outlineLvl w:val="2"/>
        <w:rPr>
          <w:rFonts w:ascii="宋体" w:hAnsi="宋体" w:cs="宋体"/>
          <w:b/>
          <w:szCs w:val="21"/>
          <w:highlight w:val="none"/>
        </w:rPr>
      </w:pPr>
      <w:bookmarkStart w:id="51" w:name="_Toc73975823"/>
      <w:bookmarkStart w:id="52" w:name="_Toc7364"/>
      <w:r>
        <w:rPr>
          <w:rFonts w:hint="eastAsia" w:ascii="宋体" w:hAnsi="宋体" w:cs="宋体"/>
          <w:b/>
          <w:szCs w:val="21"/>
          <w:highlight w:val="none"/>
        </w:rPr>
        <w:t>29.2</w:t>
      </w:r>
      <w:r>
        <w:rPr>
          <w:rFonts w:hint="eastAsia" w:ascii="宋体" w:hAnsi="宋体" w:cs="宋体"/>
          <w:b/>
          <w:bCs/>
          <w:szCs w:val="21"/>
          <w:highlight w:val="none"/>
        </w:rPr>
        <w:t>开标程序</w:t>
      </w:r>
      <w:bookmarkEnd w:id="51"/>
      <w:bookmarkEnd w:id="52"/>
    </w:p>
    <w:p w14:paraId="2202AF3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（1）开标时间到后，主持人宣布开标会议开始。</w:t>
      </w:r>
    </w:p>
    <w:p w14:paraId="4739134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投标文件解密（</w:t>
      </w:r>
      <w:r>
        <w:rPr>
          <w:rFonts w:hint="eastAsia" w:ascii="宋体" w:hAnsi="宋体" w:cs="宋体"/>
          <w:b/>
          <w:kern w:val="0"/>
          <w:szCs w:val="21"/>
          <w:highlight w:val="none"/>
        </w:rPr>
        <w:t>解密规定见《供应商须知前附表》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5539A72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投标文件解密异常情况处理（</w:t>
      </w:r>
      <w:r>
        <w:rPr>
          <w:rFonts w:hint="eastAsia" w:ascii="宋体" w:hAnsi="宋体" w:cs="宋体"/>
          <w:b/>
          <w:kern w:val="0"/>
          <w:szCs w:val="21"/>
          <w:highlight w:val="none"/>
        </w:rPr>
        <w:t>处理办法见《供应商须知前附表》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049EF222">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（4）公布投标文件解密情况（投标文件成功解密的供应商名单等信息），组织签署</w:t>
      </w:r>
      <w:r>
        <w:rPr>
          <w:rFonts w:hint="eastAsia" w:ascii="宋体" w:hAnsi="宋体" w:cs="宋体"/>
          <w:b/>
          <w:bCs/>
          <w:kern w:val="0"/>
          <w:szCs w:val="21"/>
          <w:highlight w:val="none"/>
        </w:rPr>
        <w:t>《政府采购活动现场确认声明书》（将通过电子邮件形式组织签署），供应商应在20分钟内通过邮件形式将经签署的《政府采购活动现场确认声明书》发送至采购代理机构指定邮箱</w:t>
      </w:r>
      <w:r>
        <w:rPr>
          <w:rFonts w:hint="eastAsia" w:ascii="宋体" w:hAnsi="宋体" w:cs="宋体"/>
          <w:b/>
          <w:bCs/>
          <w:kern w:val="0"/>
          <w:szCs w:val="21"/>
          <w:highlight w:val="none"/>
          <w:lang w:eastAsia="zh-CN"/>
        </w:rPr>
        <w:t>19246091</w:t>
      </w:r>
      <w:r>
        <w:rPr>
          <w:rFonts w:hint="eastAsia" w:ascii="宋体" w:hAnsi="宋体" w:cs="宋体"/>
          <w:b/>
          <w:bCs/>
          <w:kern w:val="0"/>
          <w:szCs w:val="21"/>
          <w:highlight w:val="none"/>
        </w:rPr>
        <w:t>@qq.c</w:t>
      </w:r>
      <w:r>
        <w:rPr>
          <w:rFonts w:hint="eastAsia" w:ascii="宋体" w:hAnsi="宋体" w:cs="宋体"/>
          <w:b/>
          <w:bCs/>
          <w:kern w:val="0"/>
          <w:szCs w:val="21"/>
          <w:highlight w:val="none"/>
          <w:lang w:val="en-US" w:eastAsia="zh-CN"/>
        </w:rPr>
        <w:t>o</w:t>
      </w:r>
      <w:r>
        <w:rPr>
          <w:rFonts w:hint="eastAsia" w:ascii="宋体" w:hAnsi="宋体" w:cs="宋体"/>
          <w:b/>
          <w:bCs/>
          <w:kern w:val="0"/>
          <w:szCs w:val="21"/>
          <w:highlight w:val="none"/>
        </w:rPr>
        <w:t>m ，逾期发送或未发送的视为无异议</w:t>
      </w:r>
      <w:r>
        <w:rPr>
          <w:rFonts w:hint="eastAsia" w:ascii="宋体" w:hAnsi="宋体" w:cs="宋体"/>
          <w:kern w:val="0"/>
          <w:szCs w:val="21"/>
          <w:highlight w:val="none"/>
        </w:rPr>
        <w:t>。</w:t>
      </w:r>
    </w:p>
    <w:p w14:paraId="67C1C6B3">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388B7669">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（6）商务技术评审结束后，主持人公布商务技术评审无效投标供应商名单和商务技术评审有效投标供应商名单及其商务技术得分情况</w:t>
      </w:r>
      <w:r>
        <w:rPr>
          <w:rFonts w:hint="eastAsia" w:ascii="宋体" w:hAnsi="宋体" w:cs="宋体"/>
          <w:szCs w:val="21"/>
          <w:highlight w:val="none"/>
        </w:rPr>
        <w:t>。</w:t>
      </w:r>
      <w:r>
        <w:rPr>
          <w:rFonts w:hint="eastAsia" w:ascii="宋体" w:hAnsi="宋体" w:cs="宋体"/>
          <w:kern w:val="0"/>
          <w:szCs w:val="21"/>
          <w:highlight w:val="none"/>
        </w:rPr>
        <w:t>商务技术评审无效的供应商，其报价不再进入评审。</w:t>
      </w:r>
    </w:p>
    <w:p w14:paraId="19BE11CD">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（7）开启有效投标供应商的报价，公布开标一览表有关内容，</w:t>
      </w:r>
      <w:r>
        <w:rPr>
          <w:rFonts w:hint="eastAsia" w:ascii="宋体" w:hAnsi="宋体" w:cs="宋体"/>
          <w:szCs w:val="21"/>
          <w:highlight w:val="none"/>
          <w:lang w:bidi="zh-CN"/>
        </w:rPr>
        <w:t>并【开启签字时段】，供应商对开标纪录进行在线签字确认（不予确认的应说明理由，否则视为无异议）</w:t>
      </w:r>
      <w:r>
        <w:rPr>
          <w:rFonts w:hint="eastAsia" w:ascii="宋体" w:hAnsi="宋体" w:cs="宋体"/>
          <w:kern w:val="0"/>
          <w:szCs w:val="21"/>
          <w:highlight w:val="none"/>
        </w:rPr>
        <w:t>。开标结束后，由评标委员会对报价的合理性、准确性等进行审查核实</w:t>
      </w:r>
      <w:r>
        <w:rPr>
          <w:rFonts w:hint="eastAsia" w:ascii="宋体" w:hAnsi="宋体" w:cs="宋体"/>
          <w:szCs w:val="21"/>
          <w:highlight w:val="none"/>
        </w:rPr>
        <w:t>。</w:t>
      </w:r>
    </w:p>
    <w:p w14:paraId="7623384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kern w:val="0"/>
          <w:szCs w:val="21"/>
          <w:highlight w:val="none"/>
        </w:rPr>
        <w:t>评审结束后，采购代理机构在系统上公布评审结果。</w:t>
      </w:r>
    </w:p>
    <w:p w14:paraId="118FBD30">
      <w:pPr>
        <w:snapToGrid w:val="0"/>
        <w:spacing w:line="360" w:lineRule="auto"/>
        <w:ind w:left="480"/>
        <w:rPr>
          <w:rFonts w:ascii="宋体" w:hAnsi="宋体" w:cs="宋体"/>
          <w:b/>
          <w:szCs w:val="21"/>
          <w:highlight w:val="none"/>
        </w:rPr>
      </w:pPr>
      <w:r>
        <w:rPr>
          <w:rFonts w:hint="eastAsia" w:ascii="宋体" w:hAnsi="宋体" w:cs="宋体"/>
          <w:b/>
          <w:szCs w:val="21"/>
          <w:highlight w:val="none"/>
        </w:rPr>
        <w:t>特别情况说明：</w:t>
      </w:r>
    </w:p>
    <w:p w14:paraId="7FECD944">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（1）本项目采用电子交易，如遇“新疆政府采购云平台”电子化开标或评审程序调整的，按调整后程序执行。</w:t>
      </w:r>
    </w:p>
    <w:p w14:paraId="06564AB3">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kern w:val="0"/>
          <w:szCs w:val="21"/>
          <w:highlight w:val="none"/>
          <w:u w:val="single"/>
        </w:rPr>
        <w:t>请供应商保证办理投标事宜人员电话畅通、网络在线，签字或盖章确认的时间为20分钟。如未及时签字或盖章确认的，视为无异议</w:t>
      </w:r>
      <w:r>
        <w:rPr>
          <w:rFonts w:hint="eastAsia" w:ascii="宋体" w:hAnsi="宋体" w:cs="宋体"/>
          <w:b/>
          <w:kern w:val="0"/>
          <w:szCs w:val="21"/>
          <w:highlight w:val="none"/>
        </w:rPr>
        <w:t>。</w:t>
      </w:r>
    </w:p>
    <w:p w14:paraId="282E2E02">
      <w:pPr>
        <w:snapToGrid w:val="0"/>
        <w:spacing w:line="360" w:lineRule="auto"/>
        <w:ind w:firstLine="420" w:firstLineChars="200"/>
        <w:rPr>
          <w:rFonts w:ascii="宋体" w:hAnsi="宋体" w:cs="宋体"/>
          <w:b/>
          <w:kern w:val="0"/>
          <w:szCs w:val="21"/>
          <w:highlight w:val="none"/>
        </w:rPr>
      </w:pPr>
      <w:r>
        <w:rPr>
          <w:rFonts w:hint="eastAsia" w:ascii="宋体" w:hAnsi="宋体" w:cs="宋体"/>
          <w:b/>
          <w:kern w:val="0"/>
          <w:szCs w:val="21"/>
          <w:highlight w:val="none"/>
        </w:rPr>
        <w:t>29.3 投标供应商资格审查：</w:t>
      </w:r>
    </w:p>
    <w:p w14:paraId="26A46A9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Cs/>
          <w:kern w:val="0"/>
          <w:szCs w:val="21"/>
          <w:highlight w:val="none"/>
        </w:rPr>
        <w:t>开标（标书信息开启）后，采购人或采购代理机构或</w:t>
      </w:r>
      <w:r>
        <w:rPr>
          <w:rFonts w:hint="eastAsia" w:ascii="宋体" w:hAnsi="宋体" w:cs="宋体"/>
          <w:kern w:val="0"/>
          <w:szCs w:val="21"/>
          <w:highlight w:val="none"/>
        </w:rPr>
        <w:t>评审小组</w:t>
      </w:r>
      <w:r>
        <w:rPr>
          <w:rFonts w:hint="eastAsia" w:ascii="宋体" w:hAnsi="宋体" w:cs="宋体"/>
          <w:bCs/>
          <w:kern w:val="0"/>
          <w:szCs w:val="21"/>
          <w:highlight w:val="none"/>
        </w:rPr>
        <w:t>首先依法对投标供应商的资格文件进行审查，审查各投标供应商的资格符合情况。</w:t>
      </w:r>
      <w:r>
        <w:rPr>
          <w:rFonts w:hint="eastAsia" w:ascii="宋体" w:hAnsi="宋体" w:cs="宋体"/>
          <w:szCs w:val="21"/>
          <w:highlight w:val="none"/>
        </w:rPr>
        <w:t>采购人或采购代理机构</w:t>
      </w:r>
      <w:r>
        <w:rPr>
          <w:rFonts w:hint="eastAsia" w:ascii="宋体" w:hAnsi="宋体" w:cs="宋体"/>
          <w:bCs/>
          <w:kern w:val="0"/>
          <w:szCs w:val="21"/>
          <w:highlight w:val="none"/>
        </w:rPr>
        <w:t>或</w:t>
      </w:r>
      <w:r>
        <w:rPr>
          <w:rFonts w:hint="eastAsia" w:ascii="宋体" w:hAnsi="宋体" w:cs="宋体"/>
          <w:kern w:val="0"/>
          <w:szCs w:val="21"/>
          <w:highlight w:val="none"/>
        </w:rPr>
        <w:t>评审小组</w:t>
      </w:r>
      <w:r>
        <w:rPr>
          <w:rFonts w:hint="eastAsia" w:ascii="宋体" w:hAnsi="宋体" w:cs="宋体"/>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030CDA9C">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F8B1935">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（3）供应商信用记录查询与使用：见《供应商须知前附表》。</w:t>
      </w:r>
    </w:p>
    <w:p w14:paraId="64E8F75F">
      <w:pPr>
        <w:widowControl/>
        <w:spacing w:line="440" w:lineRule="exact"/>
        <w:ind w:firstLine="210" w:firstLineChars="100"/>
        <w:rPr>
          <w:rFonts w:ascii="宋体"/>
          <w:szCs w:val="21"/>
          <w:highlight w:val="none"/>
        </w:rPr>
      </w:pPr>
      <w:r>
        <w:rPr>
          <w:rFonts w:hint="eastAsia" w:ascii="宋体"/>
          <w:szCs w:val="21"/>
          <w:highlight w:val="none"/>
        </w:rPr>
        <w:t>30.评审工作的组织</w:t>
      </w:r>
    </w:p>
    <w:p w14:paraId="38B1D049">
      <w:pPr>
        <w:widowControl/>
        <w:spacing w:line="440" w:lineRule="exact"/>
        <w:ind w:firstLine="210" w:firstLineChars="100"/>
        <w:rPr>
          <w:rFonts w:ascii="宋体"/>
          <w:szCs w:val="21"/>
          <w:highlight w:val="none"/>
        </w:rPr>
      </w:pPr>
      <w:r>
        <w:rPr>
          <w:rFonts w:hint="eastAsia" w:ascii="宋体"/>
          <w:szCs w:val="21"/>
          <w:highlight w:val="none"/>
        </w:rPr>
        <w:t>采购人或采购代理机构负责组织本项目的评审工作，并依据《政府采购货物和服务招标投标管理办法（财政部第87号令）》第四十五条的相关规定履行职责。</w:t>
      </w:r>
    </w:p>
    <w:p w14:paraId="2A843475">
      <w:pPr>
        <w:widowControl/>
        <w:spacing w:line="440" w:lineRule="exact"/>
        <w:ind w:firstLine="210" w:firstLineChars="100"/>
        <w:rPr>
          <w:rFonts w:ascii="宋体"/>
          <w:szCs w:val="21"/>
          <w:highlight w:val="none"/>
        </w:rPr>
      </w:pPr>
      <w:r>
        <w:rPr>
          <w:rFonts w:hint="eastAsia" w:ascii="宋体"/>
          <w:szCs w:val="21"/>
          <w:highlight w:val="none"/>
        </w:rPr>
        <w:t>31. 评标委员会的组建</w:t>
      </w:r>
    </w:p>
    <w:p w14:paraId="2F9202C4">
      <w:pPr>
        <w:widowControl/>
        <w:spacing w:line="440" w:lineRule="exact"/>
        <w:ind w:firstLine="210" w:firstLineChars="100"/>
        <w:rPr>
          <w:rFonts w:ascii="宋体"/>
          <w:szCs w:val="21"/>
          <w:highlight w:val="none"/>
        </w:rPr>
      </w:pPr>
      <w:r>
        <w:rPr>
          <w:rFonts w:hint="eastAsia" w:ascii="宋体"/>
          <w:szCs w:val="21"/>
          <w:highlight w:val="none"/>
        </w:rPr>
        <w:t>31.1评标委员会由采购人或采购代理机构依法组建，成员由采购人代表和评审专家组成，成员人数为</w:t>
      </w:r>
      <w:r>
        <w:rPr>
          <w:rFonts w:hint="eastAsia" w:ascii="宋体"/>
          <w:szCs w:val="21"/>
          <w:highlight w:val="none"/>
          <w:lang w:val="en-US" w:eastAsia="zh-CN"/>
        </w:rPr>
        <w:t>3</w:t>
      </w:r>
      <w:r>
        <w:rPr>
          <w:rFonts w:hint="eastAsia" w:ascii="宋体"/>
          <w:szCs w:val="21"/>
          <w:highlight w:val="none"/>
        </w:rPr>
        <w:t>人或以上单数，其中评审专家不少于成员总数的三分之二。</w:t>
      </w:r>
    </w:p>
    <w:p w14:paraId="6EDBB91B">
      <w:pPr>
        <w:widowControl/>
        <w:spacing w:line="440" w:lineRule="exact"/>
        <w:ind w:firstLine="210" w:firstLineChars="100"/>
        <w:rPr>
          <w:rFonts w:ascii="宋体"/>
          <w:szCs w:val="21"/>
          <w:highlight w:val="none"/>
        </w:rPr>
      </w:pPr>
      <w:r>
        <w:rPr>
          <w:rFonts w:hint="eastAsia" w:ascii="宋体"/>
          <w:szCs w:val="21"/>
          <w:highlight w:val="none"/>
        </w:rPr>
        <w:t>31.2评审专家从新疆政府采购云平台专家库中通过随机方式抽取产生。评标委员会成员名单在采购结果公告前保密。</w:t>
      </w:r>
    </w:p>
    <w:p w14:paraId="3A0272CF">
      <w:pPr>
        <w:widowControl/>
        <w:spacing w:line="440" w:lineRule="exact"/>
        <w:ind w:firstLine="210" w:firstLineChars="100"/>
        <w:rPr>
          <w:rFonts w:ascii="宋体"/>
          <w:szCs w:val="21"/>
          <w:highlight w:val="none"/>
        </w:rPr>
      </w:pPr>
      <w:r>
        <w:rPr>
          <w:rFonts w:hint="eastAsia" w:ascii="宋体"/>
          <w:szCs w:val="21"/>
          <w:highlight w:val="none"/>
        </w:rPr>
        <w:t>32.评标委员会的职责</w:t>
      </w:r>
    </w:p>
    <w:p w14:paraId="3EA40ED9">
      <w:pPr>
        <w:widowControl/>
        <w:spacing w:line="440" w:lineRule="exact"/>
        <w:ind w:firstLine="210" w:firstLineChars="100"/>
        <w:rPr>
          <w:rFonts w:ascii="宋体"/>
          <w:szCs w:val="21"/>
          <w:highlight w:val="none"/>
        </w:rPr>
      </w:pPr>
      <w:r>
        <w:rPr>
          <w:rFonts w:hint="eastAsia" w:ascii="宋体"/>
          <w:szCs w:val="21"/>
          <w:highlight w:val="none"/>
        </w:rPr>
        <w:t>32.1审查、评价投标文件是否符合采购文件的商务、技术等实质性要求。</w:t>
      </w:r>
    </w:p>
    <w:p w14:paraId="2E9363E5">
      <w:pPr>
        <w:widowControl/>
        <w:spacing w:line="440" w:lineRule="exact"/>
        <w:ind w:firstLine="210" w:firstLineChars="100"/>
        <w:rPr>
          <w:rFonts w:ascii="宋体"/>
          <w:szCs w:val="21"/>
          <w:highlight w:val="none"/>
        </w:rPr>
      </w:pPr>
      <w:r>
        <w:rPr>
          <w:rFonts w:hint="eastAsia" w:ascii="宋体"/>
          <w:szCs w:val="21"/>
          <w:highlight w:val="none"/>
        </w:rPr>
        <w:t>32.2要求供应商对投标文件有关事项作出澄清或者说明。</w:t>
      </w:r>
    </w:p>
    <w:p w14:paraId="19874AF0">
      <w:pPr>
        <w:widowControl/>
        <w:spacing w:line="440" w:lineRule="exact"/>
        <w:ind w:firstLine="210" w:firstLineChars="100"/>
        <w:rPr>
          <w:rFonts w:ascii="宋体"/>
          <w:szCs w:val="21"/>
          <w:highlight w:val="none"/>
        </w:rPr>
      </w:pPr>
      <w:r>
        <w:rPr>
          <w:rFonts w:hint="eastAsia" w:ascii="宋体"/>
          <w:szCs w:val="21"/>
          <w:highlight w:val="none"/>
        </w:rPr>
        <w:t>32.3对投标文件进行比较和评价。</w:t>
      </w:r>
    </w:p>
    <w:p w14:paraId="0E75F2B4">
      <w:pPr>
        <w:widowControl/>
        <w:spacing w:line="440" w:lineRule="exact"/>
        <w:ind w:firstLine="210" w:firstLineChars="100"/>
        <w:rPr>
          <w:rFonts w:ascii="宋体"/>
          <w:szCs w:val="21"/>
          <w:highlight w:val="none"/>
        </w:rPr>
      </w:pPr>
      <w:r>
        <w:rPr>
          <w:rFonts w:hint="eastAsia" w:ascii="宋体"/>
          <w:szCs w:val="21"/>
          <w:highlight w:val="none"/>
        </w:rPr>
        <w:t>32.4确定中标候选人名单，以及根据采购人委托直接确定中标人。</w:t>
      </w:r>
    </w:p>
    <w:p w14:paraId="007C5A3A">
      <w:pPr>
        <w:widowControl/>
        <w:spacing w:line="440" w:lineRule="exact"/>
        <w:ind w:firstLine="210" w:firstLineChars="100"/>
        <w:rPr>
          <w:rFonts w:ascii="宋体"/>
          <w:szCs w:val="21"/>
          <w:highlight w:val="none"/>
        </w:rPr>
      </w:pPr>
      <w:r>
        <w:rPr>
          <w:rFonts w:hint="eastAsia" w:ascii="宋体"/>
          <w:szCs w:val="21"/>
          <w:highlight w:val="none"/>
        </w:rPr>
        <w:t>32.5向采购人、采购代理机构或者有关部门报告评审中发现的违法行为。</w:t>
      </w:r>
    </w:p>
    <w:p w14:paraId="04ED85C7">
      <w:pPr>
        <w:widowControl/>
        <w:spacing w:line="440" w:lineRule="exact"/>
        <w:ind w:firstLine="210" w:firstLineChars="100"/>
        <w:rPr>
          <w:rFonts w:ascii="宋体"/>
          <w:szCs w:val="21"/>
          <w:highlight w:val="none"/>
        </w:rPr>
      </w:pPr>
      <w:r>
        <w:rPr>
          <w:rFonts w:hint="eastAsia" w:ascii="宋体"/>
          <w:szCs w:val="21"/>
          <w:highlight w:val="none"/>
        </w:rPr>
        <w:t>33. 评标原则</w:t>
      </w:r>
    </w:p>
    <w:p w14:paraId="744B2AE7">
      <w:pPr>
        <w:widowControl/>
        <w:spacing w:line="440" w:lineRule="exact"/>
        <w:ind w:firstLine="210" w:firstLineChars="100"/>
        <w:rPr>
          <w:rFonts w:ascii="宋体"/>
          <w:szCs w:val="21"/>
          <w:highlight w:val="none"/>
        </w:rPr>
      </w:pPr>
      <w:r>
        <w:rPr>
          <w:rFonts w:hint="eastAsia" w:ascii="宋体"/>
          <w:szCs w:val="21"/>
          <w:highlight w:val="none"/>
        </w:rPr>
        <w:t>33.1评标委员会将遵循公平、公正、科学的原则，对供应商提交的投标文件进行综合评审，评标委员会按照采购文件规定的评标细则进行评分。</w:t>
      </w:r>
    </w:p>
    <w:p w14:paraId="62087A6A">
      <w:pPr>
        <w:widowControl/>
        <w:spacing w:line="440" w:lineRule="exact"/>
        <w:ind w:firstLine="210" w:firstLineChars="100"/>
        <w:rPr>
          <w:rFonts w:ascii="宋体"/>
          <w:szCs w:val="21"/>
          <w:highlight w:val="none"/>
        </w:rPr>
      </w:pPr>
      <w:r>
        <w:rPr>
          <w:rFonts w:hint="eastAsia" w:ascii="宋体"/>
          <w:szCs w:val="21"/>
          <w:highlight w:val="none"/>
        </w:rPr>
        <w:t xml:space="preserve">33.2客观公正对待所有供应商，对所有投标评价均采用相同的程序和标准。 </w:t>
      </w:r>
    </w:p>
    <w:p w14:paraId="0C1FBC6D">
      <w:pPr>
        <w:widowControl/>
        <w:spacing w:line="440" w:lineRule="exact"/>
        <w:ind w:firstLine="210" w:firstLineChars="100"/>
        <w:rPr>
          <w:rFonts w:ascii="宋体"/>
          <w:szCs w:val="21"/>
          <w:highlight w:val="none"/>
        </w:rPr>
      </w:pPr>
      <w:r>
        <w:rPr>
          <w:rFonts w:hint="eastAsia" w:ascii="宋体"/>
          <w:szCs w:val="21"/>
          <w:highlight w:val="none"/>
        </w:rPr>
        <w:t>33.3评标委员会成员对需要共同认定的事项存在争议的，按照少数服从多数的原则作出结论。持不同意见的评标委员会成员应当在评审报告上签署不同意见及理由，否则视为同意评审报告。</w:t>
      </w:r>
    </w:p>
    <w:p w14:paraId="266C8034">
      <w:pPr>
        <w:widowControl/>
        <w:spacing w:line="440" w:lineRule="exact"/>
        <w:ind w:firstLine="210" w:firstLineChars="100"/>
        <w:rPr>
          <w:rFonts w:ascii="宋体"/>
          <w:szCs w:val="21"/>
          <w:highlight w:val="none"/>
        </w:rPr>
      </w:pPr>
      <w:r>
        <w:rPr>
          <w:rFonts w:hint="eastAsia" w:ascii="宋体"/>
          <w:szCs w:val="21"/>
          <w:highlight w:val="none"/>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2E12D86">
      <w:pPr>
        <w:widowControl/>
        <w:spacing w:line="440" w:lineRule="exact"/>
        <w:ind w:firstLine="210" w:firstLineChars="100"/>
        <w:rPr>
          <w:rFonts w:ascii="宋体"/>
          <w:szCs w:val="21"/>
          <w:highlight w:val="none"/>
        </w:rPr>
      </w:pPr>
      <w:r>
        <w:rPr>
          <w:rFonts w:hint="eastAsia" w:ascii="宋体"/>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336AA486">
      <w:pPr>
        <w:widowControl/>
        <w:spacing w:line="440" w:lineRule="exact"/>
        <w:ind w:firstLine="210" w:firstLineChars="100"/>
        <w:rPr>
          <w:rFonts w:ascii="宋体"/>
          <w:szCs w:val="21"/>
          <w:highlight w:val="none"/>
        </w:rPr>
      </w:pPr>
      <w:r>
        <w:rPr>
          <w:rFonts w:hint="eastAsia" w:ascii="宋体"/>
          <w:szCs w:val="21"/>
          <w:highlight w:val="none"/>
        </w:rPr>
        <w:t>34. 评委纪律</w:t>
      </w:r>
    </w:p>
    <w:p w14:paraId="2CC3B131">
      <w:pPr>
        <w:widowControl/>
        <w:spacing w:line="440" w:lineRule="exact"/>
        <w:ind w:firstLine="210" w:firstLineChars="100"/>
        <w:rPr>
          <w:rFonts w:ascii="宋体"/>
          <w:szCs w:val="21"/>
          <w:highlight w:val="none"/>
        </w:rPr>
      </w:pPr>
      <w:r>
        <w:rPr>
          <w:rFonts w:hint="eastAsia" w:ascii="宋体"/>
          <w:szCs w:val="21"/>
          <w:highlight w:val="none"/>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12884A70">
      <w:pPr>
        <w:widowControl/>
        <w:spacing w:line="440" w:lineRule="exact"/>
        <w:ind w:firstLine="210" w:firstLineChars="100"/>
        <w:rPr>
          <w:rFonts w:ascii="宋体"/>
          <w:szCs w:val="21"/>
          <w:highlight w:val="none"/>
        </w:rPr>
      </w:pPr>
      <w:r>
        <w:rPr>
          <w:rFonts w:hint="eastAsia" w:ascii="宋体"/>
          <w:szCs w:val="21"/>
          <w:highlight w:val="none"/>
        </w:rPr>
        <w:t>35.评标程序</w:t>
      </w:r>
    </w:p>
    <w:p w14:paraId="1CD86762">
      <w:pPr>
        <w:widowControl/>
        <w:spacing w:line="440" w:lineRule="exact"/>
        <w:ind w:firstLine="210" w:firstLineChars="100"/>
        <w:rPr>
          <w:rFonts w:ascii="宋体"/>
          <w:szCs w:val="21"/>
          <w:highlight w:val="none"/>
        </w:rPr>
      </w:pPr>
      <w:r>
        <w:rPr>
          <w:rFonts w:hint="eastAsia" w:ascii="宋体"/>
          <w:szCs w:val="21"/>
          <w:highlight w:val="none"/>
        </w:rPr>
        <w:t>35.1 在评审专家中推选评标委员会组长，采购人代表不得担任评标委员会组长。</w:t>
      </w:r>
    </w:p>
    <w:p w14:paraId="7B12430C">
      <w:pPr>
        <w:widowControl/>
        <w:spacing w:line="440" w:lineRule="exact"/>
        <w:ind w:firstLine="210" w:firstLineChars="100"/>
        <w:rPr>
          <w:rFonts w:ascii="宋体"/>
          <w:szCs w:val="21"/>
          <w:highlight w:val="none"/>
        </w:rPr>
      </w:pPr>
      <w:r>
        <w:rPr>
          <w:rFonts w:hint="eastAsia" w:ascii="宋体"/>
          <w:szCs w:val="21"/>
          <w:highlight w:val="none"/>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3116851">
      <w:pPr>
        <w:widowControl/>
        <w:spacing w:line="440" w:lineRule="exact"/>
        <w:ind w:firstLine="210" w:firstLineChars="100"/>
        <w:rPr>
          <w:rFonts w:ascii="宋体"/>
          <w:szCs w:val="21"/>
          <w:highlight w:val="none"/>
        </w:rPr>
      </w:pPr>
      <w:r>
        <w:rPr>
          <w:rFonts w:hint="eastAsia" w:ascii="宋体"/>
          <w:szCs w:val="21"/>
          <w:highlight w:val="none"/>
        </w:rPr>
        <w:t>35.3 评审人员对符合资格的供应商的投标文件的有效性、符合性、完整性和响应程度进行审查，确定是否对采购文件作出实质性响应。</w:t>
      </w:r>
    </w:p>
    <w:p w14:paraId="73205AC0">
      <w:pPr>
        <w:widowControl/>
        <w:spacing w:line="440" w:lineRule="exact"/>
        <w:ind w:firstLine="210" w:firstLineChars="100"/>
        <w:rPr>
          <w:rFonts w:ascii="宋体"/>
          <w:szCs w:val="21"/>
          <w:highlight w:val="none"/>
        </w:rPr>
      </w:pPr>
      <w:r>
        <w:rPr>
          <w:rFonts w:hint="eastAsia" w:ascii="宋体"/>
          <w:szCs w:val="21"/>
          <w:highlight w:val="none"/>
        </w:rPr>
        <w:t>35.4 评审人员按采购文件规定的评审方法和评审标准，依法独立对供应商投标文件进行评估、比较，并给予评价或打分，不受任何单位和个人的干预。</w:t>
      </w:r>
    </w:p>
    <w:p w14:paraId="07B87583">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35.5符合性审查。</w:t>
      </w:r>
      <w:r>
        <w:rPr>
          <w:rFonts w:hint="eastAsia" w:ascii="宋体" w:hAnsi="宋体" w:cs="宋体"/>
          <w:kern w:val="0"/>
          <w:szCs w:val="21"/>
          <w:highlight w:val="none"/>
        </w:rPr>
        <w:t>磋商小组应当对符合资格的磋商供应商的磋商响应文件进行符合性审查，以确定其是否满足采购文件的实质性要求。不满足采购文件的实质性要求的，投标无效。</w:t>
      </w:r>
    </w:p>
    <w:p w14:paraId="27763093">
      <w:pPr>
        <w:adjustRightInd w:val="0"/>
        <w:spacing w:line="360" w:lineRule="auto"/>
        <w:ind w:firstLine="411" w:firstLineChars="196"/>
        <w:rPr>
          <w:rFonts w:ascii="宋体"/>
          <w:szCs w:val="21"/>
          <w:highlight w:val="none"/>
        </w:rPr>
      </w:pPr>
      <w:r>
        <w:rPr>
          <w:rFonts w:hint="eastAsia" w:ascii="宋体"/>
          <w:szCs w:val="21"/>
          <w:highlight w:val="none"/>
        </w:rPr>
        <w:t>35.6与各磋商响应方进行磋商。</w:t>
      </w:r>
    </w:p>
    <w:p w14:paraId="05B874B6">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2536208E">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2.经磋商确定采购文件的变动情况。对采购文件作出的实质性变动是采购文件的有效组成部分，磋商小组应当及时以书面形式同时通知所有参加磋商的供应商。</w:t>
      </w:r>
    </w:p>
    <w:p w14:paraId="3AD27842">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62A2BED6">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4.各磋商响应方在本项目全部磋商结束后在规定时间内进行最后报价（供应商需在30分钟内线上提交最终报价）。</w:t>
      </w:r>
    </w:p>
    <w:p w14:paraId="1B21837E">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35.7汇总商务技术得分。</w:t>
      </w:r>
      <w:r>
        <w:rPr>
          <w:rFonts w:hint="eastAsia" w:ascii="宋体" w:hAnsi="宋体" w:cs="宋体"/>
          <w:kern w:val="0"/>
          <w:szCs w:val="21"/>
          <w:highlight w:val="none"/>
        </w:rPr>
        <w:t>磋商小组各成员应当独立对每个磋商供应商的商务和技术文件进行评价，并汇总商务技术得分情况。</w:t>
      </w:r>
    </w:p>
    <w:p w14:paraId="176545DD">
      <w:pPr>
        <w:adjustRightInd w:val="0"/>
        <w:spacing w:line="360" w:lineRule="auto"/>
        <w:ind w:firstLine="411" w:firstLineChars="196"/>
        <w:rPr>
          <w:rFonts w:ascii="宋体"/>
          <w:szCs w:val="21"/>
          <w:highlight w:val="none"/>
        </w:rPr>
      </w:pPr>
      <w:r>
        <w:rPr>
          <w:rFonts w:hint="eastAsia" w:ascii="宋体"/>
          <w:szCs w:val="21"/>
          <w:highlight w:val="none"/>
        </w:rPr>
        <w:t>35.8报价评审。</w:t>
      </w:r>
    </w:p>
    <w:p w14:paraId="0C1141BB">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1.磋商响应文件报价出现前后不一致的，按照下列规定修正：</w:t>
      </w:r>
    </w:p>
    <w:p w14:paraId="2457A94E">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2.磋商响应文件中开标一览表(报价表)内容与磋商响应文件中相应内容不一致的，以开标一览表(报价表)为准;</w:t>
      </w:r>
    </w:p>
    <w:p w14:paraId="4056A3D6">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3.大写金额和小写金额不一致的，以大写金额为准;</w:t>
      </w:r>
    </w:p>
    <w:p w14:paraId="59538339">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4.单价金额小数点或者百分比有明显错位的，以开标一览表的总价为准，并修改单价;</w:t>
      </w:r>
    </w:p>
    <w:p w14:paraId="6DF5C4F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5.总价金额与按单价汇总金额不一致的，以单价金额计算结果为准。</w:t>
      </w:r>
    </w:p>
    <w:p w14:paraId="485B670E">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6.同时出现两种以上不一致的，按照规定的顺序修正。</w:t>
      </w:r>
    </w:p>
    <w:p w14:paraId="17A58F61">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7.磋商响应文件出现不是唯一的、有选择性投标报价的，投标无效。</w:t>
      </w:r>
    </w:p>
    <w:p w14:paraId="41664797">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8.投标报价超过采购文件中规定的预算金额或者最高限价的，投标无效。</w:t>
      </w:r>
    </w:p>
    <w:p w14:paraId="50701C5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21FA6B3C">
      <w:pPr>
        <w:widowControl/>
        <w:spacing w:line="440" w:lineRule="exact"/>
        <w:ind w:firstLine="420" w:firstLineChars="200"/>
        <w:rPr>
          <w:rFonts w:ascii="宋体" w:hAnsi="宋体" w:cs="宋体"/>
          <w:kern w:val="0"/>
          <w:szCs w:val="21"/>
          <w:highlight w:val="none"/>
        </w:rPr>
      </w:pPr>
      <w:r>
        <w:rPr>
          <w:rFonts w:hint="eastAsia" w:ascii="宋体"/>
          <w:szCs w:val="21"/>
          <w:highlight w:val="none"/>
        </w:rPr>
        <w:t>35.9排序与推荐。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14:paraId="60C4ECE6">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1ED8CE">
      <w:pPr>
        <w:rPr>
          <w:highlight w:val="none"/>
        </w:rPr>
      </w:pPr>
    </w:p>
    <w:p w14:paraId="36D2CC1C">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综合评分法</w:t>
      </w:r>
      <w:r>
        <w:rPr>
          <w:rFonts w:hint="eastAsia" w:ascii="宋体" w:hAnsi="宋体" w:cs="宋体"/>
          <w:kern w:val="0"/>
          <w:szCs w:val="21"/>
          <w:highlight w:val="none"/>
          <w:lang w:eastAsia="zh-CN"/>
        </w:rPr>
        <w:t>服务</w:t>
      </w:r>
      <w:r>
        <w:rPr>
          <w:rFonts w:hint="eastAsia" w:ascii="宋体" w:hAnsi="宋体" w:cs="宋体"/>
          <w:kern w:val="0"/>
          <w:szCs w:val="21"/>
          <w:highlight w:val="none"/>
        </w:rPr>
        <w:t>项目的价格分值占总分值的比重(即权值)</w:t>
      </w:r>
      <w:r>
        <w:rPr>
          <w:rFonts w:hint="eastAsia" w:ascii="宋体" w:hAnsi="宋体" w:cs="宋体"/>
          <w:color w:val="auto"/>
          <w:kern w:val="0"/>
          <w:szCs w:val="21"/>
          <w:highlight w:val="none"/>
        </w:rPr>
        <w:t>为</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kern w:val="0"/>
          <w:szCs w:val="21"/>
          <w:highlight w:val="none"/>
        </w:rPr>
        <w:t>，采购项目中含不同采购对象的，以占项目资金比例最高的采购对象确定其项目属性。其价格不列为评分因素，有特殊情况需要在上述规定范围外设定价格分权重的。</w:t>
      </w:r>
    </w:p>
    <w:p w14:paraId="5895849C">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的供应商的价格为招标基准价，其价格分为满分。其他供应商的价格分统一按照下列公式计算：</w:t>
      </w:r>
    </w:p>
    <w:p w14:paraId="6890CF99">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投标报价得分=（基准价/投标报价）×价格权值×100</w:t>
      </w:r>
    </w:p>
    <w:p w14:paraId="7C64C69D">
      <w:pPr>
        <w:widowControl/>
        <w:spacing w:line="440" w:lineRule="exact"/>
        <w:ind w:firstLine="480"/>
        <w:rPr>
          <w:rFonts w:ascii="宋体"/>
          <w:szCs w:val="21"/>
          <w:highlight w:val="none"/>
        </w:rPr>
      </w:pPr>
      <w:r>
        <w:rPr>
          <w:rFonts w:hint="eastAsia" w:ascii="宋体" w:hAnsi="宋体" w:cs="宋体"/>
          <w:kern w:val="0"/>
          <w:szCs w:val="21"/>
          <w:highlight w:val="none"/>
        </w:rPr>
        <w:t>项目评审过程中，不得去掉最后报价中的最高报价和最低报价。</w:t>
      </w:r>
    </w:p>
    <w:p w14:paraId="0220D0F7">
      <w:pPr>
        <w:widowControl/>
        <w:spacing w:line="440" w:lineRule="exact"/>
        <w:ind w:firstLine="210" w:firstLineChars="100"/>
        <w:rPr>
          <w:rFonts w:ascii="宋体"/>
          <w:szCs w:val="21"/>
          <w:highlight w:val="none"/>
        </w:rPr>
      </w:pPr>
      <w:r>
        <w:rPr>
          <w:rFonts w:hint="eastAsia" w:ascii="宋体"/>
          <w:szCs w:val="21"/>
          <w:highlight w:val="none"/>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27157AF">
      <w:pPr>
        <w:widowControl/>
        <w:spacing w:line="440" w:lineRule="exact"/>
        <w:ind w:firstLine="210" w:firstLineChars="100"/>
        <w:rPr>
          <w:rFonts w:ascii="宋体"/>
          <w:szCs w:val="21"/>
          <w:highlight w:val="none"/>
        </w:rPr>
      </w:pPr>
      <w:r>
        <w:rPr>
          <w:rFonts w:hint="eastAsia" w:ascii="宋体"/>
          <w:szCs w:val="21"/>
          <w:highlight w:val="none"/>
        </w:rPr>
        <w:t>35.6 评审人员需对采购方工作人员唱票或统计的评审结果进行确认，现场监督员应对评审结果签署监督意见。如发现分值汇总计算错误、分项评分超出评分标准范围、客观评分不一致以及存在评分畸高、畸低（其总评分偏</w:t>
      </w:r>
      <w:r>
        <w:rPr>
          <w:rFonts w:hint="eastAsia" w:ascii="宋体"/>
          <w:color w:val="auto"/>
          <w:szCs w:val="21"/>
          <w:highlight w:val="none"/>
        </w:rPr>
        <w:t>离平均分30%以上的）情</w:t>
      </w:r>
      <w:r>
        <w:rPr>
          <w:rFonts w:hint="eastAsia" w:ascii="宋体"/>
          <w:szCs w:val="21"/>
          <w:highlight w:val="none"/>
        </w:rPr>
        <w:t>形的，应由相关人员当场改正或作出书面说明；拒不改正又不作书面说明的，由现场监督员如实记载后存入项目档案资料。</w:t>
      </w:r>
    </w:p>
    <w:p w14:paraId="75A28311">
      <w:pPr>
        <w:widowControl/>
        <w:spacing w:line="440" w:lineRule="exact"/>
        <w:ind w:firstLine="210" w:firstLineChars="100"/>
        <w:rPr>
          <w:rFonts w:ascii="宋体"/>
          <w:szCs w:val="21"/>
          <w:highlight w:val="none"/>
        </w:rPr>
      </w:pPr>
      <w:r>
        <w:rPr>
          <w:rFonts w:hint="eastAsia" w:ascii="宋体"/>
          <w:szCs w:val="21"/>
          <w:highlight w:val="none"/>
        </w:rPr>
        <w:t>35.7 评标委员会根据评审汇总情况和采购文件规定确定中标候选供应商排序名单。</w:t>
      </w:r>
    </w:p>
    <w:p w14:paraId="03E3F9C8">
      <w:pPr>
        <w:widowControl/>
        <w:spacing w:line="440" w:lineRule="exact"/>
        <w:ind w:firstLine="210" w:firstLineChars="100"/>
        <w:rPr>
          <w:rFonts w:ascii="宋体"/>
          <w:szCs w:val="21"/>
          <w:highlight w:val="none"/>
        </w:rPr>
      </w:pPr>
      <w:r>
        <w:rPr>
          <w:rFonts w:hint="eastAsia" w:ascii="宋体"/>
          <w:szCs w:val="21"/>
          <w:highlight w:val="none"/>
        </w:rPr>
        <w:t xml:space="preserve">35.8 起草评审报告，所有评审人员须在评审报告上签字确认，对自己的评审意见承担法律责任。 </w:t>
      </w:r>
    </w:p>
    <w:p w14:paraId="4F43F4BC">
      <w:pPr>
        <w:widowControl/>
        <w:spacing w:line="440" w:lineRule="exact"/>
        <w:ind w:firstLine="210" w:firstLineChars="100"/>
        <w:rPr>
          <w:rFonts w:ascii="宋体"/>
          <w:szCs w:val="21"/>
          <w:highlight w:val="none"/>
        </w:rPr>
      </w:pPr>
      <w:r>
        <w:rPr>
          <w:rFonts w:hint="eastAsia" w:ascii="宋体"/>
          <w:szCs w:val="21"/>
          <w:highlight w:val="none"/>
        </w:rPr>
        <w:t>35.9 采购组织机构对评标委员会评审专家进行评价。</w:t>
      </w:r>
    </w:p>
    <w:p w14:paraId="68793830">
      <w:pPr>
        <w:widowControl/>
        <w:spacing w:line="440" w:lineRule="exact"/>
        <w:ind w:firstLine="210" w:firstLineChars="100"/>
        <w:rPr>
          <w:rFonts w:ascii="宋体"/>
          <w:szCs w:val="21"/>
          <w:highlight w:val="none"/>
        </w:rPr>
      </w:pPr>
      <w:r>
        <w:rPr>
          <w:rFonts w:hint="eastAsia" w:ascii="宋体"/>
          <w:szCs w:val="21"/>
          <w:highlight w:val="none"/>
        </w:rPr>
        <w:t>35.10 修改评审结果</w:t>
      </w:r>
    </w:p>
    <w:p w14:paraId="02A998C4">
      <w:pPr>
        <w:widowControl/>
        <w:spacing w:line="440" w:lineRule="exact"/>
        <w:ind w:firstLine="210" w:firstLineChars="100"/>
        <w:rPr>
          <w:rFonts w:ascii="宋体"/>
          <w:szCs w:val="21"/>
          <w:highlight w:val="none"/>
        </w:rPr>
      </w:pPr>
      <w:r>
        <w:rPr>
          <w:rFonts w:hint="eastAsia" w:ascii="宋体"/>
          <w:szCs w:val="21"/>
          <w:highlight w:val="none"/>
        </w:rPr>
        <w:t>评标结果汇总完成后，除下列情形外，任何人不得修改评标结果：</w:t>
      </w:r>
    </w:p>
    <w:p w14:paraId="638E71E9">
      <w:pPr>
        <w:widowControl/>
        <w:spacing w:line="440" w:lineRule="exact"/>
        <w:ind w:firstLine="210" w:firstLineChars="100"/>
        <w:rPr>
          <w:rFonts w:ascii="宋体"/>
          <w:szCs w:val="21"/>
          <w:highlight w:val="none"/>
        </w:rPr>
      </w:pPr>
      <w:r>
        <w:rPr>
          <w:rFonts w:hint="eastAsia" w:ascii="宋体"/>
          <w:szCs w:val="21"/>
          <w:highlight w:val="none"/>
        </w:rPr>
        <w:t>（1）分值汇总计算错误的；</w:t>
      </w:r>
    </w:p>
    <w:p w14:paraId="591EDEBC">
      <w:pPr>
        <w:widowControl/>
        <w:spacing w:line="440" w:lineRule="exact"/>
        <w:ind w:firstLine="210" w:firstLineChars="100"/>
        <w:rPr>
          <w:rFonts w:ascii="宋体"/>
          <w:szCs w:val="21"/>
          <w:highlight w:val="none"/>
        </w:rPr>
      </w:pPr>
      <w:r>
        <w:rPr>
          <w:rFonts w:hint="eastAsia" w:ascii="宋体"/>
          <w:szCs w:val="21"/>
          <w:highlight w:val="none"/>
        </w:rPr>
        <w:t>（2）分项评分超出评分标准范围的；</w:t>
      </w:r>
    </w:p>
    <w:p w14:paraId="3C6CA229">
      <w:pPr>
        <w:widowControl/>
        <w:spacing w:line="440" w:lineRule="exact"/>
        <w:ind w:firstLine="210" w:firstLineChars="100"/>
        <w:rPr>
          <w:rFonts w:ascii="宋体"/>
          <w:szCs w:val="21"/>
          <w:highlight w:val="none"/>
        </w:rPr>
      </w:pPr>
      <w:r>
        <w:rPr>
          <w:rFonts w:hint="eastAsia" w:ascii="宋体"/>
          <w:szCs w:val="21"/>
          <w:highlight w:val="none"/>
        </w:rPr>
        <w:t>（3）评标委员会成员对客观评审因素评分不一致的；</w:t>
      </w:r>
    </w:p>
    <w:p w14:paraId="0BDE578D">
      <w:pPr>
        <w:widowControl/>
        <w:spacing w:line="440" w:lineRule="exact"/>
        <w:ind w:firstLine="210" w:firstLineChars="100"/>
        <w:rPr>
          <w:rFonts w:ascii="宋体"/>
          <w:szCs w:val="21"/>
          <w:highlight w:val="none"/>
        </w:rPr>
      </w:pPr>
      <w:r>
        <w:rPr>
          <w:rFonts w:hint="eastAsia" w:ascii="宋体"/>
          <w:szCs w:val="21"/>
          <w:highlight w:val="none"/>
        </w:rPr>
        <w:t>（4）经评标委员会认定评分畸高、畸低的。</w:t>
      </w:r>
    </w:p>
    <w:p w14:paraId="0CD6E922">
      <w:pPr>
        <w:widowControl/>
        <w:spacing w:line="440" w:lineRule="exact"/>
        <w:ind w:firstLine="210" w:firstLineChars="100"/>
        <w:rPr>
          <w:rFonts w:ascii="宋体"/>
          <w:szCs w:val="21"/>
          <w:highlight w:val="none"/>
        </w:rPr>
      </w:pPr>
      <w:r>
        <w:rPr>
          <w:rFonts w:hint="eastAsia" w:ascii="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201FFF1">
      <w:pPr>
        <w:spacing w:line="440" w:lineRule="exact"/>
        <w:ind w:firstLine="210" w:firstLineChars="100"/>
        <w:jc w:val="left"/>
        <w:rPr>
          <w:rFonts w:ascii="宋体"/>
          <w:szCs w:val="21"/>
          <w:highlight w:val="none"/>
        </w:rPr>
      </w:pPr>
      <w:r>
        <w:rPr>
          <w:rFonts w:hint="eastAsia" w:ascii="宋体"/>
          <w:szCs w:val="21"/>
          <w:highlight w:val="none"/>
        </w:rPr>
        <w:t>36．澄清、说明或补正的形式</w:t>
      </w:r>
    </w:p>
    <w:p w14:paraId="78BBC77B">
      <w:pPr>
        <w:spacing w:line="440" w:lineRule="exact"/>
        <w:ind w:firstLine="210" w:firstLineChars="100"/>
        <w:jc w:val="left"/>
        <w:rPr>
          <w:rFonts w:ascii="宋体"/>
          <w:szCs w:val="21"/>
          <w:highlight w:val="none"/>
        </w:rPr>
      </w:pPr>
      <w:r>
        <w:rPr>
          <w:rFonts w:hint="eastAsia" w:ascii="宋体"/>
          <w:szCs w:val="21"/>
          <w:highlight w:val="none"/>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highlight w:val="none"/>
        </w:rPr>
        <w:t>投标供应商澄清、说明或补正时间为20分钟</w:t>
      </w:r>
      <w:r>
        <w:rPr>
          <w:rFonts w:hint="eastAsia" w:ascii="宋体"/>
          <w:szCs w:val="21"/>
          <w:highlight w:val="none"/>
        </w:rPr>
        <w:t>。</w:t>
      </w:r>
    </w:p>
    <w:p w14:paraId="38F003FB">
      <w:pPr>
        <w:spacing w:line="440" w:lineRule="exact"/>
        <w:ind w:firstLine="210" w:firstLineChars="100"/>
        <w:jc w:val="left"/>
        <w:rPr>
          <w:rFonts w:ascii="宋体"/>
          <w:szCs w:val="21"/>
          <w:highlight w:val="none"/>
        </w:rPr>
      </w:pPr>
      <w:r>
        <w:rPr>
          <w:rFonts w:hint="eastAsia" w:ascii="宋体"/>
          <w:szCs w:val="21"/>
          <w:highlight w:val="none"/>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698805C">
      <w:pPr>
        <w:spacing w:line="440" w:lineRule="exact"/>
        <w:ind w:firstLine="210" w:firstLineChars="100"/>
        <w:jc w:val="left"/>
        <w:rPr>
          <w:rFonts w:ascii="宋体"/>
          <w:szCs w:val="21"/>
          <w:highlight w:val="none"/>
        </w:rPr>
      </w:pPr>
      <w:r>
        <w:rPr>
          <w:rFonts w:hint="eastAsia" w:ascii="宋体"/>
          <w:szCs w:val="21"/>
          <w:highlight w:val="none"/>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4BFB36D">
      <w:pPr>
        <w:spacing w:line="440" w:lineRule="exact"/>
        <w:ind w:firstLine="210" w:firstLineChars="100"/>
        <w:jc w:val="left"/>
        <w:rPr>
          <w:rFonts w:ascii="宋体"/>
          <w:szCs w:val="21"/>
          <w:highlight w:val="none"/>
        </w:rPr>
      </w:pPr>
      <w:r>
        <w:rPr>
          <w:rFonts w:hint="eastAsia" w:ascii="宋体"/>
          <w:szCs w:val="21"/>
          <w:highlight w:val="none"/>
        </w:rPr>
        <w:t>37．错误修正的原则</w:t>
      </w:r>
    </w:p>
    <w:p w14:paraId="0650E2F7">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329B3427">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5380F0EC">
      <w:pPr>
        <w:spacing w:line="440" w:lineRule="exact"/>
        <w:ind w:firstLine="210" w:firstLineChars="100"/>
        <w:jc w:val="left"/>
        <w:rPr>
          <w:rFonts w:ascii="宋体"/>
          <w:szCs w:val="21"/>
          <w:highlight w:val="none"/>
        </w:rPr>
      </w:pPr>
      <w:r>
        <w:rPr>
          <w:rFonts w:hint="eastAsia" w:ascii="宋体"/>
          <w:szCs w:val="21"/>
          <w:highlight w:val="none"/>
        </w:rPr>
        <w:t>37.1 投标函中表述的内容与报价表中不一致的，以报价表为准；报价表中的内容与报价明细表不一致的，以报价表为准；</w:t>
      </w:r>
    </w:p>
    <w:p w14:paraId="489AF121">
      <w:pPr>
        <w:spacing w:line="440" w:lineRule="exact"/>
        <w:ind w:firstLine="210" w:firstLineChars="100"/>
        <w:jc w:val="left"/>
        <w:rPr>
          <w:rFonts w:ascii="宋体"/>
          <w:szCs w:val="21"/>
          <w:highlight w:val="none"/>
        </w:rPr>
      </w:pPr>
      <w:r>
        <w:rPr>
          <w:rFonts w:hint="eastAsia" w:ascii="宋体"/>
          <w:szCs w:val="21"/>
          <w:highlight w:val="none"/>
        </w:rPr>
        <w:t>37.2 投标文件中的大写金额和小写金额不一致的，以大写金额为准；</w:t>
      </w:r>
    </w:p>
    <w:p w14:paraId="02789E34">
      <w:pPr>
        <w:spacing w:line="440" w:lineRule="exact"/>
        <w:ind w:firstLine="210" w:firstLineChars="100"/>
        <w:jc w:val="left"/>
        <w:rPr>
          <w:rFonts w:ascii="宋体"/>
          <w:szCs w:val="21"/>
          <w:highlight w:val="none"/>
        </w:rPr>
      </w:pPr>
      <w:r>
        <w:rPr>
          <w:rFonts w:hint="eastAsia" w:ascii="宋体"/>
          <w:szCs w:val="21"/>
          <w:highlight w:val="none"/>
        </w:rPr>
        <w:t>37.3 单价金额小数点或者百分比有明显错位的，以开标一览表的总价为准，并修改单价；</w:t>
      </w:r>
    </w:p>
    <w:p w14:paraId="43CD8049">
      <w:pPr>
        <w:spacing w:line="440" w:lineRule="exact"/>
        <w:ind w:firstLine="210" w:firstLineChars="100"/>
        <w:jc w:val="left"/>
        <w:rPr>
          <w:rFonts w:ascii="宋体"/>
          <w:szCs w:val="21"/>
          <w:highlight w:val="none"/>
        </w:rPr>
      </w:pPr>
      <w:r>
        <w:rPr>
          <w:rFonts w:hint="eastAsia" w:ascii="宋体"/>
          <w:szCs w:val="21"/>
          <w:highlight w:val="none"/>
        </w:rPr>
        <w:t>37.4 总价金额与按单价汇总金额不一致的，以单价金额计算结果为准；</w:t>
      </w:r>
    </w:p>
    <w:p w14:paraId="4EFF3B24">
      <w:pPr>
        <w:spacing w:line="440" w:lineRule="exact"/>
        <w:ind w:firstLine="210" w:firstLineChars="100"/>
        <w:jc w:val="left"/>
        <w:rPr>
          <w:rFonts w:ascii="宋体"/>
          <w:szCs w:val="21"/>
          <w:highlight w:val="none"/>
        </w:rPr>
      </w:pPr>
      <w:r>
        <w:rPr>
          <w:rFonts w:hint="eastAsia" w:ascii="宋体"/>
          <w:szCs w:val="21"/>
          <w:highlight w:val="none"/>
        </w:rPr>
        <w:t>37.5 若用文字表示的数值与用数字表示的数值不一致，以文字表示的数值为准；</w:t>
      </w:r>
    </w:p>
    <w:p w14:paraId="39095B55">
      <w:pPr>
        <w:spacing w:line="440" w:lineRule="exact"/>
        <w:ind w:firstLine="210" w:firstLineChars="100"/>
        <w:jc w:val="left"/>
        <w:rPr>
          <w:rFonts w:ascii="宋体"/>
          <w:szCs w:val="21"/>
          <w:highlight w:val="none"/>
        </w:rPr>
      </w:pPr>
      <w:r>
        <w:rPr>
          <w:rFonts w:hint="eastAsia" w:ascii="宋体"/>
          <w:szCs w:val="21"/>
          <w:highlight w:val="none"/>
        </w:rPr>
        <w:t>37.6 如有多报（指数量超出采购文件需求）、重报（指同一货物重复报价），其投标总价在评标过程中不予调整，如其中标，其合同价按其投标单价予以调整；</w:t>
      </w:r>
    </w:p>
    <w:p w14:paraId="593F8ADC">
      <w:pPr>
        <w:spacing w:line="440" w:lineRule="exact"/>
        <w:ind w:firstLine="210" w:firstLineChars="100"/>
        <w:jc w:val="left"/>
        <w:rPr>
          <w:rFonts w:ascii="宋体"/>
          <w:szCs w:val="21"/>
          <w:highlight w:val="none"/>
        </w:rPr>
      </w:pPr>
      <w:r>
        <w:rPr>
          <w:rFonts w:hint="eastAsia" w:ascii="宋体"/>
          <w:szCs w:val="21"/>
          <w:highlight w:val="none"/>
        </w:rPr>
        <w:t>37.7 对不同文字文本投标文件的解释发生异议的，以中文文本为准；</w:t>
      </w:r>
    </w:p>
    <w:p w14:paraId="146E11C6">
      <w:pPr>
        <w:spacing w:line="440" w:lineRule="exact"/>
        <w:ind w:firstLine="210" w:firstLineChars="100"/>
        <w:jc w:val="left"/>
        <w:rPr>
          <w:rFonts w:ascii="宋体"/>
          <w:b/>
          <w:bCs/>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highlight w:val="none"/>
        </w:rPr>
        <w:t>修正应当采用电子询标的形式，并加盖公章（电子印章）。</w:t>
      </w:r>
    </w:p>
    <w:p w14:paraId="3B696C64">
      <w:pPr>
        <w:spacing w:line="440" w:lineRule="exact"/>
        <w:ind w:firstLine="210" w:firstLineChars="100"/>
        <w:jc w:val="left"/>
        <w:rPr>
          <w:rFonts w:ascii="宋体"/>
          <w:szCs w:val="21"/>
          <w:highlight w:val="none"/>
        </w:rPr>
      </w:pPr>
      <w:r>
        <w:rPr>
          <w:rFonts w:hint="eastAsia" w:ascii="宋体"/>
          <w:szCs w:val="21"/>
          <w:highlight w:val="none"/>
        </w:rPr>
        <w:t>38．无效投标文件</w:t>
      </w:r>
    </w:p>
    <w:p w14:paraId="670DE928">
      <w:pPr>
        <w:spacing w:line="440" w:lineRule="exact"/>
        <w:ind w:firstLine="210" w:firstLineChars="100"/>
        <w:jc w:val="left"/>
        <w:rPr>
          <w:rFonts w:ascii="宋体"/>
          <w:szCs w:val="21"/>
          <w:highlight w:val="none"/>
        </w:rPr>
      </w:pPr>
      <w:r>
        <w:rPr>
          <w:rFonts w:hint="eastAsia" w:ascii="宋体"/>
          <w:szCs w:val="21"/>
          <w:highlight w:val="none"/>
        </w:rPr>
        <w:t>有下列情形之一的，投标文件按无效标处理：</w:t>
      </w:r>
    </w:p>
    <w:p w14:paraId="5062C087">
      <w:pPr>
        <w:spacing w:line="440" w:lineRule="exact"/>
        <w:ind w:firstLine="210" w:firstLineChars="100"/>
        <w:jc w:val="left"/>
        <w:rPr>
          <w:rFonts w:ascii="宋体"/>
          <w:szCs w:val="21"/>
          <w:highlight w:val="none"/>
        </w:rPr>
      </w:pPr>
      <w:r>
        <w:rPr>
          <w:rFonts w:hint="eastAsia" w:ascii="宋体"/>
          <w:szCs w:val="21"/>
          <w:highlight w:val="none"/>
        </w:rPr>
        <w:t>38.1 报名的投标人与参加投标的投标人发生实质性变更的且未提供有效证明的；</w:t>
      </w:r>
    </w:p>
    <w:p w14:paraId="3C8BD255">
      <w:pPr>
        <w:spacing w:line="440" w:lineRule="exact"/>
        <w:ind w:firstLine="210" w:firstLineChars="100"/>
        <w:jc w:val="left"/>
        <w:rPr>
          <w:rFonts w:ascii="宋体"/>
          <w:szCs w:val="21"/>
          <w:highlight w:val="none"/>
        </w:rPr>
      </w:pPr>
      <w:r>
        <w:rPr>
          <w:rFonts w:hint="eastAsia" w:ascii="宋体"/>
          <w:szCs w:val="21"/>
          <w:highlight w:val="none"/>
        </w:rPr>
        <w:t>38.2投标人提交两份或两份以上内容不同的投标文件，未声明哪一份有效的；</w:t>
      </w:r>
    </w:p>
    <w:p w14:paraId="49BEFEF9">
      <w:pPr>
        <w:spacing w:line="440" w:lineRule="exact"/>
        <w:ind w:firstLine="210" w:firstLineChars="100"/>
        <w:jc w:val="left"/>
        <w:rPr>
          <w:rFonts w:ascii="宋体"/>
          <w:szCs w:val="21"/>
          <w:highlight w:val="none"/>
        </w:rPr>
      </w:pPr>
      <w:r>
        <w:rPr>
          <w:rFonts w:hint="eastAsia" w:ascii="宋体"/>
          <w:szCs w:val="21"/>
          <w:highlight w:val="none"/>
        </w:rPr>
        <w:t>38.3 投标文件非投标人法定代表人签署的，未提供或提供无效的法定代表人授权书；</w:t>
      </w:r>
    </w:p>
    <w:p w14:paraId="20BA1C13">
      <w:pPr>
        <w:spacing w:line="440" w:lineRule="exact"/>
        <w:ind w:firstLine="210" w:firstLineChars="100"/>
        <w:jc w:val="left"/>
        <w:rPr>
          <w:rFonts w:ascii="宋体"/>
          <w:szCs w:val="21"/>
          <w:highlight w:val="none"/>
        </w:rPr>
      </w:pPr>
      <w:r>
        <w:rPr>
          <w:rFonts w:hint="eastAsia" w:ascii="宋体"/>
          <w:szCs w:val="21"/>
          <w:highlight w:val="none"/>
        </w:rPr>
        <w:t>38.4 未按磋商文件规定装订；</w:t>
      </w:r>
    </w:p>
    <w:p w14:paraId="0BEF2170">
      <w:pPr>
        <w:spacing w:line="440" w:lineRule="exact"/>
        <w:ind w:firstLine="210" w:firstLineChars="100"/>
        <w:jc w:val="left"/>
        <w:rPr>
          <w:rFonts w:ascii="宋体"/>
          <w:szCs w:val="21"/>
          <w:highlight w:val="none"/>
        </w:rPr>
      </w:pPr>
      <w:r>
        <w:rPr>
          <w:rFonts w:hint="eastAsia" w:ascii="宋体"/>
          <w:szCs w:val="21"/>
          <w:highlight w:val="none"/>
        </w:rPr>
        <w:t>38.5 投标文件内容未按磋商文件规定签字或盖章的；</w:t>
      </w:r>
    </w:p>
    <w:p w14:paraId="2D5A3CA8">
      <w:pPr>
        <w:spacing w:line="440" w:lineRule="exact"/>
        <w:ind w:firstLine="210" w:firstLineChars="100"/>
        <w:jc w:val="left"/>
        <w:rPr>
          <w:rFonts w:ascii="宋体"/>
          <w:szCs w:val="21"/>
          <w:highlight w:val="none"/>
        </w:rPr>
      </w:pPr>
      <w:r>
        <w:rPr>
          <w:rFonts w:hint="eastAsia" w:ascii="宋体"/>
          <w:szCs w:val="21"/>
          <w:highlight w:val="none"/>
        </w:rPr>
        <w:t>38.6 投标文件组成漏项或未按规定的格式编制或投标文件正、副本份数不足或内容不全或内容字迹模糊辨认不清的等而导致评标活动无法正常进行；</w:t>
      </w:r>
    </w:p>
    <w:p w14:paraId="667F9ED0">
      <w:pPr>
        <w:spacing w:line="440" w:lineRule="exact"/>
        <w:ind w:firstLine="210" w:firstLineChars="100"/>
        <w:jc w:val="left"/>
        <w:rPr>
          <w:rFonts w:ascii="宋体"/>
          <w:szCs w:val="21"/>
          <w:highlight w:val="none"/>
        </w:rPr>
      </w:pPr>
      <w:r>
        <w:rPr>
          <w:rFonts w:hint="eastAsia" w:ascii="宋体"/>
          <w:szCs w:val="21"/>
          <w:highlight w:val="none"/>
        </w:rPr>
        <w:t>38.7 投标人未按磋商文件变更通知更改投标文件的；</w:t>
      </w:r>
    </w:p>
    <w:p w14:paraId="73CD0D7D">
      <w:pPr>
        <w:spacing w:line="440" w:lineRule="exact"/>
        <w:ind w:firstLine="210" w:firstLineChars="100"/>
        <w:jc w:val="left"/>
        <w:rPr>
          <w:rFonts w:ascii="宋体"/>
          <w:szCs w:val="21"/>
          <w:highlight w:val="none"/>
        </w:rPr>
      </w:pPr>
      <w:r>
        <w:rPr>
          <w:rFonts w:hint="eastAsia" w:ascii="宋体"/>
          <w:szCs w:val="21"/>
          <w:highlight w:val="none"/>
        </w:rPr>
        <w:t>38.8 《开标一览表》和《投标分项报价表》内容不完整且不接受修正意见或字迹不能辨认的或未提供；</w:t>
      </w:r>
    </w:p>
    <w:p w14:paraId="7F29EE4A">
      <w:pPr>
        <w:spacing w:line="440" w:lineRule="exact"/>
        <w:ind w:firstLine="210" w:firstLineChars="100"/>
        <w:jc w:val="left"/>
        <w:rPr>
          <w:rFonts w:ascii="宋体"/>
          <w:szCs w:val="21"/>
          <w:highlight w:val="none"/>
        </w:rPr>
      </w:pPr>
      <w:r>
        <w:rPr>
          <w:rFonts w:hint="eastAsia" w:ascii="宋体"/>
          <w:szCs w:val="21"/>
          <w:highlight w:val="none"/>
        </w:rPr>
        <w:t>38.9 标项投标报价超过磋商文件规定的预算金额或最高限价</w:t>
      </w:r>
    </w:p>
    <w:p w14:paraId="48A6CA82">
      <w:pPr>
        <w:spacing w:line="440" w:lineRule="exact"/>
        <w:ind w:firstLine="210" w:firstLineChars="100"/>
        <w:jc w:val="left"/>
        <w:rPr>
          <w:rFonts w:ascii="宋体"/>
          <w:szCs w:val="21"/>
          <w:highlight w:val="none"/>
        </w:rPr>
      </w:pPr>
      <w:r>
        <w:rPr>
          <w:rFonts w:hint="eastAsia" w:ascii="宋体"/>
          <w:szCs w:val="21"/>
          <w:highlight w:val="none"/>
        </w:rPr>
        <w:t>38.10 因投标人原因编制错误造成经评标委员会修正后的报价达到或超过投标报价的0.5%；</w:t>
      </w:r>
    </w:p>
    <w:p w14:paraId="4D31177A">
      <w:pPr>
        <w:spacing w:line="440" w:lineRule="exact"/>
        <w:ind w:firstLine="210" w:firstLineChars="100"/>
        <w:jc w:val="left"/>
        <w:rPr>
          <w:rFonts w:ascii="宋体"/>
          <w:szCs w:val="21"/>
          <w:highlight w:val="none"/>
        </w:rPr>
      </w:pPr>
      <w:r>
        <w:rPr>
          <w:rFonts w:hint="eastAsia" w:ascii="宋体"/>
          <w:szCs w:val="21"/>
          <w:highlight w:val="none"/>
        </w:rPr>
        <w:t>38.11 投标人的报价明显低于其他通过符合性审查投标人的报价，有可能影响产品质量或者不能诚信履约的，且在规定时间内不能合理说明原因并提供证明材料的；</w:t>
      </w:r>
    </w:p>
    <w:p w14:paraId="003F4DA3">
      <w:pPr>
        <w:spacing w:line="440" w:lineRule="exact"/>
        <w:ind w:firstLine="210" w:firstLineChars="100"/>
        <w:jc w:val="left"/>
        <w:rPr>
          <w:rFonts w:ascii="宋体"/>
          <w:szCs w:val="21"/>
          <w:highlight w:val="none"/>
        </w:rPr>
      </w:pPr>
      <w:r>
        <w:rPr>
          <w:rFonts w:hint="eastAsia" w:ascii="宋体"/>
          <w:szCs w:val="21"/>
          <w:highlight w:val="none"/>
        </w:rPr>
        <w:t>38.12 未实质性响应磋商文件中条款要求的投标文件；</w:t>
      </w:r>
    </w:p>
    <w:p w14:paraId="12708255">
      <w:pPr>
        <w:spacing w:line="440" w:lineRule="exact"/>
        <w:ind w:firstLine="210" w:firstLineChars="100"/>
        <w:jc w:val="left"/>
        <w:rPr>
          <w:rFonts w:ascii="宋体"/>
          <w:szCs w:val="21"/>
          <w:highlight w:val="none"/>
        </w:rPr>
      </w:pPr>
      <w:r>
        <w:rPr>
          <w:rFonts w:hint="eastAsia" w:ascii="宋体"/>
          <w:szCs w:val="21"/>
          <w:highlight w:val="none"/>
        </w:rPr>
        <w:t>38.13 不符合招标范围、技术规格、技术标准的要求无法满足采购人使用要求；</w:t>
      </w:r>
    </w:p>
    <w:p w14:paraId="5D0579C7">
      <w:pPr>
        <w:spacing w:line="440" w:lineRule="exact"/>
        <w:ind w:firstLine="210" w:firstLineChars="100"/>
        <w:jc w:val="left"/>
        <w:rPr>
          <w:rFonts w:ascii="宋体"/>
          <w:szCs w:val="21"/>
          <w:highlight w:val="none"/>
        </w:rPr>
      </w:pPr>
      <w:r>
        <w:rPr>
          <w:rFonts w:hint="eastAsia" w:ascii="宋体"/>
          <w:szCs w:val="21"/>
          <w:highlight w:val="none"/>
        </w:rPr>
        <w:t>38.14 投标文件附有采购人不能接受的条款；</w:t>
      </w:r>
    </w:p>
    <w:p w14:paraId="158C7317">
      <w:pPr>
        <w:spacing w:line="440" w:lineRule="exact"/>
        <w:ind w:firstLine="210" w:firstLineChars="100"/>
        <w:jc w:val="left"/>
        <w:rPr>
          <w:rFonts w:ascii="宋体"/>
          <w:szCs w:val="21"/>
          <w:highlight w:val="none"/>
        </w:rPr>
      </w:pPr>
      <w:r>
        <w:rPr>
          <w:rFonts w:hint="eastAsia" w:ascii="宋体"/>
          <w:szCs w:val="21"/>
          <w:highlight w:val="none"/>
        </w:rPr>
        <w:t>38.15 投标文件中提供了赠品或者与本项目采购无关的其他商品、服务；</w:t>
      </w:r>
    </w:p>
    <w:p w14:paraId="48F42ADC">
      <w:pPr>
        <w:spacing w:line="440" w:lineRule="exact"/>
        <w:ind w:firstLine="210" w:firstLineChars="100"/>
        <w:jc w:val="left"/>
        <w:rPr>
          <w:rFonts w:ascii="宋体"/>
          <w:szCs w:val="21"/>
          <w:highlight w:val="none"/>
        </w:rPr>
      </w:pPr>
      <w:r>
        <w:rPr>
          <w:rFonts w:hint="eastAsia" w:ascii="宋体"/>
          <w:szCs w:val="21"/>
          <w:highlight w:val="none"/>
        </w:rPr>
        <w:t>38.16 投标文件中承诺的投标有效期少于磋商文件中载明的投标有效期；</w:t>
      </w:r>
    </w:p>
    <w:p w14:paraId="7A20C3ED">
      <w:pPr>
        <w:spacing w:line="440" w:lineRule="exact"/>
        <w:ind w:firstLine="210" w:firstLineChars="100"/>
        <w:jc w:val="left"/>
        <w:rPr>
          <w:rFonts w:ascii="宋体"/>
          <w:szCs w:val="21"/>
          <w:highlight w:val="none"/>
        </w:rPr>
      </w:pPr>
      <w:r>
        <w:rPr>
          <w:rFonts w:hint="eastAsia" w:ascii="宋体"/>
          <w:szCs w:val="21"/>
          <w:highlight w:val="none"/>
        </w:rPr>
        <w:t>38.17投标人串通投标，妨碍其他投标人的竞争行为，损害采购人或者其他投标人的合法权益；</w:t>
      </w:r>
    </w:p>
    <w:p w14:paraId="095131ED">
      <w:pPr>
        <w:spacing w:line="440" w:lineRule="exact"/>
        <w:ind w:firstLine="210" w:firstLineChars="100"/>
        <w:jc w:val="left"/>
        <w:rPr>
          <w:rFonts w:ascii="宋体"/>
          <w:szCs w:val="21"/>
          <w:highlight w:val="none"/>
        </w:rPr>
      </w:pPr>
      <w:r>
        <w:rPr>
          <w:rFonts w:hint="eastAsia" w:ascii="宋体"/>
          <w:szCs w:val="21"/>
          <w:highlight w:val="none"/>
        </w:rPr>
        <w:t>38.18违反国家及政府部门相关法律、法规、文件规定或经评标委员会认定的其他属于重大偏离；</w:t>
      </w:r>
    </w:p>
    <w:p w14:paraId="69DADF45">
      <w:pPr>
        <w:spacing w:line="440" w:lineRule="exact"/>
        <w:ind w:firstLine="210" w:firstLineChars="100"/>
        <w:jc w:val="left"/>
        <w:rPr>
          <w:rFonts w:ascii="宋体"/>
          <w:szCs w:val="21"/>
          <w:highlight w:val="none"/>
        </w:rPr>
      </w:pPr>
      <w:r>
        <w:rPr>
          <w:rFonts w:hint="eastAsia" w:ascii="宋体"/>
          <w:szCs w:val="21"/>
          <w:highlight w:val="none"/>
        </w:rPr>
        <w:t>39．废标</w:t>
      </w:r>
    </w:p>
    <w:p w14:paraId="4F0B4AB8">
      <w:pPr>
        <w:spacing w:line="440" w:lineRule="exact"/>
        <w:ind w:firstLine="210" w:firstLineChars="100"/>
        <w:jc w:val="left"/>
        <w:rPr>
          <w:rFonts w:ascii="宋体"/>
          <w:szCs w:val="21"/>
          <w:highlight w:val="none"/>
        </w:rPr>
      </w:pPr>
      <w:r>
        <w:rPr>
          <w:rFonts w:hint="eastAsia" w:ascii="宋体"/>
          <w:szCs w:val="21"/>
          <w:highlight w:val="none"/>
        </w:rPr>
        <w:t>39.1 符合磋商文件规定废标情形的；</w:t>
      </w:r>
    </w:p>
    <w:p w14:paraId="02CBA6B4">
      <w:pPr>
        <w:spacing w:line="440" w:lineRule="exact"/>
        <w:ind w:firstLine="210" w:firstLineChars="100"/>
        <w:jc w:val="left"/>
        <w:rPr>
          <w:rFonts w:ascii="宋体"/>
          <w:szCs w:val="21"/>
          <w:highlight w:val="none"/>
        </w:rPr>
      </w:pPr>
      <w:r>
        <w:rPr>
          <w:rFonts w:hint="eastAsia" w:ascii="宋体"/>
          <w:szCs w:val="21"/>
          <w:highlight w:val="none"/>
        </w:rPr>
        <w:t>39.2 出现影响采购公正的违法、违规行为的；</w:t>
      </w:r>
    </w:p>
    <w:p w14:paraId="06F93F0C">
      <w:pPr>
        <w:spacing w:line="440" w:lineRule="exact"/>
        <w:ind w:firstLine="210" w:firstLineChars="100"/>
        <w:jc w:val="left"/>
        <w:rPr>
          <w:rFonts w:ascii="宋体"/>
          <w:szCs w:val="21"/>
          <w:highlight w:val="none"/>
        </w:rPr>
      </w:pPr>
      <w:r>
        <w:rPr>
          <w:rFonts w:hint="eastAsia" w:ascii="宋体"/>
          <w:szCs w:val="21"/>
          <w:highlight w:val="none"/>
        </w:rPr>
        <w:t>39.3 供应商的报价均超过了采购预算（或最高限价），采购人不能支付的;</w:t>
      </w:r>
    </w:p>
    <w:p w14:paraId="39F49947">
      <w:pPr>
        <w:spacing w:line="440" w:lineRule="exact"/>
        <w:ind w:firstLine="210" w:firstLineChars="100"/>
        <w:jc w:val="left"/>
        <w:rPr>
          <w:rFonts w:ascii="宋体"/>
          <w:szCs w:val="21"/>
          <w:highlight w:val="none"/>
        </w:rPr>
      </w:pPr>
      <w:r>
        <w:rPr>
          <w:rFonts w:hint="eastAsia" w:ascii="宋体"/>
          <w:szCs w:val="21"/>
          <w:highlight w:val="none"/>
        </w:rPr>
        <w:t>39.4 因重大变故，采购任务取消的。</w:t>
      </w:r>
    </w:p>
    <w:p w14:paraId="76A3F0EA">
      <w:pPr>
        <w:spacing w:line="440" w:lineRule="exact"/>
        <w:ind w:firstLine="210" w:firstLineChars="100"/>
        <w:jc w:val="left"/>
        <w:rPr>
          <w:rFonts w:ascii="宋体"/>
          <w:szCs w:val="21"/>
          <w:highlight w:val="none"/>
        </w:rPr>
      </w:pPr>
      <w:r>
        <w:rPr>
          <w:rFonts w:hint="eastAsia" w:ascii="宋体"/>
          <w:szCs w:val="21"/>
          <w:highlight w:val="none"/>
        </w:rPr>
        <w:t>40．突发情况处理</w:t>
      </w:r>
    </w:p>
    <w:p w14:paraId="614E1653">
      <w:pPr>
        <w:spacing w:line="440" w:lineRule="exact"/>
        <w:ind w:firstLine="210" w:firstLineChars="100"/>
        <w:jc w:val="left"/>
        <w:rPr>
          <w:rFonts w:ascii="宋体"/>
          <w:szCs w:val="21"/>
          <w:highlight w:val="none"/>
        </w:rPr>
      </w:pPr>
      <w:r>
        <w:rPr>
          <w:rFonts w:hint="eastAsia" w:ascii="宋体"/>
          <w:szCs w:val="21"/>
          <w:highlight w:val="none"/>
        </w:rPr>
        <w:t>40.1 采购过程中出现以下情形，导致电子交易平台无法正常运行，或者无法保证电子交易的公平、公正和安全时，采购组织机构可中止电子交易活动：</w:t>
      </w:r>
    </w:p>
    <w:p w14:paraId="4B288D94">
      <w:pPr>
        <w:spacing w:line="440" w:lineRule="exact"/>
        <w:ind w:firstLine="210" w:firstLineChars="100"/>
        <w:jc w:val="left"/>
        <w:rPr>
          <w:rFonts w:ascii="宋体"/>
          <w:szCs w:val="21"/>
          <w:highlight w:val="none"/>
        </w:rPr>
      </w:pPr>
      <w:r>
        <w:rPr>
          <w:rFonts w:hint="eastAsia" w:ascii="宋体"/>
          <w:szCs w:val="21"/>
          <w:highlight w:val="none"/>
        </w:rPr>
        <w:t xml:space="preserve">（1）电子交易平台发生故障而无法登录访问的； </w:t>
      </w:r>
    </w:p>
    <w:p w14:paraId="3FCEA7C8">
      <w:pPr>
        <w:spacing w:line="440" w:lineRule="exact"/>
        <w:ind w:firstLine="210" w:firstLineChars="100"/>
        <w:jc w:val="left"/>
        <w:rPr>
          <w:rFonts w:ascii="宋体"/>
          <w:szCs w:val="21"/>
          <w:highlight w:val="none"/>
        </w:rPr>
      </w:pPr>
      <w:r>
        <w:rPr>
          <w:rFonts w:hint="eastAsia" w:ascii="宋体"/>
          <w:szCs w:val="21"/>
          <w:highlight w:val="none"/>
        </w:rPr>
        <w:t>（2）电子交易平台应用或数据库出现错误，不能进行正常操作的；</w:t>
      </w:r>
    </w:p>
    <w:p w14:paraId="1BF65A28">
      <w:pPr>
        <w:spacing w:line="440" w:lineRule="exact"/>
        <w:ind w:firstLine="210" w:firstLineChars="100"/>
        <w:jc w:val="left"/>
        <w:rPr>
          <w:rFonts w:ascii="宋体"/>
          <w:szCs w:val="21"/>
          <w:highlight w:val="none"/>
        </w:rPr>
      </w:pPr>
      <w:r>
        <w:rPr>
          <w:rFonts w:hint="eastAsia" w:ascii="宋体"/>
          <w:szCs w:val="21"/>
          <w:highlight w:val="none"/>
        </w:rPr>
        <w:t>（3）电子交易平台发现严重安全漏洞，有潜在泄密危险的；</w:t>
      </w:r>
    </w:p>
    <w:p w14:paraId="337F3D30">
      <w:pPr>
        <w:spacing w:line="440" w:lineRule="exact"/>
        <w:ind w:firstLine="210" w:firstLineChars="100"/>
        <w:jc w:val="left"/>
        <w:rPr>
          <w:rFonts w:ascii="宋体"/>
          <w:szCs w:val="21"/>
          <w:highlight w:val="none"/>
        </w:rPr>
      </w:pPr>
      <w:r>
        <w:rPr>
          <w:rFonts w:hint="eastAsia" w:ascii="宋体"/>
          <w:szCs w:val="21"/>
          <w:highlight w:val="none"/>
        </w:rPr>
        <w:t xml:space="preserve">（4）病毒发作导致不能进行正常操作的； </w:t>
      </w:r>
    </w:p>
    <w:p w14:paraId="6947120A">
      <w:pPr>
        <w:spacing w:line="440" w:lineRule="exact"/>
        <w:ind w:firstLine="210" w:firstLineChars="100"/>
        <w:jc w:val="left"/>
        <w:rPr>
          <w:rFonts w:ascii="宋体"/>
          <w:szCs w:val="21"/>
          <w:highlight w:val="none"/>
        </w:rPr>
      </w:pPr>
      <w:r>
        <w:rPr>
          <w:rFonts w:hint="eastAsia" w:ascii="宋体"/>
          <w:szCs w:val="21"/>
          <w:highlight w:val="none"/>
        </w:rPr>
        <w:t>（5）其他无法保证电子交易的公平、公正和安全的情况。</w:t>
      </w:r>
    </w:p>
    <w:p w14:paraId="19A3B751">
      <w:pPr>
        <w:spacing w:line="440" w:lineRule="exact"/>
        <w:ind w:firstLine="210" w:firstLineChars="100"/>
        <w:jc w:val="left"/>
        <w:rPr>
          <w:rFonts w:ascii="宋体"/>
          <w:szCs w:val="21"/>
          <w:highlight w:val="none"/>
        </w:rPr>
      </w:pPr>
      <w:r>
        <w:rPr>
          <w:rFonts w:hint="eastAsia" w:ascii="宋体"/>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E3C0256">
      <w:pPr>
        <w:spacing w:line="440" w:lineRule="exact"/>
        <w:ind w:firstLine="210" w:firstLineChars="100"/>
        <w:jc w:val="left"/>
        <w:rPr>
          <w:rFonts w:ascii="宋体"/>
          <w:szCs w:val="21"/>
          <w:highlight w:val="none"/>
        </w:rPr>
      </w:pPr>
      <w:r>
        <w:rPr>
          <w:rFonts w:hint="eastAsia" w:ascii="宋体"/>
          <w:szCs w:val="21"/>
          <w:highlight w:val="none"/>
        </w:rPr>
        <w:t>40.2 采购代理机构或评审小组因不可抗力（不可抗力包括但不限于自然灾害、断电、传播疫病等）原因造成电子交易活动无法正常运行的，将采取以下措施：</w:t>
      </w:r>
    </w:p>
    <w:p w14:paraId="39A5DD0B">
      <w:pPr>
        <w:spacing w:line="440" w:lineRule="exact"/>
        <w:ind w:firstLine="210" w:firstLineChars="100"/>
        <w:jc w:val="left"/>
        <w:rPr>
          <w:rFonts w:ascii="宋体"/>
          <w:szCs w:val="21"/>
          <w:highlight w:val="none"/>
        </w:rPr>
      </w:pPr>
      <w:r>
        <w:rPr>
          <w:rFonts w:hint="eastAsia" w:ascii="宋体"/>
          <w:szCs w:val="21"/>
          <w:highlight w:val="none"/>
        </w:rPr>
        <w:t xml:space="preserve">（1）短时间内能消除不可抗力因素的，采购代理机构或评审小组在消除不可抗力因素后继续组织电子交易活动； </w:t>
      </w:r>
    </w:p>
    <w:p w14:paraId="6B3EF95C">
      <w:pPr>
        <w:spacing w:line="440" w:lineRule="exact"/>
        <w:ind w:firstLine="210" w:firstLineChars="100"/>
        <w:jc w:val="left"/>
        <w:rPr>
          <w:rFonts w:ascii="宋体"/>
          <w:szCs w:val="21"/>
          <w:highlight w:val="none"/>
        </w:rPr>
      </w:pPr>
      <w:r>
        <w:rPr>
          <w:rFonts w:hint="eastAsia" w:ascii="宋体"/>
          <w:szCs w:val="21"/>
          <w:highlight w:val="none"/>
        </w:rPr>
        <w:t>（2）长时间内无法消除不可抗力因素的，采购代理机构或评审小组将中止电子交易活动。中止电子交易活动的，采购人应当重新组织政府采购活动。</w:t>
      </w:r>
    </w:p>
    <w:p w14:paraId="0E8C4C7E">
      <w:pPr>
        <w:snapToGrid w:val="0"/>
        <w:spacing w:line="360" w:lineRule="exact"/>
        <w:ind w:firstLine="421"/>
        <w:rPr>
          <w:rFonts w:ascii="宋体"/>
          <w:b/>
          <w:szCs w:val="21"/>
          <w:highlight w:val="none"/>
        </w:rPr>
      </w:pPr>
      <w:r>
        <w:rPr>
          <w:rFonts w:hint="eastAsia" w:ascii="宋体"/>
          <w:b/>
          <w:szCs w:val="21"/>
          <w:highlight w:val="none"/>
        </w:rPr>
        <w:t>41. 定标</w:t>
      </w:r>
    </w:p>
    <w:p w14:paraId="3AE50529">
      <w:pPr>
        <w:spacing w:line="440" w:lineRule="exact"/>
        <w:ind w:firstLine="210" w:firstLineChars="100"/>
        <w:jc w:val="left"/>
        <w:rPr>
          <w:rFonts w:ascii="宋体"/>
          <w:szCs w:val="21"/>
          <w:highlight w:val="none"/>
        </w:rPr>
      </w:pPr>
      <w:r>
        <w:rPr>
          <w:rFonts w:hint="eastAsia" w:ascii="宋体"/>
          <w:szCs w:val="21"/>
          <w:highlight w:val="none"/>
        </w:rPr>
        <w:t xml:space="preserve">    </w:t>
      </w:r>
      <w:bookmarkStart w:id="53" w:name="_Toc469495729"/>
      <w:r>
        <w:rPr>
          <w:rFonts w:hint="eastAsia" w:ascii="宋体"/>
          <w:szCs w:val="21"/>
          <w:highlight w:val="none"/>
        </w:rPr>
        <w:t>41.1采购结果确认（确定中标供应商）</w:t>
      </w:r>
    </w:p>
    <w:p w14:paraId="7EC8BBA9">
      <w:pPr>
        <w:spacing w:line="440" w:lineRule="exact"/>
        <w:ind w:firstLine="210" w:firstLineChars="100"/>
        <w:jc w:val="left"/>
        <w:rPr>
          <w:rFonts w:ascii="宋体"/>
          <w:szCs w:val="21"/>
          <w:highlight w:val="none"/>
        </w:rPr>
      </w:pPr>
      <w:r>
        <w:rPr>
          <w:rFonts w:hint="eastAsia" w:ascii="宋体"/>
          <w:szCs w:val="21"/>
          <w:highlight w:val="none"/>
        </w:rPr>
        <w:t>采购结果确认（确定中标供应商）：本项目由采购人根据评标委员会提交的《评审报告》，通过“政府采购云平台”依法确认采购结果、确定中标供应商。具体流程如下：</w:t>
      </w:r>
    </w:p>
    <w:p w14:paraId="55DBD28B">
      <w:pPr>
        <w:spacing w:line="440" w:lineRule="exact"/>
        <w:ind w:firstLine="210" w:firstLineChars="100"/>
        <w:jc w:val="left"/>
        <w:rPr>
          <w:rFonts w:ascii="宋体"/>
          <w:szCs w:val="21"/>
          <w:highlight w:val="none"/>
        </w:rPr>
      </w:pPr>
      <w:r>
        <w:rPr>
          <w:rFonts w:hint="eastAsia" w:ascii="宋体"/>
          <w:szCs w:val="21"/>
          <w:highlight w:val="none"/>
        </w:rPr>
        <w:t>（1）采购代理机构将在评审结束后2个工作日内将评审报告送采购人。</w:t>
      </w:r>
    </w:p>
    <w:p w14:paraId="7C675EF6">
      <w:pPr>
        <w:spacing w:line="440" w:lineRule="exact"/>
        <w:ind w:firstLine="210" w:firstLineChars="100"/>
        <w:jc w:val="left"/>
        <w:rPr>
          <w:rFonts w:ascii="宋体"/>
          <w:szCs w:val="21"/>
          <w:highlight w:val="none"/>
        </w:rPr>
      </w:pPr>
      <w:r>
        <w:rPr>
          <w:rFonts w:hint="eastAsia" w:ascii="宋体"/>
          <w:szCs w:val="21"/>
          <w:highlight w:val="none"/>
        </w:rPr>
        <w:t xml:space="preserve">（2）采购人将在收到评审报告之日起5个工作日内，在评审报告推荐的中标候选供应商名单中按顺序确定中标供应商，并将确认意见以书面形式回复采购代理机构。 </w:t>
      </w:r>
    </w:p>
    <w:p w14:paraId="19AB0AF6">
      <w:pPr>
        <w:spacing w:line="440" w:lineRule="exact"/>
        <w:ind w:firstLine="210" w:firstLineChars="100"/>
        <w:jc w:val="left"/>
        <w:rPr>
          <w:rFonts w:ascii="宋体"/>
          <w:b/>
          <w:bCs/>
          <w:szCs w:val="21"/>
          <w:highlight w:val="none"/>
        </w:rPr>
      </w:pPr>
      <w:r>
        <w:rPr>
          <w:rFonts w:hint="eastAsia" w:ascii="宋体"/>
          <w:szCs w:val="21"/>
          <w:highlight w:val="none"/>
        </w:rPr>
        <w:t>41.2采购结果经采购人确认后2个工作日内，采购代理机构将在</w:t>
      </w:r>
      <w:r>
        <w:rPr>
          <w:rFonts w:hint="eastAsia" w:ascii="宋体"/>
          <w:b/>
          <w:bCs/>
          <w:szCs w:val="21"/>
          <w:highlight w:val="none"/>
        </w:rPr>
        <w:t>克州公共资源交易中心网、新疆政府采购网（www.zjzfcg.gov.cn）上公告采购结果，中标公告期限为1个工作日。</w:t>
      </w:r>
    </w:p>
    <w:p w14:paraId="2B3E6722">
      <w:pPr>
        <w:spacing w:line="440" w:lineRule="exact"/>
        <w:ind w:firstLine="210" w:firstLineChars="100"/>
        <w:jc w:val="left"/>
        <w:rPr>
          <w:rFonts w:ascii="宋体"/>
          <w:szCs w:val="21"/>
          <w:highlight w:val="none"/>
        </w:rPr>
      </w:pPr>
      <w:r>
        <w:rPr>
          <w:rFonts w:hint="eastAsia" w:ascii="宋体"/>
          <w:szCs w:val="21"/>
          <w:highlight w:val="none"/>
        </w:rPr>
        <w:t>42. 成交通知书</w:t>
      </w:r>
    </w:p>
    <w:p w14:paraId="17388BC3">
      <w:pPr>
        <w:spacing w:line="440" w:lineRule="exact"/>
        <w:ind w:firstLine="210" w:firstLineChars="100"/>
        <w:jc w:val="left"/>
        <w:rPr>
          <w:rFonts w:ascii="宋体"/>
          <w:szCs w:val="21"/>
          <w:highlight w:val="none"/>
        </w:rPr>
      </w:pPr>
      <w:r>
        <w:rPr>
          <w:rFonts w:hint="eastAsia" w:ascii="宋体"/>
          <w:szCs w:val="21"/>
          <w:highlight w:val="none"/>
        </w:rPr>
        <w:t>42.1</w:t>
      </w:r>
      <w:r>
        <w:rPr>
          <w:rFonts w:hint="eastAsia" w:ascii="宋体" w:hAnsi="宋体" w:cs="宋体"/>
          <w:szCs w:val="21"/>
          <w:highlight w:val="none"/>
        </w:rPr>
        <w:t>在成交通知书发出前，招标人将中标侯选人的情况在克州公共资源交易中心网、新疆政府采购网予以公示，</w:t>
      </w:r>
      <w:r>
        <w:rPr>
          <w:rFonts w:hint="eastAsia" w:ascii="宋体" w:hAnsi="宋体" w:cs="宋体"/>
          <w:b/>
          <w:bCs/>
          <w:szCs w:val="21"/>
          <w:highlight w:val="none"/>
        </w:rPr>
        <w:t>公示期为一个工作日。待公示期结束后，</w:t>
      </w:r>
      <w:r>
        <w:rPr>
          <w:rFonts w:hint="eastAsia" w:ascii="宋体"/>
          <w:szCs w:val="21"/>
          <w:highlight w:val="none"/>
        </w:rPr>
        <w:t>采购组织机构向中标人发出中标通知书。</w:t>
      </w:r>
    </w:p>
    <w:p w14:paraId="7DA332D9">
      <w:pPr>
        <w:spacing w:line="440" w:lineRule="exact"/>
        <w:ind w:firstLine="210" w:firstLineChars="100"/>
        <w:jc w:val="left"/>
        <w:rPr>
          <w:rFonts w:ascii="宋体"/>
          <w:szCs w:val="21"/>
          <w:highlight w:val="none"/>
        </w:rPr>
      </w:pPr>
      <w:r>
        <w:rPr>
          <w:rFonts w:hint="eastAsia" w:ascii="宋体"/>
          <w:szCs w:val="21"/>
          <w:highlight w:val="none"/>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13476DF8">
      <w:pPr>
        <w:spacing w:before="156" w:beforeLines="50" w:line="440" w:lineRule="exact"/>
        <w:jc w:val="center"/>
        <w:outlineLvl w:val="2"/>
        <w:rPr>
          <w:rFonts w:ascii="黑体" w:eastAsia="黑体"/>
          <w:sz w:val="24"/>
          <w:highlight w:val="none"/>
        </w:rPr>
      </w:pPr>
      <w:bookmarkStart w:id="54" w:name="_Toc21524"/>
      <w:r>
        <w:rPr>
          <w:rFonts w:hint="eastAsia" w:ascii="黑体" w:eastAsia="黑体"/>
          <w:sz w:val="28"/>
          <w:szCs w:val="28"/>
          <w:highlight w:val="none"/>
        </w:rPr>
        <w:t>（六）合同的授予</w:t>
      </w:r>
      <w:bookmarkEnd w:id="53"/>
      <w:bookmarkEnd w:id="54"/>
    </w:p>
    <w:p w14:paraId="154C2930">
      <w:pPr>
        <w:spacing w:line="440" w:lineRule="exact"/>
        <w:ind w:firstLine="210" w:firstLineChars="100"/>
        <w:jc w:val="left"/>
        <w:rPr>
          <w:rFonts w:hint="eastAsia" w:ascii="宋体" w:eastAsia="宋体"/>
          <w:szCs w:val="21"/>
          <w:highlight w:val="none"/>
          <w:lang w:eastAsia="zh-CN"/>
        </w:rPr>
      </w:pPr>
      <w:bookmarkStart w:id="55" w:name="_Toc73975842"/>
      <w:bookmarkStart w:id="56" w:name="_Toc469495730"/>
      <w:r>
        <w:rPr>
          <w:rFonts w:hint="eastAsia" w:ascii="宋体"/>
          <w:szCs w:val="21"/>
          <w:highlight w:val="none"/>
        </w:rPr>
        <w:t>43．履约保证金</w:t>
      </w:r>
      <w:bookmarkEnd w:id="55"/>
      <w:r>
        <w:rPr>
          <w:rFonts w:hint="eastAsia" w:ascii="宋体"/>
          <w:szCs w:val="21"/>
          <w:highlight w:val="none"/>
          <w:lang w:eastAsia="zh-CN"/>
        </w:rPr>
        <w:t>（本项目无）</w:t>
      </w:r>
    </w:p>
    <w:p w14:paraId="1C500D39">
      <w:pPr>
        <w:spacing w:line="440" w:lineRule="exact"/>
        <w:ind w:firstLine="210" w:firstLineChars="100"/>
        <w:jc w:val="left"/>
        <w:rPr>
          <w:rFonts w:ascii="宋体"/>
          <w:szCs w:val="21"/>
          <w:highlight w:val="none"/>
        </w:rPr>
      </w:pPr>
      <w:r>
        <w:rPr>
          <w:rFonts w:hint="eastAsia" w:ascii="宋体"/>
          <w:szCs w:val="21"/>
          <w:highlight w:val="none"/>
        </w:rPr>
        <w:t>43.1 中标供应商在签订合同后5个工作日内向采购人交纳不超过中标价</w:t>
      </w:r>
      <w:r>
        <w:rPr>
          <w:rFonts w:hint="eastAsia" w:ascii="宋体"/>
          <w:szCs w:val="21"/>
          <w:highlight w:val="none"/>
          <w:u w:val="single"/>
          <w:lang w:val="en-US" w:eastAsia="zh-CN"/>
        </w:rPr>
        <w:t>/</w:t>
      </w:r>
      <w:r>
        <w:rPr>
          <w:rFonts w:hint="eastAsia" w:ascii="宋体"/>
          <w:szCs w:val="21"/>
          <w:highlight w:val="none"/>
        </w:rPr>
        <w:t>的履约保证金（鼓励以银行、保险公司出具的履约保函形式提交；若以电汇、银行转账方式提交的，必须转到采购人的指定账户）。</w:t>
      </w:r>
    </w:p>
    <w:p w14:paraId="68CFE843">
      <w:pPr>
        <w:spacing w:line="440" w:lineRule="exact"/>
        <w:ind w:firstLine="210" w:firstLineChars="100"/>
        <w:jc w:val="left"/>
        <w:rPr>
          <w:rFonts w:ascii="宋体"/>
          <w:szCs w:val="21"/>
          <w:highlight w:val="none"/>
        </w:rPr>
      </w:pPr>
      <w:r>
        <w:rPr>
          <w:rFonts w:hint="eastAsia" w:ascii="宋体"/>
          <w:szCs w:val="21"/>
          <w:highlight w:val="none"/>
        </w:rPr>
        <w:t>43.2 签订合同后，如中标供应商不按合同约定履约的，履约保证金不予退还，履约保证金不足以赔偿损失的，按实际损失赔偿。</w:t>
      </w:r>
    </w:p>
    <w:p w14:paraId="055C313F">
      <w:pPr>
        <w:spacing w:line="440" w:lineRule="exact"/>
        <w:ind w:firstLine="210" w:firstLineChars="100"/>
        <w:jc w:val="left"/>
        <w:rPr>
          <w:rFonts w:ascii="宋体"/>
          <w:szCs w:val="21"/>
          <w:highlight w:val="none"/>
        </w:rPr>
      </w:pPr>
      <w:r>
        <w:rPr>
          <w:rFonts w:hint="eastAsia" w:ascii="宋体"/>
          <w:szCs w:val="21"/>
          <w:highlight w:val="none"/>
        </w:rPr>
        <w:t>43.3 如果中标供应商在建设期内没有涉及采购人的应付而未付金额或违约行为，采购人在项目验收合格后或提前终止合同后全额无息退还履约保证金。</w:t>
      </w:r>
    </w:p>
    <w:p w14:paraId="75F0C3F0">
      <w:pPr>
        <w:spacing w:line="440" w:lineRule="exact"/>
        <w:ind w:firstLine="210" w:firstLineChars="100"/>
        <w:jc w:val="left"/>
        <w:rPr>
          <w:rFonts w:ascii="宋体"/>
          <w:szCs w:val="21"/>
          <w:highlight w:val="none"/>
        </w:rPr>
      </w:pPr>
      <w:bookmarkStart w:id="57" w:name="_Toc73975843"/>
      <w:r>
        <w:rPr>
          <w:rFonts w:hint="eastAsia" w:ascii="宋体"/>
          <w:szCs w:val="21"/>
          <w:highlight w:val="none"/>
        </w:rPr>
        <w:t>44．签订合同及公告</w:t>
      </w:r>
      <w:bookmarkEnd w:id="57"/>
    </w:p>
    <w:p w14:paraId="6FDB2F3A">
      <w:pPr>
        <w:spacing w:line="440" w:lineRule="exact"/>
        <w:ind w:firstLine="210" w:firstLineChars="100"/>
        <w:jc w:val="left"/>
        <w:rPr>
          <w:rFonts w:ascii="宋体"/>
          <w:szCs w:val="21"/>
          <w:highlight w:val="none"/>
        </w:rPr>
      </w:pPr>
      <w:r>
        <w:rPr>
          <w:rFonts w:hint="eastAsia" w:ascii="宋体"/>
          <w:szCs w:val="21"/>
          <w:highlight w:val="none"/>
        </w:rPr>
        <w:t>44.1采购人在中标通知书发出之日起30日内与中标供应商签订合同。</w:t>
      </w:r>
    </w:p>
    <w:p w14:paraId="2E4C4031">
      <w:pPr>
        <w:spacing w:line="440" w:lineRule="exact"/>
        <w:ind w:firstLine="210" w:firstLineChars="100"/>
        <w:jc w:val="left"/>
        <w:rPr>
          <w:rFonts w:ascii="宋体"/>
          <w:szCs w:val="21"/>
          <w:highlight w:val="none"/>
        </w:rPr>
      </w:pPr>
      <w:r>
        <w:rPr>
          <w:rFonts w:hint="eastAsia" w:ascii="宋体"/>
          <w:szCs w:val="21"/>
          <w:highlight w:val="none"/>
        </w:rPr>
        <w:t>44.2中标供应商拖延、拒签合同的,取消中标资格。</w:t>
      </w:r>
    </w:p>
    <w:p w14:paraId="273E8C9D">
      <w:pPr>
        <w:spacing w:line="440" w:lineRule="exact"/>
        <w:ind w:firstLine="210" w:firstLineChars="100"/>
        <w:jc w:val="left"/>
        <w:rPr>
          <w:rFonts w:ascii="宋体"/>
          <w:szCs w:val="21"/>
          <w:highlight w:val="none"/>
        </w:rPr>
      </w:pPr>
      <w:r>
        <w:rPr>
          <w:rFonts w:hint="eastAsia" w:ascii="宋体"/>
          <w:szCs w:val="21"/>
          <w:highlight w:val="none"/>
        </w:rPr>
        <w:t>44.3 采购文件、中标供应商的投标文件及评标过程中有关澄清文件等均作为签订合同的依据。所签订的合同不得对采购文件和中标供应商的投标文件的内容作实质性修改。</w:t>
      </w:r>
    </w:p>
    <w:p w14:paraId="53C1903C">
      <w:pPr>
        <w:spacing w:line="440" w:lineRule="exact"/>
        <w:ind w:firstLine="210" w:firstLineChars="100"/>
        <w:jc w:val="left"/>
        <w:rPr>
          <w:rFonts w:ascii="宋体"/>
          <w:szCs w:val="21"/>
          <w:highlight w:val="none"/>
        </w:rPr>
      </w:pPr>
      <w:r>
        <w:rPr>
          <w:rFonts w:hint="eastAsia" w:ascii="宋体"/>
          <w:szCs w:val="21"/>
          <w:highlight w:val="none"/>
        </w:rPr>
        <w:t>44.4采购人应当自政府采购合同签订之日起2个工作日内，在省级以上财政部门指定的政府采购信息发布媒体及相关网站上公告。</w:t>
      </w:r>
    </w:p>
    <w:p w14:paraId="400EC0D8">
      <w:pPr>
        <w:spacing w:line="440" w:lineRule="exact"/>
        <w:ind w:firstLine="210" w:firstLineChars="100"/>
        <w:jc w:val="left"/>
        <w:rPr>
          <w:rFonts w:ascii="宋体"/>
          <w:szCs w:val="21"/>
          <w:highlight w:val="none"/>
        </w:rPr>
      </w:pPr>
      <w:r>
        <w:rPr>
          <w:rFonts w:hint="eastAsia" w:ascii="宋体"/>
          <w:szCs w:val="21"/>
          <w:highlight w:val="none"/>
        </w:rPr>
        <w:t>44.5采购人应当自政府采购合同签订之日起7个工作日内，将政府采购合同副本报同级人民政府财政部门备案以及采购代理机构存档。</w:t>
      </w:r>
    </w:p>
    <w:p w14:paraId="2F7E134A">
      <w:pPr>
        <w:adjustRightInd w:val="0"/>
        <w:snapToGrid w:val="0"/>
        <w:spacing w:line="440" w:lineRule="exact"/>
        <w:jc w:val="center"/>
        <w:outlineLvl w:val="2"/>
        <w:rPr>
          <w:rFonts w:ascii="黑体" w:eastAsia="黑体"/>
          <w:sz w:val="28"/>
          <w:szCs w:val="28"/>
          <w:highlight w:val="none"/>
        </w:rPr>
      </w:pPr>
      <w:bookmarkStart w:id="58" w:name="_Toc29743"/>
      <w:r>
        <w:rPr>
          <w:rFonts w:hint="eastAsia" w:ascii="黑体" w:eastAsia="黑体"/>
          <w:sz w:val="28"/>
          <w:szCs w:val="28"/>
          <w:highlight w:val="none"/>
        </w:rPr>
        <w:t>（七）纪律和监督</w:t>
      </w:r>
      <w:bookmarkEnd w:id="56"/>
      <w:bookmarkEnd w:id="58"/>
    </w:p>
    <w:p w14:paraId="31892878">
      <w:pPr>
        <w:spacing w:line="440" w:lineRule="exact"/>
        <w:ind w:firstLine="308" w:firstLineChars="147"/>
        <w:jc w:val="left"/>
        <w:rPr>
          <w:rFonts w:ascii="宋体"/>
          <w:b/>
          <w:szCs w:val="21"/>
          <w:highlight w:val="none"/>
        </w:rPr>
      </w:pPr>
      <w:r>
        <w:rPr>
          <w:rFonts w:hint="eastAsia" w:ascii="宋体"/>
          <w:b/>
          <w:szCs w:val="21"/>
          <w:highlight w:val="none"/>
        </w:rPr>
        <w:t xml:space="preserve">45. 对招标人的纪律要求 </w:t>
      </w:r>
    </w:p>
    <w:p w14:paraId="6114C10C">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45.1招标人不得泄漏招标投标活动中应当保密的情况和资料，不得与投标人串通损害国家利益，社会公共利益或者他人合法权益。 </w:t>
      </w:r>
    </w:p>
    <w:p w14:paraId="56A8FFC7">
      <w:pPr>
        <w:spacing w:line="440" w:lineRule="exact"/>
        <w:ind w:firstLine="308" w:firstLineChars="147"/>
        <w:jc w:val="left"/>
        <w:rPr>
          <w:rFonts w:ascii="宋体"/>
          <w:b/>
          <w:szCs w:val="21"/>
          <w:highlight w:val="none"/>
        </w:rPr>
      </w:pPr>
      <w:r>
        <w:rPr>
          <w:rFonts w:hint="eastAsia" w:ascii="宋体"/>
          <w:b/>
          <w:szCs w:val="21"/>
          <w:highlight w:val="none"/>
        </w:rPr>
        <w:t xml:space="preserve">46. 对投标人的纪律要求 </w:t>
      </w:r>
    </w:p>
    <w:p w14:paraId="78D9FCB0">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36EE2E4">
      <w:pPr>
        <w:spacing w:line="440" w:lineRule="exact"/>
        <w:ind w:firstLine="308" w:firstLineChars="147"/>
        <w:jc w:val="left"/>
        <w:rPr>
          <w:rFonts w:ascii="宋体"/>
          <w:b/>
          <w:szCs w:val="21"/>
          <w:highlight w:val="none"/>
        </w:rPr>
      </w:pPr>
      <w:r>
        <w:rPr>
          <w:rFonts w:hint="eastAsia" w:ascii="宋体"/>
          <w:b/>
          <w:szCs w:val="21"/>
          <w:highlight w:val="none"/>
        </w:rPr>
        <w:t xml:space="preserve">47. 对评标委员会成员的纪律要求 </w:t>
      </w:r>
    </w:p>
    <w:p w14:paraId="55527EC6">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47.1评标委员会成员不得收受他人的财物或者其他好处，不得向他人透漏对投标文件的评审和比较、中标候选人的推荐情况以及评标有关的其他情况。</w:t>
      </w:r>
    </w:p>
    <w:p w14:paraId="1F423C8E">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47.2在评标活动中，评标委员会成员不得擅离职守，影响评标程序正常进行，不得使用第三章“评标办法”没有规定的评审因素和标准进行评标。 </w:t>
      </w:r>
    </w:p>
    <w:p w14:paraId="221F61BA">
      <w:pPr>
        <w:spacing w:line="440" w:lineRule="exact"/>
        <w:ind w:firstLine="308" w:firstLineChars="147"/>
        <w:jc w:val="left"/>
        <w:rPr>
          <w:rFonts w:ascii="宋体"/>
          <w:b/>
          <w:szCs w:val="21"/>
          <w:highlight w:val="none"/>
        </w:rPr>
      </w:pPr>
      <w:r>
        <w:rPr>
          <w:rFonts w:hint="eastAsia" w:ascii="宋体"/>
          <w:b/>
          <w:szCs w:val="21"/>
          <w:highlight w:val="none"/>
        </w:rPr>
        <w:t xml:space="preserve">48. 对与评标活动有关的工作人员的纪律要求 </w:t>
      </w:r>
    </w:p>
    <w:p w14:paraId="27798A53">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13C73D7">
      <w:pPr>
        <w:spacing w:before="156" w:beforeLines="50" w:after="156" w:afterLines="50" w:line="500" w:lineRule="exact"/>
        <w:jc w:val="center"/>
        <w:rPr>
          <w:rFonts w:ascii="黑体" w:hAnsi="宋体" w:eastAsia="黑体"/>
          <w:sz w:val="28"/>
          <w:szCs w:val="28"/>
          <w:highlight w:val="none"/>
        </w:rPr>
      </w:pPr>
      <w:r>
        <w:rPr>
          <w:rFonts w:hint="eastAsia" w:ascii="黑体" w:eastAsia="黑体"/>
          <w:sz w:val="28"/>
          <w:szCs w:val="28"/>
          <w:highlight w:val="none"/>
        </w:rPr>
        <w:t>（八）</w:t>
      </w:r>
      <w:r>
        <w:rPr>
          <w:rFonts w:hint="eastAsia" w:ascii="黑体" w:hAnsi="宋体" w:eastAsia="黑体"/>
          <w:sz w:val="28"/>
          <w:szCs w:val="28"/>
          <w:highlight w:val="none"/>
        </w:rPr>
        <w:t>质疑与投诉</w:t>
      </w:r>
    </w:p>
    <w:p w14:paraId="7903C86D">
      <w:pPr>
        <w:spacing w:line="440" w:lineRule="exact"/>
        <w:ind w:firstLine="210" w:firstLineChars="100"/>
        <w:jc w:val="left"/>
        <w:rPr>
          <w:rFonts w:ascii="宋体"/>
          <w:szCs w:val="21"/>
          <w:highlight w:val="none"/>
        </w:rPr>
      </w:pPr>
      <w:r>
        <w:rPr>
          <w:rFonts w:hint="eastAsia" w:ascii="宋体"/>
          <w:szCs w:val="21"/>
          <w:highlight w:val="none"/>
        </w:rPr>
        <w:t>49．质疑和投诉</w:t>
      </w:r>
    </w:p>
    <w:p w14:paraId="052634F9">
      <w:pPr>
        <w:spacing w:line="440" w:lineRule="exact"/>
        <w:ind w:firstLine="210" w:firstLineChars="100"/>
        <w:jc w:val="left"/>
        <w:rPr>
          <w:rFonts w:ascii="宋体"/>
          <w:szCs w:val="21"/>
          <w:highlight w:val="none"/>
        </w:rPr>
      </w:pPr>
      <w:r>
        <w:rPr>
          <w:rFonts w:hint="eastAsia" w:ascii="宋体"/>
          <w:szCs w:val="21"/>
          <w:highlight w:val="none"/>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AD48508">
      <w:pPr>
        <w:spacing w:line="440" w:lineRule="exact"/>
        <w:ind w:firstLine="210" w:firstLineChars="100"/>
        <w:jc w:val="left"/>
        <w:rPr>
          <w:rFonts w:ascii="宋体"/>
          <w:szCs w:val="21"/>
          <w:highlight w:val="none"/>
        </w:rPr>
      </w:pPr>
      <w:r>
        <w:rPr>
          <w:rFonts w:hint="eastAsia" w:ascii="宋体"/>
          <w:szCs w:val="21"/>
          <w:highlight w:val="none"/>
        </w:rPr>
        <w:t>（一）对可以质疑的采购文件提出质疑的，为收到采购文件之日或者采购文件公告期限届满之日；</w:t>
      </w:r>
    </w:p>
    <w:p w14:paraId="1E7F4BDF">
      <w:pPr>
        <w:spacing w:line="440" w:lineRule="exact"/>
        <w:ind w:firstLine="210" w:firstLineChars="100"/>
        <w:jc w:val="left"/>
        <w:rPr>
          <w:rFonts w:ascii="宋体"/>
          <w:szCs w:val="21"/>
          <w:highlight w:val="none"/>
        </w:rPr>
      </w:pPr>
      <w:r>
        <w:rPr>
          <w:rFonts w:hint="eastAsia" w:ascii="宋体"/>
          <w:szCs w:val="21"/>
          <w:highlight w:val="none"/>
        </w:rPr>
        <w:t>（二）对采购过程提出质疑的，为各采购程序环节结束之日；</w:t>
      </w:r>
    </w:p>
    <w:p w14:paraId="2C7099F3">
      <w:pPr>
        <w:spacing w:line="440" w:lineRule="exact"/>
        <w:ind w:firstLine="210" w:firstLineChars="100"/>
        <w:jc w:val="left"/>
        <w:rPr>
          <w:rFonts w:ascii="宋体"/>
          <w:szCs w:val="21"/>
          <w:highlight w:val="none"/>
        </w:rPr>
      </w:pPr>
      <w:r>
        <w:rPr>
          <w:rFonts w:hint="eastAsia" w:ascii="宋体"/>
          <w:szCs w:val="21"/>
          <w:highlight w:val="none"/>
        </w:rPr>
        <w:t>（三）对中标或者成交结果提出质疑的，为中标或者成交结果公告期限届满之日。</w:t>
      </w:r>
    </w:p>
    <w:p w14:paraId="1E7BC194">
      <w:pPr>
        <w:spacing w:line="440" w:lineRule="exact"/>
        <w:ind w:firstLine="210" w:firstLineChars="100"/>
        <w:jc w:val="left"/>
        <w:rPr>
          <w:rFonts w:ascii="宋体"/>
          <w:szCs w:val="21"/>
          <w:highlight w:val="none"/>
        </w:rPr>
      </w:pPr>
      <w:r>
        <w:rPr>
          <w:rFonts w:hint="eastAsia" w:ascii="宋体"/>
          <w:szCs w:val="21"/>
          <w:highlight w:val="none"/>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64C886BF">
      <w:pPr>
        <w:spacing w:line="440" w:lineRule="exact"/>
        <w:ind w:firstLine="210" w:firstLineChars="100"/>
        <w:jc w:val="left"/>
        <w:rPr>
          <w:rFonts w:ascii="宋体"/>
          <w:szCs w:val="21"/>
          <w:highlight w:val="none"/>
        </w:rPr>
      </w:pPr>
      <w:r>
        <w:rPr>
          <w:rFonts w:hint="eastAsia" w:ascii="宋体"/>
          <w:szCs w:val="21"/>
          <w:highlight w:val="none"/>
        </w:rPr>
        <w:t>供应商为自然人的，应当由本人签字；供应商为法人或者其他组织的，应当由法定代表人、主要负责人，或者其授权代表签字或者盖章，并加盖公章。</w:t>
      </w:r>
    </w:p>
    <w:p w14:paraId="20D0CC96">
      <w:pPr>
        <w:spacing w:line="440" w:lineRule="exact"/>
        <w:ind w:firstLine="210" w:firstLineChars="100"/>
        <w:jc w:val="left"/>
        <w:rPr>
          <w:rFonts w:ascii="宋体"/>
          <w:szCs w:val="21"/>
          <w:highlight w:val="none"/>
        </w:rPr>
      </w:pPr>
      <w:r>
        <w:rPr>
          <w:rFonts w:hint="eastAsia" w:ascii="宋体"/>
          <w:szCs w:val="21"/>
          <w:highlight w:val="none"/>
        </w:rPr>
        <w:t>49.3供应商质疑、投诉应当有明确的请求和必要的证明材料。供应商投诉的事项不得超出已质疑事项的范围。采购人及采购代理机构按《政府采购质疑和投诉办法》进行处理供应商质疑事项。</w:t>
      </w:r>
    </w:p>
    <w:p w14:paraId="2254D910">
      <w:pPr>
        <w:spacing w:line="440" w:lineRule="exact"/>
        <w:ind w:firstLine="210" w:firstLineChars="100"/>
        <w:jc w:val="left"/>
        <w:rPr>
          <w:rFonts w:ascii="宋体"/>
          <w:szCs w:val="21"/>
          <w:highlight w:val="none"/>
        </w:rPr>
      </w:pPr>
      <w:r>
        <w:rPr>
          <w:rFonts w:hint="eastAsia" w:ascii="宋体"/>
          <w:szCs w:val="21"/>
          <w:highlight w:val="none"/>
        </w:rPr>
        <w:t>49.4质疑供应商对采购人、采购代理机构的质疑答复不满意，或者采购人、采购代理机构未在规定期限内作出答复的，供应商可以在答复期满后15个工作日内向同级财政部门提起投诉。</w:t>
      </w:r>
    </w:p>
    <w:p w14:paraId="40B87F93">
      <w:pPr>
        <w:spacing w:line="440" w:lineRule="exact"/>
        <w:ind w:firstLine="210" w:firstLineChars="100"/>
        <w:jc w:val="left"/>
        <w:rPr>
          <w:rFonts w:ascii="宋体"/>
          <w:szCs w:val="21"/>
          <w:highlight w:val="none"/>
        </w:rPr>
      </w:pPr>
      <w:r>
        <w:rPr>
          <w:rFonts w:hint="eastAsia" w:ascii="宋体"/>
          <w:szCs w:val="21"/>
          <w:highlight w:val="none"/>
        </w:rPr>
        <w:t>49.5供应商有下列情形之一的，将其列入不良行为记录名单：</w:t>
      </w:r>
    </w:p>
    <w:p w14:paraId="2AF4E072">
      <w:pPr>
        <w:spacing w:line="440" w:lineRule="exact"/>
        <w:ind w:firstLine="210" w:firstLineChars="100"/>
        <w:jc w:val="left"/>
        <w:rPr>
          <w:rFonts w:ascii="宋体"/>
          <w:szCs w:val="21"/>
          <w:highlight w:val="none"/>
        </w:rPr>
      </w:pPr>
      <w:r>
        <w:rPr>
          <w:rFonts w:hint="eastAsia" w:ascii="宋体"/>
          <w:szCs w:val="21"/>
          <w:highlight w:val="none"/>
        </w:rPr>
        <w:t>（一）一年内三次以上质疑均查无实据的；</w:t>
      </w:r>
    </w:p>
    <w:p w14:paraId="2FB9B688">
      <w:pPr>
        <w:spacing w:line="440" w:lineRule="exact"/>
        <w:ind w:firstLine="210" w:firstLineChars="100"/>
        <w:jc w:val="left"/>
        <w:rPr>
          <w:rFonts w:ascii="宋体"/>
          <w:szCs w:val="21"/>
          <w:highlight w:val="none"/>
        </w:rPr>
      </w:pPr>
      <w:r>
        <w:rPr>
          <w:rFonts w:hint="eastAsia" w:ascii="宋体"/>
          <w:szCs w:val="21"/>
          <w:highlight w:val="none"/>
        </w:rPr>
        <w:t>（二）捏造事实或者提供虚假质疑材料的。</w:t>
      </w:r>
    </w:p>
    <w:p w14:paraId="289CD190">
      <w:pPr>
        <w:spacing w:line="440" w:lineRule="exact"/>
        <w:ind w:firstLine="210" w:firstLineChars="100"/>
        <w:jc w:val="left"/>
        <w:rPr>
          <w:rFonts w:ascii="宋体"/>
          <w:szCs w:val="21"/>
          <w:highlight w:val="none"/>
        </w:rPr>
      </w:pPr>
      <w:r>
        <w:rPr>
          <w:rFonts w:hint="eastAsia" w:ascii="宋体"/>
          <w:szCs w:val="21"/>
          <w:highlight w:val="none"/>
        </w:rPr>
        <w:t>（三）以非法手段取得证明材料。证据来源的合法性存在明显疑问，质疑人无法证明其取得方式合法的，视为以非法手段取得证明材料。</w:t>
      </w:r>
    </w:p>
    <w:p w14:paraId="44694BE5">
      <w:pPr>
        <w:jc w:val="left"/>
        <w:rPr>
          <w:rFonts w:ascii="宋体" w:hAnsi="宋体" w:cs="宋体"/>
          <w:b/>
          <w:bCs/>
          <w:szCs w:val="21"/>
          <w:highlight w:val="none"/>
        </w:rPr>
      </w:pPr>
    </w:p>
    <w:p w14:paraId="4041CE60">
      <w:pPr>
        <w:rPr>
          <w:rFonts w:hint="eastAsia" w:ascii="宋体" w:hAnsi="宋体" w:cs="宋体"/>
          <w:b/>
          <w:bCs/>
          <w:szCs w:val="21"/>
          <w:highlight w:val="none"/>
        </w:rPr>
      </w:pPr>
    </w:p>
    <w:p w14:paraId="5DE30007">
      <w:pPr>
        <w:jc w:val="left"/>
        <w:rPr>
          <w:rFonts w:ascii="宋体" w:hAnsi="宋体" w:cs="宋体"/>
          <w:b/>
          <w:bCs/>
          <w:szCs w:val="21"/>
          <w:highlight w:val="none"/>
        </w:rPr>
      </w:pPr>
      <w:r>
        <w:rPr>
          <w:rFonts w:hint="eastAsia" w:ascii="宋体" w:hAnsi="宋体" w:cs="宋体"/>
          <w:b/>
          <w:bCs/>
          <w:szCs w:val="21"/>
          <w:highlight w:val="none"/>
        </w:rPr>
        <w:t>附件：</w:t>
      </w:r>
    </w:p>
    <w:p w14:paraId="62DA1C1E">
      <w:pPr>
        <w:jc w:val="center"/>
        <w:rPr>
          <w:rFonts w:ascii="宋体" w:hAnsi="宋体" w:cs="宋体"/>
          <w:b/>
          <w:bCs/>
          <w:sz w:val="32"/>
          <w:szCs w:val="32"/>
          <w:highlight w:val="none"/>
        </w:rPr>
      </w:pPr>
    </w:p>
    <w:p w14:paraId="2139D297">
      <w:pPr>
        <w:jc w:val="center"/>
        <w:rPr>
          <w:rFonts w:ascii="宋体" w:hAnsi="宋体" w:cs="宋体"/>
          <w:b/>
          <w:bCs/>
          <w:sz w:val="28"/>
          <w:szCs w:val="28"/>
          <w:highlight w:val="none"/>
        </w:rPr>
      </w:pPr>
      <w:r>
        <w:rPr>
          <w:rFonts w:hint="eastAsia" w:ascii="宋体" w:hAnsi="宋体" w:cs="宋体"/>
          <w:b/>
          <w:bCs/>
          <w:sz w:val="32"/>
          <w:szCs w:val="32"/>
          <w:highlight w:val="none"/>
        </w:rPr>
        <w:t>政府采购投诉书（范本）、质疑函范本</w:t>
      </w:r>
    </w:p>
    <w:p w14:paraId="4DE82A04">
      <w:pPr>
        <w:spacing w:line="400" w:lineRule="exact"/>
        <w:jc w:val="center"/>
        <w:rPr>
          <w:rFonts w:ascii="宋体" w:hAnsi="宋体" w:cs="宋体"/>
          <w:sz w:val="24"/>
          <w:highlight w:val="none"/>
          <w:u w:val="single"/>
        </w:rPr>
      </w:pPr>
      <w:r>
        <w:rPr>
          <w:rFonts w:hint="eastAsia" w:ascii="宋体" w:hAnsi="宋体" w:cs="宋体"/>
          <w:b/>
          <w:bCs/>
          <w:sz w:val="28"/>
          <w:szCs w:val="28"/>
          <w:highlight w:val="none"/>
        </w:rPr>
        <w:t>政府采购投诉书（范本）</w:t>
      </w:r>
    </w:p>
    <w:p w14:paraId="1C9586BB">
      <w:pPr>
        <w:spacing w:line="400" w:lineRule="exact"/>
        <w:rPr>
          <w:rFonts w:ascii="宋体" w:hAnsi="宋体" w:cs="宋体"/>
          <w:szCs w:val="21"/>
          <w:highlight w:val="none"/>
        </w:rPr>
      </w:pPr>
      <w:r>
        <w:rPr>
          <w:rFonts w:hint="eastAsia" w:ascii="宋体" w:hAnsi="宋体" w:cs="宋体"/>
          <w:szCs w:val="21"/>
          <w:highlight w:val="none"/>
        </w:rPr>
        <w:t>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5B696D8">
      <w:pPr>
        <w:spacing w:line="40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6ACE7B7">
      <w:pPr>
        <w:spacing w:line="400" w:lineRule="exact"/>
        <w:rPr>
          <w:rFonts w:ascii="宋体" w:hAnsi="宋体" w:cs="宋体"/>
          <w:szCs w:val="21"/>
          <w:highlight w:val="none"/>
        </w:rPr>
      </w:pPr>
      <w:r>
        <w:rPr>
          <w:rFonts w:hint="eastAsia" w:ascii="宋体" w:hAnsi="宋体" w:cs="宋体"/>
          <w:szCs w:val="21"/>
          <w:highlight w:val="none"/>
        </w:rPr>
        <w:t>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44C65261">
      <w:pPr>
        <w:spacing w:line="400" w:lineRule="exact"/>
        <w:rPr>
          <w:rFonts w:ascii="宋体" w:hAnsi="宋体" w:cs="宋体"/>
          <w:szCs w:val="21"/>
          <w:highlight w:val="none"/>
        </w:rPr>
      </w:pPr>
      <w:r>
        <w:rPr>
          <w:rFonts w:hint="eastAsia" w:ascii="宋体" w:hAnsi="宋体" w:cs="宋体"/>
          <w:szCs w:val="21"/>
          <w:highlight w:val="none"/>
        </w:rPr>
        <w:t>住址：</w:t>
      </w:r>
      <w:r>
        <w:rPr>
          <w:rFonts w:hint="eastAsia" w:ascii="宋体" w:hAnsi="宋体" w:cs="宋体"/>
          <w:szCs w:val="21"/>
          <w:highlight w:val="none"/>
          <w:u w:val="single"/>
        </w:rPr>
        <w:t xml:space="preserve">                </w:t>
      </w:r>
      <w:r>
        <w:rPr>
          <w:rFonts w:hint="eastAsia" w:ascii="宋体" w:hAnsi="宋体" w:cs="宋体"/>
          <w:szCs w:val="21"/>
          <w:highlight w:val="none"/>
        </w:rPr>
        <w:t xml:space="preserve">       联系电话：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ABA0209">
      <w:pPr>
        <w:spacing w:line="400" w:lineRule="exact"/>
        <w:rPr>
          <w:rFonts w:ascii="宋体" w:hAnsi="宋体" w:cs="宋体"/>
          <w:szCs w:val="21"/>
          <w:highlight w:val="none"/>
        </w:rPr>
      </w:pPr>
      <w:r>
        <w:rPr>
          <w:rFonts w:hint="eastAsia" w:ascii="宋体" w:hAnsi="宋体" w:cs="宋体"/>
          <w:szCs w:val="21"/>
          <w:highlight w:val="none"/>
        </w:rPr>
        <w:t>被投诉人：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988BD5B">
      <w:pPr>
        <w:spacing w:line="40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电话：</w:t>
      </w:r>
      <w:r>
        <w:rPr>
          <w:rFonts w:hint="eastAsia" w:ascii="宋体" w:hAnsi="宋体" w:cs="宋体"/>
          <w:szCs w:val="21"/>
          <w:highlight w:val="none"/>
          <w:u w:val="single"/>
        </w:rPr>
        <w:t xml:space="preserve">               </w:t>
      </w:r>
    </w:p>
    <w:p w14:paraId="3962B7FB">
      <w:pPr>
        <w:spacing w:line="400" w:lineRule="exact"/>
        <w:ind w:firstLine="420" w:firstLineChars="200"/>
        <w:rPr>
          <w:rFonts w:ascii="宋体" w:hAnsi="宋体" w:cs="宋体"/>
          <w:szCs w:val="21"/>
          <w:highlight w:val="none"/>
        </w:rPr>
      </w:pPr>
    </w:p>
    <w:p w14:paraId="1CFD5D68">
      <w:pPr>
        <w:spacing w:line="400" w:lineRule="exact"/>
        <w:ind w:firstLine="420" w:firstLineChars="200"/>
        <w:rPr>
          <w:rFonts w:ascii="宋体" w:hAnsi="宋体" w:cs="宋体"/>
          <w:szCs w:val="21"/>
          <w:highlight w:val="none"/>
        </w:rPr>
      </w:pPr>
      <w:r>
        <w:rPr>
          <w:rFonts w:hint="eastAsia" w:ascii="宋体" w:hAnsi="宋体" w:cs="宋体"/>
          <w:szCs w:val="21"/>
          <w:highlight w:val="none"/>
        </w:rPr>
        <w:t>我公司参加了</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日被投诉人组织的</w:t>
      </w:r>
      <w:r>
        <w:rPr>
          <w:rFonts w:hint="eastAsia" w:ascii="宋体" w:hAnsi="宋体" w:cs="宋体"/>
          <w:szCs w:val="21"/>
          <w:highlight w:val="none"/>
          <w:u w:val="single"/>
        </w:rPr>
        <w:t>（采购人）（项目名称）（项目编号）</w:t>
      </w:r>
      <w:r>
        <w:rPr>
          <w:rFonts w:hint="eastAsia" w:ascii="宋体" w:hAnsi="宋体" w:cs="宋体"/>
          <w:szCs w:val="21"/>
          <w:highlight w:val="none"/>
        </w:rPr>
        <w:t>的采购活动，我公司认为该项目的</w:t>
      </w:r>
      <w:r>
        <w:rPr>
          <w:rFonts w:hint="eastAsia" w:ascii="宋体" w:hAnsi="宋体" w:cs="宋体"/>
          <w:szCs w:val="21"/>
          <w:highlight w:val="none"/>
          <w:u w:val="single"/>
        </w:rPr>
        <w:t>（采购文件/采购过程/中标（中标）结果）</w:t>
      </w:r>
      <w:r>
        <w:rPr>
          <w:rFonts w:hint="eastAsia" w:ascii="宋体" w:hAnsi="宋体" w:cs="宋体"/>
          <w:szCs w:val="21"/>
          <w:highlight w:val="none"/>
        </w:rPr>
        <w:t>损害了我公司权益，对此，我公司于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日向</w:t>
      </w:r>
      <w:r>
        <w:rPr>
          <w:rFonts w:hint="eastAsia" w:ascii="宋体" w:hAnsi="宋体" w:cs="宋体"/>
          <w:szCs w:val="21"/>
          <w:highlight w:val="none"/>
          <w:u w:val="single"/>
        </w:rPr>
        <w:t>（采购人或者政府采购代理机构）</w:t>
      </w:r>
      <w:r>
        <w:rPr>
          <w:rFonts w:hint="eastAsia" w:ascii="宋体" w:hAnsi="宋体" w:cs="宋体"/>
          <w:szCs w:val="21"/>
          <w:highlight w:val="none"/>
        </w:rPr>
        <w:t>提出了质疑，</w:t>
      </w:r>
      <w:r>
        <w:rPr>
          <w:rFonts w:hint="eastAsia" w:ascii="宋体" w:hAnsi="宋体" w:cs="宋体"/>
          <w:szCs w:val="21"/>
          <w:highlight w:val="none"/>
          <w:u w:val="single"/>
        </w:rPr>
        <w:t>（其于    年  月  日作出书面答复，因对其作出的答复不满意）/（被质疑人未在法定期内予以答复，按照政府采购有关规定）</w:t>
      </w:r>
      <w:r>
        <w:rPr>
          <w:rFonts w:hint="eastAsia" w:ascii="宋体" w:hAnsi="宋体" w:cs="宋体"/>
          <w:szCs w:val="21"/>
          <w:highlight w:val="none"/>
        </w:rPr>
        <w:t>，现向贵机关提起投诉：</w:t>
      </w:r>
    </w:p>
    <w:p w14:paraId="7326CCC5">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具体的投诉事项及事实依据；</w:t>
      </w:r>
    </w:p>
    <w:p w14:paraId="77FCE2CE">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质疑和质疑答复情况简要描述；</w:t>
      </w:r>
    </w:p>
    <w:p w14:paraId="2ED0A521">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投诉请求。</w:t>
      </w:r>
    </w:p>
    <w:p w14:paraId="3C3B50F8">
      <w:pPr>
        <w:spacing w:line="400" w:lineRule="exact"/>
        <w:rPr>
          <w:rFonts w:ascii="宋体" w:hAnsi="宋体" w:cs="宋体"/>
          <w:szCs w:val="21"/>
          <w:highlight w:val="none"/>
        </w:rPr>
      </w:pPr>
      <w:r>
        <w:rPr>
          <w:rFonts w:hint="eastAsia" w:ascii="宋体" w:hAnsi="宋体" w:cs="宋体"/>
          <w:szCs w:val="21"/>
          <w:highlight w:val="none"/>
        </w:rPr>
        <w:t>附件：</w:t>
      </w:r>
    </w:p>
    <w:p w14:paraId="745BECDF">
      <w:pPr>
        <w:spacing w:line="400" w:lineRule="exact"/>
        <w:rPr>
          <w:rFonts w:ascii="宋体" w:hAnsi="宋体" w:cs="宋体"/>
          <w:szCs w:val="21"/>
          <w:highlight w:val="none"/>
        </w:rPr>
      </w:pPr>
      <w:r>
        <w:rPr>
          <w:rFonts w:hint="eastAsia" w:ascii="宋体" w:hAnsi="宋体" w:cs="宋体"/>
          <w:szCs w:val="21"/>
          <w:highlight w:val="none"/>
        </w:rPr>
        <w:t>1.质疑书和质疑答复书；</w:t>
      </w:r>
    </w:p>
    <w:p w14:paraId="59ED17E6">
      <w:pPr>
        <w:spacing w:line="400" w:lineRule="exact"/>
        <w:rPr>
          <w:rFonts w:ascii="宋体" w:hAnsi="宋体" w:cs="宋体"/>
          <w:szCs w:val="21"/>
          <w:highlight w:val="none"/>
        </w:rPr>
      </w:pPr>
      <w:r>
        <w:rPr>
          <w:rFonts w:hint="eastAsia" w:ascii="宋体" w:hAnsi="宋体" w:cs="宋体"/>
          <w:szCs w:val="21"/>
          <w:highlight w:val="none"/>
        </w:rPr>
        <w:t>2.证据材料（需注明证据来源），证人的姓名、住址和联系方式等；</w:t>
      </w:r>
    </w:p>
    <w:p w14:paraId="7B11D4E1">
      <w:pPr>
        <w:spacing w:line="400" w:lineRule="exact"/>
        <w:rPr>
          <w:rFonts w:ascii="宋体" w:hAnsi="宋体" w:cs="宋体"/>
          <w:szCs w:val="21"/>
          <w:highlight w:val="none"/>
        </w:rPr>
      </w:pPr>
      <w:r>
        <w:rPr>
          <w:rFonts w:hint="eastAsia" w:ascii="宋体" w:hAnsi="宋体" w:cs="宋体"/>
          <w:szCs w:val="21"/>
          <w:highlight w:val="none"/>
        </w:rPr>
        <w:t>3.营业执照；</w:t>
      </w:r>
    </w:p>
    <w:p w14:paraId="678FAA39">
      <w:pPr>
        <w:spacing w:line="400" w:lineRule="exact"/>
        <w:rPr>
          <w:rFonts w:ascii="宋体" w:hAnsi="宋体" w:cs="宋体"/>
          <w:szCs w:val="21"/>
          <w:highlight w:val="none"/>
        </w:rPr>
      </w:pPr>
      <w:r>
        <w:rPr>
          <w:rFonts w:hint="eastAsia" w:ascii="宋体" w:hAnsi="宋体" w:cs="宋体"/>
          <w:szCs w:val="21"/>
          <w:highlight w:val="none"/>
        </w:rPr>
        <w:t>4.法定代表人身份证明函</w:t>
      </w:r>
    </w:p>
    <w:p w14:paraId="7D88A042">
      <w:pPr>
        <w:spacing w:line="400" w:lineRule="exact"/>
        <w:rPr>
          <w:rFonts w:ascii="宋体" w:hAnsi="宋体" w:cs="宋体"/>
          <w:szCs w:val="21"/>
          <w:highlight w:val="none"/>
        </w:rPr>
      </w:pPr>
      <w:r>
        <w:rPr>
          <w:rFonts w:hint="eastAsia" w:ascii="宋体" w:hAnsi="宋体" w:cs="宋体"/>
          <w:szCs w:val="21"/>
          <w:highlight w:val="none"/>
        </w:rPr>
        <w:t>5.法定代表人授权委托书（包含法定代表人和委托代理人的身份证复印件）；</w:t>
      </w:r>
    </w:p>
    <w:p w14:paraId="00320692">
      <w:pPr>
        <w:spacing w:line="400" w:lineRule="exact"/>
        <w:rPr>
          <w:rFonts w:ascii="宋体" w:hAnsi="宋体" w:cs="宋体"/>
          <w:szCs w:val="21"/>
          <w:highlight w:val="none"/>
        </w:rPr>
      </w:pPr>
      <w:r>
        <w:rPr>
          <w:rFonts w:hint="eastAsia" w:ascii="宋体" w:hAnsi="宋体" w:cs="宋体"/>
          <w:szCs w:val="21"/>
          <w:highlight w:val="none"/>
        </w:rPr>
        <w:t>6.政府采购监管部门认为应当提供的其它材料。</w:t>
      </w:r>
    </w:p>
    <w:p w14:paraId="280AB419">
      <w:pPr>
        <w:spacing w:line="400" w:lineRule="exact"/>
        <w:jc w:val="right"/>
        <w:rPr>
          <w:rFonts w:ascii="宋体" w:hAnsi="宋体" w:cs="宋体"/>
          <w:szCs w:val="21"/>
          <w:highlight w:val="none"/>
        </w:rPr>
      </w:pPr>
      <w:r>
        <w:rPr>
          <w:rFonts w:hint="eastAsia" w:ascii="宋体" w:hAnsi="宋体" w:cs="宋体"/>
          <w:szCs w:val="21"/>
          <w:highlight w:val="none"/>
        </w:rPr>
        <w:t>投诉供应商：（盖章）</w:t>
      </w:r>
    </w:p>
    <w:p w14:paraId="2F991047">
      <w:pPr>
        <w:spacing w:line="400" w:lineRule="exact"/>
        <w:rPr>
          <w:rFonts w:ascii="宋体" w:hAnsi="宋体" w:cs="宋体"/>
          <w:szCs w:val="21"/>
          <w:highlight w:val="none"/>
        </w:rPr>
      </w:pPr>
      <w:r>
        <w:rPr>
          <w:rFonts w:hint="eastAsia" w:ascii="宋体" w:hAnsi="宋体" w:cs="宋体"/>
          <w:szCs w:val="21"/>
          <w:highlight w:val="none"/>
        </w:rPr>
        <w:t xml:space="preserve">                  法定代表人（或主要负责人）：（签字）</w:t>
      </w:r>
    </w:p>
    <w:p w14:paraId="43C00585">
      <w:pPr>
        <w:spacing w:line="400" w:lineRule="exact"/>
        <w:ind w:firstLine="3360" w:firstLineChars="16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FBB6040">
      <w:pPr>
        <w:spacing w:line="400" w:lineRule="exact"/>
        <w:rPr>
          <w:rFonts w:ascii="宋体" w:hAnsi="宋体" w:cs="宋体"/>
          <w:szCs w:val="21"/>
          <w:highlight w:val="none"/>
        </w:rPr>
      </w:pPr>
    </w:p>
    <w:p w14:paraId="4F93C689">
      <w:pPr>
        <w:spacing w:line="400" w:lineRule="exact"/>
        <w:jc w:val="right"/>
        <w:rPr>
          <w:rFonts w:ascii="宋体" w:hAnsi="宋体" w:cs="宋体"/>
          <w:szCs w:val="21"/>
          <w:highlight w:val="none"/>
        </w:rPr>
      </w:pPr>
      <w:r>
        <w:rPr>
          <w:rFonts w:hint="eastAsia" w:ascii="宋体" w:hAnsi="宋体" w:cs="宋体"/>
          <w:szCs w:val="21"/>
          <w:highlight w:val="none"/>
        </w:rPr>
        <w:t>本投诉书正本叁份，副本</w:t>
      </w:r>
      <w:r>
        <w:rPr>
          <w:rFonts w:hint="eastAsia" w:ascii="宋体" w:hAnsi="宋体" w:cs="宋体"/>
          <w:szCs w:val="21"/>
          <w:highlight w:val="none"/>
          <w:u w:val="single"/>
        </w:rPr>
        <w:t xml:space="preserve">   </w:t>
      </w:r>
      <w:r>
        <w:rPr>
          <w:rFonts w:hint="eastAsia" w:ascii="宋体" w:hAnsi="宋体" w:cs="宋体"/>
          <w:szCs w:val="21"/>
          <w:highlight w:val="none"/>
        </w:rPr>
        <w:t>份并附电子文档。</w:t>
      </w:r>
    </w:p>
    <w:p w14:paraId="1640F6FF">
      <w:pPr>
        <w:ind w:left="7951" w:hanging="7920" w:hangingChars="1800"/>
        <w:jc w:val="center"/>
        <w:rPr>
          <w:rFonts w:ascii="宋体" w:hAnsi="宋体" w:cs="宋体"/>
          <w:b/>
          <w:bCs/>
          <w:sz w:val="44"/>
          <w:szCs w:val="44"/>
          <w:highlight w:val="none"/>
        </w:rPr>
      </w:pPr>
    </w:p>
    <w:p w14:paraId="0BA47EF4">
      <w:pPr>
        <w:ind w:left="5783" w:hanging="5760" w:hangingChars="1800"/>
        <w:jc w:val="center"/>
        <w:outlineLvl w:val="0"/>
        <w:rPr>
          <w:rFonts w:ascii="宋体" w:hAnsi="宋体" w:cs="宋体"/>
          <w:b/>
          <w:bCs/>
          <w:sz w:val="32"/>
          <w:szCs w:val="32"/>
          <w:highlight w:val="none"/>
        </w:rPr>
      </w:pPr>
      <w:bookmarkStart w:id="59" w:name="_Toc17515"/>
    </w:p>
    <w:p w14:paraId="5ACCECD7">
      <w:pPr>
        <w:ind w:left="5783" w:hanging="5760" w:hangingChars="1800"/>
        <w:jc w:val="center"/>
        <w:outlineLvl w:val="0"/>
        <w:rPr>
          <w:rFonts w:ascii="宋体" w:hAnsi="宋体" w:cs="宋体"/>
          <w:b/>
          <w:bCs/>
          <w:sz w:val="32"/>
          <w:szCs w:val="32"/>
          <w:highlight w:val="none"/>
        </w:rPr>
      </w:pPr>
    </w:p>
    <w:p w14:paraId="7B67AB12">
      <w:pPr>
        <w:jc w:val="center"/>
        <w:outlineLvl w:val="0"/>
        <w:rPr>
          <w:rFonts w:ascii="宋体" w:hAnsi="宋体" w:cs="宋体"/>
          <w:sz w:val="32"/>
          <w:szCs w:val="32"/>
          <w:highlight w:val="none"/>
        </w:rPr>
      </w:pPr>
      <w:bookmarkStart w:id="60" w:name="_Toc27114"/>
      <w:r>
        <w:rPr>
          <w:rFonts w:hint="eastAsia" w:ascii="宋体" w:hAnsi="宋体" w:cs="宋体"/>
          <w:b/>
          <w:bCs/>
          <w:sz w:val="32"/>
          <w:szCs w:val="32"/>
          <w:highlight w:val="none"/>
        </w:rPr>
        <w:t>投诉相关说明</w:t>
      </w:r>
      <w:bookmarkEnd w:id="59"/>
      <w:bookmarkEnd w:id="60"/>
    </w:p>
    <w:p w14:paraId="29CEE569">
      <w:pPr>
        <w:widowControl/>
        <w:spacing w:line="400" w:lineRule="exact"/>
        <w:ind w:firstLine="420"/>
        <w:jc w:val="left"/>
        <w:rPr>
          <w:rFonts w:ascii="宋体" w:hAnsi="宋体" w:cs="宋体"/>
          <w:szCs w:val="21"/>
          <w:highlight w:val="none"/>
        </w:rPr>
      </w:pPr>
      <w:r>
        <w:rPr>
          <w:rFonts w:hint="eastAsia" w:ascii="宋体" w:hAnsi="宋体" w:cs="宋体"/>
          <w:szCs w:val="21"/>
          <w:highlight w:val="none"/>
        </w:rPr>
        <w:t>投诉人应当满足《政府采购法》、《政府采购法实施条例》和《政府采购供应商投诉处理办法》的相关规定。</w:t>
      </w:r>
    </w:p>
    <w:p w14:paraId="2E93C279">
      <w:pPr>
        <w:numPr>
          <w:ilvl w:val="0"/>
          <w:numId w:val="3"/>
        </w:numPr>
        <w:spacing w:line="400" w:lineRule="exact"/>
        <w:ind w:left="3998" w:leftChars="304" w:hanging="3360" w:hangingChars="1600"/>
        <w:outlineLvl w:val="0"/>
        <w:rPr>
          <w:rFonts w:ascii="宋体" w:hAnsi="宋体" w:cs="宋体"/>
          <w:b/>
          <w:bCs/>
          <w:szCs w:val="21"/>
          <w:highlight w:val="none"/>
        </w:rPr>
      </w:pPr>
      <w:bookmarkStart w:id="61" w:name="_Toc19974"/>
      <w:bookmarkStart w:id="62" w:name="_Toc11499"/>
      <w:r>
        <w:rPr>
          <w:rFonts w:hint="eastAsia" w:ascii="宋体" w:hAnsi="宋体" w:cs="宋体"/>
          <w:b/>
          <w:bCs/>
          <w:szCs w:val="21"/>
          <w:highlight w:val="none"/>
        </w:rPr>
        <w:t>质疑前置及时间要求</w:t>
      </w:r>
      <w:bookmarkEnd w:id="61"/>
      <w:bookmarkEnd w:id="62"/>
    </w:p>
    <w:p w14:paraId="00D8B5DE">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szCs w:val="21"/>
          <w:highlight w:val="none"/>
        </w:rPr>
        <w:t>《中华人民共和国政府采购法》</w:t>
      </w:r>
      <w:r>
        <w:rPr>
          <w:rFonts w:hint="eastAsia" w:ascii="宋体" w:hAnsi="宋体" w:cs="宋体"/>
          <w:kern w:val="0"/>
          <w:szCs w:val="21"/>
          <w:highlight w:val="none"/>
          <w:shd w:val="clear" w:color="auto" w:fill="FFFFFF"/>
        </w:rPr>
        <w:t>第五十一条：供应商对政府采购活动事项有疑问的，可以向采购人提出询问，采购人应当及时作出答复，但答复的内容不得涉及商业秘密。</w:t>
      </w:r>
    </w:p>
    <w:p w14:paraId="169A0A1D">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15BB459F">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7C72C655">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3BAF382">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4B484638">
      <w:pPr>
        <w:spacing w:line="400" w:lineRule="exact"/>
        <w:ind w:left="3780" w:hanging="3780" w:hangingChars="1800"/>
        <w:outlineLvl w:val="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bookmarkStart w:id="63" w:name="_Toc15224"/>
      <w:bookmarkStart w:id="64" w:name="_Toc13508"/>
      <w:r>
        <w:rPr>
          <w:rFonts w:hint="eastAsia" w:ascii="宋体" w:hAnsi="宋体" w:cs="宋体"/>
          <w:b/>
          <w:bCs/>
          <w:szCs w:val="21"/>
          <w:highlight w:val="none"/>
        </w:rPr>
        <w:t>二、书面方式</w:t>
      </w:r>
      <w:bookmarkEnd w:id="63"/>
      <w:bookmarkEnd w:id="64"/>
    </w:p>
    <w:p w14:paraId="3D2A7829">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《政府采购供应商投诉处理办法》第八条：投诉人投诉</w:t>
      </w:r>
    </w:p>
    <w:p w14:paraId="185E96FC">
      <w:pPr>
        <w:spacing w:line="400" w:lineRule="exact"/>
        <w:rPr>
          <w:rFonts w:ascii="宋体" w:hAnsi="宋体" w:cs="宋体"/>
          <w:szCs w:val="21"/>
          <w:highlight w:val="none"/>
        </w:rPr>
      </w:pPr>
      <w:r>
        <w:rPr>
          <w:rFonts w:hint="eastAsia" w:ascii="宋体" w:hAnsi="宋体" w:cs="宋体"/>
          <w:szCs w:val="21"/>
          <w:highlight w:val="none"/>
        </w:rPr>
        <w:t>时，应当提交投诉书，并按照被投诉人以及与投诉事项有关的供应商数量提供投诉书的副本。</w:t>
      </w:r>
    </w:p>
    <w:p w14:paraId="4B5DC072">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投诉书应当包括下列主要内容：</w:t>
      </w:r>
    </w:p>
    <w:p w14:paraId="60ED163F">
      <w:pPr>
        <w:numPr>
          <w:ilvl w:val="0"/>
          <w:numId w:val="4"/>
        </w:numPr>
        <w:spacing w:line="400" w:lineRule="exact"/>
        <w:rPr>
          <w:rFonts w:ascii="宋体" w:hAnsi="宋体" w:cs="宋体"/>
          <w:szCs w:val="21"/>
          <w:highlight w:val="none"/>
        </w:rPr>
      </w:pPr>
      <w:r>
        <w:rPr>
          <w:rFonts w:hint="eastAsia" w:ascii="宋体" w:hAnsi="宋体" w:cs="宋体"/>
          <w:szCs w:val="21"/>
          <w:highlight w:val="none"/>
        </w:rPr>
        <w:t>投诉人和被投诉人的名称、地址、电话等；</w:t>
      </w:r>
    </w:p>
    <w:p w14:paraId="3F9FB1D6">
      <w:pPr>
        <w:numPr>
          <w:ilvl w:val="0"/>
          <w:numId w:val="4"/>
        </w:numPr>
        <w:spacing w:line="400" w:lineRule="exact"/>
        <w:rPr>
          <w:rFonts w:ascii="宋体" w:hAnsi="宋体" w:cs="宋体"/>
          <w:szCs w:val="21"/>
          <w:highlight w:val="none"/>
        </w:rPr>
      </w:pPr>
      <w:r>
        <w:rPr>
          <w:rFonts w:hint="eastAsia" w:ascii="宋体" w:hAnsi="宋体" w:cs="宋体"/>
          <w:szCs w:val="21"/>
          <w:highlight w:val="none"/>
        </w:rPr>
        <w:t>具体的投诉事项及事实依据；</w:t>
      </w:r>
    </w:p>
    <w:p w14:paraId="65061702">
      <w:pPr>
        <w:numPr>
          <w:ilvl w:val="0"/>
          <w:numId w:val="4"/>
        </w:numPr>
        <w:spacing w:line="400" w:lineRule="exact"/>
        <w:rPr>
          <w:rFonts w:ascii="宋体" w:hAnsi="宋体" w:cs="宋体"/>
          <w:szCs w:val="21"/>
          <w:highlight w:val="none"/>
        </w:rPr>
      </w:pPr>
      <w:r>
        <w:rPr>
          <w:rFonts w:hint="eastAsia" w:ascii="宋体" w:hAnsi="宋体" w:cs="宋体"/>
          <w:szCs w:val="21"/>
          <w:highlight w:val="none"/>
        </w:rPr>
        <w:t>质疑和质疑答复情况及相关证明材料；</w:t>
      </w:r>
    </w:p>
    <w:p w14:paraId="704E3BAC">
      <w:pPr>
        <w:numPr>
          <w:ilvl w:val="0"/>
          <w:numId w:val="4"/>
        </w:numPr>
        <w:spacing w:line="400" w:lineRule="exact"/>
        <w:rPr>
          <w:rFonts w:ascii="宋体" w:hAnsi="宋体" w:cs="宋体"/>
          <w:szCs w:val="21"/>
          <w:highlight w:val="none"/>
        </w:rPr>
      </w:pPr>
      <w:r>
        <w:rPr>
          <w:rFonts w:hint="eastAsia" w:ascii="宋体" w:hAnsi="宋体" w:cs="宋体"/>
          <w:szCs w:val="21"/>
          <w:highlight w:val="none"/>
        </w:rPr>
        <w:t>提起投诉的日期。</w:t>
      </w:r>
    </w:p>
    <w:p w14:paraId="3344D2DA">
      <w:pPr>
        <w:spacing w:line="400" w:lineRule="exact"/>
        <w:ind w:firstLine="645"/>
        <w:rPr>
          <w:rFonts w:ascii="宋体" w:hAnsi="宋体" w:cs="宋体"/>
          <w:szCs w:val="21"/>
          <w:highlight w:val="none"/>
        </w:rPr>
      </w:pPr>
      <w:r>
        <w:rPr>
          <w:rFonts w:hint="eastAsia" w:ascii="宋体" w:hAnsi="宋体" w:cs="宋体"/>
          <w:szCs w:val="21"/>
          <w:highlight w:val="none"/>
        </w:rPr>
        <w:t>投诉书应当署名。投诉人为自然人，应当由本人签字；投诉人为法人或者其他组织的，应当由法定代表人或者主要负责人签字并加盖公章。</w:t>
      </w:r>
    </w:p>
    <w:p w14:paraId="2BB1DC23">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EB6879D">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《政府采购供应商投诉处理办法》第十条：投诉人提起投诉应当符合下列条件：</w:t>
      </w:r>
    </w:p>
    <w:p w14:paraId="6A6C8267">
      <w:pPr>
        <w:numPr>
          <w:ilvl w:val="0"/>
          <w:numId w:val="5"/>
        </w:numPr>
        <w:spacing w:line="400" w:lineRule="exact"/>
        <w:rPr>
          <w:rFonts w:ascii="宋体" w:hAnsi="宋体" w:cs="宋体"/>
          <w:szCs w:val="21"/>
          <w:highlight w:val="none"/>
        </w:rPr>
      </w:pPr>
      <w:r>
        <w:rPr>
          <w:rFonts w:hint="eastAsia" w:ascii="宋体" w:hAnsi="宋体" w:cs="宋体"/>
          <w:szCs w:val="21"/>
          <w:highlight w:val="none"/>
        </w:rPr>
        <w:t>投诉人是参与所投诉政府采购活动的供应商；</w:t>
      </w:r>
    </w:p>
    <w:p w14:paraId="77DF67AD">
      <w:pPr>
        <w:numPr>
          <w:ilvl w:val="0"/>
          <w:numId w:val="5"/>
        </w:numPr>
        <w:spacing w:line="400" w:lineRule="exact"/>
        <w:rPr>
          <w:rFonts w:ascii="宋体" w:hAnsi="宋体" w:cs="宋体"/>
          <w:szCs w:val="21"/>
          <w:highlight w:val="none"/>
        </w:rPr>
      </w:pPr>
      <w:r>
        <w:rPr>
          <w:rFonts w:hint="eastAsia" w:ascii="宋体" w:hAnsi="宋体" w:cs="宋体"/>
          <w:szCs w:val="21"/>
          <w:highlight w:val="none"/>
        </w:rPr>
        <w:t>提起投诉诉前已依法进行质疑；</w:t>
      </w:r>
    </w:p>
    <w:p w14:paraId="0B00ADCF">
      <w:pPr>
        <w:numPr>
          <w:ilvl w:val="0"/>
          <w:numId w:val="5"/>
        </w:numPr>
        <w:spacing w:line="400" w:lineRule="exact"/>
        <w:rPr>
          <w:rFonts w:ascii="宋体" w:hAnsi="宋体" w:cs="宋体"/>
          <w:szCs w:val="21"/>
          <w:highlight w:val="none"/>
        </w:rPr>
      </w:pPr>
      <w:r>
        <w:rPr>
          <w:rFonts w:hint="eastAsia" w:ascii="宋体" w:hAnsi="宋体" w:cs="宋体"/>
          <w:szCs w:val="21"/>
          <w:highlight w:val="none"/>
        </w:rPr>
        <w:t>投诉书内容符合本办法的规定；</w:t>
      </w:r>
    </w:p>
    <w:p w14:paraId="62A01DDF">
      <w:pPr>
        <w:numPr>
          <w:ilvl w:val="0"/>
          <w:numId w:val="5"/>
        </w:numPr>
        <w:spacing w:line="400" w:lineRule="exact"/>
        <w:rPr>
          <w:rFonts w:ascii="宋体" w:hAnsi="宋体" w:cs="宋体"/>
          <w:szCs w:val="21"/>
          <w:highlight w:val="none"/>
        </w:rPr>
      </w:pPr>
      <w:r>
        <w:rPr>
          <w:rFonts w:hint="eastAsia" w:ascii="宋体" w:hAnsi="宋体" w:cs="宋体"/>
          <w:szCs w:val="21"/>
          <w:highlight w:val="none"/>
        </w:rPr>
        <w:t>在投诉有效期内提起投诉；</w:t>
      </w:r>
    </w:p>
    <w:p w14:paraId="071D8D87">
      <w:pPr>
        <w:numPr>
          <w:ilvl w:val="0"/>
          <w:numId w:val="5"/>
        </w:numPr>
        <w:spacing w:line="400" w:lineRule="exact"/>
        <w:rPr>
          <w:rFonts w:ascii="宋体" w:hAnsi="宋体" w:cs="宋体"/>
          <w:szCs w:val="21"/>
          <w:highlight w:val="none"/>
        </w:rPr>
      </w:pPr>
      <w:r>
        <w:rPr>
          <w:rFonts w:hint="eastAsia" w:ascii="宋体" w:hAnsi="宋体" w:cs="宋体"/>
          <w:szCs w:val="21"/>
          <w:highlight w:val="none"/>
        </w:rPr>
        <w:t>属于本级财政部门管辖；</w:t>
      </w:r>
    </w:p>
    <w:p w14:paraId="523FE6FD">
      <w:pPr>
        <w:numPr>
          <w:ilvl w:val="0"/>
          <w:numId w:val="5"/>
        </w:numPr>
        <w:spacing w:line="400" w:lineRule="exact"/>
        <w:rPr>
          <w:rFonts w:ascii="宋体" w:hAnsi="宋体" w:cs="宋体"/>
          <w:szCs w:val="21"/>
          <w:highlight w:val="none"/>
        </w:rPr>
      </w:pPr>
      <w:r>
        <w:rPr>
          <w:rFonts w:hint="eastAsia" w:ascii="宋体" w:hAnsi="宋体" w:cs="宋体"/>
          <w:szCs w:val="21"/>
          <w:highlight w:val="none"/>
        </w:rPr>
        <w:t>同一投诉事项未经财政部门投诉处理；</w:t>
      </w:r>
    </w:p>
    <w:p w14:paraId="4500BC37">
      <w:pPr>
        <w:numPr>
          <w:ilvl w:val="0"/>
          <w:numId w:val="5"/>
        </w:numPr>
        <w:spacing w:line="400" w:lineRule="exact"/>
        <w:rPr>
          <w:rFonts w:ascii="宋体" w:hAnsi="宋体" w:cs="宋体"/>
          <w:szCs w:val="21"/>
          <w:highlight w:val="none"/>
        </w:rPr>
      </w:pPr>
      <w:r>
        <w:rPr>
          <w:rFonts w:hint="eastAsia" w:ascii="宋体" w:hAnsi="宋体" w:cs="宋体"/>
          <w:szCs w:val="21"/>
          <w:highlight w:val="none"/>
        </w:rPr>
        <w:t>国务院财政部门规定的其他条件。</w:t>
      </w:r>
    </w:p>
    <w:p w14:paraId="2A87CD12">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w:t>
      </w:r>
    </w:p>
    <w:p w14:paraId="13ED6723">
      <w:pPr>
        <w:outlineLvl w:val="0"/>
        <w:rPr>
          <w:szCs w:val="21"/>
          <w:highlight w:val="none"/>
        </w:rPr>
      </w:pPr>
      <w:r>
        <w:rPr>
          <w:rFonts w:hint="eastAsia"/>
          <w:szCs w:val="21"/>
          <w:highlight w:val="none"/>
        </w:rPr>
        <w:t xml:space="preserve"> </w:t>
      </w:r>
      <w:r>
        <w:rPr>
          <w:rFonts w:hint="eastAsia" w:ascii="宋体" w:hAnsi="宋体" w:cs="宋体"/>
          <w:b/>
          <w:bCs/>
          <w:szCs w:val="21"/>
          <w:highlight w:val="none"/>
        </w:rPr>
        <w:t xml:space="preserve">   </w:t>
      </w:r>
      <w:bookmarkStart w:id="65" w:name="_Toc10437"/>
      <w:bookmarkStart w:id="66" w:name="_Toc5978"/>
      <w:r>
        <w:rPr>
          <w:rFonts w:hint="eastAsia" w:ascii="宋体" w:hAnsi="宋体" w:cs="宋体"/>
          <w:b/>
          <w:bCs/>
          <w:szCs w:val="21"/>
          <w:highlight w:val="none"/>
        </w:rPr>
        <w:t>三、虚假、恶意投诉法律责任</w:t>
      </w:r>
      <w:bookmarkEnd w:id="65"/>
      <w:bookmarkEnd w:id="66"/>
    </w:p>
    <w:p w14:paraId="4E2C9D3E">
      <w:pPr>
        <w:spacing w:line="400" w:lineRule="exact"/>
        <w:ind w:firstLine="420" w:firstLineChars="200"/>
        <w:rPr>
          <w:rFonts w:ascii="宋体" w:hAnsi="宋体" w:cs="宋体"/>
          <w:szCs w:val="21"/>
          <w:highlight w:val="none"/>
        </w:rPr>
      </w:pPr>
      <w:r>
        <w:rPr>
          <w:rFonts w:hint="eastAsia" w:ascii="宋体" w:hAnsi="宋体" w:cs="宋体"/>
          <w:szCs w:val="21"/>
          <w:highlight w:val="none"/>
        </w:rPr>
        <w:t>第七十三条：供应商捏造实施、提供虚假材料或者以非法手段取得证明材料进行投诉的，由财政部门列入不良行为记录名单，禁止其1至3年内参加政府采购活动。</w:t>
      </w:r>
    </w:p>
    <w:p w14:paraId="41878D18">
      <w:pPr>
        <w:spacing w:line="400" w:lineRule="exact"/>
        <w:ind w:firstLine="420" w:firstLineChars="200"/>
        <w:rPr>
          <w:rFonts w:ascii="宋体" w:hAnsi="宋体" w:cs="宋体"/>
          <w:szCs w:val="21"/>
          <w:highlight w:val="none"/>
        </w:rPr>
      </w:pPr>
      <w:r>
        <w:rPr>
          <w:rFonts w:hint="eastAsia" w:ascii="宋体" w:hAnsi="宋体" w:cs="宋体"/>
          <w:szCs w:val="21"/>
          <w:highlight w:val="none"/>
        </w:rPr>
        <w:t>《政府采购供应商投诉处理办法》第二十六条：投诉人有下列情形之一的，属于虚假、恶意投诉，财政部门应当驳回投诉，将其列入不良行为记录名单，并依法予以处罚：</w:t>
      </w:r>
    </w:p>
    <w:p w14:paraId="609A648C">
      <w:pPr>
        <w:spacing w:line="400" w:lineRule="exact"/>
        <w:ind w:firstLine="420" w:firstLineChars="200"/>
        <w:rPr>
          <w:rFonts w:ascii="宋体" w:hAnsi="宋体" w:cs="宋体"/>
          <w:szCs w:val="21"/>
          <w:highlight w:val="none"/>
        </w:rPr>
      </w:pPr>
      <w:r>
        <w:rPr>
          <w:rFonts w:hint="eastAsia" w:ascii="宋体" w:hAnsi="宋体" w:cs="宋体"/>
          <w:szCs w:val="21"/>
          <w:highlight w:val="none"/>
        </w:rPr>
        <w:t>（一）1年内3次以上投诉均查无实据的；</w:t>
      </w:r>
    </w:p>
    <w:p w14:paraId="02A9B911">
      <w:pPr>
        <w:spacing w:line="400" w:lineRule="exact"/>
        <w:ind w:firstLine="420" w:firstLineChars="200"/>
        <w:rPr>
          <w:rFonts w:ascii="宋体" w:hAnsi="宋体" w:cs="宋体"/>
          <w:szCs w:val="21"/>
          <w:highlight w:val="none"/>
        </w:rPr>
      </w:pPr>
      <w:r>
        <w:rPr>
          <w:rFonts w:hint="eastAsia" w:ascii="宋体" w:hAnsi="宋体" w:cs="宋体"/>
          <w:szCs w:val="21"/>
          <w:highlight w:val="none"/>
        </w:rPr>
        <w:t>（二）捏造事实或者提供虚假投诉材料的。</w:t>
      </w:r>
    </w:p>
    <w:p w14:paraId="6AF298B8">
      <w:pPr>
        <w:spacing w:line="400" w:lineRule="exact"/>
        <w:rPr>
          <w:rFonts w:ascii="宋体" w:hAnsi="宋体" w:cs="宋体"/>
          <w:szCs w:val="21"/>
          <w:highlight w:val="none"/>
        </w:rPr>
      </w:pPr>
    </w:p>
    <w:p w14:paraId="67C2C3CF">
      <w:pPr>
        <w:spacing w:line="400" w:lineRule="exact"/>
        <w:rPr>
          <w:rFonts w:ascii="宋体" w:hAnsi="宋体" w:cs="宋体"/>
          <w:szCs w:val="21"/>
          <w:highlight w:val="none"/>
        </w:rPr>
      </w:pPr>
    </w:p>
    <w:p w14:paraId="4B086E78">
      <w:pPr>
        <w:rPr>
          <w:rFonts w:ascii="宋体" w:hAnsi="宋体" w:cs="宋体"/>
          <w:szCs w:val="21"/>
          <w:highlight w:val="none"/>
        </w:rPr>
      </w:pPr>
      <w:r>
        <w:rPr>
          <w:rFonts w:hint="eastAsia" w:ascii="宋体" w:hAnsi="宋体" w:cs="宋体"/>
          <w:szCs w:val="21"/>
          <w:highlight w:val="none"/>
        </w:rPr>
        <w:t>递交投诉书地址：</w:t>
      </w:r>
      <w:r>
        <w:rPr>
          <w:rFonts w:hint="eastAsia" w:ascii="宋体" w:hAnsi="宋体" w:cs="宋体"/>
          <w:szCs w:val="21"/>
          <w:highlight w:val="none"/>
          <w:lang w:eastAsia="zh-CN"/>
        </w:rPr>
        <w:t>克孜勒苏柯尔克孜自治州财政局</w:t>
      </w:r>
      <w:r>
        <w:rPr>
          <w:rFonts w:hint="eastAsia" w:ascii="宋体" w:hAnsi="宋体" w:cs="宋体"/>
          <w:szCs w:val="21"/>
          <w:highlight w:val="none"/>
        </w:rPr>
        <w:t>政府采购办</w:t>
      </w:r>
    </w:p>
    <w:p w14:paraId="70DB0D76">
      <w:pPr>
        <w:jc w:val="right"/>
        <w:rPr>
          <w:rFonts w:ascii="宋体" w:hAnsi="宋体" w:cs="宋体"/>
          <w:sz w:val="32"/>
          <w:szCs w:val="32"/>
          <w:highlight w:val="none"/>
        </w:rPr>
      </w:pPr>
    </w:p>
    <w:p w14:paraId="50875679">
      <w:pPr>
        <w:spacing w:line="540" w:lineRule="exact"/>
        <w:jc w:val="center"/>
        <w:rPr>
          <w:rFonts w:ascii="宋体" w:hAnsi="宋体" w:cs="宋体"/>
          <w:b/>
          <w:bCs/>
          <w:sz w:val="44"/>
          <w:szCs w:val="44"/>
          <w:highlight w:val="none"/>
        </w:rPr>
      </w:pPr>
    </w:p>
    <w:p w14:paraId="786A5F48">
      <w:pPr>
        <w:spacing w:line="540" w:lineRule="exact"/>
        <w:jc w:val="center"/>
        <w:rPr>
          <w:rFonts w:ascii="宋体" w:hAnsi="宋体" w:cs="宋体"/>
          <w:b/>
          <w:bCs/>
          <w:sz w:val="44"/>
          <w:szCs w:val="44"/>
          <w:highlight w:val="none"/>
        </w:rPr>
      </w:pPr>
    </w:p>
    <w:p w14:paraId="47C41FB4">
      <w:pPr>
        <w:spacing w:line="540" w:lineRule="exact"/>
        <w:jc w:val="center"/>
        <w:rPr>
          <w:rFonts w:ascii="宋体" w:hAnsi="宋体" w:cs="宋体"/>
          <w:b/>
          <w:bCs/>
          <w:sz w:val="44"/>
          <w:szCs w:val="44"/>
          <w:highlight w:val="none"/>
        </w:rPr>
      </w:pPr>
    </w:p>
    <w:p w14:paraId="51555C2B">
      <w:pPr>
        <w:spacing w:line="540" w:lineRule="exact"/>
        <w:jc w:val="center"/>
        <w:rPr>
          <w:rFonts w:ascii="宋体" w:hAnsi="宋体" w:cs="宋体"/>
          <w:b/>
          <w:bCs/>
          <w:sz w:val="44"/>
          <w:szCs w:val="44"/>
          <w:highlight w:val="none"/>
        </w:rPr>
      </w:pPr>
    </w:p>
    <w:p w14:paraId="4B8485DE">
      <w:pPr>
        <w:spacing w:line="540" w:lineRule="exact"/>
        <w:jc w:val="center"/>
        <w:outlineLvl w:val="0"/>
        <w:rPr>
          <w:rFonts w:ascii="宋体" w:hAnsi="宋体" w:cs="宋体"/>
          <w:b/>
          <w:bCs/>
          <w:sz w:val="32"/>
          <w:szCs w:val="32"/>
          <w:highlight w:val="none"/>
        </w:rPr>
      </w:pPr>
      <w:bookmarkStart w:id="67" w:name="_Toc1697"/>
    </w:p>
    <w:p w14:paraId="2F0C1242">
      <w:pPr>
        <w:spacing w:line="540" w:lineRule="exact"/>
        <w:jc w:val="center"/>
        <w:outlineLvl w:val="0"/>
        <w:rPr>
          <w:rFonts w:ascii="宋体" w:hAnsi="宋体" w:cs="宋体"/>
          <w:b/>
          <w:bCs/>
          <w:sz w:val="32"/>
          <w:szCs w:val="32"/>
          <w:highlight w:val="none"/>
        </w:rPr>
      </w:pPr>
    </w:p>
    <w:p w14:paraId="795D22FF">
      <w:pPr>
        <w:spacing w:line="540" w:lineRule="exact"/>
        <w:jc w:val="center"/>
        <w:outlineLvl w:val="0"/>
        <w:rPr>
          <w:rFonts w:ascii="宋体" w:hAnsi="宋体" w:cs="宋体"/>
          <w:b/>
          <w:bCs/>
          <w:sz w:val="32"/>
          <w:szCs w:val="32"/>
          <w:highlight w:val="none"/>
        </w:rPr>
      </w:pPr>
    </w:p>
    <w:p w14:paraId="5E70E581">
      <w:pPr>
        <w:spacing w:line="540" w:lineRule="exact"/>
        <w:jc w:val="center"/>
        <w:outlineLvl w:val="0"/>
        <w:rPr>
          <w:rFonts w:ascii="宋体" w:hAnsi="宋体" w:cs="宋体"/>
          <w:b/>
          <w:bCs/>
          <w:sz w:val="32"/>
          <w:szCs w:val="32"/>
          <w:highlight w:val="none"/>
        </w:rPr>
      </w:pPr>
    </w:p>
    <w:p w14:paraId="55C57F0A">
      <w:pPr>
        <w:spacing w:line="540" w:lineRule="exact"/>
        <w:jc w:val="center"/>
        <w:outlineLvl w:val="0"/>
        <w:rPr>
          <w:rFonts w:ascii="宋体" w:hAnsi="宋体" w:cs="宋体"/>
          <w:b/>
          <w:bCs/>
          <w:sz w:val="32"/>
          <w:szCs w:val="32"/>
          <w:highlight w:val="none"/>
        </w:rPr>
      </w:pPr>
    </w:p>
    <w:p w14:paraId="1AE4E67B">
      <w:pPr>
        <w:spacing w:line="540" w:lineRule="exact"/>
        <w:jc w:val="center"/>
        <w:outlineLvl w:val="0"/>
        <w:rPr>
          <w:rFonts w:ascii="宋体" w:hAnsi="宋体" w:cs="宋体"/>
          <w:b/>
          <w:bCs/>
          <w:sz w:val="32"/>
          <w:szCs w:val="32"/>
          <w:highlight w:val="none"/>
        </w:rPr>
      </w:pPr>
    </w:p>
    <w:p w14:paraId="4EA5475B">
      <w:pPr>
        <w:spacing w:line="540" w:lineRule="exact"/>
        <w:jc w:val="center"/>
        <w:outlineLvl w:val="0"/>
        <w:rPr>
          <w:rFonts w:ascii="宋体" w:hAnsi="宋体" w:cs="宋体"/>
          <w:b/>
          <w:bCs/>
          <w:sz w:val="32"/>
          <w:szCs w:val="32"/>
          <w:highlight w:val="none"/>
        </w:rPr>
      </w:pPr>
    </w:p>
    <w:p w14:paraId="46667E78">
      <w:pPr>
        <w:spacing w:line="540" w:lineRule="exact"/>
        <w:jc w:val="center"/>
        <w:outlineLvl w:val="0"/>
        <w:rPr>
          <w:rFonts w:ascii="宋体" w:hAnsi="宋体" w:cs="宋体"/>
          <w:b/>
          <w:bCs/>
          <w:sz w:val="32"/>
          <w:szCs w:val="32"/>
          <w:highlight w:val="none"/>
        </w:rPr>
      </w:pPr>
    </w:p>
    <w:p w14:paraId="67F01B9E">
      <w:pPr>
        <w:spacing w:line="540" w:lineRule="exact"/>
        <w:jc w:val="center"/>
        <w:outlineLvl w:val="0"/>
        <w:rPr>
          <w:rFonts w:ascii="宋体" w:hAnsi="宋体" w:cs="宋体"/>
          <w:b/>
          <w:bCs/>
          <w:sz w:val="32"/>
          <w:szCs w:val="32"/>
          <w:highlight w:val="none"/>
        </w:rPr>
      </w:pPr>
    </w:p>
    <w:p w14:paraId="3689D864">
      <w:pPr>
        <w:spacing w:line="540" w:lineRule="exact"/>
        <w:jc w:val="center"/>
        <w:outlineLvl w:val="0"/>
        <w:rPr>
          <w:rFonts w:ascii="宋体" w:hAnsi="宋体" w:cs="宋体"/>
          <w:b/>
          <w:bCs/>
          <w:sz w:val="32"/>
          <w:szCs w:val="32"/>
          <w:highlight w:val="none"/>
        </w:rPr>
      </w:pPr>
      <w:bookmarkStart w:id="68" w:name="_Toc30496"/>
    </w:p>
    <w:p w14:paraId="345422EA">
      <w:pPr>
        <w:spacing w:line="540" w:lineRule="exact"/>
        <w:jc w:val="center"/>
        <w:outlineLvl w:val="0"/>
        <w:rPr>
          <w:rFonts w:ascii="宋体" w:hAnsi="宋体" w:cs="宋体"/>
          <w:b/>
          <w:bCs/>
          <w:sz w:val="32"/>
          <w:szCs w:val="32"/>
          <w:highlight w:val="none"/>
        </w:rPr>
      </w:pPr>
    </w:p>
    <w:p w14:paraId="251A7331">
      <w:pPr>
        <w:spacing w:line="540" w:lineRule="exact"/>
        <w:jc w:val="center"/>
        <w:outlineLvl w:val="0"/>
        <w:rPr>
          <w:rFonts w:ascii="宋体" w:hAnsi="宋体" w:cs="宋体"/>
          <w:b/>
          <w:bCs/>
          <w:sz w:val="32"/>
          <w:szCs w:val="32"/>
          <w:highlight w:val="none"/>
        </w:rPr>
      </w:pPr>
    </w:p>
    <w:p w14:paraId="7E2C0D58">
      <w:pPr>
        <w:rPr>
          <w:rFonts w:ascii="宋体" w:hAnsi="宋体" w:cs="宋体"/>
          <w:b/>
          <w:bCs/>
          <w:sz w:val="32"/>
          <w:szCs w:val="32"/>
          <w:highlight w:val="none"/>
        </w:rPr>
      </w:pPr>
      <w:r>
        <w:rPr>
          <w:rFonts w:hint="eastAsia" w:ascii="宋体" w:hAnsi="宋体" w:cs="宋体"/>
          <w:b/>
          <w:bCs/>
          <w:sz w:val="32"/>
          <w:szCs w:val="32"/>
          <w:highlight w:val="none"/>
        </w:rPr>
        <w:br w:type="page"/>
      </w:r>
    </w:p>
    <w:p w14:paraId="1D0086A5">
      <w:pPr>
        <w:spacing w:line="540" w:lineRule="exact"/>
        <w:jc w:val="center"/>
        <w:outlineLvl w:val="0"/>
        <w:rPr>
          <w:rFonts w:ascii="宋体" w:hAnsi="宋体" w:cs="宋体"/>
          <w:b/>
          <w:bCs/>
          <w:sz w:val="32"/>
          <w:szCs w:val="32"/>
          <w:highlight w:val="none"/>
        </w:rPr>
      </w:pPr>
      <w:r>
        <w:rPr>
          <w:rFonts w:hint="eastAsia" w:ascii="宋体" w:hAnsi="宋体" w:cs="宋体"/>
          <w:b/>
          <w:bCs/>
          <w:sz w:val="32"/>
          <w:szCs w:val="32"/>
          <w:highlight w:val="none"/>
        </w:rPr>
        <w:t>质疑函范本</w:t>
      </w:r>
      <w:bookmarkEnd w:id="67"/>
      <w:bookmarkEnd w:id="68"/>
    </w:p>
    <w:p w14:paraId="28B43D1E">
      <w:pPr>
        <w:adjustRightInd w:val="0"/>
        <w:snapToGrid w:val="0"/>
        <w:spacing w:before="312" w:beforeLines="100" w:line="540" w:lineRule="exact"/>
        <w:ind w:firstLine="420" w:firstLineChars="200"/>
        <w:outlineLvl w:val="0"/>
        <w:rPr>
          <w:rFonts w:ascii="宋体" w:hAnsi="宋体" w:cs="宋体"/>
          <w:bCs/>
          <w:szCs w:val="21"/>
          <w:highlight w:val="none"/>
        </w:rPr>
      </w:pPr>
      <w:bookmarkStart w:id="69" w:name="_Toc25524"/>
      <w:bookmarkStart w:id="70" w:name="_Toc9061"/>
      <w:r>
        <w:rPr>
          <w:rFonts w:hint="eastAsia" w:ascii="宋体" w:hAnsi="宋体" w:cs="宋体"/>
          <w:bCs/>
          <w:szCs w:val="21"/>
          <w:highlight w:val="none"/>
        </w:rPr>
        <w:t>一、质疑供应商基本信息</w:t>
      </w:r>
      <w:bookmarkEnd w:id="69"/>
      <w:bookmarkEnd w:id="70"/>
    </w:p>
    <w:p w14:paraId="7DC295F5">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63920C2E">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19DE477B">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F000BAB">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8226E85">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003F946E">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5AAF8E34">
      <w:pPr>
        <w:adjustRightInd w:val="0"/>
        <w:snapToGrid w:val="0"/>
        <w:spacing w:line="540" w:lineRule="exact"/>
        <w:ind w:firstLine="420" w:firstLineChars="200"/>
        <w:outlineLvl w:val="0"/>
        <w:rPr>
          <w:rFonts w:ascii="宋体" w:hAnsi="宋体" w:cs="宋体"/>
          <w:bCs/>
          <w:szCs w:val="21"/>
          <w:highlight w:val="none"/>
        </w:rPr>
      </w:pPr>
      <w:bookmarkStart w:id="71" w:name="_Toc19533"/>
      <w:bookmarkStart w:id="72" w:name="_Toc15938"/>
      <w:r>
        <w:rPr>
          <w:rFonts w:hint="eastAsia" w:ascii="宋体" w:hAnsi="宋体" w:cs="宋体"/>
          <w:bCs/>
          <w:szCs w:val="21"/>
          <w:highlight w:val="none"/>
        </w:rPr>
        <w:t>二、质疑项目基本情况</w:t>
      </w:r>
      <w:bookmarkEnd w:id="71"/>
      <w:bookmarkEnd w:id="72"/>
    </w:p>
    <w:p w14:paraId="3AFA43ED">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1EA0338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5F44B777">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4A0004A4">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35C8554B">
      <w:pPr>
        <w:adjustRightInd w:val="0"/>
        <w:snapToGrid w:val="0"/>
        <w:spacing w:line="540" w:lineRule="exact"/>
        <w:ind w:firstLine="420" w:firstLineChars="200"/>
        <w:outlineLvl w:val="0"/>
        <w:rPr>
          <w:rFonts w:ascii="宋体" w:hAnsi="宋体" w:cs="宋体"/>
          <w:bCs/>
          <w:szCs w:val="21"/>
          <w:highlight w:val="none"/>
        </w:rPr>
      </w:pPr>
      <w:bookmarkStart w:id="73" w:name="_Toc25298"/>
      <w:bookmarkStart w:id="74" w:name="_Toc18271"/>
      <w:r>
        <w:rPr>
          <w:rFonts w:hint="eastAsia" w:ascii="宋体" w:hAnsi="宋体" w:cs="宋体"/>
          <w:bCs/>
          <w:szCs w:val="21"/>
          <w:highlight w:val="none"/>
        </w:rPr>
        <w:t>三、质疑事项具体内容</w:t>
      </w:r>
      <w:bookmarkEnd w:id="73"/>
      <w:bookmarkEnd w:id="74"/>
    </w:p>
    <w:p w14:paraId="531DE10F">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4B137607">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07EAD995">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1CC0272E">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质疑事项2</w:t>
      </w:r>
    </w:p>
    <w:p w14:paraId="00336444">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w:t>
      </w:r>
    </w:p>
    <w:p w14:paraId="39041F99">
      <w:pPr>
        <w:adjustRightInd w:val="0"/>
        <w:snapToGrid w:val="0"/>
        <w:spacing w:line="540" w:lineRule="exact"/>
        <w:ind w:firstLine="420" w:firstLineChars="200"/>
        <w:outlineLvl w:val="0"/>
        <w:rPr>
          <w:rFonts w:ascii="宋体" w:hAnsi="宋体" w:cs="宋体"/>
          <w:bCs/>
          <w:szCs w:val="21"/>
          <w:highlight w:val="none"/>
        </w:rPr>
      </w:pPr>
      <w:bookmarkStart w:id="75" w:name="_Toc20488"/>
      <w:bookmarkStart w:id="76" w:name="_Toc22365"/>
      <w:r>
        <w:rPr>
          <w:rFonts w:hint="eastAsia" w:ascii="宋体" w:hAnsi="宋体" w:cs="宋体"/>
          <w:bCs/>
          <w:szCs w:val="21"/>
          <w:highlight w:val="none"/>
        </w:rPr>
        <w:t>四、与质疑事项相关的质疑请求</w:t>
      </w:r>
      <w:bookmarkEnd w:id="75"/>
      <w:bookmarkEnd w:id="76"/>
    </w:p>
    <w:p w14:paraId="5F8F15AC">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1724743E">
      <w:pPr>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签字(签章)：                   公章：                      </w:t>
      </w:r>
    </w:p>
    <w:p w14:paraId="57AA0CA8">
      <w:pPr>
        <w:spacing w:line="540" w:lineRule="exact"/>
        <w:ind w:firstLine="420" w:firstLineChars="200"/>
        <w:rPr>
          <w:rFonts w:ascii="宋体" w:hAnsi="宋体" w:cs="宋体"/>
          <w:b/>
          <w:bCs/>
          <w:szCs w:val="21"/>
          <w:highlight w:val="none"/>
        </w:rPr>
      </w:pPr>
      <w:r>
        <w:rPr>
          <w:rFonts w:hint="eastAsia" w:ascii="宋体" w:hAnsi="宋体" w:cs="宋体"/>
          <w:szCs w:val="21"/>
          <w:highlight w:val="none"/>
        </w:rPr>
        <w:t xml:space="preserve">日期：    </w:t>
      </w:r>
    </w:p>
    <w:p w14:paraId="052896CD">
      <w:pPr>
        <w:pageBreakBefore/>
        <w:spacing w:line="440" w:lineRule="exact"/>
        <w:jc w:val="center"/>
        <w:outlineLvl w:val="0"/>
        <w:rPr>
          <w:rFonts w:ascii="黑体" w:eastAsia="黑体"/>
          <w:sz w:val="30"/>
          <w:szCs w:val="30"/>
          <w:highlight w:val="none"/>
        </w:rPr>
      </w:pPr>
      <w:bookmarkStart w:id="77" w:name="_Toc7619"/>
      <w:r>
        <w:rPr>
          <w:rFonts w:hint="eastAsia" w:ascii="黑体" w:eastAsia="黑体"/>
          <w:sz w:val="30"/>
          <w:szCs w:val="30"/>
          <w:highlight w:val="none"/>
        </w:rPr>
        <w:t>第三章  评标办法</w:t>
      </w:r>
      <w:bookmarkEnd w:id="77"/>
    </w:p>
    <w:p w14:paraId="5AC5DB9B">
      <w:pPr>
        <w:jc w:val="center"/>
        <w:outlineLvl w:val="1"/>
        <w:rPr>
          <w:rFonts w:ascii="宋体"/>
          <w:b/>
          <w:sz w:val="28"/>
          <w:szCs w:val="28"/>
          <w:highlight w:val="none"/>
        </w:rPr>
      </w:pPr>
      <w:bookmarkStart w:id="78" w:name="_Toc15723"/>
      <w:bookmarkStart w:id="79" w:name="_Toc362983802"/>
      <w:bookmarkStart w:id="80" w:name="_Toc267320058"/>
      <w:bookmarkStart w:id="81" w:name="_Toc363135205"/>
      <w:r>
        <w:rPr>
          <w:rFonts w:hint="eastAsia" w:ascii="宋体"/>
          <w:b/>
          <w:sz w:val="28"/>
          <w:szCs w:val="28"/>
          <w:highlight w:val="none"/>
        </w:rPr>
        <w:t>一  总  则</w:t>
      </w:r>
      <w:bookmarkEnd w:id="78"/>
    </w:p>
    <w:p w14:paraId="674B9D20">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1、一般规定</w:t>
      </w:r>
    </w:p>
    <w:p w14:paraId="50BDF3D6">
      <w:pPr>
        <w:spacing w:line="440" w:lineRule="exact"/>
        <w:ind w:firstLine="535" w:firstLineChars="255"/>
        <w:rPr>
          <w:rFonts w:ascii="宋体" w:hAnsi="宋体" w:cs="宋体"/>
          <w:szCs w:val="21"/>
          <w:highlight w:val="none"/>
        </w:rPr>
      </w:pPr>
      <w:r>
        <w:rPr>
          <w:rFonts w:hint="eastAsia" w:ascii="宋体" w:hAnsi="宋体" w:cs="宋体"/>
          <w:szCs w:val="21"/>
          <w:highlight w:val="none"/>
        </w:rPr>
        <w:t>1.1本项目的招标按照《中华人民共和国政府采购法》、《政府采购服务和服务招标磋商管理办法》、《政府采购竞争性磋商采购方式管理暂行办法》及政府采购的有关规定进行。</w:t>
      </w:r>
    </w:p>
    <w:p w14:paraId="1CD579A9">
      <w:pPr>
        <w:spacing w:line="440" w:lineRule="exact"/>
        <w:ind w:firstLine="535" w:firstLineChars="255"/>
        <w:rPr>
          <w:rFonts w:ascii="宋体" w:hAnsi="宋体" w:cs="宋体"/>
          <w:szCs w:val="21"/>
          <w:highlight w:val="none"/>
        </w:rPr>
      </w:pPr>
      <w:r>
        <w:rPr>
          <w:rFonts w:hint="eastAsia" w:ascii="宋体" w:hAnsi="宋体" w:cs="宋体"/>
          <w:szCs w:val="21"/>
          <w:highlight w:val="none"/>
        </w:rPr>
        <w:t>1.2评标必须遵循公开、公平、公正、诚实信用的原则。</w:t>
      </w:r>
    </w:p>
    <w:p w14:paraId="3DD89F5A">
      <w:pPr>
        <w:spacing w:line="440" w:lineRule="exact"/>
        <w:ind w:firstLine="535" w:firstLineChars="255"/>
        <w:rPr>
          <w:rFonts w:ascii="宋体" w:hAnsi="宋体" w:cs="宋体"/>
          <w:szCs w:val="21"/>
          <w:highlight w:val="none"/>
        </w:rPr>
      </w:pPr>
      <w:r>
        <w:rPr>
          <w:rFonts w:hint="eastAsia" w:ascii="宋体" w:hAnsi="宋体" w:cs="宋体"/>
          <w:szCs w:val="21"/>
          <w:highlight w:val="none"/>
        </w:rPr>
        <w:t>1.3招标代理机构组织招标、开标、评标工作，全过程接受政府采购有关部门的监督、管理和指导。</w:t>
      </w:r>
    </w:p>
    <w:p w14:paraId="576F3A70">
      <w:pPr>
        <w:spacing w:line="440" w:lineRule="exact"/>
        <w:ind w:firstLine="535" w:firstLineChars="255"/>
        <w:rPr>
          <w:rFonts w:ascii="宋体" w:hAnsi="宋体" w:cs="宋体"/>
          <w:szCs w:val="21"/>
          <w:highlight w:val="none"/>
        </w:rPr>
      </w:pPr>
      <w:r>
        <w:rPr>
          <w:rFonts w:hint="eastAsia" w:ascii="宋体" w:hAnsi="宋体" w:cs="宋体"/>
          <w:szCs w:val="21"/>
          <w:highlight w:val="none"/>
        </w:rPr>
        <w:t>1.4评标按照磋商文件规定的内容进行，采取综合比较和分项打分相结合的评标方法（综合评分法），避免纯技术或纯经济的倾向。</w:t>
      </w:r>
    </w:p>
    <w:p w14:paraId="66461ED8">
      <w:pPr>
        <w:spacing w:line="440" w:lineRule="exact"/>
        <w:ind w:firstLine="535" w:firstLineChars="255"/>
        <w:rPr>
          <w:rFonts w:ascii="宋体" w:hAnsi="宋体" w:cs="宋体"/>
          <w:szCs w:val="21"/>
          <w:highlight w:val="none"/>
        </w:rPr>
      </w:pPr>
      <w:r>
        <w:rPr>
          <w:rFonts w:hint="eastAsia" w:ascii="宋体" w:hAnsi="宋体" w:cs="宋体"/>
          <w:szCs w:val="21"/>
          <w:highlight w:val="none"/>
        </w:rPr>
        <w:t>1.5本办法的评标对象是指供应商按照磋商文件要求提供的有效响应文件，包括供应商应磋商小组要求对原响应文件作出的正式书面澄清文件。</w:t>
      </w:r>
    </w:p>
    <w:p w14:paraId="337210D7">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2、磋商组织机构的组成</w:t>
      </w:r>
    </w:p>
    <w:p w14:paraId="1D6F40D5">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2.1磋商小组成员由招标人的代表</w:t>
      </w:r>
      <w:r>
        <w:rPr>
          <w:rFonts w:hint="eastAsia" w:ascii="宋体" w:hAnsi="宋体" w:cs="宋体"/>
          <w:color w:val="000000" w:themeColor="text1"/>
          <w:szCs w:val="21"/>
          <w:highlight w:val="none"/>
          <w:u w:val="single"/>
          <w:lang w:val="en-US" w:eastAsia="zh-CN"/>
          <w14:textFill>
            <w14:solidFill>
              <w14:schemeClr w14:val="tx1"/>
            </w14:solidFill>
          </w14:textFill>
        </w:rPr>
        <w:t>1名</w:t>
      </w:r>
      <w:r>
        <w:rPr>
          <w:rFonts w:hint="eastAsia" w:ascii="宋体" w:hAnsi="宋体" w:cs="宋体"/>
          <w:color w:val="000000" w:themeColor="text1"/>
          <w:szCs w:val="21"/>
          <w:highlight w:val="none"/>
          <w:u w:val="single"/>
          <w14:textFill>
            <w14:solidFill>
              <w14:schemeClr w14:val="tx1"/>
            </w14:solidFill>
          </w14:textFill>
        </w:rPr>
        <w:t>和随机抽取的有关方面的</w:t>
      </w:r>
      <w:r>
        <w:rPr>
          <w:rFonts w:hint="eastAsia" w:ascii="宋体" w:hAnsi="宋体" w:cs="宋体"/>
          <w:b/>
          <w:bCs/>
          <w:color w:val="000000" w:themeColor="text1"/>
          <w:szCs w:val="21"/>
          <w:highlight w:val="none"/>
          <w:u w:val="single"/>
          <w14:textFill>
            <w14:solidFill>
              <w14:schemeClr w14:val="tx1"/>
            </w14:solidFill>
          </w14:textFill>
        </w:rPr>
        <w:t>专家</w:t>
      </w:r>
      <w:r>
        <w:rPr>
          <w:rFonts w:hint="eastAsia" w:ascii="宋体" w:hAnsi="宋体" w:cs="宋体"/>
          <w:b/>
          <w:bCs/>
          <w:color w:val="000000" w:themeColor="text1"/>
          <w:szCs w:val="21"/>
          <w:highlight w:val="none"/>
          <w:u w:val="single"/>
          <w:lang w:val="en-US" w:eastAsia="zh-CN"/>
          <w14:textFill>
            <w14:solidFill>
              <w14:schemeClr w14:val="tx1"/>
            </w14:solidFill>
          </w14:textFill>
        </w:rPr>
        <w:t>2</w:t>
      </w:r>
      <w:r>
        <w:rPr>
          <w:rFonts w:hint="eastAsia" w:ascii="宋体" w:hAnsi="宋体" w:cs="宋体"/>
          <w:b/>
          <w:bCs/>
          <w:color w:val="000000" w:themeColor="text1"/>
          <w:szCs w:val="21"/>
          <w:highlight w:val="none"/>
          <w:u w:val="single"/>
          <w14:textFill>
            <w14:solidFill>
              <w14:schemeClr w14:val="tx1"/>
            </w14:solidFill>
          </w14:textFill>
        </w:rPr>
        <w:t>名组成，成员为</w:t>
      </w:r>
      <w:r>
        <w:rPr>
          <w:rFonts w:hint="eastAsia" w:ascii="宋体" w:hAnsi="宋体" w:cs="宋体"/>
          <w:b/>
          <w:bCs/>
          <w:color w:val="000000" w:themeColor="text1"/>
          <w:szCs w:val="21"/>
          <w:highlight w:val="none"/>
          <w:u w:val="single"/>
          <w:lang w:val="en-US" w:eastAsia="zh-CN"/>
          <w14:textFill>
            <w14:solidFill>
              <w14:schemeClr w14:val="tx1"/>
            </w14:solidFill>
          </w14:textFill>
        </w:rPr>
        <w:t>3</w:t>
      </w:r>
      <w:r>
        <w:rPr>
          <w:rFonts w:hint="eastAsia" w:ascii="宋体" w:hAnsi="宋体" w:cs="宋体"/>
          <w:b/>
          <w:bCs/>
          <w:color w:val="000000" w:themeColor="text1"/>
          <w:szCs w:val="21"/>
          <w:highlight w:val="none"/>
          <w:u w:val="single"/>
          <w14:textFill>
            <w14:solidFill>
              <w14:schemeClr w14:val="tx1"/>
            </w14:solidFill>
          </w14:textFill>
        </w:rPr>
        <w:t>人</w:t>
      </w:r>
      <w:r>
        <w:rPr>
          <w:rFonts w:hint="eastAsia" w:ascii="宋体" w:hAnsi="宋体" w:cs="宋体"/>
          <w:szCs w:val="21"/>
          <w:highlight w:val="none"/>
        </w:rPr>
        <w:t>，磋商小组的成员在评标过程中</w:t>
      </w:r>
      <w:r>
        <w:rPr>
          <w:rFonts w:hint="eastAsia" w:ascii="宋体" w:hAnsi="宋体" w:cs="宋体"/>
          <w:szCs w:val="21"/>
          <w:highlight w:val="none"/>
          <w:lang w:val="zh-CN"/>
        </w:rPr>
        <w:t>必须严格遵守政府采购的有关规定</w:t>
      </w:r>
      <w:r>
        <w:rPr>
          <w:rFonts w:hint="eastAsia" w:ascii="宋体" w:hAnsi="宋体" w:cs="宋体"/>
          <w:szCs w:val="21"/>
          <w:highlight w:val="none"/>
        </w:rPr>
        <w:t>。专家从</w:t>
      </w:r>
      <w:r>
        <w:rPr>
          <w:rFonts w:hint="eastAsia" w:ascii="宋体" w:hAnsi="宋体" w:cs="宋体"/>
          <w:szCs w:val="21"/>
          <w:highlight w:val="none"/>
          <w:lang w:eastAsia="zh-CN"/>
        </w:rPr>
        <w:t>政采云</w:t>
      </w:r>
      <w:r>
        <w:rPr>
          <w:rFonts w:hint="eastAsia" w:ascii="宋体" w:hAnsi="宋体" w:cs="宋体"/>
          <w:szCs w:val="21"/>
          <w:highlight w:val="none"/>
        </w:rPr>
        <w:t>专家库中随机抽取产生。</w:t>
      </w:r>
    </w:p>
    <w:p w14:paraId="43BF61C4">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2.2评标工作组由招标人及有关专家组成，由磋商小组确认，并接受其领导。</w:t>
      </w:r>
    </w:p>
    <w:p w14:paraId="50403AE4">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2.3磋商小组应相对独立工作，负责评标、撰写技术、商务评标报告。采购代理机构负责评标过程中资料的保管、发放、回收，整理、汇总评标资料。</w:t>
      </w:r>
    </w:p>
    <w:p w14:paraId="4CC252F1">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3、磋商小组职责</w:t>
      </w:r>
    </w:p>
    <w:p w14:paraId="0AB44520">
      <w:pPr>
        <w:pStyle w:val="59"/>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3.1审查磋商文件是否符合磋商文件要求，并作出评价；</w:t>
      </w:r>
    </w:p>
    <w:p w14:paraId="32D11C16">
      <w:pPr>
        <w:pStyle w:val="59"/>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3.2要求供应商对磋商文件有关事项作出解释或者澄清；</w:t>
      </w:r>
    </w:p>
    <w:p w14:paraId="0A282C19">
      <w:pPr>
        <w:pStyle w:val="59"/>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3.3推荐成交候选人名单；</w:t>
      </w:r>
    </w:p>
    <w:p w14:paraId="1AE2A8A1">
      <w:pPr>
        <w:pStyle w:val="59"/>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3.4向招标人、招标代理机构或者有关部门报告非法干预评标工作的行为。</w:t>
      </w:r>
    </w:p>
    <w:p w14:paraId="04BA0B38">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4、磋商小组义务</w:t>
      </w:r>
    </w:p>
    <w:p w14:paraId="50CC0204">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4.1遵纪守法，客观、公正、廉洁地履行职责；</w:t>
      </w:r>
    </w:p>
    <w:p w14:paraId="7FF20468">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4.2按照磋商文件规定的评标方法和评标标准进行评标，对评审意见承担个人责任；</w:t>
      </w:r>
    </w:p>
    <w:p w14:paraId="62C51EA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4.3对评标过程和结果，以及供应商的商业秘密保密；</w:t>
      </w:r>
    </w:p>
    <w:p w14:paraId="7A075A04">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4.4参与评标报告的起草；</w:t>
      </w:r>
    </w:p>
    <w:p w14:paraId="762A1B9B">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4.5配合有关部门的投诉处理工作；</w:t>
      </w:r>
    </w:p>
    <w:p w14:paraId="26FEBCA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4.6配合招标人、招标代理机构答复磋商供应商提出的质疑。</w:t>
      </w:r>
    </w:p>
    <w:p w14:paraId="59509F69">
      <w:pPr>
        <w:tabs>
          <w:tab w:val="left" w:pos="1547"/>
        </w:tabs>
        <w:spacing w:line="440" w:lineRule="exact"/>
        <w:ind w:firstLine="535" w:firstLineChars="255"/>
        <w:rPr>
          <w:rFonts w:ascii="宋体" w:hAnsi="宋体" w:cs="宋体"/>
          <w:szCs w:val="21"/>
          <w:highlight w:val="none"/>
        </w:rPr>
      </w:pPr>
      <w:r>
        <w:rPr>
          <w:rFonts w:hint="eastAsia" w:ascii="宋体" w:hAnsi="宋体" w:cs="宋体"/>
          <w:szCs w:val="21"/>
          <w:highlight w:val="none"/>
        </w:rPr>
        <w:t>5、 评标程序</w:t>
      </w:r>
    </w:p>
    <w:p w14:paraId="02581769">
      <w:pPr>
        <w:pStyle w:val="20"/>
        <w:tabs>
          <w:tab w:val="left" w:pos="720"/>
          <w:tab w:val="clear" w:pos="0"/>
        </w:tabs>
        <w:spacing w:line="440" w:lineRule="exact"/>
        <w:ind w:firstLine="535" w:firstLineChars="255"/>
        <w:rPr>
          <w:rFonts w:ascii="宋体" w:hAnsi="宋体" w:cs="宋体"/>
          <w:bCs/>
          <w:color w:val="auto"/>
          <w:szCs w:val="21"/>
          <w:highlight w:val="none"/>
        </w:rPr>
      </w:pPr>
      <w:r>
        <w:rPr>
          <w:rFonts w:hint="eastAsia" w:ascii="宋体" w:hAnsi="宋体" w:cs="宋体"/>
          <w:bCs/>
          <w:color w:val="auto"/>
          <w:szCs w:val="21"/>
          <w:highlight w:val="none"/>
        </w:rPr>
        <w:t>5.1本次评标首先由磋商小组对供应商的响应文件进行初审，对未能通过初审的响应文件作废标处理；</w:t>
      </w:r>
    </w:p>
    <w:p w14:paraId="0AC64402">
      <w:pPr>
        <w:tabs>
          <w:tab w:val="left" w:pos="720"/>
        </w:tabs>
        <w:spacing w:line="440" w:lineRule="exact"/>
        <w:ind w:firstLine="535" w:firstLineChars="255"/>
        <w:rPr>
          <w:rFonts w:ascii="宋体" w:hAnsi="宋体" w:cs="宋体"/>
          <w:szCs w:val="21"/>
          <w:highlight w:val="none"/>
        </w:rPr>
      </w:pPr>
      <w:r>
        <w:rPr>
          <w:rFonts w:hint="eastAsia" w:ascii="宋体" w:hAnsi="宋体" w:cs="宋体"/>
          <w:szCs w:val="21"/>
          <w:highlight w:val="none"/>
        </w:rPr>
        <w:t>5.2对通过初审的供应商的响应文件进行详细的比较和评价。如需要，进行必要的澄清工作；</w:t>
      </w:r>
    </w:p>
    <w:p w14:paraId="0CBFD6E7">
      <w:pPr>
        <w:spacing w:line="360" w:lineRule="auto"/>
        <w:rPr>
          <w:rFonts w:ascii="宋体"/>
          <w:color w:val="000000"/>
          <w:szCs w:val="21"/>
          <w:highlight w:val="none"/>
        </w:rPr>
      </w:pPr>
      <w:r>
        <w:rPr>
          <w:rFonts w:hint="eastAsia" w:ascii="宋体" w:hAnsi="宋体" w:cs="宋体"/>
          <w:szCs w:val="21"/>
          <w:highlight w:val="none"/>
        </w:rPr>
        <w:t xml:space="preserve">     5.3</w:t>
      </w:r>
      <w:r>
        <w:rPr>
          <w:rFonts w:hint="eastAsia" w:ascii="宋体"/>
          <w:color w:val="000000"/>
          <w:szCs w:val="21"/>
          <w:highlight w:val="none"/>
        </w:rPr>
        <w:t>评标报告与推荐成交候选人</w:t>
      </w:r>
    </w:p>
    <w:p w14:paraId="62DD5F09">
      <w:pPr>
        <w:widowControl/>
        <w:spacing w:line="440" w:lineRule="exact"/>
        <w:ind w:firstLine="480"/>
        <w:rPr>
          <w:rFonts w:ascii="宋体" w:hAnsi="宋体" w:cs="宋体"/>
          <w:kern w:val="0"/>
          <w:szCs w:val="21"/>
          <w:highlight w:val="none"/>
        </w:rPr>
      </w:pPr>
      <w:r>
        <w:rPr>
          <w:rFonts w:hint="eastAsia" w:ascii="宋体" w:hAnsi="宋体" w:cs="宋体"/>
          <w:szCs w:val="21"/>
          <w:highlight w:val="none"/>
        </w:rPr>
        <w:t>5.3</w:t>
      </w:r>
      <w:r>
        <w:rPr>
          <w:rFonts w:hint="eastAsia" w:ascii="宋体" w:hAnsi="宋体" w:cs="宋体"/>
          <w:kern w:val="0"/>
          <w:szCs w:val="21"/>
          <w:highlight w:val="none"/>
        </w:rPr>
        <w:t>磋商小组各成员应当独立对每个有效响应的文件进行评价、打分，然后汇总每个供应商每项评分因素的得分。</w:t>
      </w:r>
    </w:p>
    <w:p w14:paraId="3E438CA7">
      <w:pPr>
        <w:jc w:val="left"/>
        <w:outlineLvl w:val="1"/>
        <w:rPr>
          <w:rFonts w:ascii="宋体" w:hAnsi="宋体" w:cs="宋体"/>
          <w:kern w:val="0"/>
          <w:szCs w:val="21"/>
          <w:highlight w:val="none"/>
        </w:rPr>
      </w:pPr>
      <w:r>
        <w:rPr>
          <w:rFonts w:hint="eastAsia" w:ascii="宋体" w:hAnsi="宋体" w:cs="宋体"/>
          <w:kern w:val="0"/>
          <w:szCs w:val="21"/>
          <w:highlight w:val="none"/>
        </w:rPr>
        <w:t>　</w:t>
      </w:r>
    </w:p>
    <w:p w14:paraId="261C5AE4">
      <w:pPr>
        <w:jc w:val="left"/>
        <w:outlineLvl w:val="1"/>
        <w:rPr>
          <w:rFonts w:ascii="宋体"/>
          <w:b/>
          <w:sz w:val="28"/>
          <w:szCs w:val="28"/>
          <w:highlight w:val="none"/>
        </w:rPr>
      </w:pPr>
    </w:p>
    <w:p w14:paraId="32DCFF72">
      <w:pPr>
        <w:jc w:val="center"/>
        <w:outlineLvl w:val="1"/>
        <w:rPr>
          <w:rFonts w:ascii="宋体"/>
          <w:b/>
          <w:sz w:val="28"/>
          <w:szCs w:val="28"/>
          <w:highlight w:val="none"/>
        </w:rPr>
      </w:pPr>
    </w:p>
    <w:p w14:paraId="230FD1D0">
      <w:pPr>
        <w:jc w:val="center"/>
        <w:outlineLvl w:val="1"/>
        <w:rPr>
          <w:rFonts w:ascii="宋体"/>
          <w:b/>
          <w:sz w:val="28"/>
          <w:szCs w:val="28"/>
          <w:highlight w:val="none"/>
        </w:rPr>
      </w:pPr>
    </w:p>
    <w:p w14:paraId="562636ED">
      <w:pPr>
        <w:jc w:val="center"/>
        <w:outlineLvl w:val="1"/>
        <w:rPr>
          <w:rFonts w:ascii="宋体"/>
          <w:b/>
          <w:sz w:val="28"/>
          <w:szCs w:val="28"/>
          <w:highlight w:val="none"/>
        </w:rPr>
      </w:pPr>
    </w:p>
    <w:p w14:paraId="2DCED71C">
      <w:pPr>
        <w:jc w:val="center"/>
        <w:outlineLvl w:val="1"/>
        <w:rPr>
          <w:rFonts w:ascii="宋体"/>
          <w:b/>
          <w:sz w:val="28"/>
          <w:szCs w:val="28"/>
          <w:highlight w:val="none"/>
        </w:rPr>
      </w:pPr>
    </w:p>
    <w:p w14:paraId="6745F1A4">
      <w:pPr>
        <w:jc w:val="center"/>
        <w:outlineLvl w:val="1"/>
        <w:rPr>
          <w:rFonts w:ascii="宋体"/>
          <w:b/>
          <w:sz w:val="28"/>
          <w:szCs w:val="28"/>
          <w:highlight w:val="none"/>
        </w:rPr>
      </w:pPr>
    </w:p>
    <w:p w14:paraId="05ABCECA">
      <w:pPr>
        <w:jc w:val="center"/>
        <w:outlineLvl w:val="1"/>
        <w:rPr>
          <w:rFonts w:ascii="宋体"/>
          <w:b/>
          <w:sz w:val="28"/>
          <w:szCs w:val="28"/>
          <w:highlight w:val="none"/>
        </w:rPr>
      </w:pPr>
    </w:p>
    <w:p w14:paraId="6F401CF3">
      <w:pPr>
        <w:jc w:val="center"/>
        <w:outlineLvl w:val="1"/>
        <w:rPr>
          <w:rFonts w:ascii="宋体"/>
          <w:b/>
          <w:sz w:val="28"/>
          <w:szCs w:val="28"/>
          <w:highlight w:val="none"/>
        </w:rPr>
      </w:pPr>
    </w:p>
    <w:p w14:paraId="1F0D4AE0">
      <w:pPr>
        <w:jc w:val="center"/>
        <w:outlineLvl w:val="1"/>
        <w:rPr>
          <w:rFonts w:ascii="宋体"/>
          <w:b/>
          <w:sz w:val="28"/>
          <w:szCs w:val="28"/>
          <w:highlight w:val="none"/>
        </w:rPr>
      </w:pPr>
    </w:p>
    <w:p w14:paraId="0E4802E5">
      <w:pPr>
        <w:jc w:val="center"/>
        <w:outlineLvl w:val="1"/>
        <w:rPr>
          <w:rFonts w:ascii="宋体"/>
          <w:b/>
          <w:sz w:val="28"/>
          <w:szCs w:val="28"/>
          <w:highlight w:val="none"/>
        </w:rPr>
      </w:pPr>
    </w:p>
    <w:p w14:paraId="09D62155">
      <w:pPr>
        <w:jc w:val="center"/>
        <w:outlineLvl w:val="1"/>
        <w:rPr>
          <w:rFonts w:ascii="宋体"/>
          <w:b/>
          <w:sz w:val="28"/>
          <w:szCs w:val="28"/>
          <w:highlight w:val="none"/>
        </w:rPr>
      </w:pPr>
    </w:p>
    <w:p w14:paraId="40D05A47">
      <w:pPr>
        <w:jc w:val="center"/>
        <w:outlineLvl w:val="1"/>
        <w:rPr>
          <w:rFonts w:ascii="宋体"/>
          <w:b/>
          <w:sz w:val="28"/>
          <w:szCs w:val="28"/>
          <w:highlight w:val="none"/>
        </w:rPr>
      </w:pPr>
    </w:p>
    <w:p w14:paraId="304618E6">
      <w:pPr>
        <w:jc w:val="center"/>
        <w:outlineLvl w:val="1"/>
        <w:rPr>
          <w:rFonts w:ascii="宋体"/>
          <w:b/>
          <w:sz w:val="28"/>
          <w:szCs w:val="28"/>
          <w:highlight w:val="none"/>
        </w:rPr>
      </w:pPr>
    </w:p>
    <w:p w14:paraId="4223838B">
      <w:pPr>
        <w:pStyle w:val="2"/>
        <w:rPr>
          <w:rFonts w:ascii="宋体"/>
          <w:b/>
          <w:sz w:val="28"/>
          <w:szCs w:val="28"/>
          <w:highlight w:val="none"/>
        </w:rPr>
      </w:pPr>
    </w:p>
    <w:p w14:paraId="54FBA299">
      <w:pPr>
        <w:rPr>
          <w:rFonts w:ascii="宋体"/>
          <w:b/>
          <w:sz w:val="28"/>
          <w:szCs w:val="28"/>
          <w:highlight w:val="none"/>
        </w:rPr>
      </w:pPr>
    </w:p>
    <w:p w14:paraId="14AED256">
      <w:pPr>
        <w:pStyle w:val="2"/>
        <w:rPr>
          <w:rFonts w:ascii="宋体"/>
          <w:b/>
          <w:sz w:val="28"/>
          <w:szCs w:val="28"/>
          <w:highlight w:val="none"/>
        </w:rPr>
      </w:pPr>
    </w:p>
    <w:p w14:paraId="7365BDBA">
      <w:pPr>
        <w:pStyle w:val="2"/>
      </w:pPr>
    </w:p>
    <w:p w14:paraId="7B004CDB">
      <w:pPr>
        <w:pStyle w:val="39"/>
      </w:pPr>
    </w:p>
    <w:p w14:paraId="16A1FD68">
      <w:pPr>
        <w:jc w:val="center"/>
        <w:outlineLvl w:val="1"/>
        <w:rPr>
          <w:rFonts w:ascii="宋体"/>
          <w:b/>
          <w:sz w:val="28"/>
          <w:szCs w:val="28"/>
          <w:highlight w:val="none"/>
        </w:rPr>
      </w:pPr>
      <w:bookmarkStart w:id="82" w:name="_Toc5760"/>
      <w:r>
        <w:rPr>
          <w:rFonts w:hint="eastAsia" w:ascii="宋体"/>
          <w:b/>
          <w:sz w:val="28"/>
          <w:szCs w:val="28"/>
          <w:highlight w:val="none"/>
        </w:rPr>
        <w:t>二  投标文件初审</w:t>
      </w:r>
      <w:bookmarkEnd w:id="79"/>
      <w:bookmarkEnd w:id="82"/>
    </w:p>
    <w:p w14:paraId="0695ADEC">
      <w:pPr>
        <w:spacing w:line="400" w:lineRule="exact"/>
        <w:ind w:firstLine="308" w:firstLineChars="147"/>
        <w:rPr>
          <w:rFonts w:ascii="宋体"/>
          <w:b/>
          <w:szCs w:val="21"/>
          <w:highlight w:val="none"/>
        </w:rPr>
      </w:pPr>
      <w:r>
        <w:rPr>
          <w:rFonts w:hint="eastAsia" w:ascii="宋体"/>
          <w:b/>
          <w:szCs w:val="21"/>
          <w:highlight w:val="none"/>
        </w:rPr>
        <w:t>6.资格性审查:</w:t>
      </w:r>
    </w:p>
    <w:p w14:paraId="3FEFB0D2">
      <w:pPr>
        <w:spacing w:line="400" w:lineRule="exact"/>
        <w:ind w:firstLine="308" w:firstLineChars="147"/>
        <w:rPr>
          <w:szCs w:val="21"/>
          <w:highlight w:val="none"/>
        </w:rPr>
      </w:pPr>
      <w:r>
        <w:rPr>
          <w:rFonts w:hint="eastAsia" w:ascii="宋体"/>
          <w:szCs w:val="21"/>
          <w:highlight w:val="none"/>
        </w:rPr>
        <w:t>6.1</w:t>
      </w:r>
      <w:r>
        <w:rPr>
          <w:rFonts w:hint="eastAsia"/>
          <w:szCs w:val="21"/>
          <w:highlight w:val="none"/>
        </w:rPr>
        <w:t>评审细则</w:t>
      </w:r>
    </w:p>
    <w:tbl>
      <w:tblPr>
        <w:tblStyle w:val="24"/>
        <w:tblW w:w="9060" w:type="dxa"/>
        <w:jc w:val="center"/>
        <w:tblLayout w:type="fixed"/>
        <w:tblCellMar>
          <w:top w:w="0" w:type="dxa"/>
          <w:left w:w="15" w:type="dxa"/>
          <w:bottom w:w="0" w:type="dxa"/>
          <w:right w:w="15" w:type="dxa"/>
        </w:tblCellMar>
      </w:tblPr>
      <w:tblGrid>
        <w:gridCol w:w="885"/>
        <w:gridCol w:w="8175"/>
      </w:tblGrid>
      <w:tr w14:paraId="76057472">
        <w:tblPrEx>
          <w:tblCellMar>
            <w:top w:w="0" w:type="dxa"/>
            <w:left w:w="15" w:type="dxa"/>
            <w:bottom w:w="0" w:type="dxa"/>
            <w:right w:w="15" w:type="dxa"/>
          </w:tblCellMar>
        </w:tblPrEx>
        <w:trPr>
          <w:trHeight w:val="429" w:hRule="atLeast"/>
          <w:jc w:val="center"/>
        </w:trPr>
        <w:tc>
          <w:tcPr>
            <w:tcW w:w="885" w:type="dxa"/>
            <w:tcBorders>
              <w:top w:val="single" w:color="000000" w:sz="4" w:space="0"/>
              <w:left w:val="single" w:color="000000" w:sz="4" w:space="0"/>
              <w:bottom w:val="single" w:color="auto" w:sz="4" w:space="0"/>
              <w:right w:val="single" w:color="000000" w:sz="4" w:space="0"/>
            </w:tcBorders>
            <w:vAlign w:val="center"/>
          </w:tcPr>
          <w:p w14:paraId="37C81FD6">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序号</w:t>
            </w:r>
          </w:p>
        </w:tc>
        <w:tc>
          <w:tcPr>
            <w:tcW w:w="8175" w:type="dxa"/>
            <w:tcBorders>
              <w:top w:val="single" w:color="000000" w:sz="4" w:space="0"/>
              <w:left w:val="single" w:color="000000" w:sz="4" w:space="0"/>
              <w:bottom w:val="single" w:color="000000" w:sz="4" w:space="0"/>
              <w:right w:val="single" w:color="000000" w:sz="4" w:space="0"/>
            </w:tcBorders>
            <w:vAlign w:val="center"/>
          </w:tcPr>
          <w:p w14:paraId="6A235D06">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资质审查</w:t>
            </w:r>
          </w:p>
        </w:tc>
      </w:tr>
      <w:tr w14:paraId="7F83C4D6">
        <w:tblPrEx>
          <w:tblCellMar>
            <w:top w:w="0" w:type="dxa"/>
            <w:left w:w="15" w:type="dxa"/>
            <w:bottom w:w="0" w:type="dxa"/>
            <w:right w:w="15" w:type="dxa"/>
          </w:tblCellMar>
        </w:tblPrEx>
        <w:trPr>
          <w:trHeight w:val="38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5662BF5">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p>
        </w:tc>
        <w:tc>
          <w:tcPr>
            <w:tcW w:w="8175" w:type="dxa"/>
            <w:tcBorders>
              <w:top w:val="single" w:color="000000" w:sz="4" w:space="0"/>
              <w:left w:val="single" w:color="auto" w:sz="4" w:space="0"/>
              <w:bottom w:val="single" w:color="000000" w:sz="4" w:space="0"/>
              <w:right w:val="single" w:color="000000" w:sz="4" w:space="0"/>
            </w:tcBorders>
            <w:vAlign w:val="center"/>
          </w:tcPr>
          <w:p w14:paraId="24F03456">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具备三证合一营业执照</w:t>
            </w:r>
          </w:p>
        </w:tc>
      </w:tr>
      <w:tr w14:paraId="3E8DA824">
        <w:tblPrEx>
          <w:tblCellMar>
            <w:top w:w="0" w:type="dxa"/>
            <w:left w:w="15" w:type="dxa"/>
            <w:bottom w:w="0" w:type="dxa"/>
            <w:right w:w="15" w:type="dxa"/>
          </w:tblCellMar>
        </w:tblPrEx>
        <w:trPr>
          <w:trHeight w:val="88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2187CDF5">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w:t>
            </w:r>
          </w:p>
        </w:tc>
        <w:tc>
          <w:tcPr>
            <w:tcW w:w="8175" w:type="dxa"/>
            <w:tcBorders>
              <w:top w:val="single" w:color="000000" w:sz="4" w:space="0"/>
              <w:left w:val="single" w:color="auto" w:sz="4" w:space="0"/>
              <w:bottom w:val="single" w:color="000000" w:sz="4" w:space="0"/>
              <w:right w:val="single" w:color="000000" w:sz="4" w:space="0"/>
            </w:tcBorders>
            <w:vAlign w:val="center"/>
          </w:tcPr>
          <w:p w14:paraId="1157C6EF">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法定代表人投标需提供法定代表人资格证明书，委托代理人投标需提供法定代表</w:t>
            </w:r>
          </w:p>
          <w:p w14:paraId="75EE50EE">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人授权委托书；</w:t>
            </w:r>
          </w:p>
        </w:tc>
      </w:tr>
      <w:tr w14:paraId="285EFCAA">
        <w:tblPrEx>
          <w:tblCellMar>
            <w:top w:w="0" w:type="dxa"/>
            <w:left w:w="15" w:type="dxa"/>
            <w:bottom w:w="0" w:type="dxa"/>
            <w:right w:w="15" w:type="dxa"/>
          </w:tblCellMar>
        </w:tblPrEx>
        <w:trPr>
          <w:trHeight w:val="98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EFEAC8E">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w:t>
            </w:r>
          </w:p>
        </w:tc>
        <w:tc>
          <w:tcPr>
            <w:tcW w:w="8175" w:type="dxa"/>
            <w:tcBorders>
              <w:top w:val="single" w:color="000000" w:sz="4" w:space="0"/>
              <w:left w:val="single" w:color="auto" w:sz="4" w:space="0"/>
              <w:bottom w:val="single" w:color="000000" w:sz="4" w:space="0"/>
              <w:right w:val="single" w:color="000000" w:sz="4" w:space="0"/>
            </w:tcBorders>
            <w:vAlign w:val="center"/>
          </w:tcPr>
          <w:p w14:paraId="2BF4F06E">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r>
      <w:tr w14:paraId="0F455826">
        <w:tblPrEx>
          <w:tblCellMar>
            <w:top w:w="0" w:type="dxa"/>
            <w:left w:w="15" w:type="dxa"/>
            <w:bottom w:w="0" w:type="dxa"/>
            <w:right w:w="15" w:type="dxa"/>
          </w:tblCellMar>
        </w:tblPrEx>
        <w:trPr>
          <w:trHeight w:val="36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53FF6515">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4</w:t>
            </w:r>
          </w:p>
        </w:tc>
        <w:tc>
          <w:tcPr>
            <w:tcW w:w="8175" w:type="dxa"/>
            <w:tcBorders>
              <w:top w:val="single" w:color="000000" w:sz="4" w:space="0"/>
              <w:left w:val="single" w:color="auto" w:sz="4" w:space="0"/>
              <w:bottom w:val="single" w:color="000000" w:sz="4" w:space="0"/>
              <w:right w:val="single" w:color="000000" w:sz="4" w:space="0"/>
            </w:tcBorders>
            <w:vAlign w:val="center"/>
          </w:tcPr>
          <w:p w14:paraId="67BE9AFB">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供应商必须为在中华人民共和国境内依法设立的国有商业银行、股份制商业银行、邮政储蓄银行、城市商业银行等银行机构且具备中国银行保险监督管理委员会核发的《中华人民共和国金融许可证》。</w:t>
            </w:r>
          </w:p>
        </w:tc>
      </w:tr>
      <w:tr w14:paraId="595B9EC2">
        <w:tblPrEx>
          <w:tblCellMar>
            <w:top w:w="0" w:type="dxa"/>
            <w:left w:w="15" w:type="dxa"/>
            <w:bottom w:w="0" w:type="dxa"/>
            <w:right w:w="15" w:type="dxa"/>
          </w:tblCellMar>
        </w:tblPrEx>
        <w:trPr>
          <w:trHeight w:val="37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6B6A40C4">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5</w:t>
            </w:r>
          </w:p>
        </w:tc>
        <w:tc>
          <w:tcPr>
            <w:tcW w:w="8175" w:type="dxa"/>
            <w:tcBorders>
              <w:top w:val="single" w:color="000000" w:sz="4" w:space="0"/>
              <w:left w:val="single" w:color="auto" w:sz="4" w:space="0"/>
              <w:bottom w:val="single" w:color="000000" w:sz="4" w:space="0"/>
              <w:right w:val="single" w:color="000000" w:sz="4" w:space="0"/>
            </w:tcBorders>
            <w:vAlign w:val="center"/>
          </w:tcPr>
          <w:p w14:paraId="7B45BE06">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投标</w:t>
            </w:r>
            <w:r>
              <w:rPr>
                <w:rFonts w:hint="eastAsia" w:ascii="Times New Roman" w:hAnsi="Times New Roman" w:eastAsia="宋体" w:cs="Times New Roman"/>
                <w:szCs w:val="21"/>
                <w:highlight w:val="none"/>
              </w:rPr>
              <w:t>保证</w:t>
            </w:r>
            <w:r>
              <w:rPr>
                <w:rFonts w:hint="eastAsia" w:ascii="Times New Roman" w:hAnsi="Times New Roman" w:eastAsia="宋体" w:cs="Times New Roman"/>
                <w:szCs w:val="21"/>
                <w:highlight w:val="none"/>
                <w:lang w:eastAsia="zh-CN"/>
              </w:rPr>
              <w:t>金凭证或保函</w:t>
            </w:r>
          </w:p>
        </w:tc>
      </w:tr>
      <w:tr w14:paraId="1E4D8033">
        <w:tblPrEx>
          <w:tblCellMar>
            <w:top w:w="0" w:type="dxa"/>
            <w:left w:w="15" w:type="dxa"/>
            <w:bottom w:w="0" w:type="dxa"/>
            <w:right w:w="15" w:type="dxa"/>
          </w:tblCellMar>
        </w:tblPrEx>
        <w:trPr>
          <w:trHeight w:val="123"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14:paraId="717984E0">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符合通过打“√”，不通过打“×”审查不通过的为投标无效。</w:t>
            </w:r>
          </w:p>
        </w:tc>
      </w:tr>
    </w:tbl>
    <w:p w14:paraId="0D405D84">
      <w:pPr>
        <w:spacing w:line="400" w:lineRule="exact"/>
        <w:ind w:firstLine="506" w:firstLineChars="241"/>
        <w:rPr>
          <w:rFonts w:ascii="宋体"/>
          <w:b/>
          <w:szCs w:val="21"/>
          <w:highlight w:val="none"/>
        </w:rPr>
      </w:pPr>
      <w:r>
        <w:rPr>
          <w:rFonts w:hint="eastAsia" w:ascii="宋体" w:hAnsi="宋体"/>
          <w:b/>
          <w:szCs w:val="21"/>
          <w:highlight w:val="none"/>
        </w:rPr>
        <w:t>6.2如评标专家在检验电子标书过程中，如果由于投标人自身原因导致评标专家无法查看并检验电子标书中以上相关资料的，否决其投标。即使投标单位将原件携带至现场的，同样按无效投标处理。</w:t>
      </w:r>
    </w:p>
    <w:p w14:paraId="78DFC0E5">
      <w:pPr>
        <w:spacing w:before="156" w:beforeLines="50" w:line="440" w:lineRule="exact"/>
        <w:ind w:firstLine="308" w:firstLineChars="147"/>
        <w:rPr>
          <w:rFonts w:ascii="宋体"/>
          <w:b/>
          <w:szCs w:val="21"/>
          <w:highlight w:val="none"/>
        </w:rPr>
      </w:pPr>
      <w:r>
        <w:rPr>
          <w:rFonts w:hint="eastAsia" w:ascii="宋体"/>
          <w:b/>
          <w:szCs w:val="21"/>
          <w:highlight w:val="none"/>
        </w:rPr>
        <w:t>7.符合性审查</w:t>
      </w:r>
    </w:p>
    <w:p w14:paraId="3FE6B6B2">
      <w:pPr>
        <w:spacing w:line="440" w:lineRule="exact"/>
        <w:ind w:firstLine="315" w:firstLineChars="150"/>
        <w:rPr>
          <w:rFonts w:ascii="宋体"/>
          <w:szCs w:val="21"/>
          <w:highlight w:val="none"/>
        </w:rPr>
      </w:pPr>
      <w:r>
        <w:rPr>
          <w:rFonts w:hint="eastAsia" w:ascii="宋体"/>
          <w:szCs w:val="21"/>
          <w:highlight w:val="none"/>
        </w:rPr>
        <w:t>7．1评审细则</w:t>
      </w:r>
    </w:p>
    <w:tbl>
      <w:tblPr>
        <w:tblStyle w:val="2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22"/>
      </w:tblGrid>
      <w:tr w14:paraId="4FE7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2A8B5B48">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序号</w:t>
            </w:r>
          </w:p>
        </w:tc>
        <w:tc>
          <w:tcPr>
            <w:tcW w:w="8322" w:type="dxa"/>
            <w:vAlign w:val="center"/>
          </w:tcPr>
          <w:p w14:paraId="1C7C8A2E">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符合性审查要求</w:t>
            </w:r>
          </w:p>
        </w:tc>
      </w:tr>
      <w:tr w14:paraId="53DD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8" w:type="dxa"/>
            <w:vAlign w:val="center"/>
          </w:tcPr>
          <w:p w14:paraId="46EDD098">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p>
        </w:tc>
        <w:tc>
          <w:tcPr>
            <w:tcW w:w="8322" w:type="dxa"/>
            <w:vAlign w:val="center"/>
          </w:tcPr>
          <w:p w14:paraId="3B2412C0">
            <w:pPr>
              <w:spacing w:line="400" w:lineRule="exact"/>
              <w:ind w:firstLine="308" w:firstLineChars="147"/>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政府立项核准、审批的采购项目，</w:t>
            </w:r>
            <w:r>
              <w:rPr>
                <w:rFonts w:hint="eastAsia" w:ascii="Times New Roman" w:hAnsi="Times New Roman" w:eastAsia="宋体" w:cs="Times New Roman"/>
                <w:szCs w:val="21"/>
                <w:highlight w:val="none"/>
              </w:rPr>
              <w:t>投标报价</w:t>
            </w:r>
            <w:r>
              <w:rPr>
                <w:rFonts w:hint="eastAsia" w:ascii="Times New Roman" w:hAnsi="Times New Roman" w:eastAsia="宋体" w:cs="Times New Roman"/>
                <w:szCs w:val="21"/>
                <w:highlight w:val="none"/>
                <w:lang w:eastAsia="zh-CN"/>
              </w:rPr>
              <w:t>未超过</w:t>
            </w:r>
            <w:r>
              <w:rPr>
                <w:rFonts w:hint="eastAsia" w:ascii="Times New Roman" w:hAnsi="Times New Roman" w:eastAsia="宋体" w:cs="Times New Roman"/>
                <w:szCs w:val="21"/>
                <w:highlight w:val="none"/>
              </w:rPr>
              <w:t>设定的采购预算价的</w:t>
            </w:r>
            <w:r>
              <w:rPr>
                <w:rFonts w:hint="eastAsia" w:ascii="Times New Roman" w:hAnsi="Times New Roman" w:eastAsia="宋体" w:cs="Times New Roman"/>
                <w:szCs w:val="21"/>
                <w:highlight w:val="none"/>
                <w:lang w:val="en-US" w:eastAsia="zh-CN"/>
              </w:rPr>
              <w:t>。</w:t>
            </w:r>
          </w:p>
        </w:tc>
      </w:tr>
      <w:tr w14:paraId="0AE3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8" w:type="dxa"/>
            <w:vAlign w:val="center"/>
          </w:tcPr>
          <w:p w14:paraId="34E893B1">
            <w:pPr>
              <w:spacing w:line="400" w:lineRule="exact"/>
              <w:ind w:firstLine="308" w:firstLineChars="147"/>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w:t>
            </w:r>
          </w:p>
        </w:tc>
        <w:tc>
          <w:tcPr>
            <w:tcW w:w="8322" w:type="dxa"/>
            <w:vAlign w:val="center"/>
          </w:tcPr>
          <w:p w14:paraId="36AFDBBC">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投标</w:t>
            </w:r>
            <w:r>
              <w:rPr>
                <w:rFonts w:hint="eastAsia" w:ascii="Times New Roman" w:hAnsi="Times New Roman" w:eastAsia="宋体" w:cs="Times New Roman"/>
                <w:szCs w:val="21"/>
                <w:highlight w:val="none"/>
                <w:lang w:eastAsia="zh-CN"/>
              </w:rPr>
              <w:t>企业</w:t>
            </w:r>
            <w:r>
              <w:rPr>
                <w:rFonts w:hint="eastAsia" w:ascii="Times New Roman" w:hAnsi="Times New Roman" w:eastAsia="宋体" w:cs="Times New Roman"/>
                <w:szCs w:val="21"/>
                <w:highlight w:val="none"/>
              </w:rPr>
              <w:t>名称是否与营业执照一致</w:t>
            </w:r>
            <w:r>
              <w:rPr>
                <w:rFonts w:hint="eastAsia" w:ascii="Times New Roman" w:hAnsi="Times New Roman" w:eastAsia="宋体" w:cs="Times New Roman"/>
                <w:szCs w:val="21"/>
                <w:highlight w:val="none"/>
                <w:lang w:eastAsia="zh-CN"/>
              </w:rPr>
              <w:t>。</w:t>
            </w:r>
          </w:p>
        </w:tc>
      </w:tr>
      <w:tr w14:paraId="74B9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8" w:type="dxa"/>
            <w:vAlign w:val="center"/>
          </w:tcPr>
          <w:p w14:paraId="05A254F4">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p>
        </w:tc>
        <w:tc>
          <w:tcPr>
            <w:tcW w:w="8322" w:type="dxa"/>
            <w:vAlign w:val="center"/>
          </w:tcPr>
          <w:p w14:paraId="7241DC91">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响应文件</w:t>
            </w:r>
            <w:r>
              <w:rPr>
                <w:rFonts w:hint="eastAsia" w:ascii="Times New Roman" w:hAnsi="Times New Roman" w:eastAsia="宋体" w:cs="Times New Roman"/>
                <w:szCs w:val="21"/>
                <w:highlight w:val="none"/>
              </w:rPr>
              <w:t>是否按</w:t>
            </w:r>
            <w:r>
              <w:rPr>
                <w:rFonts w:hint="eastAsia" w:ascii="Times New Roman" w:hAnsi="Times New Roman" w:eastAsia="宋体" w:cs="Times New Roman"/>
                <w:szCs w:val="21"/>
                <w:highlight w:val="none"/>
                <w:lang w:eastAsia="zh-CN"/>
              </w:rPr>
              <w:t>磋商文件</w:t>
            </w:r>
            <w:r>
              <w:rPr>
                <w:rFonts w:hint="eastAsia" w:ascii="Times New Roman" w:hAnsi="Times New Roman" w:eastAsia="宋体" w:cs="Times New Roman"/>
                <w:szCs w:val="21"/>
                <w:highlight w:val="none"/>
              </w:rPr>
              <w:t>的格式提供或按规定签章的</w:t>
            </w:r>
            <w:r>
              <w:rPr>
                <w:rFonts w:hint="eastAsia" w:ascii="Times New Roman" w:hAnsi="Times New Roman" w:eastAsia="宋体" w:cs="Times New Roman"/>
                <w:szCs w:val="21"/>
                <w:highlight w:val="none"/>
                <w:lang w:eastAsia="zh-CN"/>
              </w:rPr>
              <w:t>。</w:t>
            </w:r>
          </w:p>
        </w:tc>
      </w:tr>
      <w:tr w14:paraId="78A6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14:paraId="2A2C810E">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4</w:t>
            </w:r>
          </w:p>
        </w:tc>
        <w:tc>
          <w:tcPr>
            <w:tcW w:w="8322" w:type="dxa"/>
            <w:vAlign w:val="center"/>
          </w:tcPr>
          <w:p w14:paraId="654397D7">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服务期限是否符合</w:t>
            </w:r>
            <w:r>
              <w:rPr>
                <w:rFonts w:hint="eastAsia" w:ascii="Times New Roman" w:hAnsi="Times New Roman" w:eastAsia="宋体" w:cs="Times New Roman"/>
                <w:szCs w:val="21"/>
                <w:highlight w:val="none"/>
                <w:lang w:eastAsia="zh-CN"/>
              </w:rPr>
              <w:t>磋商文件</w:t>
            </w:r>
            <w:r>
              <w:rPr>
                <w:rFonts w:hint="eastAsia" w:ascii="Times New Roman" w:hAnsi="Times New Roman" w:eastAsia="宋体" w:cs="Times New Roman"/>
                <w:szCs w:val="21"/>
                <w:highlight w:val="none"/>
              </w:rPr>
              <w:t>要求。</w:t>
            </w:r>
          </w:p>
        </w:tc>
      </w:tr>
      <w:tr w14:paraId="7981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8" w:type="dxa"/>
            <w:vAlign w:val="center"/>
          </w:tcPr>
          <w:p w14:paraId="1BC7A7F2">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5</w:t>
            </w:r>
          </w:p>
        </w:tc>
        <w:tc>
          <w:tcPr>
            <w:tcW w:w="8322" w:type="dxa"/>
            <w:vAlign w:val="center"/>
          </w:tcPr>
          <w:p w14:paraId="57A56857">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响应文件</w:t>
            </w:r>
            <w:r>
              <w:rPr>
                <w:rFonts w:hint="eastAsia" w:ascii="Times New Roman" w:hAnsi="Times New Roman" w:eastAsia="宋体" w:cs="Times New Roman"/>
                <w:szCs w:val="21"/>
                <w:highlight w:val="none"/>
              </w:rPr>
              <w:t>内容齐全、无遗漏。</w:t>
            </w:r>
          </w:p>
        </w:tc>
      </w:tr>
      <w:tr w14:paraId="0334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8" w:type="dxa"/>
            <w:vAlign w:val="center"/>
          </w:tcPr>
          <w:p w14:paraId="597491D7">
            <w:pPr>
              <w:spacing w:line="400" w:lineRule="exact"/>
              <w:ind w:firstLine="308" w:firstLineChars="147"/>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6</w:t>
            </w:r>
          </w:p>
        </w:tc>
        <w:tc>
          <w:tcPr>
            <w:tcW w:w="8322" w:type="dxa"/>
            <w:vAlign w:val="center"/>
          </w:tcPr>
          <w:p w14:paraId="432F26BB">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未附有</w:t>
            </w:r>
            <w:r>
              <w:rPr>
                <w:rFonts w:hint="eastAsia" w:ascii="Times New Roman" w:hAnsi="Times New Roman" w:eastAsia="宋体" w:cs="Times New Roman"/>
                <w:szCs w:val="21"/>
                <w:highlight w:val="none"/>
                <w:lang w:eastAsia="zh-CN"/>
              </w:rPr>
              <w:t>采购</w:t>
            </w:r>
            <w:r>
              <w:rPr>
                <w:rFonts w:hint="eastAsia" w:ascii="Times New Roman" w:hAnsi="Times New Roman" w:eastAsia="宋体" w:cs="Times New Roman"/>
                <w:szCs w:val="21"/>
                <w:highlight w:val="none"/>
              </w:rPr>
              <w:t>人不能接受的附加条件及法律、法规和</w:t>
            </w:r>
            <w:r>
              <w:rPr>
                <w:rFonts w:hint="eastAsia" w:ascii="Times New Roman" w:hAnsi="Times New Roman" w:eastAsia="宋体" w:cs="Times New Roman"/>
                <w:szCs w:val="21"/>
                <w:highlight w:val="none"/>
                <w:lang w:eastAsia="zh-CN"/>
              </w:rPr>
              <w:t>磋商文件</w:t>
            </w:r>
            <w:r>
              <w:rPr>
                <w:rFonts w:hint="eastAsia" w:ascii="Times New Roman" w:hAnsi="Times New Roman" w:eastAsia="宋体" w:cs="Times New Roman"/>
                <w:szCs w:val="21"/>
                <w:highlight w:val="none"/>
              </w:rPr>
              <w:t>规定的其他无效情形。</w:t>
            </w:r>
          </w:p>
        </w:tc>
      </w:tr>
      <w:tr w14:paraId="674C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40" w:type="dxa"/>
            <w:gridSpan w:val="2"/>
            <w:vAlign w:val="center"/>
          </w:tcPr>
          <w:p w14:paraId="33F1EC96">
            <w:pPr>
              <w:spacing w:line="400" w:lineRule="exact"/>
              <w:ind w:firstLine="308" w:firstLineChars="14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（符合通过打“√”，不通过打“×”；评审专家对响应文件进行审查，审查不通过的将投标无效。）</w:t>
            </w:r>
          </w:p>
        </w:tc>
      </w:tr>
    </w:tbl>
    <w:p w14:paraId="1A734D8D">
      <w:pPr>
        <w:rPr>
          <w:highlight w:val="none"/>
        </w:rPr>
      </w:pPr>
    </w:p>
    <w:p w14:paraId="1C735E2E">
      <w:pPr>
        <w:spacing w:line="400" w:lineRule="exact"/>
        <w:ind w:firstLine="506" w:firstLineChars="241"/>
        <w:rPr>
          <w:rFonts w:ascii="宋体"/>
          <w:szCs w:val="21"/>
          <w:highlight w:val="none"/>
        </w:rPr>
      </w:pPr>
      <w:r>
        <w:rPr>
          <w:rFonts w:hint="eastAsia" w:ascii="宋体"/>
          <w:szCs w:val="21"/>
          <w:highlight w:val="none"/>
        </w:rPr>
        <w:t>7.2评委会判定投标文件的响应性只根据投标文件本身的内容，而不寻求外部的证据，但投标有不真实不正确的内容时除外。</w:t>
      </w:r>
    </w:p>
    <w:p w14:paraId="79A661BC">
      <w:pPr>
        <w:spacing w:line="400" w:lineRule="exact"/>
        <w:ind w:firstLine="506" w:firstLineChars="241"/>
        <w:rPr>
          <w:rFonts w:ascii="宋体"/>
          <w:szCs w:val="21"/>
          <w:highlight w:val="none"/>
        </w:rPr>
      </w:pPr>
      <w:r>
        <w:rPr>
          <w:rFonts w:hint="eastAsia" w:ascii="宋体"/>
          <w:szCs w:val="21"/>
          <w:highlight w:val="none"/>
        </w:rPr>
        <w:t>7.3如果投标文件实质上没有响应采购文件的要求，评委会将予以拒绝，投标人不得通过修正或撤销不符合要求的偏离或保留，而使其投标成为实质上响应的投标。</w:t>
      </w:r>
    </w:p>
    <w:p w14:paraId="24743FB4">
      <w:pPr>
        <w:spacing w:line="400" w:lineRule="exact"/>
        <w:ind w:firstLine="420" w:firstLineChars="200"/>
        <w:rPr>
          <w:rFonts w:ascii="宋体"/>
          <w:szCs w:val="21"/>
          <w:highlight w:val="none"/>
        </w:rPr>
      </w:pPr>
      <w:r>
        <w:rPr>
          <w:rFonts w:hint="eastAsia" w:ascii="宋体"/>
          <w:szCs w:val="21"/>
          <w:highlight w:val="none"/>
        </w:rPr>
        <w:t xml:space="preserve"> 7.4投标人可在现场20分钟内对评标委员会的评审结论提出异议，评标委员会根据采购文件及有关规定对投标人的异议进行复议</w:t>
      </w:r>
    </w:p>
    <w:p w14:paraId="31C1A50B">
      <w:pPr>
        <w:spacing w:line="400" w:lineRule="exact"/>
        <w:ind w:firstLine="525" w:firstLineChars="250"/>
        <w:rPr>
          <w:rFonts w:ascii="宋体"/>
          <w:szCs w:val="21"/>
          <w:highlight w:val="none"/>
        </w:rPr>
      </w:pPr>
      <w:r>
        <w:rPr>
          <w:rFonts w:hint="eastAsia" w:ascii="宋体"/>
          <w:szCs w:val="21"/>
          <w:highlight w:val="none"/>
        </w:rPr>
        <w:t>7.5只有通过初审的投标人才能进入下一步评标程序。</w:t>
      </w:r>
    </w:p>
    <w:p w14:paraId="4A1C4DCE">
      <w:pPr>
        <w:spacing w:line="400" w:lineRule="exact"/>
        <w:ind w:firstLine="420" w:firstLineChars="200"/>
        <w:rPr>
          <w:rFonts w:ascii="宋体"/>
          <w:szCs w:val="21"/>
          <w:highlight w:val="none"/>
        </w:rPr>
      </w:pPr>
      <w:r>
        <w:rPr>
          <w:rFonts w:hint="eastAsia" w:ascii="宋体" w:hAnsi="宋体"/>
          <w:b/>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64C2992">
      <w:pPr>
        <w:spacing w:before="156" w:beforeLines="50" w:line="400" w:lineRule="exact"/>
        <w:jc w:val="center"/>
        <w:outlineLvl w:val="1"/>
        <w:rPr>
          <w:rFonts w:ascii="宋体"/>
          <w:b/>
          <w:sz w:val="24"/>
          <w:highlight w:val="none"/>
        </w:rPr>
      </w:pPr>
      <w:bookmarkStart w:id="83" w:name="_Toc19366"/>
      <w:bookmarkStart w:id="84" w:name="_Toc362983803"/>
      <w:r>
        <w:rPr>
          <w:rFonts w:hint="eastAsia" w:ascii="宋体"/>
          <w:b/>
          <w:sz w:val="28"/>
          <w:szCs w:val="28"/>
          <w:highlight w:val="none"/>
        </w:rPr>
        <w:t xml:space="preserve">三  </w:t>
      </w:r>
      <w:r>
        <w:rPr>
          <w:rFonts w:hint="eastAsia" w:ascii="宋体"/>
          <w:b/>
          <w:sz w:val="24"/>
          <w:highlight w:val="none"/>
        </w:rPr>
        <w:t>投标文件的澄清和补正</w:t>
      </w:r>
      <w:bookmarkEnd w:id="83"/>
      <w:bookmarkEnd w:id="84"/>
    </w:p>
    <w:p w14:paraId="1A03D327">
      <w:pPr>
        <w:spacing w:line="440" w:lineRule="exact"/>
        <w:ind w:firstLine="210" w:firstLineChars="100"/>
        <w:jc w:val="left"/>
        <w:rPr>
          <w:rFonts w:ascii="宋体"/>
          <w:szCs w:val="21"/>
          <w:highlight w:val="none"/>
        </w:rPr>
      </w:pPr>
      <w:r>
        <w:rPr>
          <w:rFonts w:hint="eastAsia" w:ascii="宋体"/>
          <w:szCs w:val="21"/>
          <w:highlight w:val="none"/>
        </w:rPr>
        <w:t>8．澄清、说明或补正的形式</w:t>
      </w:r>
    </w:p>
    <w:p w14:paraId="515AA318">
      <w:pPr>
        <w:spacing w:line="440" w:lineRule="exact"/>
        <w:ind w:firstLine="210" w:firstLineChars="100"/>
        <w:jc w:val="left"/>
        <w:rPr>
          <w:rFonts w:ascii="宋体"/>
          <w:szCs w:val="21"/>
          <w:highlight w:val="none"/>
        </w:rPr>
      </w:pPr>
      <w:r>
        <w:rPr>
          <w:rFonts w:hint="eastAsia" w:ascii="宋体"/>
          <w:szCs w:val="21"/>
          <w:highlight w:val="none"/>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1B045C30">
      <w:pPr>
        <w:spacing w:line="440" w:lineRule="exact"/>
        <w:ind w:firstLine="210" w:firstLineChars="100"/>
        <w:jc w:val="left"/>
        <w:rPr>
          <w:rFonts w:ascii="宋体"/>
          <w:szCs w:val="21"/>
          <w:highlight w:val="none"/>
        </w:rPr>
      </w:pPr>
      <w:r>
        <w:rPr>
          <w:rFonts w:hint="eastAsia" w:ascii="宋体"/>
          <w:szCs w:val="21"/>
          <w:highlight w:val="none"/>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65097AE">
      <w:pPr>
        <w:spacing w:line="440" w:lineRule="exact"/>
        <w:ind w:firstLine="210" w:firstLineChars="100"/>
        <w:jc w:val="left"/>
        <w:rPr>
          <w:rFonts w:ascii="宋体"/>
          <w:szCs w:val="21"/>
          <w:highlight w:val="none"/>
        </w:rPr>
      </w:pPr>
      <w:r>
        <w:rPr>
          <w:rFonts w:hint="eastAsia" w:ascii="宋体"/>
          <w:szCs w:val="21"/>
          <w:highlight w:val="none"/>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5654A49">
      <w:pPr>
        <w:spacing w:line="440" w:lineRule="exact"/>
        <w:ind w:firstLine="210" w:firstLineChars="100"/>
        <w:jc w:val="left"/>
        <w:rPr>
          <w:rFonts w:ascii="宋体"/>
          <w:szCs w:val="21"/>
          <w:highlight w:val="none"/>
        </w:rPr>
      </w:pPr>
      <w:r>
        <w:rPr>
          <w:rFonts w:hint="eastAsia" w:ascii="宋体"/>
          <w:szCs w:val="21"/>
          <w:highlight w:val="none"/>
        </w:rPr>
        <w:t>9．错误修正的原则</w:t>
      </w:r>
    </w:p>
    <w:p w14:paraId="1E4DEB2C">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26F85DCE">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4E5E144E">
      <w:pPr>
        <w:spacing w:line="440" w:lineRule="exact"/>
        <w:ind w:firstLine="210" w:firstLineChars="100"/>
        <w:jc w:val="left"/>
        <w:rPr>
          <w:rFonts w:ascii="宋体"/>
          <w:szCs w:val="21"/>
          <w:highlight w:val="none"/>
        </w:rPr>
      </w:pPr>
      <w:r>
        <w:rPr>
          <w:rFonts w:hint="eastAsia" w:ascii="宋体"/>
          <w:szCs w:val="21"/>
          <w:highlight w:val="none"/>
        </w:rPr>
        <w:t>9.1 投标函中表述的内容与报价表中不一致的，以报价表为准；报价表中的内容与报价明细表不一致的，以报价表为准；</w:t>
      </w:r>
    </w:p>
    <w:p w14:paraId="494C7D94">
      <w:pPr>
        <w:spacing w:line="440" w:lineRule="exact"/>
        <w:ind w:firstLine="210" w:firstLineChars="100"/>
        <w:jc w:val="left"/>
        <w:rPr>
          <w:rFonts w:ascii="宋体"/>
          <w:szCs w:val="21"/>
          <w:highlight w:val="none"/>
        </w:rPr>
      </w:pPr>
      <w:r>
        <w:rPr>
          <w:rFonts w:hint="eastAsia" w:ascii="宋体"/>
          <w:szCs w:val="21"/>
          <w:highlight w:val="none"/>
        </w:rPr>
        <w:t>9.2 投标文件中的大写金额和小写金额不一致的，以大写金额为准；</w:t>
      </w:r>
    </w:p>
    <w:p w14:paraId="733D5F36">
      <w:pPr>
        <w:spacing w:line="440" w:lineRule="exact"/>
        <w:ind w:firstLine="210" w:firstLineChars="100"/>
        <w:jc w:val="left"/>
        <w:rPr>
          <w:rFonts w:ascii="宋体"/>
          <w:szCs w:val="21"/>
          <w:highlight w:val="none"/>
        </w:rPr>
      </w:pPr>
      <w:r>
        <w:rPr>
          <w:rFonts w:hint="eastAsia" w:ascii="宋体"/>
          <w:szCs w:val="21"/>
          <w:highlight w:val="none"/>
        </w:rPr>
        <w:t>9.3 单价金额小数点或者百分比有明显错位的，以开标一览表的总价为准，并修改单价；</w:t>
      </w:r>
    </w:p>
    <w:p w14:paraId="25577D37">
      <w:pPr>
        <w:spacing w:line="440" w:lineRule="exact"/>
        <w:ind w:firstLine="210" w:firstLineChars="100"/>
        <w:jc w:val="left"/>
        <w:rPr>
          <w:rFonts w:ascii="宋体"/>
          <w:szCs w:val="21"/>
          <w:highlight w:val="none"/>
        </w:rPr>
      </w:pPr>
      <w:r>
        <w:rPr>
          <w:rFonts w:hint="eastAsia" w:ascii="宋体"/>
          <w:szCs w:val="21"/>
          <w:highlight w:val="none"/>
        </w:rPr>
        <w:t>9.4 总价金额与按单价汇总金额不一致的，以单价金额计算结果为准；</w:t>
      </w:r>
    </w:p>
    <w:p w14:paraId="2E71D9E0">
      <w:pPr>
        <w:spacing w:line="440" w:lineRule="exact"/>
        <w:ind w:firstLine="210" w:firstLineChars="100"/>
        <w:jc w:val="left"/>
        <w:rPr>
          <w:rFonts w:ascii="宋体"/>
          <w:szCs w:val="21"/>
          <w:highlight w:val="none"/>
        </w:rPr>
      </w:pPr>
      <w:r>
        <w:rPr>
          <w:rFonts w:hint="eastAsia" w:ascii="宋体"/>
          <w:szCs w:val="21"/>
          <w:highlight w:val="none"/>
        </w:rPr>
        <w:t>9.5 若用文字表示的数值与用数字表示的数值不一致，以文字表示的数值为准；</w:t>
      </w:r>
    </w:p>
    <w:p w14:paraId="24C20BB5">
      <w:pPr>
        <w:spacing w:line="440" w:lineRule="exact"/>
        <w:ind w:firstLine="210" w:firstLineChars="100"/>
        <w:jc w:val="left"/>
        <w:rPr>
          <w:rFonts w:ascii="宋体"/>
          <w:szCs w:val="21"/>
          <w:highlight w:val="none"/>
        </w:rPr>
      </w:pPr>
      <w:r>
        <w:rPr>
          <w:rFonts w:hint="eastAsia" w:ascii="宋体"/>
          <w:szCs w:val="21"/>
          <w:highlight w:val="none"/>
        </w:rPr>
        <w:t>9.6 如有多报（指数量超出采购文件需求）、重报（指同一货物重复报价），其投标总价在评标过程中不予调整，如其中标，其合同价按其投标单价予以调整；</w:t>
      </w:r>
    </w:p>
    <w:p w14:paraId="0F870C0B">
      <w:pPr>
        <w:spacing w:line="440" w:lineRule="exact"/>
        <w:ind w:firstLine="210" w:firstLineChars="100"/>
        <w:jc w:val="left"/>
        <w:rPr>
          <w:rFonts w:ascii="宋体"/>
          <w:szCs w:val="21"/>
          <w:highlight w:val="none"/>
        </w:rPr>
      </w:pPr>
      <w:r>
        <w:rPr>
          <w:rFonts w:hint="eastAsia" w:ascii="宋体"/>
          <w:szCs w:val="21"/>
          <w:highlight w:val="none"/>
        </w:rPr>
        <w:t>9.7 对不同文字文本投标文件的解释发生异议的，以中文文本为准；</w:t>
      </w:r>
    </w:p>
    <w:p w14:paraId="5B9D20C3">
      <w:pPr>
        <w:spacing w:line="440" w:lineRule="exact"/>
        <w:ind w:firstLine="210" w:firstLineChars="100"/>
        <w:jc w:val="left"/>
        <w:rPr>
          <w:rFonts w:ascii="宋体"/>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6B127F9">
      <w:pPr>
        <w:spacing w:line="400" w:lineRule="exact"/>
        <w:jc w:val="center"/>
        <w:outlineLvl w:val="1"/>
        <w:rPr>
          <w:rFonts w:ascii="宋体"/>
          <w:b/>
          <w:sz w:val="24"/>
          <w:highlight w:val="none"/>
        </w:rPr>
      </w:pPr>
      <w:bookmarkStart w:id="85" w:name="_Toc18469"/>
      <w:r>
        <w:rPr>
          <w:rFonts w:hint="eastAsia" w:ascii="宋体"/>
          <w:b/>
          <w:sz w:val="24"/>
          <w:highlight w:val="none"/>
        </w:rPr>
        <w:t>四 比较与评价</w:t>
      </w:r>
      <w:bookmarkEnd w:id="85"/>
    </w:p>
    <w:p w14:paraId="0F61BCA5">
      <w:pPr>
        <w:tabs>
          <w:tab w:val="left" w:pos="720"/>
        </w:tabs>
        <w:spacing w:line="440" w:lineRule="exact"/>
        <w:ind w:firstLine="535" w:firstLineChars="255"/>
        <w:rPr>
          <w:rFonts w:ascii="宋体" w:hAnsi="宋体" w:cs="宋体"/>
          <w:szCs w:val="21"/>
          <w:highlight w:val="none"/>
        </w:rPr>
      </w:pPr>
      <w:bookmarkStart w:id="86" w:name="_Toc362983805"/>
      <w:r>
        <w:rPr>
          <w:rFonts w:hint="eastAsia" w:ascii="宋体" w:hAnsi="宋体" w:cs="宋体"/>
          <w:szCs w:val="21"/>
          <w:highlight w:val="none"/>
        </w:rPr>
        <w:t>10.1评标委员会按磋商文件中规定的评标方法和标准，对资格性检查和符合性检查合格的投标文件进行商务和技术评估、综合比较与评价。</w:t>
      </w:r>
    </w:p>
    <w:p w14:paraId="5E57959C">
      <w:pPr>
        <w:spacing w:line="440" w:lineRule="exact"/>
        <w:ind w:firstLine="539" w:firstLineChars="257"/>
        <w:rPr>
          <w:rFonts w:ascii="宋体" w:hAnsi="宋体" w:cs="宋体"/>
          <w:szCs w:val="21"/>
          <w:highlight w:val="none"/>
        </w:rPr>
      </w:pPr>
      <w:r>
        <w:rPr>
          <w:rFonts w:hint="eastAsia" w:ascii="宋体" w:hAnsi="宋体" w:cs="宋体"/>
          <w:szCs w:val="21"/>
          <w:highlight w:val="none"/>
        </w:rPr>
        <w:t>10.2评标委员会根据商务和技术评估的结果，采用综合评分法，分别对投标文件的商务、技术、价格等内容进行打分。其中，商务评估、技术评估、价格评估的评分权值（详见附件1）。</w:t>
      </w:r>
    </w:p>
    <w:p w14:paraId="01C79267">
      <w:pPr>
        <w:spacing w:line="440" w:lineRule="exact"/>
        <w:ind w:firstLine="539" w:firstLineChars="257"/>
        <w:rPr>
          <w:rFonts w:ascii="宋体" w:hAnsi="宋体" w:cs="宋体"/>
          <w:bCs/>
          <w:szCs w:val="21"/>
          <w:highlight w:val="none"/>
        </w:rPr>
      </w:pPr>
      <w:r>
        <w:rPr>
          <w:rFonts w:hint="eastAsia" w:ascii="宋体" w:hAnsi="宋体" w:cs="宋体"/>
          <w:szCs w:val="21"/>
          <w:highlight w:val="none"/>
        </w:rPr>
        <w:t>10.</w:t>
      </w:r>
      <w:r>
        <w:rPr>
          <w:rFonts w:hint="eastAsia" w:ascii="宋体" w:hAnsi="宋体" w:cs="宋体"/>
          <w:bCs/>
          <w:szCs w:val="21"/>
          <w:highlight w:val="none"/>
        </w:rPr>
        <w:t>2.1评委打分办法</w:t>
      </w:r>
    </w:p>
    <w:p w14:paraId="227E7D95">
      <w:pPr>
        <w:spacing w:line="440" w:lineRule="exact"/>
        <w:ind w:firstLine="539" w:firstLineChars="257"/>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参加评分的评委应尽力体现客观、实事求是，避免学派偏见和个人偏好。</w:t>
      </w:r>
    </w:p>
    <w:p w14:paraId="15831E63">
      <w:pPr>
        <w:spacing w:line="440" w:lineRule="exact"/>
        <w:ind w:firstLine="539" w:firstLineChars="257"/>
        <w:rPr>
          <w:rFonts w:ascii="宋体" w:hAnsi="宋体" w:cs="宋体"/>
          <w:szCs w:val="21"/>
          <w:highlight w:val="none"/>
        </w:rPr>
      </w:pPr>
      <w:r>
        <w:rPr>
          <w:rFonts w:hint="eastAsia" w:ascii="宋体" w:hAnsi="宋体" w:cs="宋体"/>
          <w:szCs w:val="21"/>
          <w:highlight w:val="none"/>
        </w:rPr>
        <w:t>（2）衡量、对比的依据，应以磋商文件、投标文件、提供的正式试验数据、质询澄清中的文字为准，口头回答和收集的资料只作为参考。</w:t>
      </w:r>
    </w:p>
    <w:p w14:paraId="3343B868">
      <w:pPr>
        <w:spacing w:line="440" w:lineRule="exact"/>
        <w:ind w:firstLine="539" w:firstLineChars="257"/>
        <w:rPr>
          <w:rFonts w:ascii="宋体" w:hAnsi="宋体" w:cs="宋体"/>
          <w:szCs w:val="21"/>
          <w:highlight w:val="none"/>
        </w:rPr>
      </w:pPr>
      <w:r>
        <w:rPr>
          <w:rFonts w:hint="eastAsia" w:ascii="宋体" w:hAnsi="宋体" w:cs="宋体"/>
          <w:szCs w:val="21"/>
          <w:highlight w:val="none"/>
        </w:rPr>
        <w:t>（3）评分主要是为比较各投标人的价格、商务和技术综合排序。</w:t>
      </w:r>
    </w:p>
    <w:p w14:paraId="708931DC">
      <w:pPr>
        <w:spacing w:line="440" w:lineRule="exact"/>
        <w:ind w:firstLine="539" w:firstLineChars="257"/>
        <w:rPr>
          <w:rFonts w:ascii="宋体" w:hAnsi="宋体" w:cs="宋体"/>
          <w:szCs w:val="21"/>
          <w:highlight w:val="none"/>
        </w:rPr>
      </w:pPr>
      <w:r>
        <w:rPr>
          <w:rFonts w:hint="eastAsia" w:ascii="宋体" w:hAnsi="宋体" w:cs="宋体"/>
          <w:szCs w:val="21"/>
          <w:highlight w:val="none"/>
        </w:rPr>
        <w:t>（4）评委打分采取记名形式。</w:t>
      </w:r>
    </w:p>
    <w:p w14:paraId="11B94B64">
      <w:pPr>
        <w:spacing w:line="440" w:lineRule="exact"/>
        <w:ind w:firstLine="539" w:firstLineChars="257"/>
        <w:rPr>
          <w:rFonts w:ascii="宋体" w:hAnsi="宋体" w:cs="宋体"/>
          <w:szCs w:val="21"/>
          <w:highlight w:val="none"/>
        </w:rPr>
      </w:pPr>
      <w:r>
        <w:rPr>
          <w:rFonts w:hint="eastAsia" w:ascii="宋体" w:hAnsi="宋体" w:cs="宋体"/>
          <w:szCs w:val="21"/>
          <w:highlight w:val="none"/>
        </w:rPr>
        <w:t>（5）各评委根据提供的技术打分表独立自主打分，任何人不得要求评委统一打分或统一确定等次顺序。</w:t>
      </w:r>
    </w:p>
    <w:p w14:paraId="16510661">
      <w:pPr>
        <w:spacing w:line="440" w:lineRule="exact"/>
        <w:ind w:firstLine="539" w:firstLineChars="257"/>
        <w:rPr>
          <w:rFonts w:ascii="宋体" w:hAnsi="宋体" w:cs="宋体"/>
          <w:szCs w:val="21"/>
          <w:highlight w:val="none"/>
        </w:rPr>
      </w:pPr>
      <w:r>
        <w:rPr>
          <w:rFonts w:hint="eastAsia" w:ascii="宋体" w:hAnsi="宋体" w:cs="宋体"/>
          <w:szCs w:val="21"/>
          <w:highlight w:val="none"/>
        </w:rPr>
        <w:t>（6）对打分表中的每项条款，各评委应根据投标文件、澄清材料、磋商文件要求，按满足的程度给投标人打分。</w:t>
      </w:r>
    </w:p>
    <w:p w14:paraId="3458FCAD">
      <w:pPr>
        <w:spacing w:line="440" w:lineRule="exact"/>
        <w:ind w:firstLine="539" w:firstLineChars="257"/>
        <w:rPr>
          <w:rFonts w:ascii="宋体" w:hAnsi="宋体" w:cs="宋体"/>
          <w:szCs w:val="21"/>
          <w:highlight w:val="none"/>
        </w:rPr>
      </w:pPr>
      <w:r>
        <w:rPr>
          <w:rFonts w:hint="eastAsia" w:ascii="宋体" w:hAnsi="宋体" w:cs="宋体"/>
          <w:szCs w:val="21"/>
          <w:highlight w:val="none"/>
        </w:rPr>
        <w:t>（7）评分程序</w:t>
      </w:r>
    </w:p>
    <w:p w14:paraId="6A92CC57">
      <w:pPr>
        <w:spacing w:line="440" w:lineRule="exact"/>
        <w:ind w:firstLine="539" w:firstLineChars="257"/>
        <w:rPr>
          <w:rFonts w:ascii="宋体" w:hAnsi="宋体" w:cs="宋体"/>
          <w:szCs w:val="21"/>
          <w:highlight w:val="none"/>
        </w:rPr>
      </w:pPr>
      <w:r>
        <w:rPr>
          <w:rFonts w:hint="eastAsia" w:ascii="宋体" w:hAnsi="宋体" w:cs="宋体"/>
          <w:szCs w:val="21"/>
          <w:highlight w:val="none"/>
        </w:rPr>
        <w:t>1)就投标人的投标文件对照整理出商务、技术评标因素对比表、偏差表，并在经过校核的基础上逐项打分。</w:t>
      </w:r>
    </w:p>
    <w:p w14:paraId="4E493AC0">
      <w:pPr>
        <w:spacing w:line="440" w:lineRule="exact"/>
        <w:ind w:firstLine="539" w:firstLineChars="257"/>
        <w:rPr>
          <w:rFonts w:ascii="宋体" w:hAnsi="宋体" w:cs="宋体"/>
          <w:szCs w:val="21"/>
          <w:highlight w:val="none"/>
        </w:rPr>
      </w:pPr>
      <w:r>
        <w:rPr>
          <w:rFonts w:hint="eastAsia" w:ascii="宋体" w:hAnsi="宋体" w:cs="宋体"/>
          <w:szCs w:val="21"/>
          <w:highlight w:val="none"/>
        </w:rPr>
        <w:t>2)各评委独立完成打分后，将评分表交给代理机构，由代理机构组织进行分数统计。</w:t>
      </w:r>
    </w:p>
    <w:p w14:paraId="06C9574F">
      <w:pPr>
        <w:spacing w:line="440" w:lineRule="exact"/>
        <w:ind w:firstLine="539" w:firstLineChars="257"/>
        <w:rPr>
          <w:rFonts w:ascii="宋体" w:hAnsi="宋体" w:cs="宋体"/>
          <w:szCs w:val="21"/>
          <w:highlight w:val="none"/>
        </w:rPr>
      </w:pPr>
      <w:r>
        <w:rPr>
          <w:rFonts w:hint="eastAsia" w:ascii="宋体" w:hAnsi="宋体" w:cs="宋体"/>
          <w:szCs w:val="21"/>
          <w:highlight w:val="none"/>
        </w:rPr>
        <w:t>3)最终汇总表中各投标人得分应为评委打分的算术平均值。</w:t>
      </w:r>
    </w:p>
    <w:p w14:paraId="09766BBD">
      <w:pPr>
        <w:rPr>
          <w:rFonts w:hint="eastAsia" w:ascii="宋体" w:hAnsi="宋体" w:cs="宋体"/>
          <w:szCs w:val="21"/>
          <w:highlight w:val="none"/>
        </w:rPr>
      </w:pPr>
    </w:p>
    <w:p w14:paraId="613B4EC3">
      <w:pPr>
        <w:rPr>
          <w:rFonts w:hint="eastAsia" w:ascii="宋体" w:hAnsi="宋体" w:cs="宋体"/>
          <w:szCs w:val="21"/>
          <w:highlight w:val="none"/>
        </w:rPr>
      </w:pPr>
    </w:p>
    <w:p w14:paraId="2D58A87E">
      <w:pPr>
        <w:rPr>
          <w:rFonts w:hint="eastAsia" w:ascii="宋体" w:hAnsi="宋体" w:cs="宋体"/>
          <w:szCs w:val="21"/>
          <w:highlight w:val="none"/>
        </w:rPr>
      </w:pPr>
    </w:p>
    <w:p w14:paraId="456A5149">
      <w:pPr>
        <w:rPr>
          <w:rFonts w:hint="eastAsia" w:ascii="宋体" w:hAnsi="宋体" w:cs="宋体"/>
          <w:szCs w:val="21"/>
          <w:highlight w:val="none"/>
        </w:rPr>
      </w:pPr>
    </w:p>
    <w:p w14:paraId="4C4BF34D">
      <w:pPr>
        <w:rPr>
          <w:rFonts w:hint="eastAsia" w:ascii="宋体" w:hAnsi="宋体" w:cs="宋体"/>
          <w:szCs w:val="21"/>
          <w:highlight w:val="none"/>
        </w:rPr>
      </w:pPr>
    </w:p>
    <w:p w14:paraId="4A850BAA">
      <w:pPr>
        <w:rPr>
          <w:rFonts w:hint="eastAsia" w:ascii="宋体" w:hAnsi="宋体" w:cs="宋体"/>
          <w:szCs w:val="21"/>
          <w:highlight w:val="none"/>
        </w:rPr>
      </w:pPr>
    </w:p>
    <w:p w14:paraId="430A12F1">
      <w:pPr>
        <w:rPr>
          <w:rFonts w:hint="eastAsia" w:ascii="宋体" w:hAnsi="宋体" w:cs="宋体"/>
          <w:szCs w:val="21"/>
          <w:highlight w:val="none"/>
        </w:rPr>
      </w:pPr>
    </w:p>
    <w:p w14:paraId="486EC0B3">
      <w:pPr>
        <w:rPr>
          <w:rFonts w:hint="eastAsia" w:ascii="宋体" w:hAnsi="宋体" w:cs="宋体"/>
          <w:szCs w:val="21"/>
          <w:highlight w:val="none"/>
        </w:rPr>
      </w:pPr>
    </w:p>
    <w:p w14:paraId="4AD12D98">
      <w:pPr>
        <w:rPr>
          <w:rFonts w:hint="eastAsia" w:ascii="宋体" w:hAnsi="宋体" w:cs="宋体"/>
          <w:szCs w:val="21"/>
          <w:highlight w:val="none"/>
        </w:rPr>
      </w:pPr>
    </w:p>
    <w:p w14:paraId="6978C345">
      <w:pPr>
        <w:rPr>
          <w:rFonts w:hint="eastAsia" w:ascii="宋体" w:hAnsi="宋体" w:cs="宋体"/>
          <w:szCs w:val="21"/>
          <w:highlight w:val="none"/>
        </w:rPr>
      </w:pPr>
    </w:p>
    <w:p w14:paraId="329890CF">
      <w:pPr>
        <w:rPr>
          <w:rFonts w:hint="eastAsia" w:ascii="宋体" w:hAnsi="宋体" w:cs="宋体"/>
          <w:szCs w:val="21"/>
          <w:highlight w:val="none"/>
        </w:rPr>
      </w:pPr>
    </w:p>
    <w:p w14:paraId="4F08F185">
      <w:pPr>
        <w:rPr>
          <w:rFonts w:hint="eastAsia" w:ascii="宋体" w:hAnsi="宋体" w:cs="宋体"/>
          <w:szCs w:val="21"/>
          <w:highlight w:val="none"/>
        </w:rPr>
      </w:pPr>
    </w:p>
    <w:p w14:paraId="4FB46FA5">
      <w:pPr>
        <w:rPr>
          <w:rFonts w:hint="eastAsia" w:ascii="宋体" w:hAnsi="宋体" w:cs="宋体"/>
          <w:szCs w:val="21"/>
          <w:highlight w:val="none"/>
        </w:rPr>
      </w:pPr>
    </w:p>
    <w:p w14:paraId="4B1DA29F">
      <w:pPr>
        <w:rPr>
          <w:rFonts w:hint="eastAsia" w:ascii="宋体" w:hAnsi="宋体" w:cs="宋体"/>
          <w:szCs w:val="21"/>
          <w:highlight w:val="none"/>
        </w:rPr>
      </w:pPr>
    </w:p>
    <w:p w14:paraId="16976940">
      <w:pPr>
        <w:pStyle w:val="2"/>
        <w:spacing w:before="0" w:after="0" w:line="240" w:lineRule="auto"/>
        <w:rPr>
          <w:rFonts w:hint="eastAsia"/>
        </w:rPr>
      </w:pPr>
    </w:p>
    <w:p w14:paraId="06125608">
      <w:pPr>
        <w:spacing w:line="240" w:lineRule="auto"/>
        <w:rPr>
          <w:rFonts w:hint="eastAsia" w:ascii="宋体" w:hAnsi="宋体" w:cs="宋体"/>
          <w:szCs w:val="21"/>
          <w:highlight w:val="none"/>
        </w:rPr>
      </w:pPr>
    </w:p>
    <w:p w14:paraId="2AD4C043">
      <w:pPr>
        <w:spacing w:line="240" w:lineRule="auto"/>
        <w:rPr>
          <w:rFonts w:hint="eastAsia" w:ascii="宋体" w:hAnsi="宋体" w:cs="宋体"/>
          <w:szCs w:val="21"/>
          <w:highlight w:val="none"/>
        </w:rPr>
      </w:pPr>
    </w:p>
    <w:p w14:paraId="2658F5A4">
      <w:pPr>
        <w:rPr>
          <w:rFonts w:ascii="宋体" w:hAnsi="宋体" w:cs="宋体"/>
          <w:b/>
          <w:sz w:val="22"/>
          <w:szCs w:val="22"/>
          <w:highlight w:val="none"/>
        </w:rPr>
      </w:pPr>
      <w:r>
        <w:rPr>
          <w:rFonts w:hint="eastAsia" w:ascii="宋体" w:hAnsi="宋体" w:cs="宋体"/>
          <w:szCs w:val="21"/>
          <w:highlight w:val="none"/>
        </w:rPr>
        <w:t>（8）评分标准和细则（综合评分法评分标准）</w:t>
      </w:r>
    </w:p>
    <w:tbl>
      <w:tblPr>
        <w:tblStyle w:val="2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373"/>
        <w:gridCol w:w="466"/>
        <w:gridCol w:w="828"/>
        <w:gridCol w:w="733"/>
        <w:gridCol w:w="7724"/>
      </w:tblGrid>
      <w:tr w14:paraId="6E32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1" w:hRule="atLeast"/>
        </w:trPr>
        <w:tc>
          <w:tcPr>
            <w:tcW w:w="18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7BB61F7">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TW" w:bidi="ar-SA"/>
              </w:rPr>
              <w:t>序号</w:t>
            </w:r>
          </w:p>
        </w:tc>
        <w:tc>
          <w:tcPr>
            <w:tcW w:w="230"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4EAD8A0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CN" w:bidi="ar-SA"/>
              </w:rPr>
              <w:t>内容</w:t>
            </w:r>
          </w:p>
        </w:tc>
        <w:tc>
          <w:tcPr>
            <w:tcW w:w="409" w:type="pct"/>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24D0FA6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TW" w:bidi="ar-SA"/>
              </w:rPr>
              <w:t>评分项目</w:t>
            </w:r>
          </w:p>
        </w:tc>
        <w:tc>
          <w:tcPr>
            <w:tcW w:w="362" w:type="pct"/>
            <w:tcBorders>
              <w:top w:val="single" w:color="000000" w:sz="4" w:space="0"/>
              <w:left w:val="single" w:color="000000" w:sz="4" w:space="0"/>
              <w:bottom w:val="single" w:color="000000" w:sz="4" w:space="0"/>
              <w:right w:val="single" w:color="000000" w:sz="4" w:space="0"/>
            </w:tcBorders>
            <w:noWrap w:val="0"/>
            <w:tcMar>
              <w:top w:w="80" w:type="dxa"/>
              <w:left w:w="443" w:type="dxa"/>
              <w:bottom w:w="80" w:type="dxa"/>
              <w:right w:w="80" w:type="dxa"/>
            </w:tcMar>
            <w:vAlign w:val="center"/>
          </w:tcPr>
          <w:p w14:paraId="720399A4">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TW" w:bidi="ar-SA"/>
              </w:rPr>
              <w:t>分值</w:t>
            </w:r>
          </w:p>
        </w:tc>
        <w:tc>
          <w:tcPr>
            <w:tcW w:w="3813"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02961ABA">
            <w:pPr>
              <w:pStyle w:val="67"/>
              <w:pageBreakBefore w:val="0"/>
              <w:pBdr>
                <w:top w:val="none" w:color="auto" w:sz="0" w:space="0"/>
                <w:left w:val="none" w:color="auto" w:sz="0" w:space="0"/>
                <w:bottom w:val="none" w:color="auto" w:sz="0" w:space="0"/>
                <w:right w:val="none" w:color="auto" w:sz="0" w:space="0"/>
              </w:pBdr>
              <w:tabs>
                <w:tab w:val="left" w:pos="520"/>
                <w:tab w:val="center" w:pos="3614"/>
              </w:tabs>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评分标准</w:t>
            </w:r>
          </w:p>
        </w:tc>
      </w:tr>
      <w:tr w14:paraId="38C5F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18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30E1B9C">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30"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14:paraId="187E242C">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商务部分</w:t>
            </w:r>
          </w:p>
        </w:tc>
        <w:tc>
          <w:tcPr>
            <w:tcW w:w="40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343C4D7">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 实力</w:t>
            </w:r>
          </w:p>
        </w:tc>
        <w:tc>
          <w:tcPr>
            <w:tcW w:w="36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F2AE169">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满分</w:t>
            </w:r>
          </w:p>
          <w:p w14:paraId="022B486D">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TW" w:eastAsia="zh-TW" w:bidi="ar-SA"/>
              </w:rPr>
              <w:t>分</w:t>
            </w:r>
          </w:p>
        </w:tc>
        <w:tc>
          <w:tcPr>
            <w:tcW w:w="3813"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3F3681AD">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1、服务银行在</w:t>
            </w:r>
            <w:r>
              <w:rPr>
                <w:rFonts w:hint="eastAsia" w:ascii="宋体" w:hAnsi="宋体" w:cs="宋体"/>
                <w:color w:val="auto"/>
                <w:kern w:val="2"/>
                <w:sz w:val="21"/>
                <w:szCs w:val="21"/>
                <w:highlight w:val="none"/>
                <w:lang w:val="en-US" w:eastAsia="zh-CN" w:bidi="ar-SA"/>
              </w:rPr>
              <w:t>市域内或新城区内</w:t>
            </w:r>
            <w:r>
              <w:rPr>
                <w:rFonts w:hint="eastAsia" w:ascii="宋体" w:hAnsi="宋体" w:eastAsia="宋体" w:cs="宋体"/>
                <w:color w:val="auto"/>
                <w:kern w:val="2"/>
                <w:sz w:val="21"/>
                <w:szCs w:val="21"/>
                <w:highlight w:val="none"/>
                <w:lang w:val="en-US" w:eastAsia="zh-CN" w:bidi="ar-SA"/>
              </w:rPr>
              <w:t>的营业网点，提供证明材料的每提供1份，得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分，最高得1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分（以各营业网点经营执照为依据，提供一项为3 分）</w:t>
            </w:r>
          </w:p>
          <w:p w14:paraId="6FFAA5FD">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TW" w:eastAsia="zh-CN" w:bidi="ar-SA"/>
              </w:rPr>
              <w:t>在</w:t>
            </w:r>
            <w:r>
              <w:rPr>
                <w:rFonts w:hint="eastAsia" w:ascii="宋体" w:hAnsi="宋体" w:cs="宋体"/>
                <w:color w:val="auto"/>
                <w:kern w:val="2"/>
                <w:sz w:val="21"/>
                <w:szCs w:val="21"/>
                <w:highlight w:val="none"/>
                <w:lang w:val="en-US" w:eastAsia="zh-CN" w:bidi="ar-SA"/>
              </w:rPr>
              <w:t>市域内或新城区内</w:t>
            </w:r>
            <w:r>
              <w:rPr>
                <w:rFonts w:hint="eastAsia" w:ascii="宋体" w:hAnsi="宋体" w:eastAsia="宋体" w:cs="宋体"/>
                <w:color w:val="auto"/>
                <w:kern w:val="2"/>
                <w:sz w:val="21"/>
                <w:szCs w:val="21"/>
                <w:highlight w:val="none"/>
                <w:lang w:val="en-US" w:eastAsia="zh-CN" w:bidi="ar-SA"/>
              </w:rPr>
              <w:t>营业网点有2个及两个以上柜台或有自动取款设备的得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分最多加</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77148D77">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TW" w:eastAsia="zh-CN" w:bidi="ar-SA"/>
              </w:rPr>
              <w:t>在</w:t>
            </w:r>
            <w:r>
              <w:rPr>
                <w:rFonts w:hint="eastAsia" w:ascii="宋体" w:hAnsi="宋体" w:cs="宋体"/>
                <w:color w:val="auto"/>
                <w:kern w:val="2"/>
                <w:sz w:val="21"/>
                <w:szCs w:val="21"/>
                <w:highlight w:val="none"/>
                <w:lang w:val="en-US" w:eastAsia="zh-CN" w:bidi="ar-SA"/>
              </w:rPr>
              <w:t>市域内或新城区内营</w:t>
            </w:r>
            <w:r>
              <w:rPr>
                <w:rFonts w:hint="eastAsia" w:ascii="宋体" w:hAnsi="宋体" w:eastAsia="宋体" w:cs="宋体"/>
                <w:color w:val="auto"/>
                <w:kern w:val="2"/>
                <w:sz w:val="21"/>
                <w:szCs w:val="21"/>
                <w:highlight w:val="none"/>
                <w:lang w:val="en-US" w:eastAsia="zh-CN" w:bidi="ar-SA"/>
              </w:rPr>
              <w:t>业网点面积达到80平方米可以办理农户转账、存取款业务得1分最多得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分（以各营业网点经营执照为依据）</w:t>
            </w:r>
          </w:p>
        </w:tc>
      </w:tr>
      <w:tr w14:paraId="19469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trPr>
        <w:tc>
          <w:tcPr>
            <w:tcW w:w="184" w:type="pct"/>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578716EC">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30" w:type="pct"/>
            <w:vMerge w:val="continue"/>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4FAA930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40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4E7EB89">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金融</w:t>
            </w:r>
          </w:p>
          <w:p w14:paraId="1AA4550D">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考核</w:t>
            </w:r>
          </w:p>
        </w:tc>
        <w:tc>
          <w:tcPr>
            <w:tcW w:w="36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89D77D6">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CN" w:bidi="ar-SA"/>
              </w:rPr>
              <w:t>满分</w:t>
            </w:r>
          </w:p>
          <w:p w14:paraId="6E32A413">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分</w:t>
            </w:r>
          </w:p>
        </w:tc>
        <w:tc>
          <w:tcPr>
            <w:tcW w:w="3813"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0B796CD6">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en-US" w:eastAsia="zh-TW" w:bidi="ar-SA"/>
              </w:rPr>
            </w:pPr>
            <w:r>
              <w:rPr>
                <w:rFonts w:hint="default" w:ascii="宋体" w:hAnsi="宋体" w:cs="宋体"/>
                <w:szCs w:val="21"/>
                <w:highlight w:val="none"/>
                <w:lang w:val="en-US"/>
              </w:rPr>
              <w:t>1、以克州</w:t>
            </w:r>
            <w:r>
              <w:rPr>
                <w:rFonts w:hint="eastAsia" w:ascii="宋体" w:hAnsi="宋体" w:cs="宋体"/>
                <w:szCs w:val="21"/>
                <w:highlight w:val="none"/>
                <w:lang w:val="en-US" w:eastAsia="zh-CN"/>
              </w:rPr>
              <w:t>“</w:t>
            </w:r>
            <w:r>
              <w:rPr>
                <w:rFonts w:hint="default" w:ascii="宋体" w:hAnsi="宋体" w:cs="宋体"/>
                <w:szCs w:val="21"/>
                <w:highlight w:val="none"/>
                <w:lang w:val="en-US"/>
              </w:rPr>
              <w:t>202</w:t>
            </w:r>
            <w:r>
              <w:rPr>
                <w:rFonts w:hint="eastAsia" w:ascii="宋体" w:hAnsi="宋体" w:cs="宋体"/>
                <w:szCs w:val="21"/>
                <w:highlight w:val="none"/>
                <w:lang w:val="en-US" w:eastAsia="zh-CN"/>
              </w:rPr>
              <w:t>4</w:t>
            </w:r>
            <w:r>
              <w:rPr>
                <w:rFonts w:hint="default" w:ascii="宋体" w:hAnsi="宋体" w:cs="宋体"/>
                <w:szCs w:val="21"/>
                <w:highlight w:val="none"/>
                <w:lang w:val="en-US"/>
              </w:rPr>
              <w:t>年</w:t>
            </w:r>
            <w:r>
              <w:rPr>
                <w:rFonts w:hint="eastAsia" w:ascii="宋体" w:hAnsi="宋体" w:cs="宋体"/>
                <w:szCs w:val="21"/>
                <w:highlight w:val="none"/>
                <w:lang w:val="en-US" w:eastAsia="zh-CN"/>
              </w:rPr>
              <w:t>最新季</w:t>
            </w:r>
            <w:r>
              <w:rPr>
                <w:rFonts w:hint="default" w:ascii="宋体" w:hAnsi="宋体" w:cs="宋体"/>
                <w:szCs w:val="21"/>
                <w:highlight w:val="none"/>
                <w:lang w:val="en-US"/>
              </w:rPr>
              <w:t>度银行业金融机构支持地方经济发展工作的通报</w:t>
            </w:r>
            <w:r>
              <w:rPr>
                <w:rFonts w:hint="eastAsia" w:ascii="宋体" w:hAnsi="宋体" w:cs="宋体"/>
                <w:szCs w:val="21"/>
                <w:highlight w:val="none"/>
                <w:lang w:val="en-US" w:eastAsia="zh-CN"/>
              </w:rPr>
              <w:t>”</w:t>
            </w:r>
            <w:r>
              <w:rPr>
                <w:rFonts w:hint="default" w:ascii="宋体" w:hAnsi="宋体" w:cs="宋体"/>
                <w:szCs w:val="21"/>
                <w:highlight w:val="none"/>
                <w:lang w:val="en-US"/>
              </w:rPr>
              <w:t>为打分依据，排名第一得</w:t>
            </w:r>
            <w:r>
              <w:rPr>
                <w:rFonts w:hint="eastAsia" w:ascii="宋体" w:hAnsi="宋体" w:cs="宋体"/>
                <w:szCs w:val="21"/>
                <w:highlight w:val="none"/>
                <w:lang w:val="en-US" w:eastAsia="zh-CN"/>
              </w:rPr>
              <w:t>30</w:t>
            </w:r>
            <w:r>
              <w:rPr>
                <w:rFonts w:hint="default" w:ascii="宋体" w:hAnsi="宋体" w:cs="宋体"/>
                <w:szCs w:val="21"/>
                <w:highlight w:val="none"/>
                <w:lang w:val="en-US"/>
              </w:rPr>
              <w:t>分，从第二名开始依次递减</w:t>
            </w:r>
            <w:r>
              <w:rPr>
                <w:rFonts w:hint="eastAsia" w:ascii="宋体" w:hAnsi="宋体" w:cs="宋体"/>
                <w:szCs w:val="21"/>
                <w:highlight w:val="none"/>
                <w:lang w:val="en-US" w:eastAsia="zh-CN"/>
              </w:rPr>
              <w:t>5</w:t>
            </w:r>
            <w:r>
              <w:rPr>
                <w:rFonts w:hint="default" w:ascii="宋体" w:hAnsi="宋体" w:cs="宋体"/>
                <w:szCs w:val="21"/>
                <w:highlight w:val="none"/>
                <w:lang w:val="en-US"/>
              </w:rPr>
              <w:t>分，排名相同，按同档计分。</w:t>
            </w:r>
          </w:p>
        </w:tc>
      </w:tr>
      <w:tr w14:paraId="5B6F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4" w:hRule="atLeast"/>
        </w:trPr>
        <w:tc>
          <w:tcPr>
            <w:tcW w:w="184" w:type="pct"/>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F2FEC8B">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30" w:type="pct"/>
            <w:vMerge w:val="restart"/>
            <w:tcBorders>
              <w:top w:val="single" w:color="auto" w:sz="4" w:space="0"/>
              <w:left w:val="single" w:color="000000" w:sz="4" w:space="0"/>
              <w:right w:val="single" w:color="000000" w:sz="4" w:space="0"/>
            </w:tcBorders>
            <w:noWrap w:val="0"/>
            <w:tcMar>
              <w:top w:w="80" w:type="dxa"/>
              <w:left w:w="80" w:type="dxa"/>
              <w:bottom w:w="80" w:type="dxa"/>
              <w:right w:w="80" w:type="dxa"/>
            </w:tcMar>
            <w:vAlign w:val="center"/>
          </w:tcPr>
          <w:p w14:paraId="08F75D74">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技术部分</w:t>
            </w:r>
          </w:p>
        </w:tc>
        <w:tc>
          <w:tcPr>
            <w:tcW w:w="40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425A32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人员配备管理与规章</w:t>
            </w:r>
          </w:p>
        </w:tc>
        <w:tc>
          <w:tcPr>
            <w:tcW w:w="36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1333656">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满分</w:t>
            </w:r>
          </w:p>
          <w:p w14:paraId="0E81198A">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zh-TW" w:eastAsia="zh-TW" w:bidi="ar-SA"/>
              </w:rPr>
              <w:t>分</w:t>
            </w:r>
          </w:p>
        </w:tc>
        <w:tc>
          <w:tcPr>
            <w:tcW w:w="3813"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71958BDA">
            <w:pPr>
              <w:pStyle w:val="67"/>
              <w:pageBreakBefore w:val="0"/>
              <w:numPr>
                <w:ilvl w:val="0"/>
                <w:numId w:val="6"/>
              </w:numPr>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en-US" w:eastAsia="zh-CN" w:bidi="ar-SA"/>
              </w:rPr>
              <w:t>具备综合素质较高、熟悉代理财政业务、人员稳定的专业服务团队，且能定期组织开展财政业务代理服务专业培训并作出完整详细方案的优得</w:t>
            </w:r>
            <w:r>
              <w:rPr>
                <w:rFonts w:hint="eastAsia" w:ascii="宋体" w:hAnsi="宋体" w:eastAsia="宋体" w:cs="宋体"/>
                <w:color w:val="auto"/>
                <w:kern w:val="2"/>
                <w:sz w:val="21"/>
                <w:szCs w:val="21"/>
                <w:highlight w:val="none"/>
                <w:lang w:val="zh-TW" w:eastAsia="zh-TW" w:bidi="ar-SA"/>
              </w:rPr>
              <w:t xml:space="preserve"> </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TW" w:eastAsia="zh-TW" w:bidi="ar-SA"/>
              </w:rPr>
              <w:t xml:space="preserve"> 分，良得</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TW" w:eastAsia="zh-TW" w:bidi="ar-SA"/>
              </w:rPr>
              <w:t xml:space="preserve"> 分，一般得 </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TW" w:eastAsia="zh-TW" w:bidi="ar-SA"/>
              </w:rPr>
              <w:t xml:space="preserve"> 分（满分 1</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TW" w:eastAsia="zh-TW" w:bidi="ar-SA"/>
              </w:rPr>
              <w:t xml:space="preserve"> 分）。</w:t>
            </w:r>
          </w:p>
          <w:p w14:paraId="1544A299">
            <w:pPr>
              <w:pStyle w:val="67"/>
              <w:pageBreakBefore w:val="0"/>
              <w:numPr>
                <w:ilvl w:val="0"/>
                <w:numId w:val="6"/>
              </w:numPr>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各供应商组织机构健全、合理，规章制度完善，管理方案齐全等，优秀得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TW" w:eastAsia="zh-TW" w:bidi="ar-SA"/>
              </w:rPr>
              <w:t>分，良好得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TW" w:eastAsia="zh-TW" w:bidi="ar-SA"/>
              </w:rPr>
              <w:t>分，一般得1分，不提供不得分。</w:t>
            </w:r>
          </w:p>
        </w:tc>
      </w:tr>
      <w:tr w14:paraId="50751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8" w:hRule="atLeast"/>
        </w:trPr>
        <w:tc>
          <w:tcPr>
            <w:tcW w:w="18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EE32B55">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3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14:paraId="26E9DF32">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en-US" w:eastAsia="zh-CN" w:bidi="ar-SA"/>
              </w:rPr>
            </w:pPr>
          </w:p>
        </w:tc>
        <w:tc>
          <w:tcPr>
            <w:tcW w:w="40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72A70A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CN" w:bidi="ar-SA"/>
              </w:rPr>
              <w:t>项目综合办理能力</w:t>
            </w:r>
            <w:r>
              <w:rPr>
                <w:rFonts w:hint="eastAsia" w:ascii="宋体" w:hAnsi="宋体" w:cs="宋体"/>
                <w:color w:val="auto"/>
                <w:kern w:val="2"/>
                <w:sz w:val="21"/>
                <w:szCs w:val="21"/>
                <w:highlight w:val="none"/>
                <w:lang w:val="zh-TW" w:eastAsia="zh-CN" w:bidi="ar-SA"/>
              </w:rPr>
              <w:t>及承诺</w:t>
            </w:r>
          </w:p>
        </w:tc>
        <w:tc>
          <w:tcPr>
            <w:tcW w:w="36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771FF59">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满分</w:t>
            </w:r>
          </w:p>
          <w:p w14:paraId="0911CB00">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TW" w:eastAsia="zh-TW" w:bidi="ar-SA"/>
              </w:rPr>
              <w:t>分</w:t>
            </w:r>
          </w:p>
        </w:tc>
        <w:tc>
          <w:tcPr>
            <w:tcW w:w="3813" w:type="pct"/>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1CE02B80">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1.具备先进的资金汇划清算系统,保证同城转账实时到账,异地转账两小时内到账,跨行支付 24 小时内到账。满足得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分,否则不得分。</w:t>
            </w:r>
          </w:p>
          <w:p w14:paraId="127CD31D">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2.对服务的预算单位是否提供免费账户查询等服务，出具承诺函；满足得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2966653">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3.对服务的预算单位的同城跨行转账取消手续费，出具明文、制度等证明材料；满足得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62B1C133">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4.对服务的预算单位减免账户管理费、服务费等，出具明文、制度等证明材料；满足得2分</w:t>
            </w:r>
          </w:p>
          <w:p w14:paraId="24AEA426">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5.每月能及时准确向服务的预算。单位提供对账单送达业务等，出具明文、制度、合作协议等证明材料；满足得2分</w:t>
            </w:r>
          </w:p>
          <w:p w14:paraId="3D812C5D">
            <w:pPr>
              <w:keepNext w:val="0"/>
              <w:keepLines w:val="0"/>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6.正常工作日,无特殊因素,不得推脱业务办理，出具承诺函。满足得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1DC36294">
            <w:pPr>
              <w:keepNext w:val="0"/>
              <w:keepLines w:val="0"/>
              <w:suppressLineNumbers w:val="0"/>
              <w:spacing w:before="0" w:beforeAutospacing="0" w:after="0" w:afterAutospacing="0" w:line="360" w:lineRule="auto"/>
              <w:ind w:left="0" w:right="0"/>
              <w:jc w:val="left"/>
              <w:textAlignment w:val="center"/>
              <w:rPr>
                <w:rFonts w:hint="default"/>
                <w:lang w:val="en-US" w:eastAsia="zh-CN"/>
              </w:rPr>
            </w:pPr>
            <w:r>
              <w:rPr>
                <w:rFonts w:hint="eastAsia" w:ascii="宋体" w:hAnsi="宋体" w:eastAsia="宋体" w:cs="宋体"/>
                <w:b w:val="0"/>
                <w:bCs w:val="0"/>
                <w:color w:val="auto"/>
                <w:kern w:val="2"/>
                <w:sz w:val="21"/>
                <w:szCs w:val="21"/>
                <w:highlight w:val="none"/>
                <w:lang w:val="en-US" w:eastAsia="zh-CN" w:bidi="ar-SA"/>
              </w:rPr>
              <w:t>7.根据供应商所提供的服务承诺详述，承诺保质保量限时完成工作，并做好后期服务保障，对服务的保密承诺、质量承诺和廉政承诺。据供应商的响应程度，承诺态度进行评分。优秀得3分，良好得2分，一般得1分，差不得分。</w:t>
            </w:r>
          </w:p>
        </w:tc>
      </w:tr>
      <w:tr w14:paraId="3BB8D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46" w:hRule="atLeast"/>
        </w:trPr>
        <w:tc>
          <w:tcPr>
            <w:tcW w:w="184"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3AEFD8B6">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3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14:paraId="2AF2C9F8">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p>
        </w:tc>
        <w:tc>
          <w:tcPr>
            <w:tcW w:w="409"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1D1B6D1E">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项目实施方案</w:t>
            </w:r>
          </w:p>
        </w:tc>
        <w:tc>
          <w:tcPr>
            <w:tcW w:w="362"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68933D8F">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满分</w:t>
            </w:r>
          </w:p>
          <w:p w14:paraId="3F8D605A">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TW" w:eastAsia="zh-TW" w:bidi="ar-SA"/>
              </w:rPr>
              <w:t>分</w:t>
            </w:r>
          </w:p>
        </w:tc>
        <w:tc>
          <w:tcPr>
            <w:tcW w:w="3813" w:type="pct"/>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44803873">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方案</w:t>
            </w:r>
            <w:r>
              <w:rPr>
                <w:rFonts w:hint="eastAsia" w:ascii="宋体" w:hAnsi="宋体" w:eastAsia="宋体" w:cs="宋体"/>
                <w:color w:val="auto"/>
                <w:kern w:val="2"/>
                <w:sz w:val="21"/>
                <w:szCs w:val="21"/>
                <w:highlight w:val="none"/>
                <w:lang w:val="zh-TW" w:eastAsia="zh-CN" w:bidi="ar-SA"/>
              </w:rPr>
              <w:t>结合采购需求</w:t>
            </w:r>
            <w:r>
              <w:rPr>
                <w:rFonts w:hint="eastAsia" w:ascii="宋体" w:hAnsi="宋体" w:eastAsia="宋体" w:cs="宋体"/>
                <w:color w:val="auto"/>
                <w:kern w:val="2"/>
                <w:sz w:val="21"/>
                <w:szCs w:val="21"/>
                <w:highlight w:val="none"/>
                <w:lang w:val="zh-TW" w:eastAsia="zh-TW" w:bidi="ar-SA"/>
              </w:rPr>
              <w:t>涵盖任务、目标、内容和重点全面、对项目所在地情况熟悉了解</w:t>
            </w:r>
            <w:r>
              <w:rPr>
                <w:rFonts w:hint="eastAsia" w:ascii="宋体" w:hAnsi="宋体" w:eastAsia="宋体" w:cs="宋体"/>
                <w:color w:val="auto"/>
                <w:kern w:val="2"/>
                <w:sz w:val="21"/>
                <w:szCs w:val="21"/>
                <w:highlight w:val="none"/>
                <w:lang w:val="zh-TW" w:eastAsia="zh-CN" w:bidi="ar-SA"/>
              </w:rPr>
              <w:t>程度</w:t>
            </w:r>
            <w:r>
              <w:rPr>
                <w:rFonts w:hint="eastAsia" w:ascii="宋体" w:hAnsi="宋体" w:eastAsia="宋体" w:cs="宋体"/>
                <w:color w:val="auto"/>
                <w:kern w:val="2"/>
                <w:sz w:val="21"/>
                <w:szCs w:val="21"/>
                <w:highlight w:val="none"/>
                <w:lang w:val="zh-TW" w:eastAsia="zh-TW" w:bidi="ar-SA"/>
              </w:rPr>
              <w:t>，对本项目的工作重点、难点的理解和认识清晰准确，提出的方案明确合理解决关键问题的方案可操作性强</w:t>
            </w:r>
            <w:r>
              <w:rPr>
                <w:rFonts w:hint="eastAsia" w:ascii="宋体" w:hAnsi="宋体" w:eastAsia="宋体" w:cs="宋体"/>
                <w:color w:val="auto"/>
                <w:kern w:val="2"/>
                <w:sz w:val="21"/>
                <w:szCs w:val="21"/>
                <w:highlight w:val="none"/>
                <w:lang w:val="zh-TW" w:eastAsia="zh-CN" w:bidi="ar-SA"/>
              </w:rPr>
              <w:t>；</w:t>
            </w:r>
            <w:r>
              <w:rPr>
                <w:rFonts w:hint="eastAsia" w:ascii="宋体" w:hAnsi="宋体" w:eastAsia="宋体" w:cs="宋体"/>
                <w:color w:val="auto"/>
                <w:kern w:val="2"/>
                <w:sz w:val="21"/>
                <w:szCs w:val="21"/>
                <w:highlight w:val="none"/>
                <w:lang w:val="zh-TW" w:eastAsia="zh-TW" w:bidi="ar-SA"/>
              </w:rPr>
              <w:t>对项目整体工作阶段及任务划分安排合理、可行，关键时间节点把握科学准确；质量保证体系完备周全，具有针对性，应对措施强；工作思路清晰、科学可行</w:t>
            </w:r>
            <w:r>
              <w:rPr>
                <w:rFonts w:hint="eastAsia" w:ascii="宋体" w:hAnsi="宋体" w:eastAsia="宋体" w:cs="宋体"/>
                <w:color w:val="auto"/>
                <w:kern w:val="2"/>
                <w:sz w:val="21"/>
                <w:szCs w:val="21"/>
                <w:highlight w:val="none"/>
                <w:lang w:val="zh-TW" w:eastAsia="zh-CN" w:bidi="ar-SA"/>
              </w:rPr>
              <w:t>，</w:t>
            </w:r>
            <w:r>
              <w:rPr>
                <w:rFonts w:hint="eastAsia" w:ascii="宋体" w:hAnsi="宋体" w:eastAsia="宋体" w:cs="宋体"/>
                <w:color w:val="auto"/>
                <w:kern w:val="2"/>
                <w:sz w:val="21"/>
                <w:szCs w:val="21"/>
                <w:highlight w:val="none"/>
                <w:lang w:val="en-US" w:eastAsia="zh-CN" w:bidi="ar-SA"/>
              </w:rPr>
              <w:t>满足响应招标文件的要求</w:t>
            </w:r>
            <w:r>
              <w:rPr>
                <w:rFonts w:hint="eastAsia" w:ascii="宋体" w:hAnsi="宋体" w:eastAsia="宋体" w:cs="宋体"/>
                <w:color w:val="auto"/>
                <w:kern w:val="2"/>
                <w:sz w:val="21"/>
                <w:szCs w:val="21"/>
                <w:highlight w:val="none"/>
                <w:lang w:val="zh-TW" w:eastAsia="zh-CN" w:bidi="ar-SA"/>
              </w:rPr>
              <w:t>。</w:t>
            </w:r>
            <w:r>
              <w:rPr>
                <w:rFonts w:hint="eastAsia" w:ascii="宋体" w:hAnsi="宋体" w:cs="宋体"/>
                <w:color w:val="auto"/>
                <w:kern w:val="2"/>
                <w:sz w:val="21"/>
                <w:szCs w:val="21"/>
                <w:highlight w:val="none"/>
                <w:lang w:val="zh-TW" w:eastAsia="zh-CN" w:bidi="ar-SA"/>
              </w:rPr>
              <w:t>内容完整且</w:t>
            </w:r>
            <w:r>
              <w:rPr>
                <w:rFonts w:hint="eastAsia" w:ascii="宋体" w:hAnsi="宋体" w:eastAsia="宋体" w:cs="宋体"/>
                <w:color w:val="auto"/>
                <w:kern w:val="2"/>
                <w:sz w:val="21"/>
                <w:szCs w:val="21"/>
                <w:highlight w:val="none"/>
                <w:lang w:val="zh-TW" w:eastAsia="zh-TW" w:bidi="ar-SA"/>
              </w:rPr>
              <w:t>切实可行</w:t>
            </w:r>
            <w:r>
              <w:rPr>
                <w:rFonts w:hint="eastAsia" w:ascii="宋体" w:hAnsi="宋体" w:cs="宋体"/>
                <w:color w:val="auto"/>
                <w:kern w:val="2"/>
                <w:sz w:val="21"/>
                <w:szCs w:val="21"/>
                <w:highlight w:val="none"/>
                <w:lang w:val="zh-TW" w:eastAsia="zh-CN" w:bidi="ar-SA"/>
              </w:rPr>
              <w:t>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TW" w:eastAsia="zh-TW" w:bidi="ar-SA"/>
              </w:rPr>
              <w:t>分</w:t>
            </w:r>
            <w:r>
              <w:rPr>
                <w:rFonts w:hint="eastAsia" w:ascii="宋体" w:hAnsi="宋体" w:eastAsia="宋体" w:cs="宋体"/>
                <w:color w:val="auto"/>
                <w:kern w:val="2"/>
                <w:sz w:val="21"/>
                <w:szCs w:val="21"/>
                <w:highlight w:val="none"/>
                <w:lang w:val="zh-TW" w:eastAsia="zh-CN" w:bidi="ar-SA"/>
              </w:rPr>
              <w:t>，</w:t>
            </w:r>
            <w:r>
              <w:rPr>
                <w:rFonts w:hint="eastAsia" w:ascii="宋体" w:hAnsi="宋体" w:cs="宋体"/>
                <w:color w:val="auto"/>
                <w:kern w:val="2"/>
                <w:sz w:val="21"/>
                <w:szCs w:val="21"/>
                <w:highlight w:val="none"/>
                <w:lang w:val="zh-TW" w:eastAsia="zh-CN" w:bidi="ar-SA"/>
              </w:rPr>
              <w:t>内容一般等得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提供的方案</w:t>
            </w:r>
            <w:r>
              <w:rPr>
                <w:rFonts w:hint="eastAsia" w:ascii="宋体" w:hAnsi="宋体" w:eastAsia="宋体" w:cs="宋体"/>
                <w:color w:val="auto"/>
                <w:kern w:val="2"/>
                <w:sz w:val="21"/>
                <w:szCs w:val="21"/>
                <w:highlight w:val="none"/>
                <w:lang w:val="en-US" w:eastAsia="zh-CN" w:bidi="ar-SA"/>
              </w:rPr>
              <w:t>不可行</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，不提供不得分</w:t>
            </w:r>
            <w:r>
              <w:rPr>
                <w:rFonts w:hint="eastAsia" w:ascii="宋体" w:hAnsi="宋体" w:eastAsia="宋体" w:cs="宋体"/>
                <w:color w:val="auto"/>
                <w:kern w:val="2"/>
                <w:sz w:val="21"/>
                <w:szCs w:val="21"/>
                <w:highlight w:val="none"/>
                <w:lang w:val="en-US" w:eastAsia="zh-CN" w:bidi="ar-SA"/>
              </w:rPr>
              <w:t>。</w:t>
            </w:r>
          </w:p>
        </w:tc>
      </w:tr>
      <w:tr w14:paraId="08D0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atLeast"/>
        </w:trPr>
        <w:tc>
          <w:tcPr>
            <w:tcW w:w="184"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5F79E545">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3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14:paraId="2F571C65">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p>
        </w:tc>
        <w:tc>
          <w:tcPr>
            <w:tcW w:w="409"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12C832F2">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en-US" w:eastAsia="zh-CN" w:bidi="ar-SA"/>
              </w:rPr>
              <w:t>应急及突发事件的处理措施</w:t>
            </w:r>
          </w:p>
        </w:tc>
        <w:tc>
          <w:tcPr>
            <w:tcW w:w="362" w:type="pct"/>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0A7A857A">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满分</w:t>
            </w:r>
          </w:p>
          <w:p w14:paraId="2C809387">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c>
          <w:tcPr>
            <w:tcW w:w="3813" w:type="pct"/>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772FAA76">
            <w:pPr>
              <w:pStyle w:val="67"/>
              <w:pageBreakBefore w:val="0"/>
              <w:pBdr>
                <w:top w:val="none" w:color="auto" w:sz="0" w:space="0"/>
                <w:left w:val="none" w:color="auto" w:sz="0" w:space="0"/>
                <w:bottom w:val="none" w:color="auto" w:sz="0" w:space="0"/>
                <w:right w:val="none" w:color="auto" w:sz="0" w:space="0"/>
              </w:pBdr>
              <w:kinsoku/>
              <w:wordWrap/>
              <w:overflowPunct/>
              <w:topLinePunct w:val="0"/>
              <w:bidi w:val="0"/>
              <w:spacing w:line="360" w:lineRule="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en-US" w:eastAsia="zh-CN" w:bidi="ar-SA"/>
              </w:rPr>
              <w:t>针对应急及突发事件处理“急难险重”工作任务应急措施方案描述科学、合理程度，优秀得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分，良好得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分，一般得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没有</w:t>
            </w:r>
            <w:r>
              <w:rPr>
                <w:rFonts w:hint="eastAsia" w:ascii="宋体" w:hAnsi="宋体" w:eastAsia="宋体" w:cs="宋体"/>
                <w:color w:val="auto"/>
                <w:kern w:val="2"/>
                <w:sz w:val="21"/>
                <w:szCs w:val="21"/>
                <w:highlight w:val="none"/>
                <w:lang w:val="en-US" w:eastAsia="zh-CN" w:bidi="ar-SA"/>
              </w:rPr>
              <w:t>不得分。</w:t>
            </w:r>
          </w:p>
        </w:tc>
      </w:tr>
    </w:tbl>
    <w:p w14:paraId="6E4E9386">
      <w:pPr>
        <w:spacing w:line="440" w:lineRule="exact"/>
        <w:ind w:firstLine="210" w:firstLineChars="100"/>
        <w:rPr>
          <w:rFonts w:ascii="宋体" w:hAnsi="宋体" w:cs="宋体"/>
          <w:szCs w:val="21"/>
          <w:highlight w:val="none"/>
        </w:rPr>
      </w:pPr>
      <w:r>
        <w:rPr>
          <w:rFonts w:hint="eastAsia" w:ascii="宋体" w:hAnsi="宋体" w:eastAsia="宋体" w:cs="宋体"/>
          <w:color w:val="auto"/>
          <w:kern w:val="2"/>
          <w:sz w:val="21"/>
          <w:szCs w:val="21"/>
          <w:highlight w:val="none"/>
          <w:lang w:val="en-US" w:eastAsia="zh-CN" w:bidi="ar-SA"/>
        </w:rPr>
        <w:t>备注:1、根据《政府采购服务和服务招投标管理办法》第87号令第六十</w:t>
      </w:r>
      <w:r>
        <w:rPr>
          <w:rFonts w:hint="eastAsia" w:ascii="宋体" w:hAnsi="宋体" w:cs="宋体"/>
          <w:szCs w:val="21"/>
          <w:highlight w:val="none"/>
        </w:rPr>
        <w:t>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151AF2">
      <w:pPr>
        <w:spacing w:line="440" w:lineRule="exact"/>
        <w:ind w:firstLine="539" w:firstLineChars="257"/>
        <w:rPr>
          <w:rFonts w:ascii="宋体" w:hAnsi="宋体" w:cs="宋体"/>
          <w:szCs w:val="21"/>
          <w:highlight w:val="none"/>
        </w:rPr>
      </w:pPr>
      <w:r>
        <w:rPr>
          <w:rFonts w:hint="eastAsia" w:ascii="宋体" w:hAnsi="宋体" w:cs="宋体"/>
          <w:szCs w:val="21"/>
          <w:highlight w:val="none"/>
        </w:rPr>
        <w:t>2、供应商在评标过程中，所进行的力图影响评标结果的不符合招标规则的活动，可能导致其被取消中标资格。</w:t>
      </w:r>
    </w:p>
    <w:p w14:paraId="2600B1E4">
      <w:pPr>
        <w:spacing w:line="440" w:lineRule="exact"/>
        <w:ind w:firstLine="539" w:firstLineChars="257"/>
        <w:rPr>
          <w:rFonts w:ascii="宋体" w:hAnsi="宋体" w:cs="宋体"/>
          <w:szCs w:val="21"/>
          <w:highlight w:val="none"/>
        </w:rPr>
      </w:pPr>
      <w:r>
        <w:rPr>
          <w:rFonts w:hint="eastAsia" w:ascii="宋体" w:hAnsi="宋体" w:cs="宋体"/>
          <w:szCs w:val="21"/>
          <w:highlight w:val="none"/>
        </w:rPr>
        <w:t>3、与磋商文件有重大偏离的投标文件将被拒绝。</w:t>
      </w:r>
    </w:p>
    <w:p w14:paraId="1971FC10">
      <w:pPr>
        <w:spacing w:line="440" w:lineRule="exact"/>
        <w:ind w:firstLine="539" w:firstLineChars="257"/>
        <w:rPr>
          <w:rFonts w:ascii="宋体" w:hAnsi="宋体" w:cs="宋体"/>
          <w:szCs w:val="21"/>
          <w:highlight w:val="none"/>
        </w:rPr>
      </w:pPr>
      <w:r>
        <w:rPr>
          <w:rFonts w:hint="eastAsia" w:ascii="宋体" w:hAnsi="宋体" w:cs="宋体"/>
          <w:szCs w:val="21"/>
          <w:highlight w:val="none"/>
        </w:rPr>
        <w:t>附：对于商务部分（投标报价）的评分，按以下方法进行：价格分统一采用</w:t>
      </w:r>
      <w:r>
        <w:rPr>
          <w:rFonts w:hint="eastAsia" w:ascii="宋体" w:hAnsi="宋体" w:cs="宋体"/>
          <w:szCs w:val="21"/>
          <w:highlight w:val="none"/>
          <w:lang w:eastAsia="zh-CN"/>
        </w:rPr>
        <w:t>高</w:t>
      </w:r>
      <w:r>
        <w:rPr>
          <w:rFonts w:hint="eastAsia" w:ascii="宋体" w:hAnsi="宋体" w:cs="宋体"/>
          <w:szCs w:val="21"/>
          <w:highlight w:val="none"/>
        </w:rPr>
        <w:t>价优先法计算，即满足磋商文件要求且评标价格最</w:t>
      </w:r>
      <w:r>
        <w:rPr>
          <w:rFonts w:hint="eastAsia" w:ascii="宋体" w:hAnsi="宋体" w:cs="宋体"/>
          <w:szCs w:val="21"/>
          <w:highlight w:val="none"/>
          <w:lang w:eastAsia="zh-CN"/>
        </w:rPr>
        <w:t>高</w:t>
      </w:r>
      <w:r>
        <w:rPr>
          <w:rFonts w:hint="eastAsia" w:ascii="宋体" w:hAnsi="宋体" w:cs="宋体"/>
          <w:szCs w:val="21"/>
          <w:highlight w:val="none"/>
        </w:rPr>
        <w:t>的报价为评标基准价，其价格分为满分。其他投标人的价格分统一按照下列公式计算：报价得分=(评标基准价／评标价格)×</w:t>
      </w:r>
      <w:r>
        <w:rPr>
          <w:rFonts w:hint="eastAsia" w:ascii="宋体" w:hAnsi="宋体" w:cs="宋体"/>
          <w:szCs w:val="21"/>
          <w:highlight w:val="none"/>
          <w:lang w:val="en-US" w:eastAsia="zh-CN"/>
        </w:rPr>
        <w:t>0</w:t>
      </w:r>
      <w:r>
        <w:rPr>
          <w:rFonts w:hint="eastAsia" w:ascii="宋体" w:hAnsi="宋体" w:cs="宋体"/>
          <w:szCs w:val="21"/>
          <w:highlight w:val="none"/>
        </w:rPr>
        <w:t>%×100</w:t>
      </w:r>
    </w:p>
    <w:bookmarkEnd w:id="86"/>
    <w:p w14:paraId="2A20406A">
      <w:pPr>
        <w:spacing w:line="440" w:lineRule="exact"/>
        <w:ind w:firstLine="539" w:firstLineChars="257"/>
        <w:rPr>
          <w:rFonts w:ascii="宋体" w:hAnsi="宋体" w:cs="宋体"/>
          <w:szCs w:val="21"/>
          <w:highlight w:val="none"/>
        </w:rPr>
      </w:pPr>
      <w:r>
        <w:rPr>
          <w:rFonts w:hint="eastAsia" w:ascii="宋体" w:hAnsi="宋体" w:cs="宋体"/>
          <w:szCs w:val="21"/>
          <w:highlight w:val="none"/>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投标人将成为</w:t>
      </w:r>
      <w:r>
        <w:rPr>
          <w:rFonts w:hint="eastAsia" w:ascii="宋体" w:hAnsi="宋体" w:cs="宋体"/>
          <w:szCs w:val="21"/>
          <w:highlight w:val="none"/>
          <w:lang w:eastAsia="zh-CN"/>
        </w:rPr>
        <w:t>第一</w:t>
      </w:r>
      <w:r>
        <w:rPr>
          <w:rFonts w:hint="eastAsia" w:ascii="宋体" w:hAnsi="宋体" w:cs="宋体"/>
          <w:szCs w:val="21"/>
          <w:highlight w:val="none"/>
        </w:rPr>
        <w:t>成交候选人。</w:t>
      </w:r>
    </w:p>
    <w:p w14:paraId="2CF05A03">
      <w:pPr>
        <w:spacing w:line="440" w:lineRule="exact"/>
        <w:ind w:firstLine="539" w:firstLineChars="257"/>
        <w:rPr>
          <w:rFonts w:ascii="宋体" w:hAnsi="宋体" w:cs="宋体"/>
          <w:szCs w:val="21"/>
          <w:highlight w:val="none"/>
        </w:rPr>
      </w:pPr>
      <w:r>
        <w:rPr>
          <w:rFonts w:hint="eastAsia" w:ascii="宋体" w:hAnsi="宋体" w:cs="宋体"/>
          <w:szCs w:val="21"/>
          <w:highlight w:val="none"/>
        </w:rPr>
        <w:t>5、报价不作为评标的唯一依据。</w:t>
      </w:r>
    </w:p>
    <w:bookmarkEnd w:id="80"/>
    <w:p w14:paraId="386A6526">
      <w:pPr>
        <w:snapToGrid w:val="0"/>
        <w:spacing w:line="400" w:lineRule="exact"/>
        <w:ind w:firstLine="420" w:firstLineChars="200"/>
        <w:rPr>
          <w:rFonts w:ascii="宋体" w:hAnsi="宋体"/>
          <w:b/>
          <w:szCs w:val="21"/>
          <w:highlight w:val="none"/>
        </w:rPr>
      </w:pPr>
      <w:r>
        <w:rPr>
          <w:rFonts w:hint="eastAsia" w:ascii="宋体" w:hAnsi="宋体"/>
          <w:b/>
          <w:szCs w:val="21"/>
          <w:highlight w:val="none"/>
        </w:rPr>
        <w:t>12.无效投标条款</w:t>
      </w:r>
    </w:p>
    <w:p w14:paraId="65D9A91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12.1投标文件有下列情形之一的,其投标文件拒收:</w:t>
      </w:r>
    </w:p>
    <w:p w14:paraId="35ADD661">
      <w:pPr>
        <w:snapToGrid w:val="0"/>
        <w:spacing w:line="400" w:lineRule="exact"/>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(1) 未在开标截止时间前通过网上招标投标系统递交有效电子投标文件的，开标系统不予接收。</w:t>
      </w:r>
    </w:p>
    <w:p w14:paraId="154DBC28">
      <w:pPr>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b/>
          <w:szCs w:val="21"/>
          <w:highlight w:val="none"/>
        </w:rPr>
        <w:t>所有投标人应在规定时间里完成投标文件的解密工作</w:t>
      </w:r>
      <w:r>
        <w:rPr>
          <w:rFonts w:hint="eastAsia" w:ascii="宋体" w:hAnsi="宋体"/>
          <w:b/>
          <w:bCs/>
          <w:szCs w:val="21"/>
          <w:highlight w:val="none"/>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highlight w:val="none"/>
        </w:rPr>
        <w:t>，因系统原因未能成功解密的投标文件，可导入备份投标文件。备份投标文件也无法导入的，则投标文件被否决。</w:t>
      </w:r>
    </w:p>
    <w:p w14:paraId="741AD301">
      <w:pPr>
        <w:snapToGrid w:val="0"/>
        <w:spacing w:line="400" w:lineRule="exact"/>
        <w:rPr>
          <w:rFonts w:ascii="宋体" w:hAnsi="宋体" w:cs="宋体"/>
          <w:szCs w:val="21"/>
          <w:highlight w:val="none"/>
        </w:rPr>
      </w:pPr>
      <w:r>
        <w:rPr>
          <w:rFonts w:hint="eastAsia" w:ascii="宋体" w:hAnsi="宋体" w:cs="宋体"/>
          <w:szCs w:val="21"/>
          <w:highlight w:val="none"/>
        </w:rPr>
        <w:t xml:space="preserve">  12.2投标人有下列情形之一的,资格审查后其投标作无效投标处理：</w:t>
      </w:r>
    </w:p>
    <w:p w14:paraId="7DEBF76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(1)法定代表人参加开标会议未携带有效的法定代表人身份证明原件和本人身份证的；委托代理人参加开标会议未携带有效的法定代表人授权书和本人身份证；</w:t>
      </w:r>
    </w:p>
    <w:p w14:paraId="6708668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(2)投标人为本项目提供招标代理服务的；</w:t>
      </w:r>
    </w:p>
    <w:p w14:paraId="32FEA1F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(3)投标人与在本项目代理机构存在相互任职或工作的；</w:t>
      </w:r>
    </w:p>
    <w:p w14:paraId="1286A1F6">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(4)投标保证金未按规定要求缴纳的；</w:t>
      </w:r>
    </w:p>
    <w:p w14:paraId="02A1711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b/>
          <w:bCs/>
          <w:szCs w:val="21"/>
          <w:highlight w:val="none"/>
        </w:rPr>
        <w:t>评标专家无法查看并检验电子标书中相关资料的；</w:t>
      </w:r>
    </w:p>
    <w:p w14:paraId="660B64E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(6)联合体投标未提交联合体协议的；</w:t>
      </w:r>
    </w:p>
    <w:p w14:paraId="4059A67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(7)被暂停营业的；</w:t>
      </w:r>
    </w:p>
    <w:p w14:paraId="53AA133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14:paraId="69978FE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(9)财产被接管或冻结的；</w:t>
      </w:r>
    </w:p>
    <w:p w14:paraId="7620D75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(10)投标人单位负责人为同一人或者存在控股、管理关系的不同单位的；</w:t>
      </w:r>
    </w:p>
    <w:p w14:paraId="409461E2">
      <w:pPr>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（11）投标人基本资格条件和特定资格条件中有一项及以上不符合要求的；</w:t>
      </w:r>
    </w:p>
    <w:p w14:paraId="046E61D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（12）投标人使用相同的MAC地址进行报名的；</w:t>
      </w:r>
    </w:p>
    <w:p w14:paraId="71272B8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（13）其它情形，经评标委员会委提出按无效投标处理，并经公共资源交易监督部门核准的；</w:t>
      </w:r>
    </w:p>
    <w:p w14:paraId="00B7095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（14）投标人使用相同IP地址报名的，一经发现，监管部门将进一步核实，查实后按串通投标处理；</w:t>
      </w:r>
    </w:p>
    <w:p w14:paraId="48BDD7D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（15）采购文件规定的其它无效投标情形。</w:t>
      </w:r>
    </w:p>
    <w:p w14:paraId="36867643">
      <w:pPr>
        <w:snapToGrid w:val="0"/>
        <w:spacing w:line="400" w:lineRule="exact"/>
        <w:rPr>
          <w:rFonts w:ascii="宋体" w:hAnsi="宋体" w:cs="宋体"/>
          <w:szCs w:val="21"/>
          <w:highlight w:val="none"/>
        </w:rPr>
      </w:pPr>
      <w:r>
        <w:rPr>
          <w:rFonts w:hint="eastAsia" w:ascii="宋体" w:hAnsi="宋体" w:cs="宋体"/>
          <w:szCs w:val="21"/>
          <w:highlight w:val="none"/>
        </w:rPr>
        <w:t xml:space="preserve">   12.3 投标人有下列情形之一的,符合性审查后其投标按无效投标处理：</w:t>
      </w:r>
    </w:p>
    <w:p w14:paraId="0464830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 投标文件签字、盖章不全，经评标委员会一致认定对开评标内容有实质性影响并经监督部门核准的；</w:t>
      </w:r>
    </w:p>
    <w:p w14:paraId="3E69D2D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(2)未按规定的格式填写，实质性内容不全或关键字迹模糊、无法辨认; 经监督部门核准的；</w:t>
      </w:r>
    </w:p>
    <w:p w14:paraId="2A289EF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(4)同一投标人提交两个以上不同的投标文件或者投标报价，但采购文件规定提交备选方案的除外；</w:t>
      </w:r>
    </w:p>
    <w:p w14:paraId="1AE5DED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(3)投标文件没有对采购文件的实质性要求和条件作出响应;</w:t>
      </w:r>
    </w:p>
    <w:p w14:paraId="4330F0D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(4)投标报价超出规定的投标限价或公布的采购预算的；注：投标人的投标报价各项单价均不得高于磋商文件给定的单价最高限价，否则，其投标文件将按无效投标处理。</w:t>
      </w:r>
    </w:p>
    <w:p w14:paraId="66B2BE8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(5)不按评标委员会要求澄清、说明或补正的，或者评标委员会根据采购文件的规定对采购文件的计算错误进行修正后，投标人不接受修正的投标报价的。</w:t>
      </w:r>
    </w:p>
    <w:p w14:paraId="79F4C70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（6）其它情形，经评标委员会委提出按无效投标处理，并经公共资源交易监督部门核准的；</w:t>
      </w:r>
    </w:p>
    <w:p w14:paraId="73F5AA7C">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（7）</w:t>
      </w:r>
      <w:r>
        <w:rPr>
          <w:rFonts w:ascii="Tahoma" w:hAnsi="Tahoma" w:eastAsia="Tahoma" w:cs="Tahoma"/>
          <w:kern w:val="0"/>
          <w:szCs w:val="21"/>
          <w:highlight w:val="none"/>
          <w:shd w:val="clear" w:color="auto" w:fill="FFFFFF"/>
          <w:lang w:bidi="ar"/>
        </w:rPr>
        <w:t>未按照</w:t>
      </w:r>
      <w:r>
        <w:rPr>
          <w:rFonts w:hint="eastAsia" w:ascii="Tahoma" w:hAnsi="Tahoma" w:cs="Tahoma"/>
          <w:kern w:val="0"/>
          <w:szCs w:val="21"/>
          <w:highlight w:val="none"/>
          <w:shd w:val="clear" w:color="auto" w:fill="FFFFFF"/>
          <w:lang w:bidi="ar"/>
        </w:rPr>
        <w:t>磋商文件</w:t>
      </w:r>
      <w:r>
        <w:rPr>
          <w:rFonts w:ascii="Tahoma" w:hAnsi="Tahoma" w:eastAsia="Tahoma" w:cs="Tahoma"/>
          <w:kern w:val="0"/>
          <w:szCs w:val="21"/>
          <w:highlight w:val="none"/>
          <w:shd w:val="clear" w:color="auto" w:fill="FFFFFF"/>
          <w:lang w:bidi="ar"/>
        </w:rPr>
        <w:t>的规定提交投标保证金的；</w:t>
      </w:r>
    </w:p>
    <w:p w14:paraId="18C8583C">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（8）</w:t>
      </w:r>
      <w:r>
        <w:rPr>
          <w:rFonts w:ascii="Tahoma" w:hAnsi="Tahoma" w:eastAsia="Tahoma" w:cs="Tahoma"/>
          <w:kern w:val="0"/>
          <w:szCs w:val="21"/>
          <w:highlight w:val="none"/>
          <w:shd w:val="clear" w:color="auto" w:fill="FFFFFF"/>
          <w:lang w:bidi="ar"/>
        </w:rPr>
        <w:t>投标文件含有采购人不能接受的附加条件的;</w:t>
      </w:r>
    </w:p>
    <w:p w14:paraId="09424CAD">
      <w:pPr>
        <w:tabs>
          <w:tab w:val="left" w:pos="1123"/>
        </w:tabs>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（9）采购文件规定的其它无效投标情形。</w:t>
      </w:r>
    </w:p>
    <w:p w14:paraId="30691F2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12.4 投标人有下列情形之一的, 详细评审后其投标按无效投标处理：</w:t>
      </w:r>
    </w:p>
    <w:p w14:paraId="269504B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(1)投标产品不符合必须强制执行的国家标准的；</w:t>
      </w:r>
    </w:p>
    <w:p w14:paraId="06C1160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(2)投标人有串通投标、弄虚作假、行贿等违法行为；</w:t>
      </w:r>
    </w:p>
    <w:p w14:paraId="5E1B6C4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(3)投标文件含有违反国家法律、法规的内容，或附有招标人不能接受的条件的；</w:t>
      </w:r>
    </w:p>
    <w:p w14:paraId="598883A7">
      <w:pPr>
        <w:spacing w:line="360" w:lineRule="auto"/>
        <w:ind w:firstLine="315" w:firstLineChars="150"/>
        <w:rPr>
          <w:rFonts w:ascii="宋体" w:hAnsi="宋体" w:cs="宋体"/>
          <w:szCs w:val="21"/>
          <w:highlight w:val="none"/>
        </w:rPr>
      </w:pPr>
      <w:r>
        <w:rPr>
          <w:rFonts w:hint="eastAsia" w:ascii="宋体" w:hAnsi="宋体" w:cs="宋体"/>
          <w:szCs w:val="21"/>
          <w:highlight w:val="none"/>
        </w:rPr>
        <w:t>（4）在同一项目（或同一标段）中有多个投标人有效投标报价接近最高限价，且评标委员会认为报价出现异常的，可以宣布其投标无效；</w:t>
      </w:r>
    </w:p>
    <w:p w14:paraId="40CC0EA2">
      <w:pPr>
        <w:spacing w:line="360" w:lineRule="auto"/>
        <w:ind w:firstLine="315" w:firstLineChars="15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报价明显低于其他投标人，且不能证明报价合理性的投标无效</w:t>
      </w:r>
      <w:r>
        <w:rPr>
          <w:rFonts w:hint="eastAsia" w:ascii="宋体" w:hAnsi="宋体" w:cs="宋体"/>
          <w:szCs w:val="21"/>
          <w:highlight w:val="none"/>
        </w:rPr>
        <w:t>；</w:t>
      </w:r>
    </w:p>
    <w:p w14:paraId="316A6CCF">
      <w:pPr>
        <w:spacing w:line="360" w:lineRule="auto"/>
        <w:ind w:firstLine="315" w:firstLineChars="15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拒不确认评标委员会评审修正的投标无效</w:t>
      </w:r>
      <w:r>
        <w:rPr>
          <w:rFonts w:hint="eastAsia" w:ascii="宋体" w:hAnsi="宋体" w:cs="宋体"/>
          <w:szCs w:val="21"/>
          <w:highlight w:val="none"/>
        </w:rPr>
        <w:t>；</w:t>
      </w:r>
    </w:p>
    <w:p w14:paraId="0B516E7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（7）其它情形，经评标委员会委提出按无效投标处理，并经公共资源交易监督部门核准的；</w:t>
      </w:r>
    </w:p>
    <w:p w14:paraId="69948ED7">
      <w:pPr>
        <w:snapToGrid w:val="0"/>
        <w:spacing w:line="400" w:lineRule="exact"/>
        <w:ind w:firstLine="420" w:firstLineChars="200"/>
        <w:rPr>
          <w:rFonts w:ascii="宋体"/>
          <w:szCs w:val="21"/>
          <w:highlight w:val="none"/>
        </w:rPr>
      </w:pPr>
      <w:r>
        <w:rPr>
          <w:rFonts w:hint="eastAsia" w:ascii="宋体" w:hAnsi="宋体" w:cs="宋体"/>
          <w:szCs w:val="21"/>
          <w:highlight w:val="none"/>
        </w:rPr>
        <w:t>（8）采购文件规定的其它无效投标情形。</w:t>
      </w:r>
    </w:p>
    <w:p w14:paraId="7F732CF3">
      <w:pPr>
        <w:pageBreakBefore/>
        <w:spacing w:line="360" w:lineRule="auto"/>
        <w:jc w:val="center"/>
        <w:outlineLvl w:val="0"/>
        <w:rPr>
          <w:rFonts w:ascii="宋体"/>
          <w:b/>
          <w:sz w:val="32"/>
          <w:szCs w:val="32"/>
          <w:highlight w:val="none"/>
        </w:rPr>
        <w:sectPr>
          <w:headerReference r:id="rId3" w:type="default"/>
          <w:footerReference r:id="rId4" w:type="default"/>
          <w:pgSz w:w="11906" w:h="16838"/>
          <w:pgMar w:top="1157" w:right="969" w:bottom="1157" w:left="969" w:header="851" w:footer="992" w:gutter="0"/>
          <w:pgNumType w:start="1"/>
          <w:cols w:space="720" w:num="1"/>
          <w:docGrid w:type="linesAndChars" w:linePitch="312" w:charSpace="0"/>
        </w:sectPr>
      </w:pPr>
      <w:bookmarkStart w:id="87" w:name="OLE_LINK4"/>
    </w:p>
    <w:p w14:paraId="6D6C1C4E">
      <w:pPr>
        <w:pageBreakBefore/>
        <w:numPr>
          <w:ilvl w:val="0"/>
          <w:numId w:val="7"/>
        </w:numPr>
        <w:spacing w:line="360" w:lineRule="auto"/>
        <w:jc w:val="center"/>
        <w:outlineLvl w:val="0"/>
        <w:rPr>
          <w:rFonts w:hAnsi="宋体"/>
          <w:b/>
          <w:sz w:val="28"/>
          <w:szCs w:val="28"/>
          <w:highlight w:val="none"/>
        </w:rPr>
      </w:pPr>
      <w:r>
        <w:rPr>
          <w:rFonts w:hint="eastAsia" w:ascii="宋体"/>
          <w:b/>
          <w:sz w:val="32"/>
          <w:szCs w:val="32"/>
          <w:highlight w:val="none"/>
        </w:rPr>
        <w:t xml:space="preserve"> </w:t>
      </w:r>
      <w:bookmarkEnd w:id="81"/>
      <w:r>
        <w:rPr>
          <w:rFonts w:hint="eastAsia" w:ascii="宋体"/>
          <w:b/>
          <w:sz w:val="32"/>
          <w:szCs w:val="32"/>
          <w:highlight w:val="none"/>
        </w:rPr>
        <w:t>招标项目技术要求及服务内容</w:t>
      </w:r>
    </w:p>
    <w:p w14:paraId="64A12CF6">
      <w:pPr>
        <w:rPr>
          <w:rFonts w:hint="eastAsia"/>
          <w:b/>
          <w:bCs/>
        </w:rPr>
      </w:pPr>
      <w:r>
        <w:rPr>
          <w:rFonts w:hint="eastAsia" w:eastAsia="宋体"/>
          <w:b/>
          <w:bCs/>
          <w:lang w:eastAsia="zh-CN"/>
        </w:rPr>
        <w:t>一、</w:t>
      </w:r>
      <w:r>
        <w:rPr>
          <w:rFonts w:hint="eastAsia"/>
          <w:b/>
          <w:bCs/>
        </w:rPr>
        <w:t>发放项目</w:t>
      </w:r>
    </w:p>
    <w:p w14:paraId="7C9BD09C">
      <w:pPr>
        <w:ind w:firstLine="486" w:firstLineChars="200"/>
        <w:rPr>
          <w:rFonts w:hint="eastAsia" w:ascii="宋体" w:hAnsi="Arial" w:eastAsia="Arial" w:cs="Arial"/>
          <w:snapToGrid w:val="0"/>
          <w:color w:val="000000"/>
          <w:kern w:val="0"/>
          <w:sz w:val="24"/>
          <w:szCs w:val="21"/>
          <w:highlight w:val="none"/>
          <w:lang w:val="en-US" w:eastAsia="zh-CN" w:bidi="ar-SA"/>
        </w:rPr>
      </w:pPr>
      <w:r>
        <w:rPr>
          <w:rFonts w:hint="eastAsia" w:ascii="宋体" w:hAnsi="Arial" w:eastAsia="Arial" w:cs="Arial"/>
          <w:snapToGrid w:val="0"/>
          <w:color w:val="000000"/>
          <w:kern w:val="0"/>
          <w:sz w:val="24"/>
          <w:szCs w:val="21"/>
          <w:highlight w:val="none"/>
          <w:lang w:val="en-US" w:eastAsia="zh-CN" w:bidi="ar-SA"/>
        </w:rPr>
        <w:t>教育领域学生资助纳入惠民惠农“一卡通”发放范围，具体为：负责本专科生国家奖学金和助学金、本专科生国家励志奖学金、服兵役高等学校学生国家教育资助、基层就业学费补偿国家助学贷款代偿、普通高中资助一国家助学金、城乡义务教育家庭经济困难学生活补助、中等职业学校资助一国家奖学金、中等职业学校资助一国家助学金等其他需要代发的惠民惠农补贴。</w:t>
      </w:r>
    </w:p>
    <w:p w14:paraId="300E9130">
      <w:pPr>
        <w:rPr>
          <w:rFonts w:hint="eastAsia"/>
          <w:b/>
          <w:bCs/>
        </w:rPr>
      </w:pPr>
      <w:r>
        <w:rPr>
          <w:rFonts w:hint="eastAsia"/>
          <w:b/>
          <w:bCs/>
        </w:rPr>
        <w:t>二、发放时间</w:t>
      </w:r>
    </w:p>
    <w:p w14:paraId="4EC79A83">
      <w:pPr>
        <w:ind w:firstLine="486" w:firstLineChars="200"/>
        <w:rPr>
          <w:rFonts w:hint="eastAsia" w:ascii="宋体" w:hAnsi="Arial" w:eastAsia="Arial" w:cs="Arial"/>
          <w:snapToGrid w:val="0"/>
          <w:color w:val="000000"/>
          <w:kern w:val="0"/>
          <w:sz w:val="24"/>
          <w:szCs w:val="21"/>
          <w:highlight w:val="none"/>
          <w:lang w:val="en-US" w:eastAsia="zh-CN" w:bidi="ar-SA"/>
        </w:rPr>
      </w:pPr>
      <w:r>
        <w:rPr>
          <w:rFonts w:hint="eastAsia" w:ascii="宋体" w:hAnsi="Arial" w:eastAsia="Arial" w:cs="Arial"/>
          <w:snapToGrid w:val="0"/>
          <w:color w:val="000000"/>
          <w:kern w:val="0"/>
          <w:sz w:val="24"/>
          <w:szCs w:val="21"/>
          <w:highlight w:val="none"/>
          <w:lang w:val="en-US" w:eastAsia="zh-CN" w:bidi="ar-SA"/>
        </w:rPr>
        <w:t>每次按甲方规定完成发放工作。</w:t>
      </w:r>
    </w:p>
    <w:p w14:paraId="1DDE413F">
      <w:pPr>
        <w:pStyle w:val="39"/>
        <w:ind w:left="0" w:leftChars="0" w:firstLine="0" w:firstLineChars="0"/>
        <w:rPr>
          <w:rFonts w:hint="eastAsia" w:ascii="宋体"/>
          <w:b/>
          <w:bCs/>
          <w:szCs w:val="21"/>
          <w:highlight w:val="none"/>
          <w:lang w:eastAsia="zh-CN"/>
        </w:rPr>
      </w:pPr>
      <w:r>
        <w:rPr>
          <w:rFonts w:hint="eastAsia" w:ascii="宋体"/>
          <w:b/>
          <w:bCs/>
          <w:szCs w:val="21"/>
          <w:highlight w:val="none"/>
          <w:lang w:eastAsia="zh-CN"/>
        </w:rPr>
        <w:t>三、发放惠民惠农财政补贴资金的工作要求</w:t>
      </w:r>
    </w:p>
    <w:p w14:paraId="60B20DDA">
      <w:pPr>
        <w:pStyle w:val="39"/>
        <w:rPr>
          <w:rFonts w:hint="eastAsia" w:ascii="宋体"/>
          <w:szCs w:val="21"/>
          <w:highlight w:val="none"/>
          <w:lang w:eastAsia="zh-CN"/>
        </w:rPr>
      </w:pPr>
      <w:r>
        <w:rPr>
          <w:rFonts w:hint="eastAsia" w:ascii="宋体"/>
          <w:szCs w:val="21"/>
          <w:highlight w:val="none"/>
          <w:lang w:eastAsia="zh-CN"/>
        </w:rPr>
        <w:t>银行作为惠民惠农财政补贴资金个人社保卡发放代理银行，确保向补贴对象提供高效、优质的金融服务。一是根据财政部门通过“一卡通”系统发送的补贴资金发放数据，在3个工作日内统一将补贴资金划拨至补贴对象社会保障卡金融账户 ;二是及时向财政部门和业务主管部门反馈发放信息，并将发放失败的补贴资金原渠道退回;三是按照有关规定为补贴对象免费新办，补办社保卡,提供便捷的查询服务;四是免费提供补贴信息告知服务,告知补贴对象补贴项目名称、发放金额，发放时间等内容。</w:t>
      </w:r>
    </w:p>
    <w:p w14:paraId="46B211AE">
      <w:pPr>
        <w:pStyle w:val="39"/>
        <w:rPr>
          <w:rFonts w:hint="eastAsia" w:ascii="宋体"/>
          <w:szCs w:val="21"/>
          <w:highlight w:val="none"/>
          <w:lang w:eastAsia="zh-CN"/>
        </w:rPr>
      </w:pPr>
      <w:r>
        <w:rPr>
          <w:rFonts w:hint="eastAsia" w:ascii="宋体"/>
          <w:szCs w:val="21"/>
          <w:highlight w:val="none"/>
          <w:lang w:eastAsia="zh-CN"/>
        </w:rPr>
        <w:t>(一)严格按政策发放。银行每月(次)按财政局、业务主管部门提供的实名制发放表，及时、精准、足额发放到人到户，为补贴对象提供便捷的补换卡和取款服务。为补贴对象补换社保卡、支取补贴资金等提供便利服务，不得在补贴发放业务中额外收取费用。</w:t>
      </w:r>
    </w:p>
    <w:p w14:paraId="7E98E272">
      <w:pPr>
        <w:pStyle w:val="39"/>
        <w:rPr>
          <w:rFonts w:hint="eastAsia" w:ascii="宋体"/>
          <w:color w:val="auto"/>
          <w:szCs w:val="21"/>
          <w:highlight w:val="none"/>
          <w:lang w:eastAsia="zh-CN"/>
        </w:rPr>
      </w:pPr>
      <w:r>
        <w:rPr>
          <w:rFonts w:hint="eastAsia" w:ascii="宋体"/>
          <w:color w:val="auto"/>
          <w:szCs w:val="21"/>
          <w:highlight w:val="none"/>
          <w:lang w:eastAsia="zh-CN"/>
        </w:rPr>
        <w:t>(二)严格发放时间。银行每月(次)在收到财政补贴资金和实名制发放表后的3日内，将补贴资金发放到补贴对象的社保卡中，完成发放工作(包括跨行发放补贴业务)。</w:t>
      </w:r>
    </w:p>
    <w:p w14:paraId="1FF7053D">
      <w:pPr>
        <w:pStyle w:val="39"/>
        <w:rPr>
          <w:rFonts w:hint="eastAsia" w:ascii="宋体"/>
          <w:szCs w:val="21"/>
          <w:highlight w:val="none"/>
          <w:lang w:eastAsia="zh-CN"/>
        </w:rPr>
      </w:pPr>
      <w:r>
        <w:rPr>
          <w:rFonts w:hint="eastAsia" w:ascii="宋体"/>
          <w:szCs w:val="21"/>
          <w:highlight w:val="none"/>
          <w:lang w:eastAsia="zh-CN"/>
        </w:rPr>
        <w:t>(三)严格发送到账信息。银行每月(次)发放补贴资金的同时，免费向补贴对象发送短信，让发放对象及时知晓资金到账情况。发送到账信息内容包含补贴项目名称、享受补贴月份(季度、年)、金额等内容。</w:t>
      </w:r>
    </w:p>
    <w:p w14:paraId="56EFEB5F">
      <w:pPr>
        <w:pStyle w:val="39"/>
        <w:rPr>
          <w:rFonts w:hint="eastAsia" w:ascii="宋体"/>
          <w:szCs w:val="21"/>
          <w:highlight w:val="none"/>
          <w:lang w:eastAsia="zh-CN"/>
        </w:rPr>
      </w:pPr>
      <w:r>
        <w:rPr>
          <w:rFonts w:hint="eastAsia" w:ascii="宋体"/>
          <w:szCs w:val="21"/>
          <w:highlight w:val="none"/>
          <w:lang w:eastAsia="zh-CN"/>
        </w:rPr>
        <w:t>(四)严格反馈发放情况。银行每月(次)发放补贴资金完毕后2日内，要将发放情况向财政局、业务主管部门报告，并提供实名制发放清单，按时相关部门打印提供发放成功流水账。</w:t>
      </w:r>
    </w:p>
    <w:p w14:paraId="5EAAE3AC">
      <w:pPr>
        <w:pStyle w:val="39"/>
        <w:rPr>
          <w:rFonts w:hint="eastAsia" w:ascii="宋体"/>
          <w:szCs w:val="21"/>
          <w:highlight w:val="none"/>
          <w:lang w:eastAsia="zh-CN"/>
        </w:rPr>
      </w:pPr>
      <w:r>
        <w:rPr>
          <w:rFonts w:hint="eastAsia" w:ascii="宋体"/>
          <w:szCs w:val="21"/>
          <w:highlight w:val="none"/>
          <w:lang w:eastAsia="zh-CN"/>
        </w:rPr>
        <w:t>(五)认真做好群众服务。在市域内公告每项惠民惠农财政补贴政策、发放形式，同时公布财政局局长、业务主管部门和银行的行长(主任)，以及各部门业务证办人员的姓名、电话，主动接受补贴对象的政策咨询和问询。</w:t>
      </w:r>
    </w:p>
    <w:p w14:paraId="74800616">
      <w:pPr>
        <w:pStyle w:val="39"/>
        <w:rPr>
          <w:rFonts w:hint="eastAsia" w:ascii="宋体"/>
          <w:szCs w:val="21"/>
          <w:highlight w:val="none"/>
          <w:lang w:eastAsia="zh-CN"/>
        </w:rPr>
      </w:pPr>
      <w:r>
        <w:rPr>
          <w:rFonts w:hint="eastAsia" w:ascii="宋体"/>
          <w:szCs w:val="21"/>
          <w:highlight w:val="none"/>
          <w:lang w:eastAsia="zh-CN"/>
        </w:rPr>
        <w:t>四、工作具体内容</w:t>
      </w:r>
    </w:p>
    <w:p w14:paraId="20287833">
      <w:pPr>
        <w:pStyle w:val="39"/>
        <w:rPr>
          <w:rFonts w:hint="eastAsia" w:ascii="宋体"/>
          <w:szCs w:val="21"/>
          <w:highlight w:val="none"/>
          <w:lang w:eastAsia="zh-CN"/>
        </w:rPr>
      </w:pPr>
      <w:r>
        <w:rPr>
          <w:rFonts w:hint="eastAsia" w:ascii="宋体"/>
          <w:szCs w:val="21"/>
          <w:highlight w:val="none"/>
          <w:lang w:eastAsia="zh-CN"/>
        </w:rPr>
        <w:t>1．服务代理银行须在本市区域内或新城区域内至少有1家营业网点；</w:t>
      </w:r>
    </w:p>
    <w:p w14:paraId="24644185">
      <w:pPr>
        <w:pStyle w:val="39"/>
        <w:rPr>
          <w:rFonts w:hint="eastAsia" w:ascii="宋体"/>
          <w:szCs w:val="21"/>
          <w:highlight w:val="none"/>
          <w:lang w:eastAsia="zh-CN"/>
        </w:rPr>
      </w:pPr>
      <w:r>
        <w:rPr>
          <w:rFonts w:hint="eastAsia" w:ascii="宋体"/>
          <w:szCs w:val="21"/>
          <w:highlight w:val="none"/>
          <w:lang w:eastAsia="zh-CN"/>
        </w:rPr>
        <w:t>2．服务代理银行需具备长期服务基层广大人民群众、服务态度好、服务质量优、群众反响好的条件；</w:t>
      </w:r>
    </w:p>
    <w:p w14:paraId="0C27465D">
      <w:pPr>
        <w:pStyle w:val="39"/>
        <w:rPr>
          <w:rFonts w:hint="eastAsia" w:ascii="宋体"/>
          <w:szCs w:val="21"/>
          <w:highlight w:val="none"/>
          <w:lang w:eastAsia="zh-CN"/>
        </w:rPr>
      </w:pPr>
      <w:r>
        <w:rPr>
          <w:rFonts w:hint="eastAsia" w:ascii="宋体"/>
          <w:szCs w:val="21"/>
          <w:highlight w:val="none"/>
          <w:lang w:eastAsia="zh-CN"/>
        </w:rPr>
        <w:t>3．服务代理银行支付系统需实现与预算管理一体化系统，以及财政惠民惠农补贴“一卡通”管理系统无缝对接，能够提供惠民惠农财政补贴“一卡通”管理系统硬件、软件购置费、系统维护费和相关配套业务费，保证补贴资金的正常发放。</w:t>
      </w:r>
    </w:p>
    <w:p w14:paraId="6917E911">
      <w:pPr>
        <w:pStyle w:val="39"/>
        <w:rPr>
          <w:rFonts w:hint="eastAsia" w:ascii="宋体"/>
          <w:szCs w:val="21"/>
          <w:highlight w:val="none"/>
          <w:lang w:eastAsia="zh-CN"/>
        </w:rPr>
      </w:pPr>
      <w:r>
        <w:rPr>
          <w:rFonts w:hint="eastAsia" w:ascii="宋体"/>
          <w:szCs w:val="21"/>
          <w:highlight w:val="none"/>
          <w:lang w:eastAsia="zh-CN"/>
        </w:rPr>
        <w:t>4．服务代理银行需具备综合素质高、熟练代理财政业务、人员稳定的专业服务团队，能够满足3人以上专人负责办理惠民惠农财政补贴资金代发业务，全力保障财政及行业主管部门的各项业务对接。</w:t>
      </w:r>
    </w:p>
    <w:p w14:paraId="0E7772C6">
      <w:pPr>
        <w:pStyle w:val="39"/>
        <w:rPr>
          <w:rFonts w:hint="eastAsia" w:ascii="宋体"/>
          <w:szCs w:val="21"/>
          <w:highlight w:val="none"/>
          <w:lang w:eastAsia="zh-CN"/>
        </w:rPr>
      </w:pPr>
      <w:r>
        <w:rPr>
          <w:rFonts w:hint="eastAsia" w:ascii="宋体"/>
          <w:szCs w:val="21"/>
          <w:highlight w:val="none"/>
          <w:lang w:eastAsia="zh-CN"/>
        </w:rPr>
        <w:t>5．服务代理银行需按照行业主管部门提供的实名制代发数据，先进行模拟打卡，模拟打卡无误后再进行实际打卡发放，保证支付成功率；</w:t>
      </w:r>
    </w:p>
    <w:p w14:paraId="7B3CEC34">
      <w:pPr>
        <w:pStyle w:val="39"/>
        <w:rPr>
          <w:rFonts w:hint="eastAsia" w:ascii="宋体"/>
          <w:szCs w:val="21"/>
          <w:highlight w:val="none"/>
          <w:lang w:eastAsia="zh-CN"/>
        </w:rPr>
      </w:pPr>
      <w:r>
        <w:rPr>
          <w:rFonts w:hint="eastAsia" w:ascii="宋体"/>
          <w:szCs w:val="21"/>
          <w:highlight w:val="none"/>
          <w:lang w:eastAsia="zh-CN"/>
        </w:rPr>
        <w:t>6．服务代理银行按月（次）在收到补贴资金和实名制发放表后，需在3个工作日内，将补贴资金发放到补贴对象社保卡中；</w:t>
      </w:r>
    </w:p>
    <w:p w14:paraId="5F34B1EF">
      <w:pPr>
        <w:pStyle w:val="39"/>
        <w:rPr>
          <w:rFonts w:hint="eastAsia" w:ascii="宋体"/>
          <w:szCs w:val="21"/>
          <w:highlight w:val="none"/>
          <w:lang w:eastAsia="zh-CN"/>
        </w:rPr>
      </w:pPr>
      <w:r>
        <w:rPr>
          <w:rFonts w:hint="eastAsia" w:ascii="宋体"/>
          <w:szCs w:val="21"/>
          <w:highlight w:val="none"/>
          <w:lang w:eastAsia="zh-CN"/>
        </w:rPr>
        <w:t>7．服务代理银行在发放补贴的同时，需向补贴对象免费发送短信，具体告知补贴项目名称、金额，让补贴对象及时知晓资金到账情况；无短信告知的资金项目，需向行业主管部门提供纸质版进行告知；</w:t>
      </w:r>
    </w:p>
    <w:p w14:paraId="4AFABDF2">
      <w:pPr>
        <w:pStyle w:val="39"/>
        <w:rPr>
          <w:rFonts w:hint="eastAsia" w:ascii="宋体"/>
          <w:szCs w:val="21"/>
          <w:highlight w:val="none"/>
          <w:lang w:eastAsia="zh-CN"/>
        </w:rPr>
      </w:pPr>
      <w:r>
        <w:rPr>
          <w:rFonts w:hint="eastAsia" w:ascii="宋体"/>
          <w:szCs w:val="21"/>
          <w:highlight w:val="none"/>
          <w:lang w:eastAsia="zh-CN"/>
        </w:rPr>
        <w:t>8．服务代理银行向补贴对象打卡发放后，需在2个工作日内向财政、行业主管部门反馈打卡发放情况，提供一式3联打卡发放流水清单（包含成功和未成功明细两部分笔数、内容及金额，未成功应标注原因）；</w:t>
      </w:r>
    </w:p>
    <w:p w14:paraId="02DA4166">
      <w:pPr>
        <w:pStyle w:val="39"/>
        <w:rPr>
          <w:rFonts w:hint="eastAsia" w:ascii="宋体"/>
          <w:szCs w:val="21"/>
          <w:highlight w:val="none"/>
          <w:lang w:eastAsia="zh-CN"/>
        </w:rPr>
      </w:pPr>
      <w:r>
        <w:rPr>
          <w:rFonts w:hint="eastAsia" w:ascii="宋体"/>
          <w:szCs w:val="21"/>
          <w:highlight w:val="none"/>
          <w:lang w:eastAsia="zh-CN"/>
        </w:rPr>
        <w:t>9．服务代理银行对发放失败的补贴资金，需主动配合行业主管部门查明原因，需在3个工作日内，由行业主管部门重新核实后，服务代理银行进行二次打卡发放，直至发放成功，同时并向财政、行业主管部门提供一式3联成功打卡发放明细清单；</w:t>
      </w:r>
    </w:p>
    <w:p w14:paraId="22F95C94">
      <w:pPr>
        <w:pStyle w:val="39"/>
        <w:rPr>
          <w:rFonts w:hint="eastAsia" w:ascii="宋体"/>
          <w:szCs w:val="21"/>
          <w:highlight w:val="none"/>
          <w:lang w:eastAsia="zh-CN"/>
        </w:rPr>
      </w:pPr>
      <w:r>
        <w:rPr>
          <w:rFonts w:hint="eastAsia" w:ascii="宋体"/>
          <w:szCs w:val="21"/>
          <w:highlight w:val="none"/>
          <w:lang w:eastAsia="zh-CN"/>
        </w:rPr>
        <w:t>10．服务代理银行需按照财政部门和行业主管部门的要求，在月末、季度和年终做好资金清算及对账工作；</w:t>
      </w:r>
    </w:p>
    <w:p w14:paraId="219BA1D6">
      <w:pPr>
        <w:pStyle w:val="39"/>
        <w:rPr>
          <w:rFonts w:hint="eastAsia" w:ascii="宋体"/>
          <w:szCs w:val="21"/>
          <w:highlight w:val="none"/>
          <w:lang w:eastAsia="zh-CN"/>
        </w:rPr>
      </w:pPr>
      <w:r>
        <w:rPr>
          <w:rFonts w:hint="eastAsia" w:ascii="宋体"/>
          <w:szCs w:val="21"/>
          <w:highlight w:val="none"/>
          <w:lang w:eastAsia="zh-CN"/>
        </w:rPr>
        <w:t>11．服务代理银行需免费提供行内或跨行补贴资金代发业务，减免账户管理费、服务费等；按照“一户一卡”的要求，免费、及时为补贴对象新办、补办“一卡通”社保卡、免收年审费、手续费，免费开通手机短信告知业务。同时不得从代发的惠民惠农补贴资金中扣划贷款；</w:t>
      </w:r>
    </w:p>
    <w:p w14:paraId="52293FEB">
      <w:pPr>
        <w:pStyle w:val="39"/>
        <w:rPr>
          <w:rFonts w:hint="eastAsia" w:ascii="宋体"/>
          <w:szCs w:val="21"/>
          <w:highlight w:val="none"/>
          <w:lang w:eastAsia="zh-CN"/>
        </w:rPr>
      </w:pPr>
      <w:r>
        <w:rPr>
          <w:rFonts w:hint="eastAsia" w:ascii="宋体"/>
          <w:szCs w:val="21"/>
          <w:highlight w:val="none"/>
          <w:lang w:eastAsia="zh-CN"/>
        </w:rPr>
        <w:t>12．服务代理银行需按月向财政、行业主管部门提供代理服务问卷调查汇总评分表；</w:t>
      </w:r>
    </w:p>
    <w:p w14:paraId="15B8F96F">
      <w:pPr>
        <w:pStyle w:val="39"/>
        <w:rPr>
          <w:rFonts w:hint="eastAsia" w:ascii="宋体"/>
          <w:szCs w:val="21"/>
          <w:highlight w:val="none"/>
          <w:lang w:eastAsia="zh-CN"/>
        </w:rPr>
      </w:pPr>
      <w:r>
        <w:rPr>
          <w:rFonts w:hint="eastAsia" w:ascii="宋体"/>
          <w:szCs w:val="21"/>
          <w:highlight w:val="none"/>
          <w:lang w:eastAsia="zh-CN"/>
        </w:rPr>
        <w:t>13．服务代理银行需在各大营业厅及网点设置惠民惠农财政补贴资金专用“绿色通道”窗口，方便补贴对象支取，能够保证补贴对象随时取款用款，不得以库款不足、系统不稳定、业务人员外出等任何理由和借口阻碍服务对象提现取款，对行动不便等特殊人群提供上门服务，最大程度满足人民群众需求；</w:t>
      </w:r>
    </w:p>
    <w:p w14:paraId="04D75B69">
      <w:pPr>
        <w:pStyle w:val="39"/>
        <w:rPr>
          <w:rFonts w:hint="eastAsia" w:ascii="宋体"/>
          <w:szCs w:val="21"/>
          <w:highlight w:val="none"/>
          <w:lang w:eastAsia="zh-CN"/>
        </w:rPr>
      </w:pPr>
      <w:r>
        <w:rPr>
          <w:rFonts w:hint="eastAsia" w:ascii="宋体"/>
          <w:szCs w:val="21"/>
          <w:highlight w:val="none"/>
          <w:lang w:eastAsia="zh-CN"/>
        </w:rPr>
        <w:t>14．服务代理银行需积极配合州财政惠民惠农财政补贴“一卡通”管理系统建设要求，在每个基层网点最少配置一台以上查询机，方便补贴对象实时查询补贴数据；</w:t>
      </w:r>
    </w:p>
    <w:p w14:paraId="4996B5E1">
      <w:pPr>
        <w:pStyle w:val="39"/>
        <w:rPr>
          <w:rFonts w:hint="eastAsia" w:ascii="宋体"/>
          <w:szCs w:val="21"/>
          <w:highlight w:val="none"/>
          <w:lang w:eastAsia="zh-CN"/>
        </w:rPr>
      </w:pPr>
      <w:r>
        <w:rPr>
          <w:rFonts w:hint="eastAsia" w:ascii="宋体"/>
          <w:szCs w:val="21"/>
          <w:highlight w:val="none"/>
          <w:lang w:eastAsia="zh-CN"/>
        </w:rPr>
        <w:t>15．服务代理银行需加强对广大人民群众社保卡使用常识和相关金融法规宣传，做到家喻户晓；</w:t>
      </w:r>
    </w:p>
    <w:p w14:paraId="3BFF8037">
      <w:pPr>
        <w:pStyle w:val="39"/>
        <w:rPr>
          <w:rFonts w:hint="eastAsia" w:ascii="宋体"/>
          <w:szCs w:val="21"/>
          <w:highlight w:val="none"/>
          <w:lang w:eastAsia="zh-CN"/>
        </w:rPr>
      </w:pPr>
      <w:r>
        <w:rPr>
          <w:rFonts w:hint="eastAsia" w:ascii="宋体"/>
          <w:szCs w:val="21"/>
          <w:highlight w:val="none"/>
          <w:lang w:eastAsia="zh-CN"/>
        </w:rPr>
        <w:t>16．服务代理银行务必做好代发信息及保密工作，未经批准不得向任何第三方提供补贴对象数据和资料，如有失泄密发生，承担相应的法律责任。</w:t>
      </w:r>
    </w:p>
    <w:p w14:paraId="163A88D1">
      <w:pPr>
        <w:pStyle w:val="39"/>
        <w:rPr>
          <w:rFonts w:hint="eastAsia" w:ascii="宋体"/>
          <w:szCs w:val="21"/>
          <w:highlight w:val="none"/>
          <w:lang w:eastAsia="zh-CN"/>
        </w:rPr>
      </w:pPr>
      <w:r>
        <w:rPr>
          <w:rFonts w:hint="eastAsia" w:ascii="宋体"/>
          <w:szCs w:val="21"/>
          <w:highlight w:val="none"/>
          <w:lang w:eastAsia="zh-CN"/>
        </w:rPr>
        <w:t>17、开展财政资金监督检查工作，并出具检查报告。</w:t>
      </w:r>
    </w:p>
    <w:p w14:paraId="610CF41A">
      <w:pPr>
        <w:pStyle w:val="39"/>
        <w:rPr>
          <w:rFonts w:hint="eastAsia" w:ascii="宋体"/>
          <w:szCs w:val="21"/>
          <w:highlight w:val="none"/>
        </w:rPr>
      </w:pPr>
      <w:r>
        <w:rPr>
          <w:rFonts w:hint="eastAsia" w:ascii="宋体"/>
          <w:szCs w:val="21"/>
          <w:highlight w:val="none"/>
          <w:lang w:eastAsia="zh-CN"/>
        </w:rPr>
        <w:t>四</w:t>
      </w:r>
      <w:r>
        <w:rPr>
          <w:rFonts w:hint="eastAsia" w:ascii="宋体"/>
          <w:szCs w:val="21"/>
          <w:highlight w:val="none"/>
        </w:rPr>
        <w:t>、项目类型：本项目属于其他未列明行业项目。</w:t>
      </w:r>
    </w:p>
    <w:p w14:paraId="2245456B">
      <w:pPr>
        <w:pStyle w:val="39"/>
        <w:rPr>
          <w:rFonts w:hint="eastAsia" w:ascii="宋体"/>
          <w:szCs w:val="21"/>
          <w:highlight w:val="none"/>
        </w:rPr>
      </w:pPr>
      <w:r>
        <w:rPr>
          <w:rFonts w:hint="eastAsia" w:ascii="宋体"/>
          <w:szCs w:val="21"/>
          <w:highlight w:val="none"/>
          <w:lang w:eastAsia="zh-CN"/>
        </w:rPr>
        <w:t>五</w:t>
      </w:r>
      <w:r>
        <w:rPr>
          <w:rFonts w:hint="eastAsia" w:ascii="宋体"/>
          <w:szCs w:val="21"/>
          <w:highlight w:val="none"/>
        </w:rPr>
        <w:t xml:space="preserve"> 、合同签订时间及地点：</w:t>
      </w:r>
    </w:p>
    <w:p w14:paraId="01592505">
      <w:pPr>
        <w:pStyle w:val="39"/>
        <w:rPr>
          <w:rFonts w:hint="eastAsia" w:ascii="宋体"/>
          <w:szCs w:val="21"/>
          <w:highlight w:val="none"/>
        </w:rPr>
      </w:pPr>
      <w:r>
        <w:rPr>
          <w:rFonts w:hint="eastAsia" w:ascii="宋体"/>
          <w:szCs w:val="21"/>
          <w:highlight w:val="none"/>
        </w:rPr>
        <w:t>时间：采购人应当自中标通知书发出之日起30日内，按照招标文件和中标人投标文件的规定，与中标人签订书面合同。所签订的合同不得对招标文件确定的事项和中标人投标文件作实质性修改。</w:t>
      </w:r>
    </w:p>
    <w:p w14:paraId="668FC763">
      <w:pPr>
        <w:pStyle w:val="39"/>
        <w:rPr>
          <w:rFonts w:hint="eastAsia" w:ascii="宋体" w:eastAsia="宋体"/>
          <w:szCs w:val="21"/>
          <w:highlight w:val="none"/>
          <w:lang w:eastAsia="zh-CN"/>
        </w:rPr>
      </w:pPr>
      <w:r>
        <w:rPr>
          <w:rFonts w:hint="eastAsia" w:ascii="宋体"/>
          <w:szCs w:val="21"/>
          <w:highlight w:val="none"/>
        </w:rPr>
        <w:t>地点：</w:t>
      </w:r>
      <w:r>
        <w:rPr>
          <w:rFonts w:hint="eastAsia" w:ascii="宋体"/>
          <w:szCs w:val="21"/>
          <w:highlight w:val="none"/>
          <w:lang w:eastAsia="zh-CN"/>
        </w:rPr>
        <w:t>克州财政局</w:t>
      </w:r>
      <w:r>
        <w:rPr>
          <w:rFonts w:hint="eastAsia" w:ascii="宋体" w:eastAsia="宋体"/>
          <w:szCs w:val="21"/>
          <w:highlight w:val="none"/>
          <w:lang w:eastAsia="zh-CN"/>
        </w:rPr>
        <w:t>乡财科</w:t>
      </w:r>
    </w:p>
    <w:p w14:paraId="57D70306">
      <w:pPr>
        <w:pStyle w:val="39"/>
        <w:rPr>
          <w:rFonts w:hint="eastAsia" w:ascii="宋体" w:eastAsia="宋体"/>
          <w:szCs w:val="21"/>
          <w:highlight w:val="none"/>
          <w:lang w:eastAsia="zh-CN"/>
        </w:rPr>
      </w:pPr>
    </w:p>
    <w:p w14:paraId="0830FF43">
      <w:pPr>
        <w:ind w:firstLine="426" w:firstLineChars="200"/>
      </w:pPr>
    </w:p>
    <w:p w14:paraId="0C7C461C">
      <w:pPr>
        <w:pStyle w:val="39"/>
        <w:rPr>
          <w:rFonts w:ascii="宋体"/>
          <w:color w:val="FF0000"/>
          <w:szCs w:val="21"/>
          <w:highlight w:val="none"/>
        </w:rPr>
      </w:pPr>
    </w:p>
    <w:p w14:paraId="500197D8">
      <w:pPr>
        <w:pStyle w:val="39"/>
        <w:rPr>
          <w:rFonts w:ascii="宋体"/>
          <w:szCs w:val="21"/>
          <w:highlight w:val="none"/>
        </w:rPr>
      </w:pPr>
    </w:p>
    <w:bookmarkEnd w:id="87"/>
    <w:p w14:paraId="58F7A0CE">
      <w:pPr>
        <w:rPr>
          <w:rFonts w:hint="eastAsia" w:ascii="宋体"/>
          <w:b/>
          <w:sz w:val="30"/>
          <w:szCs w:val="30"/>
          <w:highlight w:val="none"/>
        </w:rPr>
      </w:pPr>
      <w:r>
        <w:rPr>
          <w:rFonts w:hint="eastAsia" w:ascii="宋体"/>
          <w:b/>
          <w:sz w:val="30"/>
          <w:szCs w:val="30"/>
          <w:highlight w:val="none"/>
        </w:rPr>
        <w:br w:type="page"/>
      </w:r>
    </w:p>
    <w:p w14:paraId="26D7AA27">
      <w:pPr>
        <w:pStyle w:val="18"/>
        <w:keepNext w:val="0"/>
        <w:keepLines w:val="0"/>
        <w:pageBreakBefore w:val="0"/>
        <w:kinsoku/>
        <w:wordWrap/>
        <w:overflowPunct/>
        <w:topLinePunct w:val="0"/>
        <w:autoSpaceDN/>
        <w:bidi w:val="0"/>
        <w:snapToGrid/>
        <w:spacing w:line="440" w:lineRule="atLeast"/>
        <w:ind w:firstLine="726" w:firstLineChars="200"/>
        <w:jc w:val="center"/>
        <w:rPr>
          <w:rFonts w:hint="eastAsia" w:ascii="仿宋" w:hAnsi="仿宋" w:eastAsia="仿宋" w:cs="仿宋"/>
          <w:b/>
          <w:sz w:val="28"/>
          <w:szCs w:val="28"/>
        </w:rPr>
      </w:pPr>
      <w:r>
        <w:rPr>
          <w:rFonts w:hint="eastAsia" w:ascii="仿宋" w:hAnsi="仿宋" w:eastAsia="仿宋" w:cs="仿宋"/>
          <w:b/>
          <w:bCs/>
          <w:sz w:val="36"/>
          <w:lang w:eastAsia="zh-CN"/>
        </w:rPr>
        <w:t>第五章</w:t>
      </w:r>
      <w:r>
        <w:rPr>
          <w:rFonts w:hint="eastAsia" w:ascii="仿宋" w:hAnsi="仿宋" w:eastAsia="仿宋" w:cs="仿宋"/>
          <w:b/>
          <w:bCs/>
          <w:sz w:val="36"/>
        </w:rPr>
        <w:t xml:space="preserve"> 合同条款及格式（仅供参考）</w:t>
      </w:r>
    </w:p>
    <w:p w14:paraId="7BDFCC67">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rPr>
          <w:rFonts w:hint="eastAsia" w:ascii="仿宋" w:hAnsi="仿宋" w:eastAsia="仿宋" w:cs="仿宋"/>
          <w:b/>
          <w:bCs/>
          <w:sz w:val="32"/>
          <w:szCs w:val="32"/>
          <w:highlight w:val="none"/>
          <w:lang w:eastAsia="zh-CN"/>
        </w:rPr>
      </w:pPr>
      <w:bookmarkStart w:id="88" w:name="_Toc1332"/>
    </w:p>
    <w:p w14:paraId="74575EC0">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rPr>
          <w:rFonts w:hint="eastAsia" w:ascii="仿宋" w:hAnsi="仿宋" w:eastAsia="仿宋" w:cs="仿宋"/>
          <w:b/>
          <w:bCs/>
          <w:szCs w:val="32"/>
          <w:highlight w:val="none"/>
        </w:rPr>
      </w:pPr>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rPr>
        <w:t>、</w:t>
      </w:r>
      <w:bookmarkStart w:id="89" w:name="_Toc23018"/>
      <w:bookmarkStart w:id="90" w:name="_Toc518923128"/>
      <w:r>
        <w:rPr>
          <w:rFonts w:hint="eastAsia" w:ascii="仿宋" w:hAnsi="仿宋" w:eastAsia="仿宋" w:cs="仿宋"/>
          <w:b/>
          <w:bCs/>
          <w:szCs w:val="32"/>
          <w:highlight w:val="none"/>
        </w:rPr>
        <w:t>政府采购合同</w:t>
      </w:r>
      <w:bookmarkEnd w:id="88"/>
      <w:bookmarkEnd w:id="89"/>
      <w:bookmarkEnd w:id="90"/>
    </w:p>
    <w:p w14:paraId="1E7431E8">
      <w:pPr>
        <w:pStyle w:val="5"/>
        <w:spacing w:line="340" w:lineRule="exact"/>
        <w:ind w:left="1087" w:leftChars="257" w:hanging="540"/>
        <w:rPr>
          <w:rFonts w:hint="eastAsia" w:ascii="仿宋" w:hAnsi="仿宋" w:eastAsia="仿宋" w:cs="仿宋"/>
          <w:b/>
          <w:bCs/>
          <w:szCs w:val="24"/>
          <w:highlight w:val="none"/>
        </w:rPr>
      </w:pPr>
    </w:p>
    <w:p w14:paraId="71BC8313">
      <w:pPr>
        <w:spacing w:line="340" w:lineRule="exact"/>
        <w:rPr>
          <w:rFonts w:hint="eastAsia" w:ascii="仿宋" w:hAnsi="仿宋" w:eastAsia="仿宋" w:cs="仿宋"/>
          <w:sz w:val="24"/>
          <w:highlight w:val="none"/>
        </w:rPr>
      </w:pPr>
    </w:p>
    <w:p w14:paraId="174B78C9">
      <w:pPr>
        <w:spacing w:line="340" w:lineRule="exact"/>
        <w:rPr>
          <w:rFonts w:hint="eastAsia" w:ascii="仿宋" w:hAnsi="仿宋" w:eastAsia="仿宋" w:cs="仿宋"/>
          <w:sz w:val="24"/>
          <w:highlight w:val="none"/>
        </w:rPr>
      </w:pPr>
    </w:p>
    <w:p w14:paraId="7461FC7A">
      <w:pPr>
        <w:spacing w:line="34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合同编号：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10AC8997">
      <w:pPr>
        <w:spacing w:line="340" w:lineRule="exact"/>
        <w:jc w:val="center"/>
        <w:rPr>
          <w:rFonts w:hint="eastAsia" w:ascii="仿宋" w:hAnsi="仿宋" w:eastAsia="仿宋" w:cs="仿宋"/>
          <w:b/>
          <w:sz w:val="24"/>
          <w:highlight w:val="none"/>
        </w:rPr>
      </w:pPr>
    </w:p>
    <w:p w14:paraId="7B85D605">
      <w:pPr>
        <w:spacing w:line="340" w:lineRule="exact"/>
        <w:jc w:val="center"/>
        <w:rPr>
          <w:rFonts w:hint="eastAsia" w:ascii="仿宋" w:hAnsi="仿宋" w:eastAsia="仿宋" w:cs="仿宋"/>
          <w:b/>
          <w:sz w:val="24"/>
          <w:highlight w:val="none"/>
        </w:rPr>
      </w:pPr>
    </w:p>
    <w:p w14:paraId="57117794">
      <w:pPr>
        <w:spacing w:line="340" w:lineRule="exact"/>
        <w:jc w:val="center"/>
        <w:rPr>
          <w:rFonts w:hint="eastAsia" w:ascii="仿宋" w:hAnsi="仿宋" w:eastAsia="仿宋" w:cs="仿宋"/>
          <w:b/>
          <w:sz w:val="24"/>
          <w:highlight w:val="none"/>
        </w:rPr>
      </w:pPr>
    </w:p>
    <w:p w14:paraId="75BDCF04">
      <w:pPr>
        <w:spacing w:line="340" w:lineRule="exact"/>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政府采购合同参考范本</w:t>
      </w:r>
      <w:r>
        <w:rPr>
          <w:rFonts w:hint="eastAsia" w:ascii="仿宋" w:hAnsi="仿宋" w:eastAsia="仿宋" w:cs="仿宋"/>
          <w:b/>
          <w:sz w:val="24"/>
          <w:highlight w:val="none"/>
          <w:lang w:eastAsia="zh-CN"/>
        </w:rPr>
        <w:t>（仅供参考）</w:t>
      </w:r>
    </w:p>
    <w:p w14:paraId="74ACA828">
      <w:pPr>
        <w:spacing w:line="340" w:lineRule="exact"/>
        <w:jc w:val="center"/>
        <w:rPr>
          <w:rFonts w:hint="eastAsia" w:ascii="仿宋" w:hAnsi="仿宋" w:eastAsia="仿宋" w:cs="仿宋"/>
          <w:b/>
          <w:sz w:val="24"/>
          <w:highlight w:val="none"/>
        </w:rPr>
      </w:pPr>
    </w:p>
    <w:p w14:paraId="344FA1A4">
      <w:pPr>
        <w:spacing w:line="340" w:lineRule="exact"/>
        <w:jc w:val="center"/>
        <w:rPr>
          <w:rFonts w:hint="eastAsia" w:ascii="仿宋" w:hAnsi="仿宋" w:eastAsia="仿宋" w:cs="仿宋"/>
          <w:b/>
          <w:sz w:val="24"/>
          <w:highlight w:val="none"/>
        </w:rPr>
      </w:pPr>
    </w:p>
    <w:p w14:paraId="6590F060">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（服务类）</w:t>
      </w:r>
    </w:p>
    <w:p w14:paraId="59C97946">
      <w:pPr>
        <w:pStyle w:val="76"/>
        <w:spacing w:line="340" w:lineRule="exact"/>
        <w:ind w:firstLine="0"/>
        <w:rPr>
          <w:rFonts w:hint="eastAsia" w:ascii="仿宋" w:hAnsi="仿宋" w:eastAsia="仿宋" w:cs="仿宋"/>
          <w:szCs w:val="24"/>
          <w:highlight w:val="none"/>
        </w:rPr>
      </w:pPr>
    </w:p>
    <w:p w14:paraId="224795F9">
      <w:pPr>
        <w:pStyle w:val="76"/>
        <w:spacing w:line="340" w:lineRule="exact"/>
        <w:ind w:firstLine="0"/>
        <w:rPr>
          <w:rFonts w:hint="eastAsia" w:ascii="仿宋" w:hAnsi="仿宋" w:eastAsia="仿宋" w:cs="仿宋"/>
          <w:szCs w:val="24"/>
          <w:highlight w:val="none"/>
        </w:rPr>
      </w:pPr>
    </w:p>
    <w:p w14:paraId="0A98C845">
      <w:pPr>
        <w:pStyle w:val="76"/>
        <w:spacing w:line="340" w:lineRule="exact"/>
        <w:ind w:firstLine="0"/>
        <w:rPr>
          <w:rFonts w:hint="eastAsia" w:ascii="仿宋" w:hAnsi="仿宋" w:eastAsia="仿宋" w:cs="仿宋"/>
          <w:szCs w:val="24"/>
          <w:highlight w:val="none"/>
        </w:rPr>
      </w:pPr>
    </w:p>
    <w:p w14:paraId="3375C9F1">
      <w:pPr>
        <w:pStyle w:val="76"/>
        <w:spacing w:line="340" w:lineRule="exact"/>
        <w:ind w:firstLine="0"/>
        <w:jc w:val="center"/>
        <w:rPr>
          <w:rFonts w:hint="eastAsia" w:ascii="仿宋" w:hAnsi="仿宋" w:eastAsia="仿宋" w:cs="仿宋"/>
          <w:b/>
          <w:szCs w:val="24"/>
          <w:highlight w:val="none"/>
        </w:rPr>
      </w:pPr>
    </w:p>
    <w:p w14:paraId="2EE938BF">
      <w:pPr>
        <w:pStyle w:val="76"/>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0E429DE2">
      <w:pPr>
        <w:pStyle w:val="76"/>
        <w:spacing w:line="340" w:lineRule="exact"/>
        <w:ind w:firstLine="0"/>
        <w:rPr>
          <w:rFonts w:hint="eastAsia" w:ascii="仿宋" w:hAnsi="仿宋" w:eastAsia="仿宋" w:cs="仿宋"/>
          <w:szCs w:val="24"/>
          <w:highlight w:val="none"/>
        </w:rPr>
      </w:pPr>
    </w:p>
    <w:p w14:paraId="349BBD72">
      <w:pPr>
        <w:pStyle w:val="76"/>
        <w:spacing w:line="340" w:lineRule="exact"/>
        <w:ind w:firstLine="0"/>
        <w:rPr>
          <w:rFonts w:hint="eastAsia" w:ascii="仿宋" w:hAnsi="仿宋" w:eastAsia="仿宋" w:cs="仿宋"/>
          <w:szCs w:val="24"/>
          <w:highlight w:val="none"/>
        </w:rPr>
      </w:pPr>
    </w:p>
    <w:p w14:paraId="7F0DDC99">
      <w:pPr>
        <w:spacing w:before="120" w:line="340" w:lineRule="exact"/>
        <w:rPr>
          <w:rFonts w:hint="eastAsia" w:ascii="仿宋" w:hAnsi="仿宋" w:eastAsia="仿宋" w:cs="仿宋"/>
          <w:sz w:val="24"/>
          <w:highlight w:val="none"/>
        </w:rPr>
      </w:pPr>
    </w:p>
    <w:p w14:paraId="29A10C3F">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p>
    <w:p w14:paraId="16201C2B">
      <w:pPr>
        <w:pStyle w:val="23"/>
        <w:rPr>
          <w:rFonts w:hint="eastAsia"/>
        </w:rPr>
      </w:pPr>
    </w:p>
    <w:p w14:paraId="38EE406D">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lang w:val="en-US" w:eastAsia="zh-CN"/>
        </w:rPr>
        <w:tab/>
      </w:r>
      <w:r>
        <w:rPr>
          <w:rFonts w:hint="eastAsia" w:ascii="仿宋" w:hAnsi="仿宋" w:eastAsia="仿宋" w:cs="仿宋"/>
          <w:sz w:val="24"/>
          <w:highlight w:val="none"/>
          <w:u w:val="single"/>
        </w:rPr>
        <w:t xml:space="preserve">                                       </w:t>
      </w:r>
    </w:p>
    <w:p w14:paraId="08DC9B63">
      <w:pPr>
        <w:spacing w:before="120" w:line="340" w:lineRule="exact"/>
        <w:rPr>
          <w:rFonts w:hint="eastAsia" w:ascii="仿宋" w:hAnsi="仿宋" w:eastAsia="仿宋" w:cs="仿宋"/>
          <w:sz w:val="24"/>
          <w:highlight w:val="none"/>
        </w:rPr>
      </w:pPr>
    </w:p>
    <w:p w14:paraId="52BB99ED">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rPr>
        <w:t xml:space="preserve">                        </w:t>
      </w:r>
    </w:p>
    <w:p w14:paraId="0858E9CF">
      <w:pPr>
        <w:spacing w:before="120" w:line="340" w:lineRule="exact"/>
        <w:rPr>
          <w:rFonts w:hint="eastAsia" w:ascii="仿宋" w:hAnsi="仿宋" w:eastAsia="仿宋" w:cs="仿宋"/>
          <w:sz w:val="24"/>
          <w:highlight w:val="none"/>
        </w:rPr>
      </w:pPr>
    </w:p>
    <w:p w14:paraId="4884D5EC">
      <w:pPr>
        <w:spacing w:before="120" w:line="340" w:lineRule="exact"/>
        <w:ind w:firstLine="972" w:firstLineChars="400"/>
        <w:rPr>
          <w:rFonts w:hint="default" w:ascii="仿宋" w:hAnsi="仿宋" w:eastAsia="仿宋" w:cs="仿宋"/>
          <w:sz w:val="24"/>
          <w:highlight w:val="none"/>
          <w:u w:val="single"/>
          <w:lang w:val="en-US"/>
        </w:rPr>
      </w:pPr>
      <w:r>
        <w:rPr>
          <w:rFonts w:hint="eastAsia" w:ascii="仿宋" w:hAnsi="仿宋" w:eastAsia="仿宋" w:cs="仿宋"/>
          <w:sz w:val="24"/>
          <w:highlight w:val="none"/>
        </w:rPr>
        <w:t>签订地：</w:t>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r>
        <w:rPr>
          <w:rFonts w:hint="eastAsia" w:ascii="仿宋" w:hAnsi="仿宋" w:eastAsia="仿宋" w:cs="仿宋"/>
          <w:sz w:val="24"/>
          <w:highlight w:val="none"/>
          <w:u w:val="single"/>
          <w:lang w:val="en-US" w:eastAsia="zh-CN"/>
        </w:rPr>
        <w:tab/>
      </w:r>
    </w:p>
    <w:p w14:paraId="6F903B8C">
      <w:pPr>
        <w:spacing w:before="120" w:line="340" w:lineRule="exact"/>
        <w:ind w:left="420" w:leftChars="0" w:firstLine="420" w:firstLineChars="0"/>
        <w:rPr>
          <w:rFonts w:hint="eastAsia" w:ascii="仿宋" w:hAnsi="仿宋" w:eastAsia="仿宋" w:cs="仿宋"/>
          <w:sz w:val="24"/>
          <w:highlight w:val="none"/>
        </w:rPr>
      </w:pPr>
    </w:p>
    <w:p w14:paraId="47C04176">
      <w:pPr>
        <w:spacing w:before="120" w:line="340" w:lineRule="exact"/>
        <w:ind w:firstLine="972" w:firstLineChars="400"/>
        <w:rPr>
          <w:rFonts w:hint="eastAsia" w:ascii="仿宋" w:hAnsi="仿宋" w:eastAsia="仿宋" w:cs="仿宋"/>
          <w:sz w:val="32"/>
          <w:szCs w:val="32"/>
          <w:highlight w:val="non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1539003">
      <w:pPr>
        <w:pStyle w:val="2"/>
        <w:spacing w:before="0" w:after="0" w:line="240" w:lineRule="auto"/>
        <w:rPr>
          <w:rFonts w:hint="eastAsia"/>
        </w:rPr>
      </w:pPr>
    </w:p>
    <w:p w14:paraId="0692D0E8">
      <w:pPr>
        <w:spacing w:line="360" w:lineRule="auto"/>
        <w:ind w:firstLine="486" w:firstLineChars="200"/>
        <w:rPr>
          <w:rFonts w:hint="eastAsia" w:ascii="仿宋" w:hAnsi="仿宋" w:eastAsia="仿宋" w:cs="仿宋"/>
          <w:sz w:val="24"/>
          <w:highlight w:val="none"/>
          <w:u w:val="single"/>
          <w:lang w:val="zh-CN"/>
        </w:rPr>
      </w:pPr>
    </w:p>
    <w:p w14:paraId="36F7F6AF">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为该项目中标供应商。现于中标通知书发出之日起三十日内，按照采购文件确定的事项签订本合同。</w:t>
      </w:r>
    </w:p>
    <w:p w14:paraId="50C498D6">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47875A99">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sz w:val="24"/>
          <w:highlight w:val="none"/>
        </w:rPr>
      </w:pPr>
      <w:bookmarkStart w:id="91" w:name="_Toc20421"/>
      <w:bookmarkStart w:id="92" w:name="_Toc19273"/>
      <w:bookmarkStart w:id="93" w:name="_Toc15367"/>
      <w:bookmarkStart w:id="94" w:name="_Toc27046"/>
      <w:bookmarkStart w:id="95" w:name="_Toc30842"/>
      <w:bookmarkStart w:id="96" w:name="_Toc28855"/>
      <w:r>
        <w:rPr>
          <w:rFonts w:hint="eastAsia" w:ascii="仿宋" w:hAnsi="仿宋" w:eastAsia="仿宋" w:cs="仿宋"/>
          <w:b/>
          <w:sz w:val="24"/>
          <w:highlight w:val="none"/>
        </w:rPr>
        <w:t>1.1 合同组成部分</w:t>
      </w:r>
      <w:bookmarkEnd w:id="91"/>
      <w:bookmarkEnd w:id="92"/>
      <w:bookmarkEnd w:id="93"/>
      <w:bookmarkEnd w:id="94"/>
      <w:bookmarkEnd w:id="95"/>
      <w:bookmarkEnd w:id="96"/>
    </w:p>
    <w:p w14:paraId="4CAB5558">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3E7346">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06B8D524">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14:paraId="1CB2D10D">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14:paraId="40CFF5BF">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14:paraId="2B9B9EAE">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236F7FAA">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97" w:name="_Toc22185"/>
      <w:bookmarkStart w:id="98" w:name="_Toc6509"/>
      <w:bookmarkStart w:id="99" w:name="_Toc2918"/>
      <w:bookmarkStart w:id="100" w:name="_Toc18585"/>
      <w:bookmarkStart w:id="101" w:name="_Toc6311"/>
      <w:bookmarkStart w:id="102" w:name="_Toc26950"/>
      <w:bookmarkStart w:id="103" w:name="_Toc6773"/>
      <w:r>
        <w:rPr>
          <w:rFonts w:hint="eastAsia" w:ascii="仿宋" w:hAnsi="仿宋" w:eastAsia="仿宋" w:cs="仿宋"/>
          <w:b/>
          <w:sz w:val="24"/>
          <w:highlight w:val="none"/>
        </w:rPr>
        <w:t>1.2 标的</w:t>
      </w:r>
      <w:bookmarkEnd w:id="97"/>
      <w:bookmarkEnd w:id="98"/>
      <w:bookmarkEnd w:id="99"/>
      <w:bookmarkEnd w:id="100"/>
      <w:bookmarkEnd w:id="101"/>
      <w:bookmarkEnd w:id="102"/>
      <w:bookmarkEnd w:id="103"/>
    </w:p>
    <w:p w14:paraId="17A55A18">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D63EA6F">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60F62EB">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6E132B8">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104" w:name="_Toc19183"/>
      <w:bookmarkStart w:id="105" w:name="_Toc21124"/>
      <w:bookmarkStart w:id="106" w:name="_Toc13918"/>
      <w:bookmarkStart w:id="107" w:name="_Toc4929"/>
      <w:bookmarkStart w:id="108" w:name="_Toc50"/>
      <w:bookmarkStart w:id="109" w:name="_Toc1386"/>
      <w:bookmarkStart w:id="110" w:name="_Toc5635"/>
      <w:r>
        <w:rPr>
          <w:rFonts w:hint="eastAsia" w:ascii="仿宋" w:hAnsi="仿宋" w:eastAsia="仿宋" w:cs="仿宋"/>
          <w:b/>
          <w:sz w:val="24"/>
          <w:highlight w:val="none"/>
        </w:rPr>
        <w:t>1.3 价款</w:t>
      </w:r>
      <w:bookmarkEnd w:id="104"/>
      <w:bookmarkEnd w:id="105"/>
      <w:bookmarkEnd w:id="106"/>
      <w:bookmarkEnd w:id="107"/>
      <w:bookmarkEnd w:id="108"/>
      <w:bookmarkEnd w:id="109"/>
      <w:bookmarkEnd w:id="110"/>
    </w:p>
    <w:p w14:paraId="33774786">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31C7365F">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D6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B4C742">
            <w:pPr>
              <w:pStyle w:val="77"/>
              <w:pageBreakBefore w:val="0"/>
              <w:widowControl w:val="0"/>
              <w:kinsoku/>
              <w:wordWrap/>
              <w:overflowPunct/>
              <w:topLinePunct w:val="0"/>
              <w:bidi w:val="0"/>
              <w:snapToGrid/>
              <w:spacing w:line="40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76DF836F">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4EB4FA75">
            <w:pPr>
              <w:pStyle w:val="77"/>
              <w:pageBreakBefore w:val="0"/>
              <w:widowControl w:val="0"/>
              <w:kinsoku/>
              <w:wordWrap/>
              <w:overflowPunct/>
              <w:topLinePunct w:val="0"/>
              <w:bidi w:val="0"/>
              <w:snapToGrid/>
              <w:spacing w:line="40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170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C5F58D">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1EDB5EAE">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2D38A2C4">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r>
      <w:tr w14:paraId="38A8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04EC635">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7B47D81E">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7CB45EDF">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r>
      <w:tr w14:paraId="7AD9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FE6E3C">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6BF37F8B">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477BDE8E">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r>
      <w:tr w14:paraId="20CB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06ADB14">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1E0EE640">
            <w:pPr>
              <w:pStyle w:val="77"/>
              <w:pageBreakBefore w:val="0"/>
              <w:widowControl w:val="0"/>
              <w:kinsoku/>
              <w:wordWrap/>
              <w:overflowPunct/>
              <w:topLinePunct w:val="0"/>
              <w:bidi w:val="0"/>
              <w:snapToGrid/>
              <w:spacing w:line="400" w:lineRule="exact"/>
              <w:ind w:firstLine="200"/>
              <w:jc w:val="center"/>
              <w:rPr>
                <w:rFonts w:hint="eastAsia" w:ascii="仿宋" w:hAnsi="仿宋" w:eastAsia="仿宋" w:cs="仿宋"/>
                <w:kern w:val="2"/>
                <w:sz w:val="24"/>
                <w:szCs w:val="24"/>
                <w:highlight w:val="none"/>
                <w:lang w:val="en-US" w:eastAsia="zh-CN"/>
              </w:rPr>
            </w:pPr>
          </w:p>
        </w:tc>
      </w:tr>
    </w:tbl>
    <w:p w14:paraId="554F28A4">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111" w:name="_Toc30158"/>
      <w:bookmarkStart w:id="112" w:name="_Toc30506"/>
      <w:bookmarkStart w:id="113" w:name="_Toc3654"/>
      <w:bookmarkStart w:id="114" w:name="_Toc14993"/>
      <w:bookmarkStart w:id="115" w:name="_Toc26916"/>
      <w:bookmarkStart w:id="116" w:name="_Toc311"/>
      <w:bookmarkStart w:id="117" w:name="_Toc1291"/>
      <w:r>
        <w:rPr>
          <w:rFonts w:hint="eastAsia" w:ascii="仿宋" w:hAnsi="仿宋" w:eastAsia="仿宋" w:cs="仿宋"/>
          <w:b/>
          <w:sz w:val="24"/>
          <w:highlight w:val="none"/>
        </w:rPr>
        <w:t>1.4 付款方式和发票开具方式</w:t>
      </w:r>
      <w:bookmarkEnd w:id="111"/>
      <w:bookmarkEnd w:id="112"/>
      <w:bookmarkEnd w:id="113"/>
      <w:bookmarkEnd w:id="114"/>
      <w:bookmarkEnd w:id="115"/>
      <w:bookmarkEnd w:id="116"/>
      <w:bookmarkEnd w:id="117"/>
    </w:p>
    <w:p w14:paraId="23029DA2">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42FEF37">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EAAC025">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118" w:name="_Toc8772"/>
      <w:bookmarkStart w:id="119" w:name="_Toc4760"/>
      <w:bookmarkStart w:id="120" w:name="_Toc30563"/>
      <w:bookmarkStart w:id="121" w:name="_Toc31421"/>
      <w:bookmarkStart w:id="122" w:name="_Toc11108"/>
      <w:bookmarkStart w:id="123" w:name="_Toc26524"/>
      <w:bookmarkStart w:id="124" w:name="_Toc3625"/>
      <w:r>
        <w:rPr>
          <w:rFonts w:hint="eastAsia" w:ascii="仿宋" w:hAnsi="仿宋" w:eastAsia="仿宋" w:cs="仿宋"/>
          <w:b/>
          <w:sz w:val="24"/>
          <w:highlight w:val="none"/>
        </w:rPr>
        <w:t>1.5 履行期限、地点和方式</w:t>
      </w:r>
      <w:bookmarkEnd w:id="118"/>
      <w:bookmarkEnd w:id="119"/>
      <w:bookmarkEnd w:id="120"/>
      <w:bookmarkEnd w:id="121"/>
      <w:bookmarkEnd w:id="122"/>
      <w:bookmarkEnd w:id="123"/>
      <w:bookmarkEnd w:id="124"/>
    </w:p>
    <w:p w14:paraId="280306EA">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39736A5">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76B2386">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5926BF2">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sz w:val="24"/>
          <w:highlight w:val="none"/>
          <w:u w:val="single"/>
        </w:rPr>
      </w:pPr>
      <w:bookmarkStart w:id="125" w:name="_Toc5698"/>
      <w:bookmarkStart w:id="126" w:name="_Toc24662"/>
      <w:bookmarkStart w:id="127" w:name="_Toc7103"/>
      <w:bookmarkStart w:id="128" w:name="_Toc3079"/>
      <w:bookmarkStart w:id="129" w:name="_Toc8586"/>
      <w:bookmarkStart w:id="130" w:name="_Toc17542"/>
      <w:bookmarkStart w:id="131" w:name="_Toc2375"/>
      <w:r>
        <w:rPr>
          <w:rFonts w:hint="eastAsia" w:ascii="仿宋" w:hAnsi="仿宋" w:eastAsia="仿宋" w:cs="仿宋"/>
          <w:b/>
          <w:sz w:val="24"/>
          <w:highlight w:val="none"/>
        </w:rPr>
        <w:t>1.6 违约责任</w:t>
      </w:r>
      <w:bookmarkEnd w:id="125"/>
      <w:bookmarkEnd w:id="126"/>
      <w:bookmarkEnd w:id="127"/>
      <w:bookmarkEnd w:id="128"/>
      <w:bookmarkEnd w:id="129"/>
      <w:bookmarkEnd w:id="130"/>
      <w:bookmarkEnd w:id="131"/>
    </w:p>
    <w:p w14:paraId="580B32FE">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w:t>
      </w:r>
    </w:p>
    <w:p w14:paraId="0262AC76">
      <w:pPr>
        <w:pageBreakBefore w:val="0"/>
        <w:widowControl w:val="0"/>
        <w:kinsoku/>
        <w:wordWrap/>
        <w:overflowPunct/>
        <w:topLinePunct w:val="0"/>
        <w:bidi w:val="0"/>
        <w:snapToGrid/>
        <w:spacing w:line="400" w:lineRule="exact"/>
        <w:rPr>
          <w:rFonts w:hint="eastAsia" w:ascii="仿宋" w:hAnsi="仿宋" w:eastAsia="仿宋" w:cs="仿宋"/>
          <w:sz w:val="24"/>
          <w:highlight w:val="none"/>
        </w:rPr>
      </w:pPr>
      <w:r>
        <w:rPr>
          <w:rFonts w:hint="eastAsia" w:ascii="仿宋" w:hAnsi="仿宋" w:eastAsia="仿宋" w:cs="仿宋"/>
          <w:sz w:val="24"/>
          <w:highlight w:val="none"/>
        </w:rPr>
        <w:t>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B13B24E">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06C53F8D">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9620F0">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3D387C">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D75750">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E4F865B">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132" w:name="_Toc7687"/>
      <w:bookmarkStart w:id="133" w:name="_Toc32454"/>
      <w:bookmarkStart w:id="134" w:name="_Toc7763"/>
      <w:bookmarkStart w:id="135" w:name="_Toc26807"/>
      <w:bookmarkStart w:id="136" w:name="_Toc30329"/>
      <w:bookmarkStart w:id="137" w:name="_Toc9497"/>
      <w:bookmarkStart w:id="138" w:name="_Toc18683"/>
      <w:r>
        <w:rPr>
          <w:rFonts w:hint="eastAsia" w:ascii="仿宋" w:hAnsi="仿宋" w:eastAsia="仿宋" w:cs="仿宋"/>
          <w:b/>
          <w:sz w:val="24"/>
          <w:highlight w:val="none"/>
        </w:rPr>
        <w:t>1.7 合同争议的解决</w:t>
      </w:r>
      <w:bookmarkEnd w:id="132"/>
      <w:bookmarkEnd w:id="133"/>
      <w:bookmarkEnd w:id="134"/>
      <w:bookmarkEnd w:id="135"/>
      <w:bookmarkEnd w:id="136"/>
      <w:bookmarkEnd w:id="137"/>
      <w:bookmarkEnd w:id="138"/>
    </w:p>
    <w:p w14:paraId="3474105A">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16D37FC2">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14:paraId="41BDFE74">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14:paraId="7A8DC85E">
      <w:pPr>
        <w:pageBreakBefore w:val="0"/>
        <w:widowControl w:val="0"/>
        <w:kinsoku/>
        <w:wordWrap/>
        <w:overflowPunct/>
        <w:topLinePunct w:val="0"/>
        <w:bidi w:val="0"/>
        <w:snapToGrid/>
        <w:spacing w:line="400" w:lineRule="exact"/>
        <w:ind w:firstLine="486" w:firstLineChars="200"/>
        <w:outlineLvl w:val="0"/>
        <w:rPr>
          <w:rFonts w:hint="eastAsia" w:ascii="仿宋" w:hAnsi="仿宋" w:eastAsia="仿宋" w:cs="仿宋"/>
          <w:b/>
          <w:sz w:val="24"/>
          <w:highlight w:val="none"/>
        </w:rPr>
      </w:pPr>
      <w:bookmarkStart w:id="139" w:name="_Toc23784"/>
      <w:bookmarkStart w:id="140" w:name="_Toc1653"/>
      <w:bookmarkStart w:id="141" w:name="_Toc26227"/>
      <w:bookmarkStart w:id="142" w:name="_Toc16417"/>
      <w:bookmarkStart w:id="143" w:name="_Toc31437"/>
      <w:bookmarkStart w:id="144" w:name="_Toc12273"/>
      <w:bookmarkStart w:id="145" w:name="_Toc15827"/>
      <w:r>
        <w:rPr>
          <w:rFonts w:hint="eastAsia" w:ascii="仿宋" w:hAnsi="仿宋" w:eastAsia="仿宋" w:cs="仿宋"/>
          <w:b/>
          <w:sz w:val="24"/>
          <w:highlight w:val="none"/>
        </w:rPr>
        <w:t>1.8 合同生效</w:t>
      </w:r>
      <w:bookmarkEnd w:id="139"/>
      <w:bookmarkEnd w:id="140"/>
      <w:bookmarkEnd w:id="141"/>
      <w:bookmarkEnd w:id="142"/>
      <w:bookmarkEnd w:id="143"/>
      <w:bookmarkEnd w:id="144"/>
      <w:bookmarkEnd w:id="145"/>
    </w:p>
    <w:p w14:paraId="6C8411EB">
      <w:pPr>
        <w:pageBreakBefore w:val="0"/>
        <w:widowControl w:val="0"/>
        <w:kinsoku/>
        <w:wordWrap/>
        <w:overflowPunct/>
        <w:topLinePunct w:val="0"/>
        <w:bidi w:val="0"/>
        <w:snapToGrid/>
        <w:spacing w:line="400" w:lineRule="exact"/>
        <w:ind w:firstLine="486" w:firstLineChars="200"/>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本合同自双方当事人盖章或者签字时生效。</w:t>
      </w:r>
    </w:p>
    <w:p w14:paraId="6D891CB1">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2EC0A03F">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131D62F8">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622193C1">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510CE3D8">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7294C383">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12858FA3">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68E228BF">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45386CFF">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22EFDD45">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5D50AF3D">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1FB47F77">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34E7DD30">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27297F43">
      <w:pPr>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开户账号：</w:t>
      </w:r>
      <w:r>
        <w:rPr>
          <w:rFonts w:hint="eastAsia" w:ascii="仿宋" w:hAnsi="仿宋" w:eastAsia="仿宋" w:cs="仿宋"/>
          <w:b w:val="0"/>
          <w:bCs w:val="0"/>
          <w:color w:val="auto"/>
          <w:kern w:val="2"/>
          <w:sz w:val="24"/>
          <w:szCs w:val="24"/>
          <w:highlight w:val="none"/>
          <w:lang w:val="zh-CN" w:eastAsia="zh-CN" w:bidi="ar-SA"/>
        </w:rPr>
        <w:t xml:space="preserve">                               </w:t>
      </w:r>
      <w:r>
        <w:rPr>
          <w:rFonts w:hint="eastAsia" w:ascii="仿宋" w:hAnsi="仿宋" w:eastAsia="仿宋" w:cs="仿宋"/>
          <w:b w:val="0"/>
          <w:bCs w:val="0"/>
          <w:color w:val="auto"/>
          <w:kern w:val="2"/>
          <w:sz w:val="24"/>
          <w:szCs w:val="24"/>
          <w:highlight w:val="none"/>
          <w:lang w:val="en-US" w:eastAsia="zh-CN" w:bidi="ar-SA"/>
        </w:rPr>
        <w:t>开户账号：</w:t>
      </w:r>
    </w:p>
    <w:p w14:paraId="3EA0A521">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50A62A97">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3A861E19">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2D6D9439">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0A2F210B">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3A7B6149">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024CC072">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17942F24">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0770DAC0">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6214424F">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28DAC5C2">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p>
    <w:p w14:paraId="7A675DF7">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r>
        <w:rPr>
          <w:rFonts w:hint="eastAsia" w:ascii="宋体" w:hAnsi="宋体" w:eastAsia="宋体" w:cs="宋体"/>
          <w:b/>
          <w:bCs/>
          <w:color w:val="auto"/>
          <w:sz w:val="28"/>
          <w:szCs w:val="28"/>
          <w:bdr w:val="single" w:color="auto" w:sz="4" w:space="0"/>
        </w:rPr>
        <w:t>正/副 本</w:t>
      </w:r>
    </w:p>
    <w:p w14:paraId="2C8E2EDA">
      <w:pPr>
        <w:adjustRightInd w:val="0"/>
        <w:snapToGrid w:val="0"/>
        <w:spacing w:line="360" w:lineRule="auto"/>
        <w:jc w:val="center"/>
        <w:rPr>
          <w:rFonts w:hint="eastAsia" w:ascii="宋体" w:hAnsi="宋体" w:eastAsia="宋体" w:cs="宋体"/>
          <w:b/>
          <w:caps/>
          <w:color w:val="auto"/>
          <w:sz w:val="24"/>
          <w:szCs w:val="24"/>
        </w:rPr>
      </w:pPr>
    </w:p>
    <w:p w14:paraId="702F18CA">
      <w:pPr>
        <w:adjustRightInd w:val="0"/>
        <w:snapToGrid w:val="0"/>
        <w:spacing w:line="360" w:lineRule="auto"/>
        <w:jc w:val="center"/>
        <w:outlineLvl w:val="1"/>
        <w:rPr>
          <w:rFonts w:hint="eastAsia" w:ascii="宋体" w:hAnsi="宋体" w:eastAsia="宋体" w:cs="宋体"/>
          <w:bCs/>
          <w:color w:val="auto"/>
          <w:sz w:val="32"/>
          <w:szCs w:val="32"/>
        </w:rPr>
      </w:pPr>
      <w:bookmarkStart w:id="146" w:name="_Toc4286"/>
      <w:r>
        <w:rPr>
          <w:rFonts w:hint="eastAsia" w:ascii="宋体" w:hAnsi="宋体" w:eastAsia="宋体" w:cs="宋体"/>
          <w:b/>
          <w:caps/>
          <w:color w:val="auto"/>
          <w:sz w:val="32"/>
          <w:szCs w:val="32"/>
        </w:rPr>
        <w:t>（项目名称）</w:t>
      </w:r>
      <w:bookmarkEnd w:id="146"/>
    </w:p>
    <w:p w14:paraId="4AAA28F1">
      <w:pPr>
        <w:adjustRightInd w:val="0"/>
        <w:snapToGrid w:val="0"/>
        <w:spacing w:line="360" w:lineRule="auto"/>
        <w:jc w:val="both"/>
        <w:rPr>
          <w:rFonts w:hint="eastAsia" w:ascii="宋体" w:hAnsi="宋体" w:eastAsia="宋体" w:cs="宋体"/>
          <w:bCs/>
          <w:color w:val="auto"/>
          <w:sz w:val="32"/>
          <w:szCs w:val="32"/>
        </w:rPr>
      </w:pPr>
    </w:p>
    <w:p w14:paraId="56C701FC">
      <w:pPr>
        <w:adjustRightInd w:val="0"/>
        <w:snapToGrid w:val="0"/>
        <w:spacing w:line="360" w:lineRule="auto"/>
        <w:jc w:val="center"/>
        <w:rPr>
          <w:rFonts w:hint="eastAsia" w:ascii="宋体" w:hAnsi="宋体" w:eastAsia="宋体" w:cs="宋体"/>
          <w:bCs/>
          <w:color w:val="auto"/>
          <w:sz w:val="32"/>
          <w:szCs w:val="32"/>
        </w:rPr>
      </w:pPr>
    </w:p>
    <w:p w14:paraId="3EA456CB">
      <w:pPr>
        <w:adjustRightInd w:val="0"/>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
          <w:bCs/>
          <w:color w:val="auto"/>
          <w:sz w:val="44"/>
          <w:szCs w:val="44"/>
        </w:rPr>
        <w:t>响应文件</w:t>
      </w:r>
    </w:p>
    <w:p w14:paraId="1603D45B">
      <w:pPr>
        <w:adjustRightInd w:val="0"/>
        <w:snapToGrid w:val="0"/>
        <w:spacing w:line="360" w:lineRule="auto"/>
        <w:jc w:val="center"/>
        <w:rPr>
          <w:rFonts w:hint="eastAsia" w:ascii="宋体" w:hAnsi="宋体" w:eastAsia="宋体" w:cs="宋体"/>
          <w:bCs/>
          <w:color w:val="auto"/>
          <w:sz w:val="32"/>
          <w:szCs w:val="32"/>
        </w:rPr>
      </w:pPr>
    </w:p>
    <w:p w14:paraId="37235474">
      <w:pPr>
        <w:adjustRightInd w:val="0"/>
        <w:snapToGrid w:val="0"/>
        <w:spacing w:line="360" w:lineRule="auto"/>
        <w:jc w:val="both"/>
        <w:rPr>
          <w:rFonts w:hint="eastAsia" w:ascii="宋体" w:hAnsi="宋体" w:eastAsia="宋体" w:cs="宋体"/>
          <w:bCs/>
          <w:color w:val="auto"/>
          <w:sz w:val="32"/>
          <w:szCs w:val="32"/>
        </w:rPr>
      </w:pPr>
    </w:p>
    <w:p w14:paraId="234FEBDB">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kern w:val="0"/>
          <w:sz w:val="28"/>
          <w:szCs w:val="28"/>
          <w:fitText w:val="2810" w:id="267797527"/>
        </w:rPr>
        <w:t>供应商名称（公章）：</w:t>
      </w:r>
    </w:p>
    <w:p w14:paraId="0D2D21C7">
      <w:pPr>
        <w:adjustRightInd w:val="0"/>
        <w:snapToGrid w:val="0"/>
        <w:spacing w:line="360" w:lineRule="auto"/>
        <w:ind w:right="-136" w:rightChars="-64"/>
        <w:rPr>
          <w:rFonts w:hint="eastAsia" w:ascii="宋体" w:hAnsi="宋体" w:eastAsia="宋体" w:cs="宋体"/>
          <w:b/>
          <w:caps/>
          <w:color w:val="auto"/>
          <w:sz w:val="28"/>
          <w:szCs w:val="28"/>
        </w:rPr>
      </w:pPr>
    </w:p>
    <w:p w14:paraId="5958FAED">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w w:val="77"/>
          <w:kern w:val="0"/>
          <w:sz w:val="28"/>
          <w:szCs w:val="28"/>
          <w:fitText w:val="2810" w:id="816806805"/>
        </w:rPr>
        <w:t>法定代表人（</w:t>
      </w:r>
      <w:r>
        <w:rPr>
          <w:rFonts w:hint="eastAsia" w:ascii="宋体" w:hAnsi="宋体" w:eastAsia="宋体" w:cs="宋体"/>
          <w:b/>
          <w:caps/>
          <w:color w:val="auto"/>
          <w:spacing w:val="0"/>
          <w:w w:val="77"/>
          <w:kern w:val="0"/>
          <w:sz w:val="28"/>
          <w:szCs w:val="28"/>
          <w:fitText w:val="2810" w:id="816806805"/>
          <w:lang w:eastAsia="zh-CN"/>
        </w:rPr>
        <w:t>签章</w:t>
      </w:r>
      <w:r>
        <w:rPr>
          <w:rFonts w:hint="eastAsia" w:ascii="宋体" w:hAnsi="宋体" w:eastAsia="宋体" w:cs="宋体"/>
          <w:b/>
          <w:caps/>
          <w:color w:val="auto"/>
          <w:spacing w:val="0"/>
          <w:w w:val="77"/>
          <w:kern w:val="0"/>
          <w:sz w:val="28"/>
          <w:szCs w:val="28"/>
          <w:fitText w:val="2810" w:id="816806805"/>
        </w:rPr>
        <w:t>或盖章）</w:t>
      </w:r>
      <w:r>
        <w:rPr>
          <w:rFonts w:hint="eastAsia" w:ascii="宋体" w:hAnsi="宋体" w:eastAsia="宋体" w:cs="宋体"/>
          <w:b/>
          <w:caps/>
          <w:color w:val="auto"/>
          <w:spacing w:val="-1"/>
          <w:w w:val="77"/>
          <w:kern w:val="0"/>
          <w:sz w:val="28"/>
          <w:szCs w:val="28"/>
          <w:fitText w:val="2810" w:id="816806805"/>
        </w:rPr>
        <w:t>：</w:t>
      </w:r>
    </w:p>
    <w:p w14:paraId="403C87A9">
      <w:pPr>
        <w:adjustRightInd w:val="0"/>
        <w:snapToGrid w:val="0"/>
        <w:spacing w:line="360" w:lineRule="auto"/>
        <w:ind w:right="-136" w:rightChars="-64"/>
        <w:rPr>
          <w:rFonts w:hint="eastAsia" w:ascii="宋体" w:hAnsi="宋体" w:eastAsia="宋体" w:cs="宋体"/>
          <w:b/>
          <w:caps/>
          <w:color w:val="auto"/>
          <w:sz w:val="28"/>
          <w:szCs w:val="28"/>
        </w:rPr>
      </w:pPr>
    </w:p>
    <w:p w14:paraId="49B05D22">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13"/>
          <w:kern w:val="0"/>
          <w:sz w:val="28"/>
          <w:szCs w:val="28"/>
          <w:fitText w:val="2810" w:id="1061107822"/>
        </w:rPr>
        <w:t>供应商地址</w:t>
      </w:r>
      <w:r>
        <w:rPr>
          <w:rFonts w:hint="eastAsia" w:ascii="宋体" w:hAnsi="宋体" w:eastAsia="宋体" w:cs="宋体"/>
          <w:b/>
          <w:caps/>
          <w:color w:val="auto"/>
          <w:spacing w:val="0"/>
          <w:kern w:val="0"/>
          <w:sz w:val="28"/>
          <w:szCs w:val="28"/>
          <w:fitText w:val="2810" w:id="1061107822"/>
        </w:rPr>
        <w:t>：</w:t>
      </w:r>
    </w:p>
    <w:p w14:paraId="0A7D7575">
      <w:pPr>
        <w:adjustRightInd w:val="0"/>
        <w:snapToGrid w:val="0"/>
        <w:spacing w:line="360" w:lineRule="auto"/>
        <w:ind w:right="-136" w:rightChars="-64"/>
        <w:rPr>
          <w:rFonts w:hint="eastAsia" w:ascii="宋体" w:hAnsi="宋体" w:eastAsia="宋体" w:cs="宋体"/>
          <w:b/>
          <w:caps/>
          <w:color w:val="auto"/>
          <w:sz w:val="28"/>
          <w:szCs w:val="28"/>
        </w:rPr>
      </w:pPr>
    </w:p>
    <w:p w14:paraId="138156B7">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281"/>
          <w:kern w:val="0"/>
          <w:sz w:val="28"/>
          <w:szCs w:val="28"/>
          <w:fitText w:val="2810" w:id="931616526"/>
        </w:rPr>
        <w:t>联系人</w:t>
      </w:r>
      <w:r>
        <w:rPr>
          <w:rFonts w:hint="eastAsia" w:ascii="宋体" w:hAnsi="宋体" w:eastAsia="宋体" w:cs="宋体"/>
          <w:b/>
          <w:caps/>
          <w:color w:val="auto"/>
          <w:spacing w:val="2"/>
          <w:kern w:val="0"/>
          <w:sz w:val="28"/>
          <w:szCs w:val="28"/>
          <w:fitText w:val="2810" w:id="931616526"/>
        </w:rPr>
        <w:t>：</w:t>
      </w:r>
    </w:p>
    <w:p w14:paraId="5F6C8265">
      <w:pPr>
        <w:adjustRightInd w:val="0"/>
        <w:snapToGrid w:val="0"/>
        <w:spacing w:line="360" w:lineRule="auto"/>
        <w:ind w:right="-136" w:rightChars="-64"/>
        <w:rPr>
          <w:rFonts w:hint="eastAsia" w:ascii="宋体" w:hAnsi="宋体" w:eastAsia="宋体" w:cs="宋体"/>
          <w:b/>
          <w:caps/>
          <w:color w:val="auto"/>
          <w:sz w:val="28"/>
          <w:szCs w:val="28"/>
        </w:rPr>
      </w:pPr>
    </w:p>
    <w:p w14:paraId="0FE23395">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76"/>
          <w:kern w:val="0"/>
          <w:sz w:val="28"/>
          <w:szCs w:val="28"/>
          <w:fitText w:val="2810" w:id="1096046683"/>
        </w:rPr>
        <w:t>联系电话</w:t>
      </w:r>
      <w:r>
        <w:rPr>
          <w:rFonts w:hint="eastAsia" w:ascii="宋体" w:hAnsi="宋体" w:eastAsia="宋体" w:cs="宋体"/>
          <w:b/>
          <w:caps/>
          <w:color w:val="auto"/>
          <w:spacing w:val="1"/>
          <w:kern w:val="0"/>
          <w:sz w:val="28"/>
          <w:szCs w:val="28"/>
          <w:fitText w:val="2810" w:id="1096046683"/>
        </w:rPr>
        <w:t>：</w:t>
      </w:r>
    </w:p>
    <w:p w14:paraId="7B5D7D26">
      <w:pPr>
        <w:adjustRightInd w:val="0"/>
        <w:snapToGrid w:val="0"/>
        <w:spacing w:line="360" w:lineRule="auto"/>
        <w:jc w:val="center"/>
        <w:rPr>
          <w:rFonts w:hint="eastAsia" w:ascii="宋体" w:hAnsi="宋体" w:eastAsia="宋体" w:cs="宋体"/>
          <w:b/>
          <w:caps/>
          <w:color w:val="auto"/>
          <w:sz w:val="28"/>
          <w:szCs w:val="28"/>
        </w:rPr>
      </w:pPr>
    </w:p>
    <w:p w14:paraId="07CB23C6">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_年__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_月__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_日</w:t>
      </w:r>
    </w:p>
    <w:p w14:paraId="0C43A087">
      <w:pPr>
        <w:pStyle w:val="39"/>
        <w:numPr>
          <w:ilvl w:val="0"/>
          <w:numId w:val="0"/>
        </w:numPr>
        <w:ind w:leftChars="0"/>
      </w:pPr>
    </w:p>
    <w:p w14:paraId="411A2376">
      <w:pPr>
        <w:pStyle w:val="39"/>
        <w:numPr>
          <w:ilvl w:val="0"/>
          <w:numId w:val="0"/>
        </w:numPr>
        <w:ind w:leftChars="0"/>
      </w:pPr>
    </w:p>
    <w:p w14:paraId="7EF97DB0">
      <w:pPr>
        <w:pStyle w:val="39"/>
        <w:numPr>
          <w:ilvl w:val="0"/>
          <w:numId w:val="0"/>
        </w:numPr>
        <w:ind w:leftChars="0"/>
      </w:pPr>
    </w:p>
    <w:p w14:paraId="5B9FF40B">
      <w:pPr>
        <w:pStyle w:val="39"/>
        <w:numPr>
          <w:ilvl w:val="0"/>
          <w:numId w:val="0"/>
        </w:numPr>
        <w:ind w:leftChars="0"/>
      </w:pPr>
    </w:p>
    <w:p w14:paraId="41DD6189">
      <w:pPr>
        <w:pStyle w:val="2"/>
        <w:spacing w:before="0" w:after="0" w:line="240" w:lineRule="auto"/>
      </w:pPr>
    </w:p>
    <w:p w14:paraId="1F2E82FC">
      <w:pPr>
        <w:tabs>
          <w:tab w:val="left" w:pos="5580"/>
        </w:tabs>
        <w:spacing w:line="500" w:lineRule="atLeast"/>
        <w:ind w:left="1" w:firstLine="500" w:firstLineChars="235"/>
        <w:rPr>
          <w:rFonts w:hint="eastAsia" w:ascii="宋体" w:hAnsi="宋体" w:cs="宋体"/>
          <w:b/>
          <w:bCs/>
          <w:highlight w:val="none"/>
        </w:rPr>
      </w:pPr>
    </w:p>
    <w:p w14:paraId="4F9F2617">
      <w:pPr>
        <w:spacing w:line="400" w:lineRule="exact"/>
        <w:ind w:firstLine="422" w:firstLineChars="199"/>
        <w:rPr>
          <w:rFonts w:hint="eastAsia" w:ascii="宋体" w:hAnsi="宋体"/>
          <w:b/>
          <w:bCs/>
          <w:szCs w:val="21"/>
          <w:highlight w:val="none"/>
        </w:rPr>
      </w:pPr>
      <w:r>
        <w:rPr>
          <w:rFonts w:hint="eastAsia" w:ascii="宋体" w:hAnsi="宋体"/>
          <w:b/>
          <w:bCs/>
          <w:szCs w:val="21"/>
          <w:highlight w:val="none"/>
        </w:rPr>
        <w:t>商务部分</w:t>
      </w:r>
    </w:p>
    <w:p w14:paraId="01E87FDB">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一、</w:t>
      </w:r>
      <w:r>
        <w:rPr>
          <w:rFonts w:hint="eastAsia" w:ascii="宋体" w:hAnsi="宋体"/>
          <w:szCs w:val="21"/>
          <w:highlight w:val="none"/>
        </w:rPr>
        <w:t>投标函；</w:t>
      </w:r>
    </w:p>
    <w:p w14:paraId="217C5DB2">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二、</w:t>
      </w:r>
      <w:r>
        <w:rPr>
          <w:rFonts w:hint="eastAsia" w:ascii="宋体" w:hAnsi="宋体"/>
          <w:szCs w:val="21"/>
          <w:highlight w:val="none"/>
        </w:rPr>
        <w:t xml:space="preserve">法定代表人身份证明（附法定代表人身份证复印件）； </w:t>
      </w:r>
    </w:p>
    <w:p w14:paraId="5F96ABEC">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三、</w:t>
      </w:r>
      <w:r>
        <w:rPr>
          <w:rFonts w:hint="eastAsia" w:ascii="宋体" w:hAnsi="宋体"/>
          <w:szCs w:val="21"/>
          <w:highlight w:val="none"/>
        </w:rPr>
        <w:t>授权委托书（附被授权人身份证复印件）；</w:t>
      </w:r>
    </w:p>
    <w:p w14:paraId="7DA862BE">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四、</w:t>
      </w:r>
      <w:r>
        <w:rPr>
          <w:rFonts w:hint="eastAsia" w:ascii="宋体" w:hAnsi="宋体"/>
          <w:szCs w:val="21"/>
          <w:highlight w:val="none"/>
        </w:rPr>
        <w:t xml:space="preserve">投标保证金缴纳凭证或投标担保函 </w:t>
      </w:r>
    </w:p>
    <w:p w14:paraId="1B0F8C94">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五、</w:t>
      </w:r>
      <w:r>
        <w:rPr>
          <w:rFonts w:hint="eastAsia" w:ascii="宋体" w:hAnsi="宋体"/>
          <w:szCs w:val="21"/>
          <w:highlight w:val="none"/>
        </w:rPr>
        <w:t>开标一览表；</w:t>
      </w:r>
    </w:p>
    <w:p w14:paraId="04824DEB">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六、</w:t>
      </w:r>
      <w:r>
        <w:rPr>
          <w:rFonts w:hint="eastAsia" w:ascii="宋体" w:hAnsi="宋体"/>
          <w:szCs w:val="21"/>
          <w:highlight w:val="none"/>
        </w:rPr>
        <w:t>投标人基本情况；</w:t>
      </w:r>
    </w:p>
    <w:p w14:paraId="1ABB5300">
      <w:pPr>
        <w:spacing w:line="400" w:lineRule="exact"/>
        <w:ind w:firstLine="422" w:firstLineChars="199"/>
        <w:rPr>
          <w:rFonts w:hint="eastAsia" w:ascii="宋体" w:hAnsi="宋体"/>
          <w:szCs w:val="21"/>
          <w:highlight w:val="none"/>
        </w:rPr>
      </w:pPr>
      <w:r>
        <w:rPr>
          <w:rFonts w:hint="eastAsia" w:ascii="宋体" w:hAnsi="宋体"/>
          <w:szCs w:val="21"/>
          <w:highlight w:val="none"/>
        </w:rPr>
        <w:t>1）投标人基本情况表；</w:t>
      </w:r>
    </w:p>
    <w:p w14:paraId="4F83FD9A">
      <w:pPr>
        <w:spacing w:line="400" w:lineRule="exact"/>
        <w:ind w:firstLine="422" w:firstLineChars="199"/>
        <w:rPr>
          <w:rFonts w:hint="eastAsia" w:ascii="宋体" w:hAnsi="宋体"/>
          <w:szCs w:val="21"/>
          <w:highlight w:val="none"/>
        </w:rPr>
      </w:pPr>
      <w:r>
        <w:rPr>
          <w:rFonts w:hint="eastAsia" w:ascii="宋体" w:hAnsi="宋体"/>
          <w:szCs w:val="21"/>
          <w:highlight w:val="none"/>
        </w:rPr>
        <w:t>2）三证合一的营业执照</w:t>
      </w:r>
    </w:p>
    <w:p w14:paraId="3FC69C64">
      <w:pPr>
        <w:spacing w:line="400" w:lineRule="exact"/>
        <w:ind w:firstLine="422" w:firstLineChars="199"/>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供应商必须为在中华人民共和国境内依法设立的国有商业银行、股份制商业银行、邮政储蓄银行、城市商业银行等银行机构且具备中国银行保险监督管理委员会核发的《中华人民共和国金融许可证》。</w:t>
      </w:r>
    </w:p>
    <w:p w14:paraId="279C0242">
      <w:pPr>
        <w:pStyle w:val="39"/>
        <w:rPr>
          <w:rFonts w:hint="default" w:ascii="宋体" w:hAnsi="宋体"/>
          <w:szCs w:val="21"/>
          <w:highlight w:val="none"/>
          <w:lang w:val="en-US" w:eastAsia="zh-CN"/>
        </w:rPr>
      </w:pPr>
      <w:r>
        <w:rPr>
          <w:rFonts w:hint="eastAsia" w:ascii="宋体" w:hAnsi="宋体"/>
          <w:szCs w:val="21"/>
          <w:highlight w:val="none"/>
          <w:lang w:val="en-US" w:eastAsia="zh-CN"/>
        </w:rPr>
        <w:t>4）</w:t>
      </w:r>
      <w:r>
        <w:rPr>
          <w:rFonts w:hint="default" w:ascii="宋体" w:hAnsi="宋体"/>
          <w:szCs w:val="21"/>
          <w:highlight w:val="none"/>
          <w:lang w:val="en-US" w:eastAsia="zh-CN"/>
        </w:rPr>
        <w:t>无重大违法记录声明</w:t>
      </w:r>
    </w:p>
    <w:p w14:paraId="06CFCC93">
      <w:pPr>
        <w:pStyle w:val="39"/>
        <w:rPr>
          <w:rFonts w:hint="default" w:ascii="宋体" w:hAnsi="宋体"/>
          <w:szCs w:val="21"/>
          <w:highlight w:val="none"/>
          <w:lang w:val="en-US" w:eastAsia="zh-CN"/>
        </w:rPr>
      </w:pPr>
      <w:r>
        <w:rPr>
          <w:rFonts w:hint="eastAsia" w:ascii="宋体" w:hAnsi="宋体"/>
          <w:szCs w:val="21"/>
          <w:highlight w:val="none"/>
          <w:lang w:val="en-US" w:eastAsia="zh-CN"/>
        </w:rPr>
        <w:t>5）</w:t>
      </w:r>
      <w:r>
        <w:rPr>
          <w:rFonts w:hint="default" w:ascii="宋体" w:hAnsi="宋体"/>
          <w:szCs w:val="21"/>
          <w:highlight w:val="none"/>
          <w:lang w:val="en-US" w:eastAsia="zh-CN"/>
        </w:rPr>
        <w:t>供反商业贿赂承诺书</w:t>
      </w:r>
    </w:p>
    <w:p w14:paraId="40D90937">
      <w:pPr>
        <w:spacing w:line="400" w:lineRule="exact"/>
        <w:ind w:firstLine="422" w:firstLineChars="199"/>
        <w:rPr>
          <w:rFonts w:hint="eastAsia" w:ascii="宋体" w:hAnsi="宋体"/>
          <w:szCs w:val="21"/>
          <w:highlight w:val="none"/>
        </w:rPr>
      </w:pPr>
      <w:r>
        <w:rPr>
          <w:rFonts w:hint="eastAsia" w:ascii="宋体" w:hAnsi="宋体"/>
          <w:szCs w:val="21"/>
          <w:highlight w:val="none"/>
          <w:lang w:eastAsia="zh-CN"/>
        </w:rPr>
        <w:t>七、</w:t>
      </w:r>
      <w:r>
        <w:rPr>
          <w:rFonts w:hint="eastAsia" w:ascii="宋体" w:hAnsi="宋体"/>
          <w:szCs w:val="21"/>
          <w:highlight w:val="none"/>
        </w:rPr>
        <w:t xml:space="preserve">商务条款偏离表；  </w:t>
      </w:r>
    </w:p>
    <w:p w14:paraId="5728EAC5">
      <w:pPr>
        <w:spacing w:line="400" w:lineRule="exact"/>
        <w:ind w:firstLine="422" w:firstLineChars="199"/>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八、近三年类似业绩（如有）</w:t>
      </w:r>
    </w:p>
    <w:p w14:paraId="3E1B3301">
      <w:pPr>
        <w:spacing w:line="400" w:lineRule="exact"/>
        <w:ind w:firstLine="422" w:firstLineChars="199"/>
        <w:rPr>
          <w:rFonts w:hint="eastAsia"/>
        </w:rPr>
      </w:pPr>
      <w:r>
        <w:rPr>
          <w:rFonts w:hint="eastAsia" w:ascii="宋体" w:hAnsi="宋体"/>
          <w:szCs w:val="21"/>
          <w:highlight w:val="none"/>
          <w:lang w:eastAsia="zh-CN"/>
        </w:rPr>
        <w:t>九、</w:t>
      </w:r>
      <w:r>
        <w:rPr>
          <w:rFonts w:hint="eastAsia" w:ascii="宋体" w:hAnsi="宋体"/>
          <w:szCs w:val="21"/>
          <w:highlight w:val="none"/>
        </w:rPr>
        <w:t>其他商务资格证明资料（格式自定）</w:t>
      </w:r>
    </w:p>
    <w:p w14:paraId="45CACEC3">
      <w:pPr>
        <w:spacing w:line="400" w:lineRule="exact"/>
        <w:ind w:firstLine="422" w:firstLineChars="199"/>
        <w:rPr>
          <w:rFonts w:hint="eastAsia" w:ascii="宋体" w:hAnsi="宋体"/>
          <w:b/>
          <w:bCs/>
          <w:szCs w:val="21"/>
          <w:highlight w:val="none"/>
        </w:rPr>
      </w:pPr>
      <w:r>
        <w:rPr>
          <w:rFonts w:hint="eastAsia" w:ascii="宋体" w:hAnsi="宋体"/>
          <w:b/>
          <w:bCs/>
          <w:szCs w:val="21"/>
          <w:highlight w:val="none"/>
        </w:rPr>
        <w:t>技术部分</w:t>
      </w:r>
    </w:p>
    <w:p w14:paraId="72FCBEC0">
      <w:pPr>
        <w:pStyle w:val="39"/>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十、技术参数响应表</w:t>
      </w:r>
    </w:p>
    <w:p w14:paraId="588A9700">
      <w:pPr>
        <w:numPr>
          <w:ilvl w:val="0"/>
          <w:numId w:val="0"/>
        </w:numPr>
        <w:spacing w:line="400" w:lineRule="exact"/>
        <w:ind w:firstLine="426" w:firstLineChars="200"/>
        <w:rPr>
          <w:rFonts w:hint="eastAsia" w:ascii="宋体" w:hAnsi="宋体"/>
          <w:szCs w:val="21"/>
          <w:highlight w:val="none"/>
        </w:rPr>
      </w:pPr>
      <w:r>
        <w:rPr>
          <w:rFonts w:hint="eastAsia" w:ascii="宋体" w:hAnsi="宋体"/>
          <w:szCs w:val="21"/>
          <w:highlight w:val="none"/>
          <w:lang w:eastAsia="zh-CN"/>
        </w:rPr>
        <w:t>十一、</w:t>
      </w:r>
      <w:r>
        <w:rPr>
          <w:rFonts w:hint="eastAsia" w:ascii="宋体" w:hAnsi="宋体"/>
          <w:szCs w:val="21"/>
          <w:highlight w:val="none"/>
        </w:rPr>
        <w:t>技术方案（投标人自行编写的技术文件</w:t>
      </w:r>
      <w:r>
        <w:rPr>
          <w:rFonts w:hint="eastAsia" w:ascii="宋体" w:hAnsi="宋体"/>
          <w:szCs w:val="21"/>
          <w:highlight w:val="none"/>
          <w:lang w:eastAsia="zh-CN"/>
        </w:rPr>
        <w:t>，包括但不限于</w:t>
      </w:r>
      <w:r>
        <w:rPr>
          <w:rFonts w:hint="eastAsia" w:ascii="宋体" w:hAnsi="宋体"/>
          <w:szCs w:val="21"/>
          <w:highlight w:val="none"/>
        </w:rPr>
        <w:t>）</w:t>
      </w:r>
    </w:p>
    <w:p w14:paraId="083328C4">
      <w:pPr>
        <w:pStyle w:val="39"/>
        <w:rPr>
          <w:rFonts w:hint="eastAsia"/>
        </w:rPr>
      </w:pPr>
      <w:r>
        <w:rPr>
          <w:rFonts w:hint="eastAsia"/>
          <w:lang w:eastAsia="zh-CN"/>
        </w:rPr>
        <w:t>（</w:t>
      </w:r>
      <w:r>
        <w:rPr>
          <w:rFonts w:hint="eastAsia"/>
        </w:rPr>
        <w:t>1）针对本次招标内容的实施方案</w:t>
      </w:r>
    </w:p>
    <w:p w14:paraId="0D4497DD">
      <w:pPr>
        <w:pStyle w:val="39"/>
        <w:rPr>
          <w:rFonts w:hint="eastAsia"/>
        </w:rPr>
      </w:pPr>
      <w:r>
        <w:rPr>
          <w:rFonts w:hint="eastAsia"/>
        </w:rPr>
        <w:t>（</w:t>
      </w:r>
      <w:r>
        <w:rPr>
          <w:rFonts w:hint="eastAsia"/>
          <w:lang w:val="en-US" w:eastAsia="zh-CN"/>
        </w:rPr>
        <w:t>2</w:t>
      </w:r>
      <w:r>
        <w:rPr>
          <w:rFonts w:hint="eastAsia"/>
        </w:rPr>
        <w:t>）服务质量保证措施。</w:t>
      </w:r>
      <w:r>
        <w:rPr>
          <w:rFonts w:hint="eastAsia"/>
        </w:rPr>
        <w:softHyphen/>
      </w:r>
    </w:p>
    <w:p w14:paraId="3AF70E70">
      <w:pPr>
        <w:pStyle w:val="39"/>
        <w:rPr>
          <w:rFonts w:hint="eastAsia"/>
        </w:rPr>
      </w:pPr>
      <w:r>
        <w:rPr>
          <w:rFonts w:hint="eastAsia"/>
        </w:rPr>
        <w:t>（</w:t>
      </w:r>
      <w:r>
        <w:rPr>
          <w:rFonts w:hint="eastAsia"/>
          <w:lang w:val="en-US" w:eastAsia="zh-CN"/>
        </w:rPr>
        <w:t>3</w:t>
      </w:r>
      <w:r>
        <w:rPr>
          <w:rFonts w:hint="eastAsia"/>
        </w:rPr>
        <w:t>）售后与承诺（范围、标准及期限等）。</w:t>
      </w:r>
    </w:p>
    <w:p w14:paraId="49BF2BE6">
      <w:pPr>
        <w:pStyle w:val="39"/>
        <w:rPr>
          <w:rFonts w:hint="eastAsia"/>
        </w:rPr>
      </w:pPr>
      <w:r>
        <w:rPr>
          <w:rFonts w:hint="eastAsia"/>
        </w:rPr>
        <w:t>（</w:t>
      </w:r>
      <w:r>
        <w:rPr>
          <w:rFonts w:hint="eastAsia"/>
          <w:lang w:val="en-US" w:eastAsia="zh-CN"/>
        </w:rPr>
        <w:t>4</w:t>
      </w:r>
      <w:r>
        <w:rPr>
          <w:rFonts w:hint="eastAsia"/>
        </w:rPr>
        <w:t>）优惠措施（后期服务费用及方式）。</w:t>
      </w:r>
    </w:p>
    <w:p w14:paraId="46A2F3BE">
      <w:pPr>
        <w:pStyle w:val="39"/>
        <w:rPr>
          <w:rFonts w:hint="eastAsia"/>
        </w:rPr>
      </w:pPr>
      <w:r>
        <w:rPr>
          <w:rFonts w:hint="eastAsia"/>
        </w:rPr>
        <w:t>（</w:t>
      </w:r>
      <w:r>
        <w:rPr>
          <w:rFonts w:hint="eastAsia"/>
          <w:lang w:val="en-US" w:eastAsia="zh-CN"/>
        </w:rPr>
        <w:t>5</w:t>
      </w:r>
      <w:r>
        <w:rPr>
          <w:rFonts w:hint="eastAsia"/>
        </w:rPr>
        <w:t>）投标服务符合竞争性磋商文件规定的其他证明文件及磋商响应人认为需加以说明的其他内容。</w:t>
      </w:r>
    </w:p>
    <w:p w14:paraId="23827D6C">
      <w:pPr>
        <w:pStyle w:val="39"/>
        <w:rPr>
          <w:rFonts w:hint="eastAsia"/>
        </w:rPr>
      </w:pPr>
      <w:r>
        <w:rPr>
          <w:rFonts w:hint="eastAsia"/>
        </w:rPr>
        <w:t>（</w:t>
      </w:r>
      <w:r>
        <w:rPr>
          <w:rFonts w:hint="eastAsia"/>
          <w:lang w:val="en-US" w:eastAsia="zh-CN"/>
        </w:rPr>
        <w:t>6</w:t>
      </w:r>
      <w:r>
        <w:rPr>
          <w:rFonts w:hint="eastAsia"/>
        </w:rPr>
        <w:t>）投标承诺书</w:t>
      </w:r>
    </w:p>
    <w:p w14:paraId="136DEAC4">
      <w:pPr>
        <w:pStyle w:val="39"/>
        <w:rPr>
          <w:rFonts w:hint="eastAsia"/>
        </w:rPr>
      </w:pPr>
      <w:r>
        <w:rPr>
          <w:rFonts w:hint="eastAsia"/>
        </w:rPr>
        <w:t>（</w:t>
      </w:r>
      <w:r>
        <w:rPr>
          <w:rFonts w:hint="eastAsia"/>
          <w:lang w:val="en-US" w:eastAsia="zh-CN"/>
        </w:rPr>
        <w:t>7</w:t>
      </w:r>
      <w:r>
        <w:rPr>
          <w:rFonts w:hint="eastAsia"/>
        </w:rPr>
        <w:t>）评分标准和细则中技术部分证明材料（格式自拟）</w:t>
      </w:r>
    </w:p>
    <w:p w14:paraId="46105D1B">
      <w:pPr>
        <w:pStyle w:val="39"/>
        <w:rPr>
          <w:rFonts w:hint="eastAsia"/>
        </w:rPr>
      </w:pPr>
      <w:r>
        <w:rPr>
          <w:rFonts w:hint="eastAsia"/>
        </w:rPr>
        <w:t>（</w:t>
      </w:r>
      <w:r>
        <w:rPr>
          <w:rFonts w:hint="eastAsia"/>
          <w:lang w:val="en-US" w:eastAsia="zh-CN"/>
        </w:rPr>
        <w:t>8</w:t>
      </w:r>
      <w:r>
        <w:rPr>
          <w:rFonts w:hint="eastAsia"/>
        </w:rPr>
        <w:t>）投标人认为有必要提供的其他证明材料（格式自拟）</w:t>
      </w:r>
    </w:p>
    <w:p w14:paraId="6D4A9B0E">
      <w:pPr>
        <w:spacing w:line="400" w:lineRule="exact"/>
        <w:ind w:firstLine="426" w:firstLineChars="200"/>
        <w:rPr>
          <w:rFonts w:hint="eastAsia" w:ascii="宋体" w:hAnsi="宋体"/>
          <w:szCs w:val="21"/>
          <w:highlight w:val="none"/>
        </w:rPr>
      </w:pPr>
      <w:r>
        <w:rPr>
          <w:rFonts w:hint="eastAsia" w:ascii="宋体" w:hAnsi="宋体"/>
          <w:szCs w:val="21"/>
          <w:highlight w:val="none"/>
          <w:lang w:eastAsia="zh-CN"/>
        </w:rPr>
        <w:t>十二、</w:t>
      </w:r>
      <w:r>
        <w:rPr>
          <w:rFonts w:hint="eastAsia" w:ascii="宋体" w:hAnsi="宋体"/>
          <w:szCs w:val="21"/>
          <w:highlight w:val="none"/>
        </w:rPr>
        <w:t>投标人认为需要提交的技术资料（根据评审标准自行添加）</w:t>
      </w:r>
    </w:p>
    <w:p w14:paraId="3B3D73C5">
      <w:pPr>
        <w:spacing w:line="400" w:lineRule="exact"/>
        <w:ind w:firstLine="422" w:firstLineChars="199"/>
        <w:rPr>
          <w:rFonts w:ascii="宋体"/>
          <w:szCs w:val="21"/>
          <w:highlight w:val="none"/>
        </w:rPr>
      </w:pPr>
      <w:r>
        <w:rPr>
          <w:rFonts w:hint="eastAsia" w:ascii="宋体" w:hAnsi="宋体" w:cs="宋体"/>
          <w:b/>
          <w:kern w:val="0"/>
          <w:szCs w:val="21"/>
          <w:highlight w:val="none"/>
          <w:u w:val="single"/>
        </w:rPr>
        <w:t>注：以上材料须逐页加盖单位公章。</w:t>
      </w:r>
    </w:p>
    <w:p w14:paraId="4C8E141E">
      <w:pPr>
        <w:tabs>
          <w:tab w:val="left" w:pos="5580"/>
        </w:tabs>
        <w:spacing w:line="240" w:lineRule="atLeast"/>
        <w:ind w:left="1" w:firstLine="571" w:firstLineChars="235"/>
        <w:rPr>
          <w:rFonts w:ascii="宋体" w:hAnsi="宋体" w:cs="宋体"/>
          <w:sz w:val="24"/>
          <w:highlight w:val="none"/>
        </w:rPr>
      </w:pPr>
    </w:p>
    <w:p w14:paraId="1D8E9A5D">
      <w:pPr>
        <w:tabs>
          <w:tab w:val="left" w:pos="5580"/>
        </w:tabs>
        <w:spacing w:line="240" w:lineRule="atLeast"/>
        <w:ind w:left="1" w:firstLine="571" w:firstLineChars="235"/>
        <w:rPr>
          <w:rFonts w:ascii="宋体" w:hAnsi="宋体" w:cs="宋体"/>
          <w:sz w:val="24"/>
          <w:highlight w:val="none"/>
        </w:rPr>
      </w:pPr>
    </w:p>
    <w:p w14:paraId="3B810789">
      <w:pPr>
        <w:tabs>
          <w:tab w:val="left" w:pos="5580"/>
        </w:tabs>
        <w:spacing w:line="240" w:lineRule="atLeast"/>
        <w:ind w:left="1" w:firstLine="571" w:firstLineChars="235"/>
        <w:rPr>
          <w:rFonts w:ascii="宋体" w:hAnsi="宋体" w:cs="宋体"/>
          <w:sz w:val="24"/>
          <w:highlight w:val="none"/>
        </w:rPr>
      </w:pPr>
    </w:p>
    <w:p w14:paraId="7BF0D813">
      <w:pPr>
        <w:pStyle w:val="8"/>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商务部分</w:t>
      </w:r>
    </w:p>
    <w:p w14:paraId="4B5A0F86">
      <w:pPr>
        <w:pStyle w:val="8"/>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投标函</w:t>
      </w:r>
    </w:p>
    <w:p w14:paraId="6E87A889">
      <w:pPr>
        <w:spacing w:line="440" w:lineRule="exact"/>
        <w:ind w:firstLine="426" w:firstLineChars="200"/>
        <w:jc w:val="both"/>
        <w:rPr>
          <w:rFonts w:ascii="仿宋" w:hAnsi="仿宋" w:eastAsia="仿宋" w:cs="仿宋"/>
          <w:color w:val="auto"/>
          <w:highlight w:val="none"/>
          <w:u w:val="singl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p>
    <w:p w14:paraId="65B607E7">
      <w:pPr>
        <w:spacing w:line="440" w:lineRule="exact"/>
        <w:ind w:firstLine="426" w:firstLineChars="200"/>
        <w:jc w:val="both"/>
        <w:rPr>
          <w:rFonts w:ascii="仿宋" w:hAnsi="仿宋" w:eastAsia="仿宋" w:cs="仿宋"/>
          <w:color w:val="auto"/>
          <w:highlight w:val="none"/>
        </w:rPr>
      </w:pPr>
      <w:r>
        <w:rPr>
          <w:rFonts w:hint="eastAsia" w:ascii="仿宋" w:hAnsi="仿宋" w:eastAsia="仿宋" w:cs="仿宋"/>
          <w:color w:val="auto"/>
          <w:highlight w:val="none"/>
        </w:rPr>
        <w:t>为响应你方组织的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项目的招标[项目编号为：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，我方愿参与投标。</w:t>
      </w:r>
    </w:p>
    <w:p w14:paraId="0B28E511">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我方确认收到贵方提供的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的全部内容。</w:t>
      </w:r>
    </w:p>
    <w:p w14:paraId="3369A457">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我方在参与投标前已详细研究了</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的所有内容，包括澄清、修改文件（如果有）和所有已提供的参考资料以及有关附件，我方完全明白并认为此</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没有倾向性，也不存在排斥潜在报价投标人的内容，我方同意</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的相关条款，放弃对</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提出误解和质疑的一切权力。</w:t>
      </w:r>
    </w:p>
    <w:p w14:paraId="7B554D22">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u w:val="single"/>
        </w:rPr>
        <w:t xml:space="preserve">      (投标人名称)      </w:t>
      </w:r>
      <w:r>
        <w:rPr>
          <w:rFonts w:hint="eastAsia" w:ascii="仿宋" w:hAnsi="仿宋" w:eastAsia="仿宋" w:cs="仿宋"/>
          <w:color w:val="auto"/>
          <w:highlight w:val="none"/>
        </w:rPr>
        <w:t>作为投标人正式授权</w:t>
      </w:r>
      <w:r>
        <w:rPr>
          <w:rFonts w:hint="eastAsia" w:ascii="仿宋" w:hAnsi="仿宋" w:eastAsia="仿宋" w:cs="仿宋"/>
          <w:color w:val="auto"/>
          <w:highlight w:val="none"/>
          <w:u w:val="single"/>
        </w:rPr>
        <w:t xml:space="preserve">  (授权代表全名, 职务)  </w:t>
      </w:r>
      <w:r>
        <w:rPr>
          <w:rFonts w:hint="eastAsia" w:ascii="仿宋" w:hAnsi="仿宋" w:eastAsia="仿宋" w:cs="仿宋"/>
          <w:color w:val="auto"/>
          <w:highlight w:val="none"/>
        </w:rPr>
        <w:t>代表我方全权处理有关本报价的一切事宜。</w:t>
      </w:r>
    </w:p>
    <w:p w14:paraId="4014C724">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我方已完全明白</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的所有条款要求，并申明如下：</w:t>
      </w:r>
    </w:p>
    <w:p w14:paraId="2FB18DC6">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（一）按</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提供的全部货物与相关服务的投标总价详见《报价一览表》。</w:t>
      </w:r>
    </w:p>
    <w:p w14:paraId="0DE09D1A">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（二）本</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的有效期为投标截止时间起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C55DB47">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（三）我方同意按照贵方可能提出的要求而提供与投标有关的任何其它数据、信息或资料。</w:t>
      </w:r>
    </w:p>
    <w:p w14:paraId="2B4801BB">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）我方如果中标，将保证履行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及其澄清、修改文件（如果有）中的全部责任和义务，按质、按量、按期完成《招标内容》及《合同书》中的全部任务。</w:t>
      </w:r>
    </w:p>
    <w:p w14:paraId="53BCC4C3">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）如我方被授予合同，我方承诺支付就本次招标应支付或将支付的中标服务费（详见按</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要求格式填写的《中标服务费支付承诺书》）。</w:t>
      </w:r>
    </w:p>
    <w:p w14:paraId="2E854321">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）我方作为在法律、财务和运作上独立于采购人、招标代理机构的投标人，在此保证所提交的所有文件和全部说明是真实的和正确的。</w:t>
      </w:r>
    </w:p>
    <w:p w14:paraId="48F90EDD">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七</w:t>
      </w:r>
      <w:r>
        <w:rPr>
          <w:rFonts w:hint="eastAsia" w:ascii="仿宋" w:hAnsi="仿宋" w:eastAsia="仿宋" w:cs="仿宋"/>
          <w:color w:val="auto"/>
          <w:highlight w:val="none"/>
        </w:rPr>
        <w:t>）我方与其他投标人不存在单位负责人为同一人或者存在直接控股、管理关系。</w:t>
      </w:r>
    </w:p>
    <w:p w14:paraId="6DD8837D">
      <w:pPr>
        <w:spacing w:line="48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八</w:t>
      </w:r>
      <w:r>
        <w:rPr>
          <w:rFonts w:hint="eastAsia" w:ascii="仿宋" w:hAnsi="仿宋" w:eastAsia="仿宋" w:cs="仿宋"/>
          <w:color w:val="auto"/>
          <w:highlight w:val="none"/>
        </w:rPr>
        <w:t>）我方具备《政府采购法》第二十二条规定的条件，承诺如下：</w:t>
      </w:r>
    </w:p>
    <w:p w14:paraId="1FD0C1E2">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（1）我方已依法缴纳了各项税费及社会保险费用，如有需要，可随时向采购人提供近三个月内的相关缴费证明，以便核查。</w:t>
      </w:r>
    </w:p>
    <w:p w14:paraId="66F72C97">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（2）我方已依法建立健全的财务会计制度，如有需要，可随时向采购人提供相关的证明材料，以便核查。</w:t>
      </w:r>
    </w:p>
    <w:p w14:paraId="79AE1FE7">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（3）我方参加本项目政府采购活动前3年内在经营活动中没有重大违法记录。</w:t>
      </w:r>
    </w:p>
    <w:p w14:paraId="74DD7F2E">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（4）我方具备履行合同所必需的设备和专业技术能力。</w:t>
      </w:r>
    </w:p>
    <w:p w14:paraId="0693769C">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（5）我方符合法律、行政法规规定的其他条件。</w:t>
      </w:r>
    </w:p>
    <w:p w14:paraId="63BD5480">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以上内容如有虚假或与事实不符的，评审委员会可将我方做无效投标处理，我方愿意承担相应的法律责任。</w:t>
      </w:r>
    </w:p>
    <w:p w14:paraId="55DE964B">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九</w:t>
      </w:r>
      <w:r>
        <w:rPr>
          <w:rFonts w:hint="eastAsia" w:ascii="仿宋" w:hAnsi="仿宋" w:eastAsia="仿宋" w:cs="仿宋"/>
          <w:color w:val="auto"/>
          <w:highlight w:val="none"/>
        </w:rPr>
        <w:t>）我方对在本函及</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中所作的所有承诺承担法律责任。</w:t>
      </w:r>
    </w:p>
    <w:p w14:paraId="7FA5E897">
      <w:pPr>
        <w:spacing w:line="44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（十）所有与本招标有关的函件请发往下列地址：</w:t>
      </w:r>
    </w:p>
    <w:p w14:paraId="4E27DF21">
      <w:pPr>
        <w:spacing w:line="440" w:lineRule="exact"/>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.邮政编码：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FCCE6EF">
      <w:pPr>
        <w:spacing w:line="440" w:lineRule="exact"/>
        <w:rPr>
          <w:rFonts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.传    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0F6341">
      <w:pPr>
        <w:spacing w:line="440" w:lineRule="exact"/>
        <w:rPr>
          <w:rFonts w:ascii="仿宋" w:hAnsi="仿宋" w:eastAsia="仿宋" w:cs="仿宋"/>
          <w:color w:val="auto"/>
          <w:highlight w:val="none"/>
        </w:rPr>
      </w:pPr>
      <w:r>
        <w:rPr>
          <w:rFonts w:hint="eastAsia" w:ascii="仿宋" w:hAnsi="仿宋" w:eastAsia="仿宋" w:cs="仿宋"/>
          <w:color w:val="auto"/>
          <w:highlight w:val="none"/>
        </w:rPr>
        <w:t>代表姓名：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7A96984">
      <w:pPr>
        <w:spacing w:line="440" w:lineRule="exact"/>
        <w:ind w:right="480"/>
        <w:jc w:val="righ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（公章） </w:t>
      </w:r>
    </w:p>
    <w:p w14:paraId="6F4CCBB4">
      <w:pPr>
        <w:wordWrap w:val="0"/>
        <w:spacing w:line="440" w:lineRule="exact"/>
        <w:ind w:firstLine="426" w:firstLineChars="200"/>
        <w:jc w:val="right"/>
        <w:rPr>
          <w:rFonts w:ascii="仿宋" w:hAnsi="仿宋" w:eastAsia="仿宋" w:cs="仿宋"/>
          <w:color w:val="auto"/>
          <w:highlight w:val="none"/>
        </w:rPr>
      </w:pPr>
      <w:r>
        <w:rPr>
          <w:rFonts w:hint="eastAsia" w:ascii="仿宋" w:hAnsi="仿宋" w:eastAsia="仿宋" w:cs="仿宋"/>
          <w:color w:val="auto"/>
          <w:highlight w:val="none"/>
        </w:rPr>
        <w:t>法定代表人或委托人：</w:t>
      </w:r>
      <w:r>
        <w:rPr>
          <w:rFonts w:hint="eastAsia" w:ascii="仿宋" w:hAnsi="仿宋" w:eastAsia="仿宋" w:cs="仿宋"/>
          <w:color w:val="auto"/>
          <w:highlight w:val="none"/>
        </w:rPr>
        <w:tab/>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签章</w:t>
      </w:r>
      <w:r>
        <w:rPr>
          <w:rFonts w:hint="eastAsia" w:ascii="仿宋" w:hAnsi="仿宋" w:eastAsia="仿宋" w:cs="仿宋"/>
          <w:color w:val="auto"/>
          <w:highlight w:val="none"/>
        </w:rPr>
        <w:t xml:space="preserve">）  </w:t>
      </w:r>
    </w:p>
    <w:p w14:paraId="7BD8F4B8">
      <w:pPr>
        <w:wordWrap w:val="0"/>
        <w:spacing w:line="440" w:lineRule="exact"/>
        <w:ind w:firstLine="426" w:firstLineChars="200"/>
        <w:jc w:val="righ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年</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CE3726D">
      <w:pPr>
        <w:pStyle w:val="8"/>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rPr>
        <w:t>二、法定代表人身份证明</w:t>
      </w:r>
    </w:p>
    <w:p w14:paraId="43A53963">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投标单位名称：</w:t>
      </w:r>
      <w:r>
        <w:rPr>
          <w:rFonts w:hint="eastAsia" w:ascii="仿宋" w:hAnsi="仿宋" w:eastAsia="仿宋" w:cs="仿宋"/>
          <w:color w:val="auto"/>
          <w:highlight w:val="none"/>
          <w:u w:val="single"/>
        </w:rPr>
        <w:t xml:space="preserve">                       </w:t>
      </w:r>
    </w:p>
    <w:p w14:paraId="55B48B19">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p>
    <w:p w14:paraId="1437A932">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3AA833EC">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9888613">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21B0551C">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职务：</w:t>
      </w:r>
      <w:r>
        <w:rPr>
          <w:rFonts w:hint="eastAsia" w:ascii="仿宋" w:hAnsi="仿宋" w:eastAsia="仿宋" w:cs="仿宋"/>
          <w:color w:val="auto"/>
          <w:highlight w:val="none"/>
          <w:u w:val="single"/>
        </w:rPr>
        <w:t xml:space="preserve">           </w:t>
      </w:r>
    </w:p>
    <w:p w14:paraId="234CB2D4">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p w14:paraId="0D84B12F">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（投标单位名称）的法定代表人。</w:t>
      </w:r>
    </w:p>
    <w:p w14:paraId="59DE0BC5">
      <w:pPr>
        <w:spacing w:line="420" w:lineRule="exact"/>
        <w:ind w:firstLine="85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70C64357">
      <w:pPr>
        <w:pStyle w:val="8"/>
        <w:numPr>
          <w:ilvl w:val="0"/>
          <w:numId w:val="0"/>
        </w:numPr>
        <w:kinsoku w:val="0"/>
        <w:overflowPunct w:val="0"/>
        <w:rPr>
          <w:rFonts w:ascii="仿宋" w:hAnsi="仿宋" w:eastAsia="仿宋" w:cs="仿宋"/>
          <w:color w:val="auto"/>
          <w:sz w:val="20"/>
          <w:szCs w:val="20"/>
          <w:highlight w:val="none"/>
        </w:rPr>
      </w:pPr>
    </w:p>
    <w:p w14:paraId="27F2B4D4">
      <w:pPr>
        <w:pStyle w:val="8"/>
        <w:numPr>
          <w:ilvl w:val="0"/>
          <w:numId w:val="0"/>
        </w:numPr>
        <w:kinsoku w:val="0"/>
        <w:overflowPunct w:val="0"/>
        <w:spacing w:before="7"/>
        <w:ind w:leftChars="0" w:right="0"/>
        <w:rPr>
          <w:rFonts w:hint="eastAsia" w:ascii="仿宋" w:hAnsi="仿宋" w:eastAsia="仿宋" w:cs="仿宋"/>
          <w:color w:val="auto"/>
          <w:sz w:val="25"/>
          <w:szCs w:val="25"/>
          <w:highlight w:val="none"/>
        </w:rPr>
      </w:pPr>
    </w:p>
    <w:p w14:paraId="4A1BA2D3">
      <w:pPr>
        <w:pStyle w:val="8"/>
        <w:numPr>
          <w:ilvl w:val="0"/>
          <w:numId w:val="0"/>
        </w:numPr>
        <w:kinsoku w:val="0"/>
        <w:overflowPunct w:val="0"/>
        <w:spacing w:before="7"/>
        <w:rPr>
          <w:rFonts w:ascii="仿宋" w:hAnsi="仿宋" w:eastAsia="仿宋" w:cs="仿宋"/>
          <w:color w:val="auto"/>
          <w:sz w:val="25"/>
          <w:szCs w:val="25"/>
          <w:highlight w:val="none"/>
        </w:rPr>
      </w:pPr>
      <w:r>
        <w:rPr>
          <w:rFonts w:hint="eastAsia" w:ascii="仿宋" w:hAnsi="仿宋" w:eastAsia="仿宋" w:cs="仿宋"/>
          <w:color w:val="auto"/>
          <w:spacing w:val="0"/>
          <w:w w:val="100"/>
          <w:position w:val="0"/>
          <w:sz w:val="20"/>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36" name="组合 36"/>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24" name="任意多边形 2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4" name="矩形 34"/>
                        <wps:cNvSpPr/>
                        <wps:spPr>
                          <a:xfrm>
                            <a:off x="19" y="19"/>
                            <a:ext cx="4025" cy="2258"/>
                          </a:xfrm>
                          <a:prstGeom prst="rect">
                            <a:avLst/>
                          </a:prstGeom>
                          <a:noFill/>
                          <a:ln>
                            <a:noFill/>
                          </a:ln>
                        </wps:spPr>
                        <wps:txbx>
                          <w:txbxContent>
                            <w:p w14:paraId="0312A250">
                              <w:pPr>
                                <w:pStyle w:val="8"/>
                                <w:numPr>
                                  <w:ilvl w:val="0"/>
                                  <w:numId w:val="0"/>
                                </w:numPr>
                                <w:kinsoku w:val="0"/>
                                <w:overflowPunct w:val="0"/>
                                <w:spacing w:before="13"/>
                                <w:ind w:leftChars="0" w:right="0"/>
                                <w:rPr>
                                  <w:rFonts w:hint="eastAsia"/>
                                  <w:sz w:val="28"/>
                                  <w:szCs w:val="28"/>
                                </w:rPr>
                              </w:pPr>
                            </w:p>
                            <w:p w14:paraId="1E0CC7A2">
                              <w:pPr>
                                <w:pStyle w:val="8"/>
                                <w:numPr>
                                  <w:ilvl w:val="0"/>
                                  <w:numId w:val="0"/>
                                </w:numPr>
                                <w:kinsoku w:val="0"/>
                                <w:overflowPunct w:val="0"/>
                                <w:ind w:right="0"/>
                                <w:jc w:val="center"/>
                              </w:pPr>
                              <w:r>
                                <w:rPr>
                                  <w:rFonts w:hint="eastAsia"/>
                                </w:rPr>
                                <w:t>法定代表人身份证复印件（正面）</w:t>
                              </w:r>
                            </w:p>
                          </w:txbxContent>
                        </wps:txbx>
                        <wps:bodyPr lIns="0" tIns="0" rIns="0" bIns="0" upright="1"/>
                      </wps:wsp>
                      <wps:wsp>
                        <wps:cNvPr id="35" name="矩形 35"/>
                        <wps:cNvSpPr/>
                        <wps:spPr>
                          <a:xfrm>
                            <a:off x="4044" y="19"/>
                            <a:ext cx="4025" cy="2258"/>
                          </a:xfrm>
                          <a:prstGeom prst="rect">
                            <a:avLst/>
                          </a:prstGeom>
                          <a:noFill/>
                          <a:ln>
                            <a:noFill/>
                          </a:ln>
                        </wps:spPr>
                        <wps:txbx>
                          <w:txbxContent>
                            <w:p w14:paraId="34B9BC6C">
                              <w:pPr>
                                <w:pStyle w:val="8"/>
                                <w:numPr>
                                  <w:ilvl w:val="0"/>
                                  <w:numId w:val="0"/>
                                </w:numPr>
                                <w:kinsoku w:val="0"/>
                                <w:overflowPunct w:val="0"/>
                                <w:spacing w:before="13"/>
                                <w:ind w:leftChars="0" w:right="0"/>
                                <w:rPr>
                                  <w:rFonts w:hint="eastAsia"/>
                                  <w:sz w:val="28"/>
                                  <w:szCs w:val="28"/>
                                </w:rPr>
                              </w:pPr>
                            </w:p>
                            <w:p w14:paraId="501ECF8B">
                              <w:pPr>
                                <w:pStyle w:val="8"/>
                                <w:numPr>
                                  <w:ilvl w:val="0"/>
                                  <w:numId w:val="0"/>
                                </w:numPr>
                                <w:kinsoku w:val="0"/>
                                <w:overflowPunct w:val="0"/>
                                <w:ind w:right="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l/l9z9YAAAAFAQAADwAAAAAAAAABACAA&#10;AAAiAAAAZHJzL2Rvd25yZXYueG1sUEsBAhQAFAAAAAgAh07iQCYHAcyCBAAA4iAAAA4AAAAAAAAA&#10;AQAgAAAAJQEAAGRycy9lMm9Eb2MueG1sUEsFBgAAAAAGAAYAWQEAABkIAAAAAA==&#10;">
                <o:lock v:ext="edit" aspectratio="f"/>
                <v:shape id="_x0000_s1026" o:spid="_x0000_s1026" o:spt="100" style="position:absolute;left:4;top:9;height:20;width:8079;" filled="f" stroked="t" coordsize="8079,20" o:gfxdata="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7ni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TYA+87wAAADb&#10;AAAADwAAAGRycy9kb3ducmV2LnhtbEWPQYvCMBSE7wv+h/AEb2tSQXGr0YMiiIsH6/6AR/NsS5uX&#10;kkSt++s3Cwt7HGbmG2a9HWwnHuRD41hDNlUgiEtnGq40fF0P70sQISIb7ByThhcF2G5Gb2vMjXvy&#10;hR5FrESCcMhRQx1jn0sZyposhqnriZN3c95iTNJX0nh8Jrjt5EyphbTYcFqosaddTWVb3K2GvffX&#10;s+xvxffpc++ySrXzj6HVejLO1ApEpCH+h//aR6NhNof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APvO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vVKghLwAAADb&#10;AAAADwAAAGRycy9kb3ducmV2LnhtbEWPQYvCMBSE7wv+h/CEva1JBUWr0YMiLMoerP6AR/NsS5uX&#10;kkTt7q83Cwt7HGbmG2a9HWwnHuRD41hDNlEgiEtnGq40XC+HjwWIEJENdo5JwzcF2G5Gb2vMjXvy&#10;mR5FrESCcMhRQx1jn0sZyposhonriZN3c95iTNJX0nh8Jrjt5FSpubTYcFqosaddTWVb3K2GvfeX&#10;L9nfip/jae+ySrWz5dBq/T7O1ApEpCH+h//an0bDdA6/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SoIS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szEw77gAAADb&#10;AAAADwAAAGRycy9kb3ducmV2LnhtbEVPy2oCMRTdF/yHcIVuiiYKyjgaXYgFoSvHdn+ZXCeDk5sx&#10;ic+vbxaFLg/nvdo8XCduFGLrWcNkrEAQ19603Gj4Pn6OChAxIRvsPJOGJ0XYrAdvKyyNv/OBblVq&#10;RA7hWKIGm1JfShlrSw7j2PfEmTv54DBlGBppAt5zuOvkVKm5dNhybrDY09ZSfa6uTsPr9LGf7Szu&#10;qrr4UV/FYnvBUGn9PpyoJYhEj/Qv/nPvjYZpHpu/5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zEw77gAAADbAAAA&#10;DwAAAAAAAAABACAAAAAiAAAAZHJzL2Rvd25yZXYueG1sUEsBAhQAFAAAAAgAh07iQDMvBZ47AAAA&#10;OQAAABAAAAAAAAAAAQAgAAAABwEAAGRycy9zaGFwZXhtbC54bWxQSwUGAAAAAAYABgBbAQAAsQMA&#10;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Sw69rr4AAADb&#10;AAAADwAAAGRycy9kb3ducmV2LnhtbEWPT4vCMBTE74LfIbwFL7JNFRGtjSK7CB6E9d9hvT2aZ1u3&#10;eSlNtPrtN4LgcZiZ3zDp4m4qcaPGlZYVDKIYBHFmdcm5guNh9TkB4TyyxsoyKXiQg8W820kx0bbl&#10;Hd32PhcBwi5BBYX3dSKlywoy6CJbEwfvbBuDPsgml7rBNsBNJYdxPJYGSw4LBdb0VVD2t78aBe36&#10;W5ZH/5P1893mMJr+LuvLaatU72MQz0B4uvt3+NVeawXDKTy/hB8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69r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3lvR67cAAADb&#10;AAAADwAAAGRycy9kb3ducmV2LnhtbEVPy4rCMBTdC/MP4Q6407QWRTrGIoUBV8L42F+aO02xuWmT&#10;jI+/N4sBl4fz3lQP24sb+dA5VpDPMxDEjdMdtwrOp+/ZGkSIyBp7x6TgSQGq7cdkg6V2d/6h2zG2&#10;IoVwKFGBiXEopQyNIYth7gbixP06bzEm6FupPd5TuO3lIstW0mLHqcHgQLWh5nr8swp8E2o9FqO5&#10;1OPhwjsc3KpYKjX9zLMvEJEe8S3+d++1giKtT1/SD5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W9Hr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sRd0cLsAAADb&#10;AAAADwAAAGRycy9kb3ducmV2LnhtbEWPwWrDMBBE74X+g9hCb43smpjgRgnFUOipUCe5L9bGMrVW&#10;tqTG7t9XgUCOw8y8Ybb7xQ7iQj70jhXkqwwEcet0z52C4+HjZQMiRGSNg2NS8EcB9rvHhy1W2s38&#10;TZcmdiJBOFSowMQ4VlKG1pDFsHIjcfLOzluMSfpOao9zgttBvmZZKS32nBYMjlQban+aX6vAt6HW&#10;UzGZUz19nfgdR1cWa6Wen/LsDUSkJd7Dt/anVlDkcP2Sfo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0c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cXqB7kAAADb&#10;AAAADwAAAGRycy9kb3ducmV2LnhtbEWPW4vCMBSE3wX/QziCb5pqUaQaZSkI+yR4ez80x6Zsc9Im&#10;8bL/3iws+DjMzDfMZveyrXiQD41jBbNpBoK4crrhWsHlvJ+sQISIrLF1TAp+KcBuOxxssNDuyUd6&#10;nGItEoRDgQpMjF0hZagMWQxT1xEn7+a8xZikr6X2+Exw28p5li2lxYbTgsGOSkPVz+luFfgqlLrP&#10;e3Mt+8OVv7Bzy3yh1Hg0y9YgIr3iJ/zf/tYK8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F6g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uzfikr0AAADb&#10;AAAADwAAAGRycy9kb3ducmV2LnhtbEWPQWvCQBSE74L/YXkFb7qxKUVTV8Gi1ksRY6HXZ/aZDWbf&#10;huwa7b/vCoLHYWa+YWaLm61FR62vHCsYjxIQxIXTFZcKfg7r4QSED8gaa8ek4I88LOb93gwz7a68&#10;py4PpYgQ9hkqMCE0mZS+MGTRj1xDHL2Tay2GKNtS6havEW5r+Zok79JixXHBYEOfhopzfrEKzr4z&#10;y+Pb5muX8vR7kh9Xze9ppdTgZZx8gAh0C8/wo73VCtIU7l/i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KS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312A250">
                        <w:pPr>
                          <w:pStyle w:val="8"/>
                          <w:numPr>
                            <w:ilvl w:val="0"/>
                            <w:numId w:val="0"/>
                          </w:numPr>
                          <w:kinsoku w:val="0"/>
                          <w:overflowPunct w:val="0"/>
                          <w:spacing w:before="13"/>
                          <w:ind w:leftChars="0" w:right="0"/>
                          <w:rPr>
                            <w:rFonts w:hint="eastAsia"/>
                            <w:sz w:val="28"/>
                            <w:szCs w:val="28"/>
                          </w:rPr>
                        </w:pPr>
                      </w:p>
                      <w:p w14:paraId="1E0CC7A2">
                        <w:pPr>
                          <w:pStyle w:val="8"/>
                          <w:numPr>
                            <w:ilvl w:val="0"/>
                            <w:numId w:val="0"/>
                          </w:numPr>
                          <w:kinsoku w:val="0"/>
                          <w:overflowPunct w:val="0"/>
                          <w:ind w:right="0"/>
                          <w:jc w:val="center"/>
                        </w:pPr>
                        <w:r>
                          <w:rPr>
                            <w:rFonts w:hint="eastAsia"/>
                          </w:rPr>
                          <w:t>法定代表人身份证复印件（正面）</w:t>
                        </w:r>
                      </w:p>
                    </w:txbxContent>
                  </v:textbox>
                </v:rect>
                <v:rect id="_x0000_s1026" o:spid="_x0000_s1026" o:spt="1" style="position:absolute;left:4044;top:19;height:2258;width:4025;" filled="f" stroked="f" coordsize="21600,21600" o:gfxdata="UEsDBAoAAAAAAIdO4kAAAAAAAAAAAAAAAAAEAAAAZHJzL1BLAwQUAAAACACHTuJAdg1e974AAADb&#10;AAAADwAAAGRycy9kb3ducmV2LnhtbEWPT4vCMBTE74LfITzBm6Yq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1e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B9BC6C">
                        <w:pPr>
                          <w:pStyle w:val="8"/>
                          <w:numPr>
                            <w:ilvl w:val="0"/>
                            <w:numId w:val="0"/>
                          </w:numPr>
                          <w:kinsoku w:val="0"/>
                          <w:overflowPunct w:val="0"/>
                          <w:spacing w:before="13"/>
                          <w:ind w:leftChars="0" w:right="0"/>
                          <w:rPr>
                            <w:rFonts w:hint="eastAsia"/>
                            <w:sz w:val="28"/>
                            <w:szCs w:val="28"/>
                          </w:rPr>
                        </w:pPr>
                      </w:p>
                      <w:p w14:paraId="501ECF8B">
                        <w:pPr>
                          <w:pStyle w:val="8"/>
                          <w:numPr>
                            <w:ilvl w:val="0"/>
                            <w:numId w:val="0"/>
                          </w:numPr>
                          <w:kinsoku w:val="0"/>
                          <w:overflowPunct w:val="0"/>
                          <w:ind w:right="0"/>
                        </w:pPr>
                        <w:r>
                          <w:rPr>
                            <w:rFonts w:hint="eastAsia"/>
                          </w:rPr>
                          <w:t>法定代表人身份证复印件（反面）</w:t>
                        </w:r>
                      </w:p>
                    </w:txbxContent>
                  </v:textbox>
                </v:rect>
                <w10:wrap type="none"/>
                <w10:anchorlock/>
              </v:group>
            </w:pict>
          </mc:Fallback>
        </mc:AlternateContent>
      </w:r>
    </w:p>
    <w:p w14:paraId="168354DC">
      <w:pPr>
        <w:wordWrap w:val="0"/>
        <w:spacing w:line="420" w:lineRule="exact"/>
        <w:ind w:firstLine="426" w:firstLineChars="200"/>
        <w:jc w:val="right"/>
        <w:rPr>
          <w:rFonts w:ascii="仿宋" w:hAnsi="仿宋" w:eastAsia="仿宋" w:cs="仿宋"/>
          <w:color w:val="auto"/>
          <w:highlight w:val="none"/>
        </w:rPr>
      </w:pPr>
    </w:p>
    <w:p w14:paraId="6BEFF3AC">
      <w:pPr>
        <w:pStyle w:val="39"/>
        <w:wordWrap/>
        <w:rPr>
          <w:rFonts w:ascii="仿宋" w:hAnsi="仿宋" w:eastAsia="仿宋" w:cs="仿宋"/>
          <w:color w:val="auto"/>
          <w:highlight w:val="none"/>
        </w:rPr>
      </w:pPr>
    </w:p>
    <w:p w14:paraId="0D44DA77">
      <w:pPr>
        <w:pStyle w:val="39"/>
        <w:wordWrap/>
        <w:rPr>
          <w:rFonts w:ascii="仿宋" w:hAnsi="仿宋" w:eastAsia="仿宋" w:cs="仿宋"/>
          <w:color w:val="auto"/>
          <w:highlight w:val="none"/>
        </w:rPr>
      </w:pPr>
    </w:p>
    <w:p w14:paraId="5D4CD6DA">
      <w:pPr>
        <w:pStyle w:val="39"/>
        <w:wordWrap/>
        <w:rPr>
          <w:rFonts w:ascii="仿宋" w:hAnsi="仿宋" w:eastAsia="仿宋" w:cs="仿宋"/>
          <w:color w:val="auto"/>
          <w:highlight w:val="none"/>
        </w:rPr>
      </w:pPr>
    </w:p>
    <w:p w14:paraId="63DA64E2">
      <w:pPr>
        <w:pStyle w:val="39"/>
        <w:wordWrap/>
        <w:rPr>
          <w:rFonts w:ascii="仿宋" w:hAnsi="仿宋" w:eastAsia="仿宋" w:cs="仿宋"/>
          <w:color w:val="auto"/>
          <w:highlight w:val="none"/>
        </w:rPr>
      </w:pPr>
    </w:p>
    <w:p w14:paraId="21BBE030">
      <w:pPr>
        <w:spacing w:line="420" w:lineRule="exact"/>
        <w:ind w:firstLine="426" w:firstLineChars="200"/>
        <w:jc w:val="right"/>
        <w:rPr>
          <w:rFonts w:ascii="仿宋" w:hAnsi="仿宋" w:eastAsia="仿宋" w:cs="仿宋"/>
          <w:color w:val="auto"/>
          <w:highlight w:val="none"/>
        </w:rPr>
      </w:pPr>
    </w:p>
    <w:p w14:paraId="1F06BA02">
      <w:pPr>
        <w:spacing w:line="420" w:lineRule="exact"/>
        <w:ind w:firstLine="426" w:firstLineChars="200"/>
        <w:jc w:val="righ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（公章）</w:t>
      </w:r>
    </w:p>
    <w:p w14:paraId="444FD68F">
      <w:pPr>
        <w:pStyle w:val="2"/>
        <w:ind w:firstLine="5103" w:firstLineChars="2100"/>
        <w:rPr>
          <w:rFonts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rPr>
        <w:t>法定代表人（</w:t>
      </w:r>
      <w:r>
        <w:rPr>
          <w:rFonts w:hint="eastAsia" w:ascii="仿宋" w:hAnsi="仿宋" w:eastAsia="仿宋" w:cs="仿宋"/>
          <w:b w:val="0"/>
          <w:bCs w:val="0"/>
          <w:color w:val="auto"/>
          <w:sz w:val="24"/>
          <w:szCs w:val="24"/>
          <w:highlight w:val="none"/>
          <w:lang w:eastAsia="zh-CN"/>
        </w:rPr>
        <w:t>签章</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u w:val="single"/>
          <w:lang w:eastAsia="zh-CN"/>
        </w:rPr>
        <w:t xml:space="preserve">         </w:t>
      </w:r>
    </w:p>
    <w:p w14:paraId="32268792">
      <w:pPr>
        <w:wordWrap w:val="0"/>
        <w:spacing w:line="420" w:lineRule="exact"/>
        <w:ind w:right="480" w:firstLine="426" w:firstLineChars="200"/>
        <w:jc w:val="cente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79D51C5B">
      <w:pPr>
        <w:pStyle w:val="8"/>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rPr>
        <w:t>三、授权委托书</w:t>
      </w:r>
    </w:p>
    <w:p w14:paraId="0513A2A7">
      <w:pPr>
        <w:spacing w:line="420" w:lineRule="exact"/>
        <w:rPr>
          <w:rFonts w:ascii="仿宋" w:hAnsi="仿宋" w:eastAsia="仿宋" w:cs="仿宋"/>
          <w:color w:val="auto"/>
          <w:highlight w:val="none"/>
        </w:rPr>
      </w:pPr>
      <w:r>
        <w:rPr>
          <w:rFonts w:hint="eastAsia" w:ascii="仿宋" w:hAnsi="仿宋" w:eastAsia="仿宋" w:cs="仿宋"/>
          <w:color w:val="auto"/>
          <w:highlight w:val="none"/>
        </w:rPr>
        <w:t xml:space="preserve">致：采购人名称 </w:t>
      </w:r>
    </w:p>
    <w:p w14:paraId="73BC5A67">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（投标人地址）</w:t>
      </w:r>
      <w:r>
        <w:rPr>
          <w:rFonts w:hint="eastAsia" w:ascii="仿宋" w:hAnsi="仿宋" w:eastAsia="仿宋" w:cs="仿宋"/>
          <w:color w:val="auto"/>
          <w:highlight w:val="none"/>
        </w:rPr>
        <w:t>的</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法定代表人（负责人）</w:t>
      </w:r>
      <w:r>
        <w:rPr>
          <w:rFonts w:hint="eastAsia" w:ascii="仿宋" w:hAnsi="仿宋" w:eastAsia="仿宋" w:cs="仿宋"/>
          <w:color w:val="auto"/>
          <w:highlight w:val="none"/>
          <w:u w:val="single"/>
        </w:rPr>
        <w:t>姓名、职务或职称）</w:t>
      </w:r>
      <w:r>
        <w:rPr>
          <w:rFonts w:hint="eastAsia" w:ascii="仿宋" w:hAnsi="仿宋" w:eastAsia="仿宋" w:cs="仿宋"/>
          <w:color w:val="auto"/>
          <w:highlight w:val="none"/>
        </w:rPr>
        <w:t>代表本公司授权</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为本单位的合法代理人，参与贵方组织的</w:t>
      </w:r>
      <w:r>
        <w:rPr>
          <w:rFonts w:hint="eastAsia" w:ascii="仿宋" w:hAnsi="仿宋" w:eastAsia="仿宋" w:cs="仿宋"/>
          <w:color w:val="auto"/>
          <w:highlight w:val="none"/>
          <w:u w:val="single"/>
        </w:rPr>
        <w:t>（项目名称及项目编号）</w:t>
      </w:r>
      <w:r>
        <w:rPr>
          <w:rFonts w:hint="eastAsia" w:ascii="仿宋" w:hAnsi="仿宋" w:eastAsia="仿宋" w:cs="仿宋"/>
          <w:color w:val="auto"/>
          <w:highlight w:val="none"/>
        </w:rPr>
        <w:t xml:space="preserve"> 的投标、谈判、签约等具体工作，并签署全部有关文件、协议及合同。</w:t>
      </w:r>
    </w:p>
    <w:p w14:paraId="34938BD6">
      <w:pPr>
        <w:adjustRightInd w:val="0"/>
        <w:snapToGrid w:val="0"/>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我单位对被授权人的上述经济活动负全部责任。在撤销授权的书面通知前，本授权书一直有效。被授权人在授权书有效期内签署的所有文件不因授权的撤消而失效。</w:t>
      </w:r>
    </w:p>
    <w:p w14:paraId="36A3D683">
      <w:pPr>
        <w:pStyle w:val="8"/>
        <w:kinsoku w:val="0"/>
        <w:overflowPunct w:val="0"/>
        <w:adjustRightInd w:val="0"/>
        <w:snapToGrid w:val="0"/>
        <w:spacing w:before="12"/>
        <w:rPr>
          <w:rFonts w:ascii="仿宋" w:hAnsi="仿宋" w:eastAsia="仿宋" w:cs="仿宋"/>
          <w:color w:val="auto"/>
          <w:sz w:val="4"/>
          <w:szCs w:val="4"/>
          <w:highlight w:val="none"/>
        </w:rPr>
      </w:pPr>
    </w:p>
    <w:p w14:paraId="3FBACAB2">
      <w:pPr>
        <w:pStyle w:val="8"/>
        <w:numPr>
          <w:ilvl w:val="0"/>
          <w:numId w:val="0"/>
        </w:numPr>
        <w:kinsoku w:val="0"/>
        <w:overflowPunct w:val="0"/>
        <w:adjustRightInd w:val="0"/>
        <w:snapToGrid w:val="0"/>
        <w:spacing w:line="200" w:lineRule="atLeast"/>
        <w:ind w:right="1693" w:rightChars="795"/>
        <w:jc w:val="center"/>
        <w:rPr>
          <w:rFonts w:ascii="仿宋" w:hAnsi="仿宋" w:eastAsia="仿宋" w:cs="仿宋"/>
          <w:color w:val="auto"/>
          <w:sz w:val="18"/>
          <w:szCs w:val="20"/>
          <w:highlight w:val="none"/>
        </w:rPr>
      </w:pPr>
    </w:p>
    <w:p w14:paraId="39419407">
      <w:pPr>
        <w:pStyle w:val="8"/>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23" name="组合 23"/>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11" name="任意多边形 1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2" name="任意多边形 1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3" name="任意多边形 1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4" name="任意多边形 1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8" name="任意多边形 1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1" name="矩形 21"/>
                        <wps:cNvSpPr/>
                        <wps:spPr>
                          <a:xfrm>
                            <a:off x="19" y="19"/>
                            <a:ext cx="4025" cy="2258"/>
                          </a:xfrm>
                          <a:prstGeom prst="rect">
                            <a:avLst/>
                          </a:prstGeom>
                          <a:noFill/>
                          <a:ln>
                            <a:noFill/>
                          </a:ln>
                        </wps:spPr>
                        <wps:txbx>
                          <w:txbxContent>
                            <w:p w14:paraId="481F407A">
                              <w:pPr>
                                <w:pStyle w:val="8"/>
                                <w:numPr>
                                  <w:ilvl w:val="0"/>
                                  <w:numId w:val="0"/>
                                </w:numPr>
                                <w:kinsoku w:val="0"/>
                                <w:overflowPunct w:val="0"/>
                                <w:spacing w:before="12"/>
                                <w:ind w:leftChars="0" w:right="0"/>
                                <w:rPr>
                                  <w:rFonts w:hint="eastAsia"/>
                                  <w:sz w:val="28"/>
                                  <w:szCs w:val="28"/>
                                </w:rPr>
                              </w:pPr>
                            </w:p>
                            <w:p w14:paraId="0D7B52DA">
                              <w:pPr>
                                <w:pStyle w:val="8"/>
                                <w:numPr>
                                  <w:ilvl w:val="0"/>
                                  <w:numId w:val="0"/>
                                </w:numPr>
                                <w:kinsoku w:val="0"/>
                                <w:overflowPunct w:val="0"/>
                                <w:ind w:right="0"/>
                                <w:jc w:val="center"/>
                                <w:rPr>
                                  <w:rFonts w:hint="eastAsia"/>
                                </w:rPr>
                              </w:pPr>
                            </w:p>
                            <w:p w14:paraId="7E575C16">
                              <w:pPr>
                                <w:pStyle w:val="8"/>
                                <w:numPr>
                                  <w:ilvl w:val="0"/>
                                  <w:numId w:val="0"/>
                                </w:numPr>
                                <w:kinsoku w:val="0"/>
                                <w:overflowPunct w:val="0"/>
                                <w:ind w:right="0"/>
                                <w:jc w:val="center"/>
                              </w:pPr>
                              <w:r>
                                <w:rPr>
                                  <w:rFonts w:hint="eastAsia"/>
                                </w:rPr>
                                <w:t>授权人身份证复印件（正面）</w:t>
                              </w:r>
                            </w:p>
                          </w:txbxContent>
                        </wps:txbx>
                        <wps:bodyPr lIns="0" tIns="0" rIns="0" bIns="0" upright="1"/>
                      </wps:wsp>
                      <wps:wsp>
                        <wps:cNvPr id="22" name="矩形 22"/>
                        <wps:cNvSpPr/>
                        <wps:spPr>
                          <a:xfrm>
                            <a:off x="4044" y="19"/>
                            <a:ext cx="4025" cy="2258"/>
                          </a:xfrm>
                          <a:prstGeom prst="rect">
                            <a:avLst/>
                          </a:prstGeom>
                          <a:noFill/>
                          <a:ln>
                            <a:noFill/>
                          </a:ln>
                        </wps:spPr>
                        <wps:txbx>
                          <w:txbxContent>
                            <w:p w14:paraId="6839992A">
                              <w:pPr>
                                <w:pStyle w:val="8"/>
                                <w:numPr>
                                  <w:ilvl w:val="0"/>
                                  <w:numId w:val="0"/>
                                </w:numPr>
                                <w:kinsoku w:val="0"/>
                                <w:overflowPunct w:val="0"/>
                                <w:ind w:right="0"/>
                                <w:rPr>
                                  <w:rFonts w:hint="eastAsia"/>
                                </w:rPr>
                              </w:pPr>
                            </w:p>
                            <w:p w14:paraId="3D38370F">
                              <w:pPr>
                                <w:pStyle w:val="8"/>
                                <w:numPr>
                                  <w:ilvl w:val="0"/>
                                  <w:numId w:val="0"/>
                                </w:numPr>
                                <w:kinsoku w:val="0"/>
                                <w:overflowPunct w:val="0"/>
                                <w:ind w:right="0"/>
                                <w:rPr>
                                  <w:rFonts w:hint="eastAsia"/>
                                </w:rPr>
                              </w:pPr>
                            </w:p>
                            <w:p w14:paraId="2A66E89B">
                              <w:pPr>
                                <w:pStyle w:val="8"/>
                                <w:numPr>
                                  <w:ilvl w:val="0"/>
                                  <w:numId w:val="0"/>
                                </w:numPr>
                                <w:kinsoku w:val="0"/>
                                <w:overflowPunct w:val="0"/>
                                <w:ind w:right="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X+X3P1gAAAAUBAAAPAAAAAAAAAAEAIAAA&#10;ACIAAABkcnMvZG93bnJldi54bWxQSwECFAAUAAAACACHTuJAAEcsqYEEAADiIAAADgAAAAAAAAAB&#10;ACAAAAAlAQAAZHJzL2Uyb0RvYy54bWxQSwUGAAAAAAYABgBZAQAAGAgAAAAA&#10;">
                <o:lock v:ext="edit" aspectratio="f"/>
                <v:shape id="_x0000_s1026" o:spid="_x0000_s1026" o:spt="100" style="position:absolute;left:4;top:9;height:20;width:8079;" filled="f" stroked="t" coordsize="8079,20" o:gfxdata="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6Ydd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Y0nJoboAAADb&#10;AAAADwAAAGRycy9kb3ducmV2LnhtbEVPzWoCMRC+C75DmEJvmmyLxW6NHhRBFA9d+wDDZtxddjNZ&#10;klRXn94UCt7m4/udxWqwnbiQD41jDdlUgSAunWm40vBz2k7mIEJENtg5Jg03CrBajkcLzI278jdd&#10;iliJFMIhRw11jH0uZShrshimridO3Nl5izFBX0nj8ZrCbSfflPqQFhtODTX2tK6pbItfq2Hj/eko&#10;+3Nx3x82LqtUO/scWq1fXzL1BSLSEJ/if/fOpPnv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Scmh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k1xVzLkAAADb&#10;AAAADwAAAGRycy9kb3ducmV2LnhtbEVPTWsCMRC9C/6HMAUvUhMFy7o1ehALgie3eh8242bpZrIm&#10;qdr+eiMUepvH+5zl+u46caUQW88aphMFgrj2puVGw/Hz47UAEROywc4zafihCOvVcLDE0vgbH+ha&#10;pUbkEI4larAp9aWUsbbkME58T5y5sw8OU4ahkSbgLYe7Ts6UepMOW84NFnvaWKq/qm+n4fc83s23&#10;FrdVXZzUvlhsLhgqrUcvU/UOItE9/Yv/3DuT58/h+Us+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cVcy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9P3jYbwAAADb&#10;AAAADwAAAGRycy9kb3ducmV2LnhtbEVPS4vCMBC+L/gfwgheFk2VRbQ2iuwi9LDg+jjobWjGttpM&#10;ShOt/nsjLHibj+85yeJuKnGjxpWWFQwHEQjizOqScwX73ao/AeE8ssbKMil4kIPFvPORYKxtyxu6&#10;bX0uQgi7GBUU3texlC4ryKAb2Jo4cCfbGPQBNrnUDbYh3FRyFEVjabDk0FBgTd8FZZft1Sho0x9Z&#10;7v06+8w3v7uv6WFZn49/SvW6w2gGwtPdv8X/7lSH+WN4/RIO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942G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GgcV/7gAAADb&#10;AAAADwAAAGRycy9kb3ducmV2LnhtbEVPS4vCMBC+C/sfwgh701RFd6lGWQoLexJ89D40Y1NsJm0S&#10;H/vvjSB4m4/vOavN3bbiSj40jhVMxhkI4srphmsFx8Pv6BtEiMgaW8ek4J8CbNYfgxXm2t14R9d9&#10;rEUK4ZCjAhNjl0sZKkMWw9h1xIk7OW8xJuhrqT3eUrht5TTLFtJiw6nBYEeFoeq8v1gFvgqF7me9&#10;KYt+W/IPdm4xmyv1OZxkSxCR7vEtfrn/dJr/B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cV/7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BNQkFrgAAADb&#10;AAAADwAAAGRycy9kb3ducmV2LnhtbEVPS4vCMBC+C/sfwgh701RF2a1GWQoLexJ89D40Y1NsJm0S&#10;H/vvjSB4m4/vOavN3bbiSj40jhVMxhkI4srphmsFx8Pv6AtEiMgaW8ek4J8CbNYfgxXm2t14R9d9&#10;rEUK4ZCjAhNjl0sZKkMWw9h1xIk7OW8xJuhrqT3eUrht5TTLFtJiw6nBYEeFoeq8v1gFvgqF7me9&#10;KYt+W/IPdm4xmyv1OZxkSxCR7vEtfrn/dJr/D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NQkFr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zjzqOLoAAADb&#10;AAAADwAAAGRycy9kb3ducmV2LnhtbEVPy4rCMBTdD/gP4QruxlQdBq1GQfG1GcQquL0216bY3JQm&#10;VufvzWJglofzni1ethItNb50rGDQT0AQ506XXCg4nzafYxA+IGusHJOCX/KwmHc+Zphq9+QjtVko&#10;RAxhn6ICE0KdSulzQxZ939XEkbu5xmKIsCmkbvAZw20lh0nyLS2WHBsM1rQylN+zh1Vw961ZXr+2&#10;u8OIJz/j7LquL7e1Ur3uIJmCCPQK/+I/914rGMb18Uv8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POo4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81F407A">
                        <w:pPr>
                          <w:pStyle w:val="8"/>
                          <w:numPr>
                            <w:ilvl w:val="0"/>
                            <w:numId w:val="0"/>
                          </w:numPr>
                          <w:kinsoku w:val="0"/>
                          <w:overflowPunct w:val="0"/>
                          <w:spacing w:before="12"/>
                          <w:ind w:leftChars="0" w:right="0"/>
                          <w:rPr>
                            <w:rFonts w:hint="eastAsia"/>
                            <w:sz w:val="28"/>
                            <w:szCs w:val="28"/>
                          </w:rPr>
                        </w:pPr>
                      </w:p>
                      <w:p w14:paraId="0D7B52DA">
                        <w:pPr>
                          <w:pStyle w:val="8"/>
                          <w:numPr>
                            <w:ilvl w:val="0"/>
                            <w:numId w:val="0"/>
                          </w:numPr>
                          <w:kinsoku w:val="0"/>
                          <w:overflowPunct w:val="0"/>
                          <w:ind w:right="0"/>
                          <w:jc w:val="center"/>
                          <w:rPr>
                            <w:rFonts w:hint="eastAsia"/>
                          </w:rPr>
                        </w:pPr>
                      </w:p>
                      <w:p w14:paraId="7E575C16">
                        <w:pPr>
                          <w:pStyle w:val="8"/>
                          <w:numPr>
                            <w:ilvl w:val="0"/>
                            <w:numId w:val="0"/>
                          </w:numPr>
                          <w:kinsoku w:val="0"/>
                          <w:overflowPunct w:val="0"/>
                          <w:ind w:right="0"/>
                          <w:jc w:val="center"/>
                        </w:pPr>
                        <w:r>
                          <w:rPr>
                            <w:rFonts w:hint="eastAsia"/>
                          </w:rPr>
                          <w:t>授权人身份证复印件（正面）</w:t>
                        </w:r>
                      </w:p>
                    </w:txbxContent>
                  </v:textbox>
                </v:rect>
                <v:rect id="_x0000_s1026" o:spid="_x0000_s1026" o:spt="1" style="position:absolute;left:4044;top:19;height:2258;width:4025;"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39992A">
                        <w:pPr>
                          <w:pStyle w:val="8"/>
                          <w:numPr>
                            <w:ilvl w:val="0"/>
                            <w:numId w:val="0"/>
                          </w:numPr>
                          <w:kinsoku w:val="0"/>
                          <w:overflowPunct w:val="0"/>
                          <w:ind w:right="0"/>
                          <w:rPr>
                            <w:rFonts w:hint="eastAsia"/>
                          </w:rPr>
                        </w:pPr>
                      </w:p>
                      <w:p w14:paraId="3D38370F">
                        <w:pPr>
                          <w:pStyle w:val="8"/>
                          <w:numPr>
                            <w:ilvl w:val="0"/>
                            <w:numId w:val="0"/>
                          </w:numPr>
                          <w:kinsoku w:val="0"/>
                          <w:overflowPunct w:val="0"/>
                          <w:ind w:right="0"/>
                          <w:rPr>
                            <w:rFonts w:hint="eastAsia"/>
                          </w:rPr>
                        </w:pPr>
                      </w:p>
                      <w:p w14:paraId="2A66E89B">
                        <w:pPr>
                          <w:pStyle w:val="8"/>
                          <w:numPr>
                            <w:ilvl w:val="0"/>
                            <w:numId w:val="0"/>
                          </w:numPr>
                          <w:kinsoku w:val="0"/>
                          <w:overflowPunct w:val="0"/>
                          <w:ind w:right="0"/>
                        </w:pPr>
                        <w:r>
                          <w:rPr>
                            <w:rFonts w:hint="eastAsia"/>
                          </w:rPr>
                          <w:t>授权人身份证复印件（反面）</w:t>
                        </w:r>
                      </w:p>
                    </w:txbxContent>
                  </v:textbox>
                </v:rect>
                <w10:wrap type="none"/>
                <w10:anchorlock/>
              </v:group>
            </w:pict>
          </mc:Fallback>
        </mc:AlternateContent>
      </w:r>
    </w:p>
    <w:p w14:paraId="7753F013">
      <w:pPr>
        <w:pStyle w:val="8"/>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384935"/>
                <wp:effectExtent l="1905" t="1905" r="5080" b="3810"/>
                <wp:docPr id="49" name="组合 49"/>
                <wp:cNvGraphicFramePr/>
                <a:graphic xmlns:a="http://schemas.openxmlformats.org/drawingml/2006/main">
                  <a:graphicData uri="http://schemas.microsoft.com/office/word/2010/wordprocessingGroup">
                    <wpg:wgp>
                      <wpg:cNvGrpSpPr/>
                      <wpg:grpSpPr>
                        <a:xfrm>
                          <a:off x="0" y="0"/>
                          <a:ext cx="5136515" cy="1384935"/>
                          <a:chOff x="4" y="4"/>
                          <a:chExt cx="8094" cy="2186"/>
                        </a:xfrm>
                      </wpg:grpSpPr>
                      <wps:wsp>
                        <wps:cNvPr id="37" name="任意多边形 3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4"/>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5"/>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6"/>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矩形 47"/>
                        <wps:cNvSpPr/>
                        <wps:spPr>
                          <a:xfrm>
                            <a:off x="19" y="19"/>
                            <a:ext cx="4025" cy="2142"/>
                          </a:xfrm>
                          <a:prstGeom prst="rect">
                            <a:avLst/>
                          </a:prstGeom>
                          <a:noFill/>
                          <a:ln>
                            <a:noFill/>
                          </a:ln>
                        </wps:spPr>
                        <wps:txbx>
                          <w:txbxContent>
                            <w:p w14:paraId="0F619881">
                              <w:pPr>
                                <w:pStyle w:val="8"/>
                                <w:numPr>
                                  <w:ilvl w:val="0"/>
                                  <w:numId w:val="0"/>
                                </w:numPr>
                                <w:kinsoku w:val="0"/>
                                <w:overflowPunct w:val="0"/>
                                <w:ind w:right="0"/>
                                <w:rPr>
                                  <w:rFonts w:hint="eastAsia"/>
                                </w:rPr>
                              </w:pPr>
                            </w:p>
                            <w:p w14:paraId="337F4E45">
                              <w:pPr>
                                <w:pStyle w:val="8"/>
                                <w:numPr>
                                  <w:ilvl w:val="0"/>
                                  <w:numId w:val="0"/>
                                </w:numPr>
                                <w:kinsoku w:val="0"/>
                                <w:overflowPunct w:val="0"/>
                                <w:ind w:right="0"/>
                                <w:rPr>
                                  <w:rFonts w:hint="eastAsia"/>
                                </w:rPr>
                              </w:pPr>
                            </w:p>
                            <w:p w14:paraId="72D240F3">
                              <w:pPr>
                                <w:pStyle w:val="8"/>
                                <w:numPr>
                                  <w:ilvl w:val="0"/>
                                  <w:numId w:val="0"/>
                                </w:numPr>
                                <w:kinsoku w:val="0"/>
                                <w:overflowPunct w:val="0"/>
                                <w:ind w:right="0"/>
                                <w:jc w:val="center"/>
                              </w:pPr>
                              <w:r>
                                <w:rPr>
                                  <w:rFonts w:hint="eastAsia"/>
                                </w:rPr>
                                <w:t>被授权代表身份证复印件（正面）</w:t>
                              </w:r>
                            </w:p>
                          </w:txbxContent>
                        </wps:txbx>
                        <wps:bodyPr lIns="0" tIns="0" rIns="0" bIns="0" upright="1"/>
                      </wps:wsp>
                      <wps:wsp>
                        <wps:cNvPr id="48" name="矩形 48"/>
                        <wps:cNvSpPr/>
                        <wps:spPr>
                          <a:xfrm>
                            <a:off x="4044" y="19"/>
                            <a:ext cx="4025" cy="2142"/>
                          </a:xfrm>
                          <a:prstGeom prst="rect">
                            <a:avLst/>
                          </a:prstGeom>
                          <a:noFill/>
                          <a:ln>
                            <a:noFill/>
                          </a:ln>
                        </wps:spPr>
                        <wps:txbx>
                          <w:txbxContent>
                            <w:p w14:paraId="3EF22AEF">
                              <w:pPr>
                                <w:pStyle w:val="8"/>
                                <w:numPr>
                                  <w:ilvl w:val="0"/>
                                  <w:numId w:val="0"/>
                                </w:numPr>
                                <w:kinsoku w:val="0"/>
                                <w:overflowPunct w:val="0"/>
                                <w:ind w:right="0"/>
                                <w:rPr>
                                  <w:rFonts w:hint="eastAsia"/>
                                </w:rPr>
                              </w:pPr>
                            </w:p>
                            <w:p w14:paraId="69C6E971">
                              <w:pPr>
                                <w:pStyle w:val="8"/>
                                <w:numPr>
                                  <w:ilvl w:val="0"/>
                                  <w:numId w:val="0"/>
                                </w:numPr>
                                <w:kinsoku w:val="0"/>
                                <w:overflowPunct w:val="0"/>
                                <w:ind w:right="0"/>
                                <w:rPr>
                                  <w:rFonts w:hint="eastAsia"/>
                                </w:rPr>
                              </w:pPr>
                            </w:p>
                            <w:p w14:paraId="033C9C0F">
                              <w:pPr>
                                <w:pStyle w:val="8"/>
                                <w:numPr>
                                  <w:ilvl w:val="0"/>
                                  <w:numId w:val="0"/>
                                </w:numPr>
                                <w:kinsoku w:val="0"/>
                                <w:overflowPunct w:val="0"/>
                                <w:ind w:right="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origin="4,4" coordsize="8094,2186"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IUvYTNYAAAAFAQAADwAAAAAA&#10;AAABACAAAAAiAAAAZHJzL2Rvd25yZXYueG1sUEsBAhQAFAAAAAgAh07iQNswWw+IBAAA4iAAAA4A&#10;AAAAAAAAAQAgAAAAJQEAAGRycy9lMm9Eb2MueG1sUEsFBgAAAAAGAAYAWQEAAB8IAAAAAA==&#10;">
                <o:lock v:ext="edit" aspectratio="f"/>
                <v:shape id="_x0000_s1026"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rect id="_x0000_s1026" o:spid="_x0000_s1026" o:spt="1" style="position:absolute;left:19;top:19;height:2142;width:4025;"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619881">
                        <w:pPr>
                          <w:pStyle w:val="8"/>
                          <w:numPr>
                            <w:ilvl w:val="0"/>
                            <w:numId w:val="0"/>
                          </w:numPr>
                          <w:kinsoku w:val="0"/>
                          <w:overflowPunct w:val="0"/>
                          <w:ind w:right="0"/>
                          <w:rPr>
                            <w:rFonts w:hint="eastAsia"/>
                          </w:rPr>
                        </w:pPr>
                      </w:p>
                      <w:p w14:paraId="337F4E45">
                        <w:pPr>
                          <w:pStyle w:val="8"/>
                          <w:numPr>
                            <w:ilvl w:val="0"/>
                            <w:numId w:val="0"/>
                          </w:numPr>
                          <w:kinsoku w:val="0"/>
                          <w:overflowPunct w:val="0"/>
                          <w:ind w:right="0"/>
                          <w:rPr>
                            <w:rFonts w:hint="eastAsia"/>
                          </w:rPr>
                        </w:pPr>
                      </w:p>
                      <w:p w14:paraId="72D240F3">
                        <w:pPr>
                          <w:pStyle w:val="8"/>
                          <w:numPr>
                            <w:ilvl w:val="0"/>
                            <w:numId w:val="0"/>
                          </w:numPr>
                          <w:kinsoku w:val="0"/>
                          <w:overflowPunct w:val="0"/>
                          <w:ind w:right="0"/>
                          <w:jc w:val="center"/>
                        </w:pPr>
                        <w:r>
                          <w:rPr>
                            <w:rFonts w:hint="eastAsia"/>
                          </w:rPr>
                          <w:t>被授权代表身份证复印件（正面）</w:t>
                        </w:r>
                      </w:p>
                    </w:txbxContent>
                  </v:textbox>
                </v:rect>
                <v:rect id="_x0000_s1026" o:spid="_x0000_s1026" o:spt="1" style="position:absolute;left:4044;top:19;height:2142;width:4025;"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3EF22AEF">
                        <w:pPr>
                          <w:pStyle w:val="8"/>
                          <w:numPr>
                            <w:ilvl w:val="0"/>
                            <w:numId w:val="0"/>
                          </w:numPr>
                          <w:kinsoku w:val="0"/>
                          <w:overflowPunct w:val="0"/>
                          <w:ind w:right="0"/>
                          <w:rPr>
                            <w:rFonts w:hint="eastAsia"/>
                          </w:rPr>
                        </w:pPr>
                      </w:p>
                      <w:p w14:paraId="69C6E971">
                        <w:pPr>
                          <w:pStyle w:val="8"/>
                          <w:numPr>
                            <w:ilvl w:val="0"/>
                            <w:numId w:val="0"/>
                          </w:numPr>
                          <w:kinsoku w:val="0"/>
                          <w:overflowPunct w:val="0"/>
                          <w:ind w:right="0"/>
                          <w:rPr>
                            <w:rFonts w:hint="eastAsia"/>
                          </w:rPr>
                        </w:pPr>
                      </w:p>
                      <w:p w14:paraId="033C9C0F">
                        <w:pPr>
                          <w:pStyle w:val="8"/>
                          <w:numPr>
                            <w:ilvl w:val="0"/>
                            <w:numId w:val="0"/>
                          </w:numPr>
                          <w:kinsoku w:val="0"/>
                          <w:overflowPunct w:val="0"/>
                          <w:ind w:right="0"/>
                        </w:pPr>
                        <w:r>
                          <w:rPr>
                            <w:rFonts w:hint="eastAsia"/>
                          </w:rPr>
                          <w:t>被授权代表身份证复印件（反面）</w:t>
                        </w:r>
                      </w:p>
                    </w:txbxContent>
                  </v:textbox>
                </v:rect>
                <w10:wrap type="none"/>
                <w10:anchorlock/>
              </v:group>
            </w:pict>
          </mc:Fallback>
        </mc:AlternateContent>
      </w:r>
    </w:p>
    <w:p w14:paraId="3CA6F64E">
      <w:pPr>
        <w:rPr>
          <w:rFonts w:ascii="仿宋" w:hAnsi="仿宋" w:eastAsia="仿宋" w:cs="仿宋"/>
          <w:color w:val="auto"/>
          <w:sz w:val="18"/>
          <w:szCs w:val="20"/>
          <w:highlight w:val="none"/>
        </w:rPr>
      </w:pPr>
    </w:p>
    <w:p w14:paraId="754386F9">
      <w:pPr>
        <w:pStyle w:val="39"/>
        <w:rPr>
          <w:rFonts w:ascii="仿宋" w:hAnsi="仿宋" w:eastAsia="仿宋" w:cs="仿宋"/>
          <w:color w:val="auto"/>
          <w:sz w:val="18"/>
          <w:szCs w:val="20"/>
          <w:highlight w:val="none"/>
        </w:rPr>
      </w:pPr>
    </w:p>
    <w:p w14:paraId="1E76964E">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p>
    <w:p w14:paraId="5A81BF45">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3921795B">
      <w:pPr>
        <w:pStyle w:val="8"/>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p>
    <w:p w14:paraId="66DE9FFF">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29BB93EB">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13B9E404">
      <w:pPr>
        <w:rPr>
          <w:rFonts w:ascii="仿宋" w:hAnsi="仿宋" w:eastAsia="仿宋" w:cs="仿宋"/>
          <w:color w:val="auto"/>
          <w:highlight w:val="none"/>
        </w:rPr>
      </w:pPr>
    </w:p>
    <w:p w14:paraId="1901EB80">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6" w:leftChars="50" w:right="238" w:firstLine="2916" w:firstLineChars="1200"/>
        <w:jc w:val="both"/>
        <w:rPr>
          <w:rFonts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08F4F3B7">
      <w:pPr>
        <w:rPr>
          <w:rFonts w:ascii="仿宋" w:hAnsi="仿宋" w:eastAsia="仿宋" w:cs="仿宋"/>
          <w:color w:val="auto"/>
          <w:sz w:val="20"/>
          <w:highlight w:val="none"/>
        </w:rPr>
      </w:pPr>
    </w:p>
    <w:p w14:paraId="4F76E381">
      <w:pPr>
        <w:pStyle w:val="68"/>
        <w:rPr>
          <w:rFonts w:ascii="仿宋" w:hAnsi="仿宋" w:eastAsia="仿宋" w:cs="仿宋"/>
          <w:color w:val="auto"/>
          <w:sz w:val="20"/>
          <w:highlight w:val="none"/>
        </w:rPr>
      </w:pPr>
    </w:p>
    <w:p w14:paraId="3A36B39A">
      <w:pPr>
        <w:pStyle w:val="4"/>
        <w:tabs>
          <w:tab w:val="left" w:pos="540"/>
        </w:tabs>
        <w:spacing w:line="240" w:lineRule="atLeast"/>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四、</w:t>
      </w:r>
      <w:r>
        <w:rPr>
          <w:rFonts w:hint="eastAsia" w:ascii="仿宋" w:hAnsi="仿宋" w:eastAsia="仿宋" w:cs="仿宋"/>
          <w:bCs/>
          <w:color w:val="auto"/>
          <w:sz w:val="36"/>
          <w:szCs w:val="36"/>
          <w:highlight w:val="none"/>
        </w:rPr>
        <w:t>投标保证金缴纳凭证或投标担保函</w:t>
      </w:r>
    </w:p>
    <w:p w14:paraId="6EB172B3">
      <w:pPr>
        <w:ind w:firstLine="426" w:firstLineChars="200"/>
        <w:rPr>
          <w:rFonts w:ascii="仿宋" w:hAnsi="仿宋" w:eastAsia="仿宋" w:cs="仿宋"/>
          <w:color w:val="auto"/>
          <w:highlight w:val="none"/>
        </w:rPr>
      </w:pPr>
      <w:bookmarkStart w:id="147" w:name="_Toc494296665"/>
      <w:bookmarkStart w:id="148" w:name="_Toc494296991"/>
    </w:p>
    <w:bookmarkEnd w:id="147"/>
    <w:bookmarkEnd w:id="148"/>
    <w:p w14:paraId="5625153F">
      <w:pPr>
        <w:pStyle w:val="5"/>
        <w:rPr>
          <w:rFonts w:ascii="仿宋" w:hAnsi="仿宋" w:eastAsia="仿宋" w:cs="仿宋"/>
          <w:color w:val="auto"/>
          <w:highlight w:val="none"/>
        </w:rPr>
      </w:pPr>
    </w:p>
    <w:tbl>
      <w:tblPr>
        <w:tblStyle w:val="2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B9A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7436673">
            <w:pPr>
              <w:rPr>
                <w:rFonts w:ascii="仿宋" w:hAnsi="仿宋" w:eastAsia="仿宋" w:cs="仿宋"/>
                <w:b/>
                <w:bCs/>
                <w:color w:val="auto"/>
                <w:sz w:val="30"/>
                <w:szCs w:val="30"/>
                <w:highlight w:val="none"/>
              </w:rPr>
            </w:pPr>
          </w:p>
          <w:p w14:paraId="276BCFC0">
            <w:pPr>
              <w:jc w:val="center"/>
              <w:rPr>
                <w:rFonts w:ascii="仿宋" w:hAnsi="仿宋" w:eastAsia="仿宋" w:cs="仿宋"/>
                <w:b/>
                <w:bCs/>
                <w:color w:val="auto"/>
                <w:sz w:val="30"/>
                <w:szCs w:val="30"/>
                <w:highlight w:val="none"/>
              </w:rPr>
            </w:pPr>
          </w:p>
          <w:p w14:paraId="5A0FADBC">
            <w:pPr>
              <w:jc w:val="center"/>
              <w:rPr>
                <w:rFonts w:ascii="仿宋" w:hAnsi="仿宋" w:eastAsia="仿宋" w:cs="仿宋"/>
                <w:b/>
                <w:bCs/>
                <w:color w:val="auto"/>
                <w:sz w:val="30"/>
                <w:szCs w:val="30"/>
                <w:highlight w:val="none"/>
              </w:rPr>
            </w:pPr>
          </w:p>
          <w:p w14:paraId="139098BA">
            <w:pPr>
              <w:jc w:val="center"/>
              <w:rPr>
                <w:rFonts w:ascii="仿宋" w:hAnsi="仿宋" w:eastAsia="仿宋" w:cs="仿宋"/>
                <w:b/>
                <w:bCs/>
                <w:color w:val="auto"/>
                <w:sz w:val="30"/>
                <w:szCs w:val="30"/>
                <w:highlight w:val="none"/>
              </w:rPr>
            </w:pPr>
          </w:p>
          <w:p w14:paraId="7B2F2C5F">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投标保证金缴纳凭证</w:t>
            </w:r>
          </w:p>
        </w:tc>
      </w:tr>
    </w:tbl>
    <w:p w14:paraId="513DAF5D">
      <w:pPr>
        <w:pStyle w:val="5"/>
        <w:rPr>
          <w:rFonts w:ascii="仿宋" w:hAnsi="仿宋" w:eastAsia="仿宋" w:cs="仿宋"/>
          <w:color w:val="auto"/>
          <w:highlight w:val="none"/>
        </w:rPr>
      </w:pPr>
    </w:p>
    <w:p w14:paraId="626C90B0">
      <w:pPr>
        <w:spacing w:line="240" w:lineRule="atLeast"/>
        <w:ind w:left="1087" w:leftChars="257" w:hanging="540"/>
        <w:jc w:val="center"/>
        <w:rPr>
          <w:rFonts w:ascii="仿宋" w:hAnsi="仿宋" w:eastAsia="仿宋" w:cs="仿宋"/>
          <w:color w:val="auto"/>
          <w:highlight w:val="none"/>
        </w:rPr>
      </w:pPr>
    </w:p>
    <w:p w14:paraId="35441F5B">
      <w:pPr>
        <w:rPr>
          <w:rFonts w:ascii="仿宋" w:hAnsi="仿宋" w:eastAsia="仿宋" w:cs="仿宋"/>
          <w:color w:val="auto"/>
          <w:sz w:val="28"/>
          <w:szCs w:val="28"/>
          <w:highlight w:val="none"/>
        </w:rPr>
      </w:pPr>
    </w:p>
    <w:tbl>
      <w:tblPr>
        <w:tblStyle w:val="2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B52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F0090D2">
            <w:pPr>
              <w:rPr>
                <w:rFonts w:ascii="仿宋" w:hAnsi="仿宋" w:eastAsia="仿宋" w:cs="仿宋"/>
                <w:b/>
                <w:bCs/>
                <w:color w:val="auto"/>
                <w:sz w:val="30"/>
                <w:szCs w:val="30"/>
                <w:highlight w:val="none"/>
              </w:rPr>
            </w:pPr>
          </w:p>
          <w:p w14:paraId="7F10E1AD">
            <w:pPr>
              <w:jc w:val="center"/>
              <w:rPr>
                <w:rFonts w:ascii="仿宋" w:hAnsi="仿宋" w:eastAsia="仿宋" w:cs="仿宋"/>
                <w:b/>
                <w:bCs/>
                <w:color w:val="auto"/>
                <w:sz w:val="30"/>
                <w:szCs w:val="30"/>
                <w:highlight w:val="none"/>
              </w:rPr>
            </w:pPr>
          </w:p>
          <w:p w14:paraId="0DEB5300">
            <w:pPr>
              <w:jc w:val="center"/>
              <w:rPr>
                <w:rFonts w:ascii="仿宋" w:hAnsi="仿宋" w:eastAsia="仿宋" w:cs="仿宋"/>
                <w:b/>
                <w:bCs/>
                <w:color w:val="auto"/>
                <w:sz w:val="30"/>
                <w:szCs w:val="30"/>
                <w:highlight w:val="none"/>
              </w:rPr>
            </w:pPr>
          </w:p>
          <w:p w14:paraId="6D93A09D">
            <w:pPr>
              <w:jc w:val="center"/>
              <w:rPr>
                <w:rFonts w:ascii="仿宋" w:hAnsi="仿宋" w:eastAsia="仿宋" w:cs="仿宋"/>
                <w:b/>
                <w:bCs/>
                <w:color w:val="auto"/>
                <w:sz w:val="30"/>
                <w:szCs w:val="30"/>
                <w:highlight w:val="none"/>
              </w:rPr>
            </w:pPr>
          </w:p>
          <w:p w14:paraId="1BFFB69C">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0957E57E">
      <w:pPr>
        <w:pStyle w:val="5"/>
        <w:rPr>
          <w:rFonts w:ascii="仿宋" w:hAnsi="仿宋" w:eastAsia="仿宋" w:cs="仿宋"/>
          <w:color w:val="auto"/>
          <w:highlight w:val="none"/>
        </w:rPr>
      </w:pPr>
    </w:p>
    <w:p w14:paraId="346FEE5D">
      <w:pPr>
        <w:pStyle w:val="5"/>
        <w:rPr>
          <w:rFonts w:ascii="仿宋" w:hAnsi="仿宋" w:eastAsia="仿宋" w:cs="仿宋"/>
          <w:color w:val="auto"/>
          <w:highlight w:val="none"/>
        </w:rPr>
      </w:pPr>
    </w:p>
    <w:p w14:paraId="2D1957DA">
      <w:pPr>
        <w:pStyle w:val="5"/>
        <w:rPr>
          <w:rFonts w:ascii="仿宋" w:hAnsi="仿宋" w:eastAsia="仿宋" w:cs="仿宋"/>
          <w:color w:val="auto"/>
          <w:highlight w:val="none"/>
        </w:rPr>
      </w:pPr>
    </w:p>
    <w:p w14:paraId="17671F29">
      <w:pPr>
        <w:pStyle w:val="5"/>
        <w:rPr>
          <w:rFonts w:ascii="仿宋" w:hAnsi="仿宋" w:eastAsia="仿宋" w:cs="仿宋"/>
          <w:color w:val="auto"/>
          <w:highlight w:val="none"/>
        </w:rPr>
      </w:pPr>
    </w:p>
    <w:p w14:paraId="69E015CC">
      <w:pPr>
        <w:pStyle w:val="5"/>
        <w:rPr>
          <w:rFonts w:ascii="仿宋" w:hAnsi="仿宋" w:eastAsia="仿宋" w:cs="仿宋"/>
          <w:color w:val="auto"/>
          <w:highlight w:val="none"/>
        </w:rPr>
      </w:pPr>
    </w:p>
    <w:p w14:paraId="5BDAF8E9">
      <w:pPr>
        <w:pStyle w:val="5"/>
        <w:rPr>
          <w:rFonts w:ascii="仿宋" w:hAnsi="仿宋" w:eastAsia="仿宋" w:cs="仿宋"/>
          <w:color w:val="auto"/>
          <w:highlight w:val="none"/>
        </w:rPr>
      </w:pPr>
    </w:p>
    <w:p w14:paraId="25F83879">
      <w:pPr>
        <w:rPr>
          <w:rFonts w:ascii="仿宋" w:hAnsi="仿宋" w:eastAsia="仿宋" w:cs="仿宋"/>
          <w:color w:val="auto"/>
          <w:highlight w:val="none"/>
        </w:rPr>
      </w:pPr>
    </w:p>
    <w:p w14:paraId="1D1438EC">
      <w:pPr>
        <w:pStyle w:val="2"/>
        <w:rPr>
          <w:rFonts w:ascii="仿宋" w:hAnsi="仿宋" w:eastAsia="仿宋" w:cs="仿宋"/>
          <w:color w:val="auto"/>
          <w:highlight w:val="none"/>
        </w:rPr>
      </w:pPr>
    </w:p>
    <w:p w14:paraId="2588588E">
      <w:pPr>
        <w:rPr>
          <w:rFonts w:ascii="仿宋" w:hAnsi="仿宋" w:eastAsia="仿宋" w:cs="仿宋"/>
          <w:color w:val="auto"/>
          <w:highlight w:val="none"/>
        </w:rPr>
      </w:pPr>
    </w:p>
    <w:p w14:paraId="407F61B5">
      <w:pPr>
        <w:rPr>
          <w:rFonts w:ascii="仿宋" w:hAnsi="仿宋" w:eastAsia="仿宋" w:cs="仿宋"/>
          <w:color w:val="auto"/>
          <w:highlight w:val="none"/>
        </w:rPr>
      </w:pPr>
    </w:p>
    <w:p w14:paraId="78144B29">
      <w:pPr>
        <w:rPr>
          <w:rFonts w:ascii="仿宋" w:hAnsi="仿宋" w:eastAsia="仿宋" w:cs="仿宋"/>
          <w:color w:val="auto"/>
          <w:highlight w:val="none"/>
        </w:rPr>
      </w:pPr>
    </w:p>
    <w:p w14:paraId="58DFBB33">
      <w:pPr>
        <w:jc w:val="center"/>
        <w:rPr>
          <w:rFonts w:ascii="仿宋" w:hAnsi="仿宋" w:eastAsia="仿宋" w:cs="仿宋"/>
          <w:color w:val="auto"/>
          <w:sz w:val="28"/>
          <w:szCs w:val="28"/>
          <w:highlight w:val="none"/>
        </w:rPr>
      </w:pPr>
    </w:p>
    <w:p w14:paraId="39C5589A">
      <w:pPr>
        <w:jc w:val="center"/>
        <w:rPr>
          <w:rFonts w:ascii="仿宋" w:hAnsi="仿宋" w:eastAsia="仿宋" w:cs="仿宋"/>
          <w:color w:val="auto"/>
          <w:sz w:val="28"/>
          <w:szCs w:val="28"/>
          <w:highlight w:val="none"/>
        </w:rPr>
      </w:pPr>
    </w:p>
    <w:p w14:paraId="632AD92B">
      <w:pPr>
        <w:jc w:val="center"/>
        <w:rPr>
          <w:rFonts w:ascii="仿宋" w:hAnsi="仿宋" w:eastAsia="仿宋" w:cs="仿宋"/>
          <w:color w:val="auto"/>
          <w:sz w:val="28"/>
          <w:szCs w:val="28"/>
          <w:highlight w:val="none"/>
        </w:rPr>
      </w:pPr>
    </w:p>
    <w:p w14:paraId="30537C46">
      <w:pPr>
        <w:jc w:val="center"/>
        <w:rPr>
          <w:rFonts w:ascii="仿宋" w:hAnsi="仿宋" w:eastAsia="仿宋" w:cs="仿宋"/>
          <w:color w:val="auto"/>
          <w:sz w:val="28"/>
          <w:szCs w:val="28"/>
          <w:highlight w:val="none"/>
        </w:rPr>
      </w:pPr>
    </w:p>
    <w:p w14:paraId="488FFD37">
      <w:pPr>
        <w:jc w:val="center"/>
        <w:rPr>
          <w:rFonts w:ascii="仿宋" w:hAnsi="仿宋" w:eastAsia="仿宋" w:cs="仿宋"/>
          <w:color w:val="auto"/>
          <w:sz w:val="28"/>
          <w:szCs w:val="28"/>
          <w:highlight w:val="none"/>
        </w:rPr>
      </w:pPr>
    </w:p>
    <w:p w14:paraId="5D76E1CA">
      <w:pPr>
        <w:jc w:val="center"/>
        <w:rPr>
          <w:rFonts w:ascii="仿宋" w:hAnsi="仿宋" w:eastAsia="仿宋" w:cs="仿宋"/>
          <w:color w:val="auto"/>
          <w:sz w:val="28"/>
          <w:szCs w:val="28"/>
          <w:highlight w:val="none"/>
        </w:rPr>
      </w:pPr>
    </w:p>
    <w:p w14:paraId="2C8FE17A">
      <w:pPr>
        <w:jc w:val="center"/>
        <w:rPr>
          <w:rFonts w:ascii="仿宋" w:hAnsi="仿宋" w:eastAsia="仿宋" w:cs="仿宋"/>
          <w:color w:val="auto"/>
          <w:sz w:val="28"/>
          <w:szCs w:val="28"/>
          <w:highlight w:val="none"/>
        </w:rPr>
      </w:pPr>
    </w:p>
    <w:p w14:paraId="4BE509AF">
      <w:pPr>
        <w:jc w:val="center"/>
        <w:rPr>
          <w:rFonts w:ascii="仿宋" w:hAnsi="仿宋" w:eastAsia="仿宋" w:cs="仿宋"/>
          <w:color w:val="auto"/>
          <w:sz w:val="28"/>
          <w:szCs w:val="28"/>
          <w:highlight w:val="none"/>
        </w:rPr>
      </w:pPr>
    </w:p>
    <w:p w14:paraId="79AC9AF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252EBF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政府采购投标担保函 （项目用）</w:t>
      </w:r>
    </w:p>
    <w:p w14:paraId="3CD3BF70">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编号：</w:t>
      </w:r>
    </w:p>
    <w:p w14:paraId="17E06972">
      <w:pPr>
        <w:spacing w:line="28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（采购人或采购代理机构）：</w:t>
      </w:r>
    </w:p>
    <w:p w14:paraId="7933354F">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鉴于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（以下简称“投标人”）拟参加编号为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w:t>
      </w:r>
    </w:p>
    <w:p w14:paraId="10ABC260">
      <w:pPr>
        <w:spacing w:line="28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项目（以下简称“本项目”）投标，根据本项目</w:t>
      </w:r>
      <w:r>
        <w:rPr>
          <w:rFonts w:hint="eastAsia" w:ascii="仿宋" w:hAnsi="仿宋" w:eastAsia="仿宋" w:cs="仿宋"/>
          <w:color w:val="auto"/>
          <w:sz w:val="22"/>
          <w:szCs w:val="22"/>
          <w:highlight w:val="none"/>
          <w:lang w:eastAsia="zh-CN"/>
        </w:rPr>
        <w:t>招标文件</w:t>
      </w:r>
      <w:r>
        <w:rPr>
          <w:rFonts w:hint="eastAsia" w:ascii="仿宋" w:hAnsi="仿宋" w:eastAsia="仿宋" w:cs="仿宋"/>
          <w:color w:val="auto"/>
          <w:sz w:val="22"/>
          <w:szCs w:val="22"/>
          <w:highlight w:val="none"/>
        </w:rPr>
        <w:t>，供应商参加投标时应向你方交纳投标保证金，且可以投标担保函的形式交纳投标保证金。应供应商的申请，我方以保证的方式向你方提供如下投标保证金担保：</w:t>
      </w:r>
    </w:p>
    <w:p w14:paraId="5887BEDD">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一、保证责任的情形及保证金额</w:t>
      </w:r>
    </w:p>
    <w:p w14:paraId="5E919A67">
      <w:pPr>
        <w:spacing w:line="280" w:lineRule="exact"/>
        <w:ind w:firstLine="223" w:firstLineChars="1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（一）在投标人出现下列情形之一时，我方承担保证责任：</w:t>
      </w:r>
    </w:p>
    <w:p w14:paraId="6AA95AAE">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1．中标后投标人无正当理由不与采购人或者采购代理机构签订《政府采购合同》；</w:t>
      </w:r>
    </w:p>
    <w:p w14:paraId="5A3850E6">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规定的投标人应当缴纳保证金的其他情形。</w:t>
      </w:r>
    </w:p>
    <w:p w14:paraId="7F390D20">
      <w:pPr>
        <w:spacing w:line="280" w:lineRule="exact"/>
        <w:ind w:firstLine="223" w:firstLineChars="1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（二）我方承担保证责任的最高金额为人民币</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），即本项目的投标保证金金额。</w:t>
      </w:r>
    </w:p>
    <w:p w14:paraId="08614ED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二、保证的方式及保证期间</w:t>
      </w:r>
    </w:p>
    <w:p w14:paraId="4FB925B7">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我方保证的方式为：连带责任保证。</w:t>
      </w:r>
    </w:p>
    <w:p w14:paraId="7FA744F1">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我方的保证期间为：自本保函生效之日起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个月止。</w:t>
      </w:r>
    </w:p>
    <w:p w14:paraId="421595B6">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三、承担保证责任的程序</w:t>
      </w:r>
    </w:p>
    <w:p w14:paraId="0C6923F0">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8754E2C">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2．我方在收到索赔通知及相关证明材料后，在</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个工作日内进行审查，符合应承担保证责任情形的，我方应按照你方的要求代投标人向你方支付投标保证金。</w:t>
      </w:r>
    </w:p>
    <w:p w14:paraId="56A5C851">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四、保证责任的终止</w:t>
      </w:r>
    </w:p>
    <w:p w14:paraId="3F723BC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1．保证期间届满你方未向我方书面主张保证责任的，自保证期间届满次日起，我方保证责任自动终止。</w:t>
      </w:r>
    </w:p>
    <w:p w14:paraId="5891225A">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2．我方按照本保函向你贵方履行了保证责任后，自我方向你贵方支付款项（支付款项从我方账户划出）之日起，保证责任终止。</w:t>
      </w:r>
    </w:p>
    <w:p w14:paraId="459B5B57">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3．按照法律法规的规定或出现我方保证责任终止的其它情形的，我方在本保函项下的保证责任亦终止。</w:t>
      </w:r>
    </w:p>
    <w:p w14:paraId="3DEE491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五、免责条款</w:t>
      </w:r>
    </w:p>
    <w:p w14:paraId="7FC9062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1．依照法律规定或你方与投标人的另行约定，全部或者部分免除投标人投标保证金义务时，我方亦免除相应的保证责任。</w:t>
      </w:r>
    </w:p>
    <w:p w14:paraId="15A2E53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2．因你方原因致使投标人发生本保函第一条第（一）款约定情形的，我方不承担保证责任。</w:t>
      </w:r>
    </w:p>
    <w:p w14:paraId="4357A9EC">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3．因不可抗力造成投标人发生本保函第一条约定情形的，我方不承担保证责任。</w:t>
      </w:r>
    </w:p>
    <w:p w14:paraId="7DB826C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4．你方或其他有权机关对</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进行任何澄清或修改，加重我方保证责任的，我方对加重部分不承担保证责任，但该澄清或修改经我方事先书面同意的除外。</w:t>
      </w:r>
    </w:p>
    <w:p w14:paraId="14FC374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六、争议的解决</w:t>
      </w:r>
    </w:p>
    <w:p w14:paraId="0CDC7771">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因本保函发生的纠纷，由你我双方协商解决，协商不成的，通过诉讼程序解决，诉讼管辖地法院为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法院。</w:t>
      </w:r>
    </w:p>
    <w:p w14:paraId="65736F2B">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七、保函的生效</w:t>
      </w:r>
    </w:p>
    <w:p w14:paraId="499F414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本保函自我方加盖公章之日起生效。</w:t>
      </w:r>
    </w:p>
    <w:p w14:paraId="516F942F">
      <w:pPr>
        <w:spacing w:line="280" w:lineRule="exact"/>
        <w:ind w:firstLine="5909" w:firstLineChars="265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保证人：（公章）</w:t>
      </w:r>
    </w:p>
    <w:p w14:paraId="7EFDF129">
      <w:pPr>
        <w:spacing w:line="280" w:lineRule="exact"/>
        <w:rPr>
          <w:rFonts w:ascii="仿宋" w:hAnsi="仿宋" w:eastAsia="仿宋" w:cs="仿宋"/>
          <w:color w:val="auto"/>
          <w:highlight w:val="none"/>
        </w:rPr>
      </w:pPr>
      <w:r>
        <w:rPr>
          <w:rFonts w:hint="eastAsia" w:ascii="仿宋" w:hAnsi="仿宋" w:eastAsia="仿宋" w:cs="仿宋"/>
          <w:color w:val="auto"/>
          <w:highlight w:val="none"/>
        </w:rPr>
        <w:t xml:space="preserve">                               </w:t>
      </w:r>
    </w:p>
    <w:p w14:paraId="31DFF242">
      <w:pPr>
        <w:spacing w:line="280" w:lineRule="exact"/>
        <w:ind w:firstLine="5112" w:firstLineChars="2400"/>
        <w:rPr>
          <w:rFonts w:ascii="仿宋" w:hAnsi="仿宋" w:eastAsia="仿宋" w:cs="仿宋"/>
          <w:color w:val="auto"/>
          <w:highlight w:val="none"/>
        </w:rPr>
        <w:sectPr>
          <w:footerReference r:id="rId5" w:type="default"/>
          <w:pgSz w:w="11905" w:h="16838"/>
          <w:pgMar w:top="1440" w:right="1417" w:bottom="1440" w:left="1417" w:header="850" w:footer="992" w:gutter="0"/>
          <w:pgNumType w:start="43"/>
          <w:cols w:space="720" w:num="1"/>
          <w:docGrid w:type="linesAndChars" w:linePitch="325" w:charSpace="635"/>
        </w:sectPr>
      </w:pPr>
      <w:r>
        <w:rPr>
          <w:rFonts w:hint="eastAsia" w:ascii="仿宋" w:hAnsi="仿宋" w:eastAsia="仿宋" w:cs="仿宋"/>
          <w:color w:val="auto"/>
          <w:highlight w:val="none"/>
        </w:rPr>
        <w:t>年     月      日</w:t>
      </w:r>
    </w:p>
    <w:p w14:paraId="306893F8">
      <w:pPr>
        <w:pageBreakBefore w:val="0"/>
        <w:kinsoku/>
        <w:wordWrap/>
        <w:overflowPunct/>
        <w:topLinePunct w:val="0"/>
        <w:bidi w:val="0"/>
        <w:spacing w:line="348" w:lineRule="auto"/>
        <w:ind w:left="24" w:leftChars="-85" w:hanging="205" w:hangingChars="64"/>
        <w:jc w:val="center"/>
        <w:rPr>
          <w:rFonts w:ascii="宋体" w:hAnsi="宋体"/>
          <w:b/>
          <w:sz w:val="32"/>
          <w:szCs w:val="28"/>
        </w:rPr>
      </w:pPr>
      <w:bookmarkStart w:id="149" w:name="bookmark235"/>
      <w:bookmarkStart w:id="150" w:name="bookmark234"/>
      <w:bookmarkStart w:id="151" w:name="bookmark233"/>
      <w:bookmarkStart w:id="152" w:name="bookmark236"/>
      <w:r>
        <w:rPr>
          <w:rFonts w:hint="eastAsia" w:ascii="宋体" w:hAnsi="宋体"/>
          <w:b/>
          <w:sz w:val="32"/>
          <w:szCs w:val="28"/>
          <w:lang w:eastAsia="zh-CN"/>
        </w:rPr>
        <w:t>五、</w:t>
      </w:r>
      <w:r>
        <w:rPr>
          <w:rFonts w:hint="eastAsia" w:ascii="宋体" w:hAnsi="宋体"/>
          <w:b/>
          <w:sz w:val="32"/>
          <w:szCs w:val="28"/>
        </w:rPr>
        <w:t>开标一览表</w:t>
      </w:r>
    </w:p>
    <w:p w14:paraId="1E36E242">
      <w:pPr>
        <w:pageBreakBefore w:val="0"/>
        <w:kinsoku/>
        <w:wordWrap/>
        <w:overflowPunct/>
        <w:topLinePunct w:val="0"/>
        <w:bidi w:val="0"/>
        <w:spacing w:line="348" w:lineRule="auto"/>
        <w:ind w:right="-356"/>
        <w:rPr>
          <w:rFonts w:hint="eastAsia" w:ascii="宋体" w:hAnsi="宋体"/>
          <w:b/>
          <w:sz w:val="10"/>
          <w:szCs w:val="21"/>
        </w:rPr>
      </w:pPr>
      <w:r>
        <w:rPr>
          <w:rFonts w:hint="eastAsia" w:ascii="宋体" w:hAnsi="宋体"/>
          <w:b/>
          <w:sz w:val="24"/>
        </w:rPr>
        <w:t>磋商响应人名称：</w:t>
      </w:r>
      <w:r>
        <w:rPr>
          <w:rFonts w:ascii="宋体" w:hAnsi="宋体"/>
        </w:rPr>
        <w:t xml:space="preserve">                                             </w:t>
      </w:r>
      <w:r>
        <w:rPr>
          <w:rFonts w:hint="eastAsia" w:ascii="宋体" w:hAnsi="宋体"/>
          <w:bCs/>
          <w:sz w:val="24"/>
          <w:lang w:val="en-US" w:eastAsia="zh-CN"/>
        </w:rPr>
        <w:t>项目</w:t>
      </w:r>
      <w:r>
        <w:rPr>
          <w:rFonts w:hint="eastAsia" w:ascii="宋体" w:hAnsi="宋体"/>
          <w:bCs/>
          <w:sz w:val="24"/>
        </w:rPr>
        <w:t>编号</w:t>
      </w:r>
      <w:r>
        <w:rPr>
          <w:rFonts w:ascii="宋体" w:hAnsi="宋体"/>
          <w:bCs/>
          <w:sz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429"/>
        <w:gridCol w:w="2300"/>
        <w:gridCol w:w="1037"/>
        <w:gridCol w:w="1067"/>
        <w:gridCol w:w="878"/>
      </w:tblGrid>
      <w:tr w14:paraId="36BF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512" w:type="dxa"/>
            <w:noWrap w:val="0"/>
            <w:vAlign w:val="center"/>
          </w:tcPr>
          <w:p w14:paraId="7B392023">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服务名称</w:t>
            </w:r>
          </w:p>
        </w:tc>
        <w:tc>
          <w:tcPr>
            <w:tcW w:w="2429" w:type="dxa"/>
            <w:noWrap w:val="0"/>
            <w:vAlign w:val="center"/>
          </w:tcPr>
          <w:p w14:paraId="69403DF6">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投标总报价</w:t>
            </w:r>
          </w:p>
        </w:tc>
        <w:tc>
          <w:tcPr>
            <w:tcW w:w="2300" w:type="dxa"/>
            <w:noWrap w:val="0"/>
            <w:vAlign w:val="center"/>
          </w:tcPr>
          <w:p w14:paraId="52727CB0">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服务内容</w:t>
            </w:r>
          </w:p>
        </w:tc>
        <w:tc>
          <w:tcPr>
            <w:tcW w:w="1037" w:type="dxa"/>
            <w:noWrap w:val="0"/>
            <w:vAlign w:val="center"/>
          </w:tcPr>
          <w:p w14:paraId="1ACA3408">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服务时间</w:t>
            </w:r>
          </w:p>
        </w:tc>
        <w:tc>
          <w:tcPr>
            <w:tcW w:w="1067" w:type="dxa"/>
            <w:noWrap w:val="0"/>
            <w:vAlign w:val="center"/>
          </w:tcPr>
          <w:p w14:paraId="35E4524B">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投标</w:t>
            </w:r>
          </w:p>
          <w:p w14:paraId="094B18DF">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有效期</w:t>
            </w:r>
          </w:p>
        </w:tc>
        <w:tc>
          <w:tcPr>
            <w:tcW w:w="878" w:type="dxa"/>
            <w:noWrap w:val="0"/>
            <w:vAlign w:val="center"/>
          </w:tcPr>
          <w:p w14:paraId="5E0E9C17">
            <w:pPr>
              <w:pageBreakBefore w:val="0"/>
              <w:kinsoku/>
              <w:wordWrap/>
              <w:overflowPunct/>
              <w:topLinePunct w:val="0"/>
              <w:bidi w:val="0"/>
              <w:spacing w:line="348" w:lineRule="auto"/>
              <w:jc w:val="center"/>
              <w:rPr>
                <w:rFonts w:hint="eastAsia" w:ascii="仿宋" w:hAnsi="仿宋" w:eastAsia="仿宋" w:cs="仿宋"/>
                <w:w w:val="80"/>
                <w:sz w:val="24"/>
              </w:rPr>
            </w:pPr>
            <w:r>
              <w:rPr>
                <w:rFonts w:hint="eastAsia" w:ascii="仿宋" w:hAnsi="仿宋" w:eastAsia="仿宋" w:cs="仿宋"/>
                <w:w w:val="80"/>
                <w:sz w:val="24"/>
              </w:rPr>
              <w:t>备注</w:t>
            </w:r>
          </w:p>
        </w:tc>
      </w:tr>
      <w:tr w14:paraId="33FB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1512" w:type="dxa"/>
            <w:noWrap w:val="0"/>
            <w:vAlign w:val="center"/>
          </w:tcPr>
          <w:p w14:paraId="12D8C9EC">
            <w:pPr>
              <w:pageBreakBefore w:val="0"/>
              <w:widowControl/>
              <w:kinsoku/>
              <w:wordWrap/>
              <w:overflowPunct/>
              <w:topLinePunct w:val="0"/>
              <w:bidi w:val="0"/>
              <w:spacing w:line="348" w:lineRule="auto"/>
              <w:jc w:val="both"/>
              <w:rPr>
                <w:rFonts w:hint="eastAsia" w:ascii="仿宋" w:hAnsi="仿宋" w:eastAsia="仿宋" w:cs="仿宋"/>
              </w:rPr>
            </w:pPr>
          </w:p>
        </w:tc>
        <w:tc>
          <w:tcPr>
            <w:tcW w:w="2429" w:type="dxa"/>
            <w:noWrap w:val="0"/>
            <w:vAlign w:val="center"/>
          </w:tcPr>
          <w:p w14:paraId="40BA01F7">
            <w:pPr>
              <w:pageBreakBefore w:val="0"/>
              <w:kinsoku/>
              <w:wordWrap/>
              <w:overflowPunct/>
              <w:topLinePunct w:val="0"/>
              <w:bidi w:val="0"/>
              <w:spacing w:line="348" w:lineRule="auto"/>
              <w:rPr>
                <w:rFonts w:hint="eastAsia" w:ascii="仿宋" w:hAnsi="仿宋" w:eastAsia="仿宋" w:cs="仿宋"/>
                <w:lang w:val="en-US" w:eastAsia="zh-CN"/>
              </w:rPr>
            </w:pPr>
            <w:r>
              <w:rPr>
                <w:rFonts w:hint="eastAsia" w:ascii="仿宋" w:hAnsi="仿宋" w:eastAsia="仿宋" w:cs="仿宋"/>
              </w:rPr>
              <w:t>大写：</w:t>
            </w:r>
            <w:r>
              <w:rPr>
                <w:rFonts w:hint="eastAsia" w:ascii="仿宋" w:hAnsi="仿宋" w:eastAsia="仿宋" w:cs="仿宋"/>
                <w:u w:val="none"/>
                <w:lang w:val="en-US" w:eastAsia="zh-CN"/>
              </w:rPr>
              <w:t xml:space="preserve">        </w:t>
            </w:r>
          </w:p>
          <w:p w14:paraId="00D7A3D5">
            <w:pPr>
              <w:pageBreakBefore w:val="0"/>
              <w:kinsoku/>
              <w:wordWrap/>
              <w:overflowPunct/>
              <w:topLinePunct w:val="0"/>
              <w:bidi w:val="0"/>
              <w:spacing w:line="348" w:lineRule="auto"/>
              <w:rPr>
                <w:rFonts w:hint="eastAsia" w:ascii="仿宋" w:hAnsi="仿宋" w:eastAsia="仿宋" w:cs="仿宋"/>
                <w:lang w:val="en-US" w:eastAsia="zh-CN"/>
              </w:rPr>
            </w:pPr>
            <w:r>
              <w:rPr>
                <w:rFonts w:hint="eastAsia" w:ascii="仿宋" w:hAnsi="仿宋" w:eastAsia="仿宋" w:cs="仿宋"/>
              </w:rPr>
              <w:t>小写：</w:t>
            </w:r>
          </w:p>
        </w:tc>
        <w:tc>
          <w:tcPr>
            <w:tcW w:w="2300" w:type="dxa"/>
            <w:noWrap w:val="0"/>
            <w:vAlign w:val="center"/>
          </w:tcPr>
          <w:p w14:paraId="4579EAB8">
            <w:pPr>
              <w:pageBreakBefore w:val="0"/>
              <w:kinsoku/>
              <w:wordWrap/>
              <w:overflowPunct/>
              <w:topLinePunct w:val="0"/>
              <w:bidi w:val="0"/>
              <w:spacing w:line="348" w:lineRule="auto"/>
              <w:rPr>
                <w:rFonts w:hint="eastAsia" w:ascii="仿宋" w:hAnsi="仿宋" w:eastAsia="仿宋" w:cs="仿宋"/>
              </w:rPr>
            </w:pPr>
          </w:p>
        </w:tc>
        <w:tc>
          <w:tcPr>
            <w:tcW w:w="1037" w:type="dxa"/>
            <w:noWrap w:val="0"/>
            <w:vAlign w:val="center"/>
          </w:tcPr>
          <w:p w14:paraId="2B273C97">
            <w:pPr>
              <w:pageBreakBefore w:val="0"/>
              <w:kinsoku/>
              <w:wordWrap/>
              <w:overflowPunct/>
              <w:topLinePunct w:val="0"/>
              <w:bidi w:val="0"/>
              <w:spacing w:line="348" w:lineRule="auto"/>
              <w:rPr>
                <w:rFonts w:hint="eastAsia" w:ascii="仿宋" w:hAnsi="仿宋" w:eastAsia="仿宋" w:cs="仿宋"/>
                <w:lang w:val="en-US" w:eastAsia="zh-CN"/>
              </w:rPr>
            </w:pPr>
          </w:p>
        </w:tc>
        <w:tc>
          <w:tcPr>
            <w:tcW w:w="1067" w:type="dxa"/>
            <w:noWrap w:val="0"/>
            <w:vAlign w:val="center"/>
          </w:tcPr>
          <w:p w14:paraId="3B6126BB">
            <w:pPr>
              <w:pageBreakBefore w:val="0"/>
              <w:kinsoku/>
              <w:wordWrap/>
              <w:overflowPunct/>
              <w:topLinePunct w:val="0"/>
              <w:bidi w:val="0"/>
              <w:spacing w:line="348" w:lineRule="auto"/>
              <w:rPr>
                <w:rFonts w:hint="eastAsia" w:ascii="仿宋" w:hAnsi="仿宋" w:eastAsia="仿宋" w:cs="仿宋"/>
                <w:lang w:val="en-US" w:eastAsia="zh-CN"/>
              </w:rPr>
            </w:pPr>
          </w:p>
        </w:tc>
        <w:tc>
          <w:tcPr>
            <w:tcW w:w="878" w:type="dxa"/>
            <w:noWrap w:val="0"/>
            <w:vAlign w:val="top"/>
          </w:tcPr>
          <w:p w14:paraId="3FD5AF9D">
            <w:pPr>
              <w:pStyle w:val="14"/>
              <w:pageBreakBefore w:val="0"/>
              <w:kinsoku/>
              <w:wordWrap/>
              <w:overflowPunct/>
              <w:topLinePunct w:val="0"/>
              <w:bidi w:val="0"/>
              <w:spacing w:line="348" w:lineRule="auto"/>
              <w:rPr>
                <w:rFonts w:hint="eastAsia" w:ascii="仿宋" w:hAnsi="仿宋" w:eastAsia="仿宋" w:cs="仿宋"/>
                <w:kern w:val="2"/>
                <w:lang w:val="en-US" w:eastAsia="zh-CN"/>
              </w:rPr>
            </w:pPr>
          </w:p>
        </w:tc>
      </w:tr>
    </w:tbl>
    <w:p w14:paraId="245CEA99">
      <w:pPr>
        <w:pageBreakBefore w:val="0"/>
        <w:kinsoku/>
        <w:wordWrap/>
        <w:overflowPunct/>
        <w:topLinePunct w:val="0"/>
        <w:bidi w:val="0"/>
        <w:spacing w:line="348" w:lineRule="auto"/>
        <w:ind w:hanging="360"/>
        <w:rPr>
          <w:rFonts w:hint="eastAsia" w:ascii="仿宋" w:hAnsi="仿宋" w:eastAsia="仿宋" w:cs="仿宋"/>
          <w:sz w:val="24"/>
          <w:highlight w:val="none"/>
        </w:rPr>
      </w:pPr>
      <w:r>
        <w:rPr>
          <w:rFonts w:hint="eastAsia" w:ascii="仿宋" w:hAnsi="仿宋" w:eastAsia="仿宋" w:cs="仿宋"/>
          <w:sz w:val="24"/>
          <w:szCs w:val="24"/>
          <w:highlight w:val="none"/>
          <w:lang w:eastAsia="zh-CN"/>
        </w:rPr>
        <w:t xml:space="preserve">注: </w:t>
      </w:r>
      <w:r>
        <w:rPr>
          <w:rFonts w:ascii="宋体" w:hAnsi="宋体"/>
          <w:sz w:val="24"/>
        </w:rPr>
        <w:t xml:space="preserve"> </w:t>
      </w:r>
      <w:r>
        <w:rPr>
          <w:rFonts w:hint="eastAsia" w:ascii="仿宋" w:hAnsi="仿宋" w:eastAsia="仿宋" w:cs="仿宋"/>
          <w:sz w:val="24"/>
          <w:highlight w:val="none"/>
        </w:rPr>
        <w:t>1、</w:t>
      </w:r>
      <w:r>
        <w:rPr>
          <w:rFonts w:hint="eastAsia" w:ascii="仿宋" w:hAnsi="仿宋" w:eastAsia="仿宋" w:cs="仿宋"/>
          <w:sz w:val="24"/>
          <w:szCs w:val="24"/>
          <w:highlight w:val="none"/>
          <w:lang w:eastAsia="zh-CN"/>
        </w:rPr>
        <w:t>响应文件必须包含本表</w:t>
      </w:r>
      <w:r>
        <w:rPr>
          <w:rFonts w:hint="eastAsia" w:ascii="仿宋" w:hAnsi="仿宋" w:eastAsia="仿宋" w:cs="仿宋"/>
          <w:sz w:val="24"/>
          <w:szCs w:val="24"/>
          <w:highlight w:val="none"/>
        </w:rPr>
        <w:t>，随同投标书一起</w:t>
      </w:r>
      <w:r>
        <w:rPr>
          <w:rFonts w:hint="eastAsia" w:ascii="仿宋" w:hAnsi="仿宋" w:eastAsia="仿宋" w:cs="仿宋"/>
          <w:sz w:val="24"/>
          <w:szCs w:val="24"/>
          <w:highlight w:val="none"/>
          <w:lang w:eastAsia="zh-CN"/>
        </w:rPr>
        <w:t>上传</w:t>
      </w:r>
      <w:r>
        <w:rPr>
          <w:rFonts w:hint="eastAsia" w:ascii="仿宋" w:hAnsi="仿宋" w:eastAsia="仿宋" w:cs="仿宋"/>
          <w:sz w:val="24"/>
          <w:szCs w:val="24"/>
          <w:highlight w:val="none"/>
        </w:rPr>
        <w:t>。</w:t>
      </w:r>
    </w:p>
    <w:p w14:paraId="4ABF060F">
      <w:pPr>
        <w:pageBreakBefore w:val="0"/>
        <w:kinsoku/>
        <w:wordWrap/>
        <w:overflowPunct/>
        <w:topLinePunct w:val="0"/>
        <w:bidi w:val="0"/>
        <w:spacing w:line="348" w:lineRule="auto"/>
        <w:ind w:firstLine="243" w:firstLineChars="100"/>
        <w:rPr>
          <w:rFonts w:hint="eastAsia" w:ascii="仿宋" w:hAnsi="仿宋" w:eastAsia="仿宋" w:cs="仿宋"/>
          <w:sz w:val="24"/>
          <w:highlight w:val="none"/>
        </w:rPr>
      </w:pPr>
      <w:r>
        <w:rPr>
          <w:rFonts w:hint="eastAsia" w:ascii="仿宋" w:hAnsi="仿宋" w:eastAsia="仿宋" w:cs="仿宋"/>
          <w:sz w:val="24"/>
          <w:highlight w:val="none"/>
        </w:rPr>
        <w:t>2、若本表与投标书格式其他部分在内容上有出入,以本表为准。</w:t>
      </w:r>
    </w:p>
    <w:p w14:paraId="6B9D388E">
      <w:pPr>
        <w:pageBreakBefore w:val="0"/>
        <w:kinsoku/>
        <w:wordWrap/>
        <w:overflowPunct/>
        <w:topLinePunct w:val="0"/>
        <w:bidi w:val="0"/>
        <w:spacing w:line="348" w:lineRule="auto"/>
        <w:ind w:firstLine="243" w:firstLineChars="100"/>
        <w:rPr>
          <w:rFonts w:hint="eastAsia" w:ascii="宋体" w:hAnsi="宋体"/>
          <w:sz w:val="24"/>
        </w:rPr>
      </w:pPr>
      <w:r>
        <w:rPr>
          <w:rFonts w:hint="eastAsia" w:ascii="仿宋" w:hAnsi="仿宋" w:eastAsia="仿宋" w:cs="仿宋"/>
          <w:sz w:val="24"/>
          <w:highlight w:val="none"/>
        </w:rPr>
        <w:t>3、表中报价单位均为元，小数点后保留</w:t>
      </w:r>
      <w:r>
        <w:rPr>
          <w:rFonts w:hint="eastAsia" w:ascii="仿宋" w:hAnsi="仿宋" w:eastAsia="仿宋" w:cs="仿宋"/>
          <w:sz w:val="24"/>
          <w:highlight w:val="none"/>
          <w:lang w:eastAsia="zh-CN"/>
        </w:rPr>
        <w:t>两</w:t>
      </w:r>
      <w:r>
        <w:rPr>
          <w:rFonts w:hint="eastAsia" w:ascii="仿宋" w:hAnsi="仿宋" w:eastAsia="仿宋" w:cs="仿宋"/>
          <w:sz w:val="24"/>
          <w:highlight w:val="none"/>
        </w:rPr>
        <w:t>位有效数字。</w:t>
      </w:r>
    </w:p>
    <w:p w14:paraId="6F85EB07">
      <w:pPr>
        <w:spacing w:line="500" w:lineRule="exact"/>
        <w:ind w:firstLine="426" w:firstLineChars="200"/>
        <w:rPr>
          <w:rFonts w:hint="eastAsia" w:ascii="仿宋" w:hAnsi="仿宋" w:eastAsia="仿宋" w:cs="仿宋"/>
          <w:szCs w:val="21"/>
          <w:u w:val="single"/>
        </w:rPr>
      </w:pPr>
      <w:r>
        <w:rPr>
          <w:rFonts w:hint="eastAsia" w:ascii="仿宋" w:hAnsi="仿宋" w:eastAsia="仿宋" w:cs="仿宋"/>
          <w:szCs w:val="21"/>
          <w:lang w:val="en-US" w:eastAsia="zh-CN"/>
        </w:rPr>
        <w:t>磋商</w:t>
      </w:r>
      <w:r>
        <w:rPr>
          <w:rFonts w:hint="eastAsia" w:ascii="仿宋" w:hAnsi="仿宋" w:eastAsia="仿宋" w:cs="仿宋"/>
          <w:szCs w:val="21"/>
        </w:rPr>
        <w:t>人名称：</w:t>
      </w:r>
      <w:r>
        <w:rPr>
          <w:rFonts w:hint="eastAsia" w:ascii="仿宋" w:hAnsi="仿宋" w:eastAsia="仿宋" w:cs="仿宋"/>
          <w:szCs w:val="21"/>
          <w:u w:val="single"/>
        </w:rPr>
        <w:t xml:space="preserve">     （加盖公章）</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51747846">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法定代表人签字或盖章：</w:t>
      </w:r>
    </w:p>
    <w:p w14:paraId="224B573C">
      <w:pPr>
        <w:spacing w:line="500" w:lineRule="exact"/>
        <w:ind w:firstLine="426" w:firstLineChars="200"/>
        <w:rPr>
          <w:rFonts w:hint="eastAsia" w:ascii="仿宋" w:hAnsi="仿宋" w:eastAsia="仿宋" w:cs="仿宋"/>
          <w:szCs w:val="21"/>
          <w:u w:val="single"/>
        </w:rPr>
      </w:pPr>
      <w:r>
        <w:rPr>
          <w:rFonts w:hint="eastAsia" w:ascii="仿宋" w:hAnsi="仿宋" w:eastAsia="仿宋" w:cs="仿宋"/>
          <w:szCs w:val="21"/>
        </w:rPr>
        <w:t>授权代表：</w:t>
      </w:r>
      <w:r>
        <w:rPr>
          <w:rFonts w:hint="eastAsia" w:ascii="仿宋" w:hAnsi="仿宋" w:eastAsia="仿宋" w:cs="仿宋"/>
          <w:szCs w:val="21"/>
          <w:u w:val="single"/>
        </w:rPr>
        <w:t xml:space="preserve"> （签字</w:t>
      </w:r>
      <w:r>
        <w:rPr>
          <w:rFonts w:hint="eastAsia" w:ascii="仿宋" w:hAnsi="仿宋" w:eastAsia="仿宋" w:cs="仿宋"/>
          <w:szCs w:val="21"/>
          <w:u w:val="single"/>
          <w:lang w:eastAsia="zh-CN"/>
        </w:rPr>
        <w:t>或盖章</w:t>
      </w:r>
      <w:r>
        <w:rPr>
          <w:rFonts w:hint="eastAsia" w:ascii="仿宋" w:hAnsi="仿宋" w:eastAsia="仿宋" w:cs="仿宋"/>
          <w:szCs w:val="21"/>
          <w:u w:val="single"/>
        </w:rPr>
        <w:t xml:space="preserve">） </w:t>
      </w:r>
    </w:p>
    <w:p w14:paraId="3C5DF744">
      <w:pPr>
        <w:spacing w:line="500" w:lineRule="exact"/>
        <w:ind w:firstLine="426" w:firstLineChars="200"/>
        <w:rPr>
          <w:rFonts w:hint="eastAsia" w:ascii="仿宋" w:hAnsi="仿宋" w:eastAsia="仿宋" w:cs="仿宋"/>
          <w:b/>
          <w:szCs w:val="21"/>
        </w:rPr>
      </w:pPr>
      <w:r>
        <w:rPr>
          <w:rFonts w:hint="eastAsia" w:ascii="仿宋" w:hAnsi="仿宋" w:eastAsia="仿宋" w:cs="仿宋"/>
          <w:szCs w:val="21"/>
        </w:rPr>
        <w:t>签署日期：</w:t>
      </w:r>
      <w:r>
        <w:rPr>
          <w:rFonts w:hint="eastAsia" w:ascii="仿宋" w:hAnsi="仿宋" w:eastAsia="仿宋" w:cs="仿宋"/>
          <w:szCs w:val="21"/>
          <w:u w:val="single"/>
        </w:rPr>
        <w:t xml:space="preserve">          </w:t>
      </w:r>
      <w:r>
        <w:rPr>
          <w:rFonts w:hint="eastAsia" w:ascii="仿宋" w:hAnsi="仿宋" w:eastAsia="仿宋" w:cs="仿宋"/>
          <w:szCs w:val="21"/>
        </w:rPr>
        <w:t xml:space="preserve"> 年 </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4B6556B">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3221335D">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6632C40A">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456464CF">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1B146FC1">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4F196BE2">
      <w:pPr>
        <w:pStyle w:val="9"/>
        <w:rPr>
          <w:rFonts w:hint="eastAsia"/>
          <w:lang w:eastAsia="zh-CN"/>
        </w:rPr>
      </w:pPr>
    </w:p>
    <w:p w14:paraId="1B757E5D">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16A5B63E">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6D42A9C1">
      <w:pPr>
        <w:pStyle w:val="8"/>
        <w:numPr>
          <w:ilvl w:val="0"/>
          <w:numId w:val="0"/>
        </w:numPr>
        <w:kinsoku w:val="0"/>
        <w:overflowPunct w:val="0"/>
        <w:spacing w:before="34" w:line="357" w:lineRule="auto"/>
        <w:ind w:right="126"/>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六、</w:t>
      </w:r>
      <w:r>
        <w:rPr>
          <w:rFonts w:hint="eastAsia" w:ascii="仿宋" w:hAnsi="仿宋" w:eastAsia="仿宋" w:cs="仿宋"/>
          <w:b/>
          <w:bCs/>
          <w:color w:val="auto"/>
          <w:sz w:val="36"/>
          <w:szCs w:val="36"/>
          <w:highlight w:val="none"/>
        </w:rPr>
        <w:t>投标人基本情况</w:t>
      </w:r>
    </w:p>
    <w:p w14:paraId="4EECD459">
      <w:pPr>
        <w:pStyle w:val="8"/>
        <w:numPr>
          <w:ilvl w:val="0"/>
          <w:numId w:val="0"/>
        </w:numPr>
        <w:kinsoku w:val="0"/>
        <w:overflowPunct w:val="0"/>
        <w:spacing w:before="34" w:line="357" w:lineRule="auto"/>
        <w:ind w:left="480" w:right="126"/>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）投标人基本情况表</w:t>
      </w:r>
    </w:p>
    <w:p w14:paraId="4722FBD3">
      <w:pPr>
        <w:pStyle w:val="8"/>
        <w:numPr>
          <w:ilvl w:val="0"/>
          <w:numId w:val="0"/>
        </w:numPr>
        <w:kinsoku w:val="0"/>
        <w:overflowPunct w:val="0"/>
        <w:spacing w:before="5"/>
        <w:rPr>
          <w:rFonts w:ascii="仿宋" w:hAnsi="仿宋" w:eastAsia="仿宋" w:cs="仿宋"/>
          <w:b/>
          <w:bCs/>
          <w:color w:val="auto"/>
          <w:sz w:val="6"/>
          <w:szCs w:val="6"/>
          <w:highlight w:val="none"/>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028981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0A91BAB">
            <w:pPr>
              <w:pStyle w:val="6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8E92F6C">
            <w:pPr>
              <w:rPr>
                <w:rFonts w:ascii="仿宋" w:hAnsi="仿宋" w:eastAsia="仿宋" w:cs="仿宋"/>
                <w:color w:val="auto"/>
                <w:highlight w:val="none"/>
              </w:rPr>
            </w:pPr>
          </w:p>
        </w:tc>
      </w:tr>
      <w:tr w14:paraId="39FB618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C38DA6B">
            <w:pPr>
              <w:pStyle w:val="6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3C82280">
            <w:pPr>
              <w:rPr>
                <w:rFonts w:ascii="仿宋" w:hAnsi="仿宋" w:eastAsia="仿宋" w:cs="仿宋"/>
                <w:color w:val="auto"/>
                <w:highlight w:val="none"/>
              </w:rPr>
            </w:pPr>
          </w:p>
        </w:tc>
      </w:tr>
      <w:tr w14:paraId="234D40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274C438">
            <w:pPr>
              <w:pStyle w:val="6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29D36A0">
            <w:pPr>
              <w:rPr>
                <w:rFonts w:ascii="仿宋" w:hAnsi="仿宋" w:eastAsia="仿宋" w:cs="仿宋"/>
                <w:color w:val="auto"/>
                <w:highlight w:val="none"/>
              </w:rPr>
            </w:pPr>
          </w:p>
        </w:tc>
      </w:tr>
      <w:tr w14:paraId="1EACD4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B1DEED5">
            <w:pPr>
              <w:pStyle w:val="6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4383521">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80FACFA">
            <w:pPr>
              <w:pStyle w:val="62"/>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238B749F">
            <w:pPr>
              <w:rPr>
                <w:rFonts w:ascii="仿宋" w:hAnsi="仿宋" w:eastAsia="仿宋" w:cs="仿宋"/>
                <w:color w:val="auto"/>
                <w:highlight w:val="none"/>
              </w:rPr>
            </w:pPr>
          </w:p>
        </w:tc>
      </w:tr>
      <w:tr w14:paraId="3002E58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13E4AD">
            <w:pPr>
              <w:pStyle w:val="62"/>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219DE8C4">
            <w:pPr>
              <w:rPr>
                <w:rFonts w:ascii="仿宋" w:hAnsi="仿宋" w:eastAsia="仿宋" w:cs="仿宋"/>
                <w:color w:val="auto"/>
                <w:highlight w:val="none"/>
              </w:rPr>
            </w:pPr>
          </w:p>
        </w:tc>
      </w:tr>
      <w:tr w14:paraId="66976A8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FD02ABB">
            <w:pPr>
              <w:pStyle w:val="62"/>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2DF2D448">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A810170">
            <w:pPr>
              <w:pStyle w:val="62"/>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9F8374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5A6BE3AB">
            <w:pPr>
              <w:pStyle w:val="62"/>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64D415C7">
            <w:pPr>
              <w:rPr>
                <w:rFonts w:ascii="仿宋" w:hAnsi="仿宋" w:eastAsia="仿宋" w:cs="仿宋"/>
                <w:color w:val="auto"/>
                <w:highlight w:val="none"/>
              </w:rPr>
            </w:pPr>
          </w:p>
        </w:tc>
      </w:tr>
      <w:tr w14:paraId="560DDA6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6295B90">
            <w:pPr>
              <w:pStyle w:val="62"/>
              <w:kinsoku w:val="0"/>
              <w:overflowPunct w:val="0"/>
              <w:rPr>
                <w:rFonts w:ascii="仿宋" w:hAnsi="仿宋" w:eastAsia="仿宋" w:cs="仿宋"/>
                <w:b/>
                <w:bCs/>
                <w:color w:val="auto"/>
                <w:highlight w:val="none"/>
              </w:rPr>
            </w:pPr>
          </w:p>
          <w:p w14:paraId="45E3AB53">
            <w:pPr>
              <w:pStyle w:val="62"/>
              <w:kinsoku w:val="0"/>
              <w:overflowPunct w:val="0"/>
              <w:rPr>
                <w:rFonts w:ascii="仿宋" w:hAnsi="仿宋" w:eastAsia="仿宋" w:cs="仿宋"/>
                <w:b/>
                <w:bCs/>
                <w:color w:val="auto"/>
                <w:highlight w:val="none"/>
              </w:rPr>
            </w:pPr>
          </w:p>
          <w:p w14:paraId="71600A01">
            <w:pPr>
              <w:pStyle w:val="62"/>
              <w:kinsoku w:val="0"/>
              <w:overflowPunct w:val="0"/>
              <w:rPr>
                <w:rFonts w:ascii="仿宋" w:hAnsi="仿宋" w:eastAsia="仿宋" w:cs="仿宋"/>
                <w:b/>
                <w:bCs/>
                <w:color w:val="auto"/>
                <w:highlight w:val="none"/>
              </w:rPr>
            </w:pPr>
          </w:p>
          <w:p w14:paraId="24147A85">
            <w:pPr>
              <w:pStyle w:val="62"/>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0A5F642">
            <w:pPr>
              <w:pStyle w:val="62"/>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12A84A8A">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0D043E58">
            <w:pPr>
              <w:pStyle w:val="62"/>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B374E47">
            <w:pPr>
              <w:rPr>
                <w:rFonts w:ascii="仿宋" w:hAnsi="仿宋" w:eastAsia="仿宋" w:cs="仿宋"/>
                <w:color w:val="auto"/>
                <w:highlight w:val="none"/>
              </w:rPr>
            </w:pPr>
          </w:p>
        </w:tc>
      </w:tr>
      <w:tr w14:paraId="1B68B4C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5FCC755">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29902652">
            <w:pPr>
              <w:pStyle w:val="62"/>
              <w:kinsoku w:val="0"/>
              <w:overflowPunct w:val="0"/>
              <w:spacing w:before="145"/>
              <w:jc w:val="center"/>
              <w:rPr>
                <w:rFonts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1FAE2C81">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3276589">
            <w:pPr>
              <w:pStyle w:val="62"/>
              <w:kinsoku w:val="0"/>
              <w:overflowPunct w:val="0"/>
              <w:spacing w:before="145"/>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E2B260A">
            <w:pPr>
              <w:pStyle w:val="62"/>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0FF58C97">
            <w:pPr>
              <w:pStyle w:val="62"/>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72E823F8">
            <w:pPr>
              <w:pStyle w:val="62"/>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18901712">
            <w:pPr>
              <w:pStyle w:val="62"/>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4AA25FF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1AC59F1">
            <w:pPr>
              <w:pStyle w:val="62"/>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DE1A211">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02CF206">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0083351">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A61F4A7">
            <w:pPr>
              <w:rPr>
                <w:rFonts w:ascii="仿宋" w:hAnsi="仿宋" w:eastAsia="仿宋" w:cs="仿宋"/>
                <w:color w:val="auto"/>
                <w:highlight w:val="none"/>
              </w:rPr>
            </w:pPr>
          </w:p>
        </w:tc>
      </w:tr>
      <w:tr w14:paraId="416DC6D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7C044B4">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113AA2A">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B98A0BD">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C7FDEF4">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B30D661">
            <w:pPr>
              <w:rPr>
                <w:rFonts w:ascii="仿宋" w:hAnsi="仿宋" w:eastAsia="仿宋" w:cs="仿宋"/>
                <w:color w:val="auto"/>
                <w:highlight w:val="none"/>
              </w:rPr>
            </w:pPr>
          </w:p>
        </w:tc>
      </w:tr>
      <w:tr w14:paraId="5283153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5D0B4CC">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085598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56873A0">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5CFD109">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9A729EC">
            <w:pPr>
              <w:rPr>
                <w:rFonts w:ascii="仿宋" w:hAnsi="仿宋" w:eastAsia="仿宋" w:cs="仿宋"/>
                <w:color w:val="auto"/>
                <w:highlight w:val="none"/>
              </w:rPr>
            </w:pPr>
          </w:p>
        </w:tc>
      </w:tr>
      <w:tr w14:paraId="46380EBE">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FD70EBB">
            <w:pPr>
              <w:pStyle w:val="62"/>
              <w:kinsoku w:val="0"/>
              <w:overflowPunct w:val="0"/>
              <w:rPr>
                <w:rFonts w:ascii="仿宋" w:hAnsi="仿宋" w:eastAsia="仿宋" w:cs="仿宋"/>
                <w:b/>
                <w:bCs/>
                <w:color w:val="auto"/>
                <w:highlight w:val="none"/>
              </w:rPr>
            </w:pPr>
          </w:p>
          <w:p w14:paraId="7523BE48">
            <w:pPr>
              <w:pStyle w:val="62"/>
              <w:kinsoku w:val="0"/>
              <w:overflowPunct w:val="0"/>
              <w:spacing w:before="1"/>
              <w:rPr>
                <w:rFonts w:ascii="仿宋" w:hAnsi="仿宋" w:eastAsia="仿宋" w:cs="仿宋"/>
                <w:b/>
                <w:bCs/>
                <w:color w:val="auto"/>
                <w:sz w:val="23"/>
                <w:szCs w:val="23"/>
                <w:highlight w:val="none"/>
              </w:rPr>
            </w:pPr>
          </w:p>
          <w:p w14:paraId="4FCD1E18">
            <w:pPr>
              <w:pStyle w:val="62"/>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276039F">
            <w:pPr>
              <w:rPr>
                <w:rFonts w:ascii="仿宋" w:hAnsi="仿宋" w:eastAsia="仿宋" w:cs="仿宋"/>
                <w:color w:val="auto"/>
                <w:highlight w:val="none"/>
              </w:rPr>
            </w:pPr>
          </w:p>
        </w:tc>
      </w:tr>
    </w:tbl>
    <w:p w14:paraId="03B4F6B0">
      <w:pPr>
        <w:pStyle w:val="8"/>
        <w:numPr>
          <w:ilvl w:val="0"/>
          <w:numId w:val="0"/>
        </w:numPr>
        <w:kinsoku w:val="0"/>
        <w:overflowPunct w:val="0"/>
        <w:spacing w:before="26" w:line="320" w:lineRule="auto"/>
        <w:ind w:left="1680"/>
        <w:rPr>
          <w:rFonts w:ascii="仿宋" w:hAnsi="仿宋" w:eastAsia="仿宋" w:cs="仿宋"/>
          <w:b/>
          <w:bCs/>
          <w:color w:val="auto"/>
          <w:w w:val="95"/>
          <w:highlight w:val="none"/>
        </w:rPr>
      </w:pPr>
    </w:p>
    <w:p w14:paraId="073CD248">
      <w:pPr>
        <w:pStyle w:val="8"/>
        <w:numPr>
          <w:ilvl w:val="0"/>
          <w:numId w:val="0"/>
        </w:numPr>
        <w:kinsoku w:val="0"/>
        <w:overflowPunct w:val="0"/>
        <w:spacing w:before="26" w:line="440" w:lineRule="exact"/>
        <w:jc w:val="both"/>
        <w:rPr>
          <w:rFonts w:ascii="仿宋" w:hAnsi="仿宋" w:eastAsia="仿宋" w:cs="仿宋"/>
          <w:b/>
          <w:bCs/>
          <w:color w:val="auto"/>
          <w:sz w:val="24"/>
          <w:highlight w:val="none"/>
          <w:lang w:eastAsia="zh-CN"/>
        </w:rPr>
      </w:pPr>
      <w:r>
        <w:rPr>
          <w:rFonts w:hint="eastAsia" w:ascii="仿宋" w:hAnsi="仿宋" w:eastAsia="仿宋" w:cs="仿宋"/>
          <w:b/>
          <w:bCs/>
          <w:color w:val="auto"/>
          <w:w w:val="95"/>
          <w:highlight w:val="none"/>
        </w:rPr>
        <w:br w:type="page"/>
      </w:r>
      <w:r>
        <w:rPr>
          <w:rFonts w:hint="eastAsia" w:ascii="仿宋" w:hAnsi="仿宋" w:eastAsia="仿宋" w:cs="仿宋"/>
          <w:b/>
          <w:bCs/>
          <w:color w:val="auto"/>
          <w:w w:val="95"/>
          <w:highlight w:val="none"/>
          <w:lang w:val="en-US" w:eastAsia="zh-CN"/>
        </w:rPr>
        <w:t>(2)</w:t>
      </w:r>
      <w:r>
        <w:rPr>
          <w:rFonts w:hint="eastAsia" w:ascii="仿宋" w:hAnsi="仿宋" w:eastAsia="仿宋" w:cs="仿宋"/>
          <w:b/>
          <w:bCs/>
          <w:color w:val="auto"/>
          <w:w w:val="95"/>
          <w:sz w:val="24"/>
          <w:highlight w:val="none"/>
        </w:rPr>
        <w:t>三</w:t>
      </w:r>
      <w:r>
        <w:rPr>
          <w:rFonts w:hint="eastAsia" w:ascii="仿宋" w:hAnsi="仿宋" w:eastAsia="仿宋" w:cs="仿宋"/>
          <w:b/>
          <w:bCs/>
          <w:color w:val="auto"/>
          <w:spacing w:val="1"/>
          <w:w w:val="95"/>
          <w:sz w:val="24"/>
          <w:highlight w:val="none"/>
        </w:rPr>
        <w:t>证</w:t>
      </w:r>
      <w:r>
        <w:rPr>
          <w:rFonts w:hint="eastAsia" w:ascii="仿宋" w:hAnsi="仿宋" w:eastAsia="仿宋" w:cs="仿宋"/>
          <w:b/>
          <w:bCs/>
          <w:color w:val="auto"/>
          <w:w w:val="95"/>
          <w:sz w:val="24"/>
          <w:highlight w:val="none"/>
        </w:rPr>
        <w:t>合</w:t>
      </w:r>
      <w:r>
        <w:rPr>
          <w:rFonts w:hint="eastAsia" w:ascii="仿宋" w:hAnsi="仿宋" w:eastAsia="仿宋" w:cs="仿宋"/>
          <w:b/>
          <w:bCs/>
          <w:color w:val="auto"/>
          <w:spacing w:val="1"/>
          <w:w w:val="95"/>
          <w:sz w:val="24"/>
          <w:highlight w:val="none"/>
        </w:rPr>
        <w:t>一</w:t>
      </w:r>
      <w:r>
        <w:rPr>
          <w:rFonts w:hint="eastAsia" w:ascii="仿宋" w:hAnsi="仿宋" w:eastAsia="仿宋" w:cs="仿宋"/>
          <w:b/>
          <w:bCs/>
          <w:color w:val="auto"/>
          <w:w w:val="95"/>
          <w:sz w:val="24"/>
          <w:highlight w:val="none"/>
        </w:rPr>
        <w:t>的</w:t>
      </w:r>
      <w:r>
        <w:rPr>
          <w:rFonts w:hint="eastAsia" w:ascii="仿宋" w:hAnsi="仿宋" w:eastAsia="仿宋" w:cs="仿宋"/>
          <w:b/>
          <w:bCs/>
          <w:color w:val="auto"/>
          <w:sz w:val="24"/>
          <w:highlight w:val="none"/>
        </w:rPr>
        <w:t>营业执照</w:t>
      </w:r>
      <w:r>
        <w:rPr>
          <w:rFonts w:hint="eastAsia" w:ascii="仿宋" w:hAnsi="仿宋" w:eastAsia="仿宋" w:cs="仿宋"/>
          <w:b/>
          <w:bCs/>
          <w:color w:val="auto"/>
          <w:sz w:val="24"/>
          <w:highlight w:val="none"/>
          <w:lang w:eastAsia="zh-CN"/>
        </w:rPr>
        <w:t>；</w:t>
      </w:r>
    </w:p>
    <w:p w14:paraId="64D5A256">
      <w:pPr>
        <w:numPr>
          <w:ilvl w:val="0"/>
          <w:numId w:val="0"/>
        </w:numPr>
        <w:rPr>
          <w:rFonts w:ascii="仿宋" w:hAnsi="仿宋" w:eastAsia="仿宋" w:cs="仿宋"/>
          <w:b/>
          <w:bCs/>
          <w:color w:val="auto"/>
          <w:spacing w:val="1"/>
          <w:w w:val="95"/>
          <w:highlight w:val="none"/>
          <w:lang w:eastAsia="zh-CN"/>
        </w:rPr>
      </w:pPr>
      <w:r>
        <w:rPr>
          <w:rFonts w:hint="eastAsia" w:ascii="仿宋" w:hAnsi="仿宋" w:eastAsia="仿宋" w:cs="仿宋"/>
          <w:b/>
          <w:bCs/>
          <w:color w:val="auto"/>
          <w:spacing w:val="1"/>
          <w:w w:val="95"/>
          <w:highlight w:val="none"/>
          <w:lang w:val="en-US" w:eastAsia="zh-CN"/>
        </w:rPr>
        <w:t>(3)</w:t>
      </w:r>
      <w:r>
        <w:rPr>
          <w:rFonts w:hint="eastAsia" w:ascii="仿宋" w:hAnsi="仿宋" w:eastAsia="仿宋" w:cs="仿宋"/>
          <w:b/>
          <w:bCs/>
          <w:color w:val="auto"/>
          <w:spacing w:val="1"/>
          <w:w w:val="95"/>
          <w:highlight w:val="none"/>
          <w:lang w:eastAsia="zh-CN"/>
        </w:rPr>
        <w:t>供应商必须为在中华人民共和国境内依法设立的国有商业银行、股份制商业银行、邮政储蓄银行、城市商业银行等银行机构且具备中国银行保险监督管理委员会核发的《中华人民共和国金融许可证》。</w:t>
      </w:r>
    </w:p>
    <w:p w14:paraId="65DCC711">
      <w:pPr>
        <w:pStyle w:val="72"/>
        <w:spacing w:line="440" w:lineRule="exact"/>
        <w:ind w:firstLine="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（4）无重大违法记录声明；</w:t>
      </w:r>
    </w:p>
    <w:p w14:paraId="6ECA1459">
      <w:pPr>
        <w:pStyle w:val="72"/>
        <w:spacing w:line="440" w:lineRule="exact"/>
        <w:ind w:firstLine="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（5）反商业贿赂承诺书</w:t>
      </w:r>
    </w:p>
    <w:p w14:paraId="3AE95ABD">
      <w:pPr>
        <w:pStyle w:val="69"/>
        <w:keepNext/>
        <w:keepLines/>
        <w:spacing w:before="0" w:after="160"/>
        <w:ind w:firstLine="680"/>
        <w:jc w:val="left"/>
        <w:rPr>
          <w:rFonts w:ascii="仿宋" w:hAnsi="仿宋" w:eastAsia="仿宋" w:cs="仿宋"/>
          <w:color w:val="auto"/>
          <w:highlight w:val="none"/>
        </w:rPr>
      </w:pPr>
    </w:p>
    <w:p w14:paraId="6A207421">
      <w:pPr>
        <w:pStyle w:val="69"/>
        <w:keepNext/>
        <w:keepLines/>
        <w:spacing w:before="0" w:after="160"/>
        <w:ind w:firstLine="680"/>
        <w:jc w:val="left"/>
        <w:rPr>
          <w:rFonts w:ascii="仿宋" w:hAnsi="仿宋" w:eastAsia="仿宋" w:cs="仿宋"/>
          <w:color w:val="auto"/>
          <w:highlight w:val="none"/>
        </w:rPr>
      </w:pPr>
    </w:p>
    <w:p w14:paraId="53F7DFB3">
      <w:pPr>
        <w:pStyle w:val="69"/>
        <w:keepNext/>
        <w:keepLines/>
        <w:spacing w:before="0" w:after="160"/>
        <w:ind w:firstLine="680"/>
        <w:jc w:val="left"/>
        <w:rPr>
          <w:rFonts w:ascii="仿宋" w:hAnsi="仿宋" w:eastAsia="仿宋" w:cs="仿宋"/>
          <w:color w:val="auto"/>
          <w:highlight w:val="none"/>
        </w:rPr>
      </w:pPr>
    </w:p>
    <w:p w14:paraId="75683676">
      <w:pPr>
        <w:pStyle w:val="69"/>
        <w:keepNext/>
        <w:keepLines/>
        <w:spacing w:before="0" w:after="160"/>
        <w:jc w:val="left"/>
        <w:rPr>
          <w:rFonts w:ascii="仿宋" w:hAnsi="仿宋" w:eastAsia="仿宋" w:cs="仿宋"/>
          <w:color w:val="auto"/>
          <w:highlight w:val="none"/>
        </w:rPr>
      </w:pPr>
    </w:p>
    <w:bookmarkEnd w:id="149"/>
    <w:p w14:paraId="34FD18EE">
      <w:pPr>
        <w:pStyle w:val="72"/>
        <w:spacing w:line="240" w:lineRule="auto"/>
        <w:ind w:left="1060" w:firstLine="0"/>
        <w:rPr>
          <w:rFonts w:ascii="仿宋" w:hAnsi="仿宋" w:eastAsia="仿宋" w:cs="仿宋"/>
          <w:color w:val="auto"/>
          <w:sz w:val="36"/>
          <w:szCs w:val="36"/>
          <w:highlight w:val="none"/>
          <w:lang w:eastAsia="zh-CN"/>
        </w:rPr>
      </w:pPr>
    </w:p>
    <w:bookmarkEnd w:id="150"/>
    <w:bookmarkEnd w:id="151"/>
    <w:bookmarkEnd w:id="152"/>
    <w:p w14:paraId="498FE02B">
      <w:pPr>
        <w:pStyle w:val="73"/>
        <w:spacing w:after="0"/>
        <w:ind w:firstLine="420"/>
        <w:jc w:val="center"/>
        <w:rPr>
          <w:rFonts w:ascii="仿宋" w:hAnsi="仿宋" w:eastAsia="仿宋" w:cs="仿宋"/>
          <w:color w:val="auto"/>
          <w:sz w:val="36"/>
          <w:szCs w:val="36"/>
          <w:highlight w:val="none"/>
        </w:rPr>
      </w:pPr>
    </w:p>
    <w:p w14:paraId="555B9F80">
      <w:pPr>
        <w:pStyle w:val="73"/>
        <w:spacing w:after="0"/>
        <w:ind w:firstLine="420"/>
        <w:jc w:val="center"/>
        <w:rPr>
          <w:rFonts w:ascii="仿宋" w:hAnsi="仿宋" w:eastAsia="仿宋" w:cs="仿宋"/>
          <w:color w:val="auto"/>
          <w:sz w:val="36"/>
          <w:szCs w:val="36"/>
          <w:highlight w:val="none"/>
        </w:rPr>
      </w:pPr>
    </w:p>
    <w:p w14:paraId="1E4D0E85">
      <w:pPr>
        <w:pStyle w:val="73"/>
        <w:spacing w:after="0"/>
        <w:ind w:firstLine="420"/>
        <w:jc w:val="center"/>
        <w:rPr>
          <w:rFonts w:ascii="仿宋" w:hAnsi="仿宋" w:eastAsia="仿宋" w:cs="仿宋"/>
          <w:color w:val="auto"/>
          <w:sz w:val="36"/>
          <w:szCs w:val="36"/>
          <w:highlight w:val="none"/>
        </w:rPr>
      </w:pPr>
    </w:p>
    <w:p w14:paraId="410FF816">
      <w:pPr>
        <w:pStyle w:val="73"/>
        <w:spacing w:after="0"/>
        <w:ind w:firstLine="420"/>
        <w:jc w:val="center"/>
        <w:rPr>
          <w:rFonts w:ascii="仿宋" w:hAnsi="仿宋" w:eastAsia="仿宋" w:cs="仿宋"/>
          <w:color w:val="auto"/>
          <w:sz w:val="36"/>
          <w:szCs w:val="36"/>
          <w:highlight w:val="none"/>
        </w:rPr>
      </w:pPr>
    </w:p>
    <w:p w14:paraId="70441E9F">
      <w:pPr>
        <w:pStyle w:val="73"/>
        <w:spacing w:after="0"/>
        <w:ind w:firstLine="420"/>
        <w:jc w:val="center"/>
        <w:rPr>
          <w:rFonts w:ascii="仿宋" w:hAnsi="仿宋" w:eastAsia="仿宋" w:cs="仿宋"/>
          <w:color w:val="auto"/>
          <w:sz w:val="36"/>
          <w:szCs w:val="36"/>
          <w:highlight w:val="none"/>
        </w:rPr>
      </w:pPr>
    </w:p>
    <w:p w14:paraId="5B9D8D12">
      <w:pPr>
        <w:pStyle w:val="73"/>
        <w:spacing w:after="0"/>
        <w:ind w:firstLine="420"/>
        <w:jc w:val="center"/>
        <w:rPr>
          <w:rFonts w:ascii="仿宋" w:hAnsi="仿宋" w:eastAsia="仿宋" w:cs="仿宋"/>
          <w:color w:val="auto"/>
          <w:sz w:val="36"/>
          <w:szCs w:val="36"/>
          <w:highlight w:val="none"/>
        </w:rPr>
      </w:pPr>
    </w:p>
    <w:p w14:paraId="51D04115">
      <w:pPr>
        <w:pStyle w:val="73"/>
        <w:spacing w:after="0"/>
        <w:ind w:firstLine="420"/>
        <w:jc w:val="center"/>
        <w:rPr>
          <w:rFonts w:ascii="仿宋" w:hAnsi="仿宋" w:eastAsia="仿宋" w:cs="仿宋"/>
          <w:color w:val="auto"/>
          <w:sz w:val="36"/>
          <w:szCs w:val="36"/>
          <w:highlight w:val="none"/>
        </w:rPr>
      </w:pPr>
    </w:p>
    <w:p w14:paraId="0736B45E">
      <w:pPr>
        <w:pStyle w:val="73"/>
        <w:spacing w:after="0"/>
        <w:ind w:firstLine="420"/>
        <w:jc w:val="center"/>
        <w:rPr>
          <w:rFonts w:ascii="仿宋" w:hAnsi="仿宋" w:eastAsia="仿宋" w:cs="仿宋"/>
          <w:color w:val="auto"/>
          <w:sz w:val="36"/>
          <w:szCs w:val="36"/>
          <w:highlight w:val="none"/>
        </w:rPr>
      </w:pPr>
    </w:p>
    <w:p w14:paraId="45532D67">
      <w:pPr>
        <w:pStyle w:val="73"/>
        <w:spacing w:after="0"/>
        <w:ind w:firstLine="420"/>
        <w:jc w:val="center"/>
        <w:rPr>
          <w:rFonts w:ascii="仿宋" w:hAnsi="仿宋" w:eastAsia="仿宋" w:cs="仿宋"/>
          <w:color w:val="auto"/>
          <w:sz w:val="36"/>
          <w:szCs w:val="36"/>
          <w:highlight w:val="none"/>
        </w:rPr>
      </w:pPr>
    </w:p>
    <w:p w14:paraId="702D70C4">
      <w:pPr>
        <w:pStyle w:val="73"/>
        <w:spacing w:after="0"/>
        <w:ind w:firstLine="420"/>
        <w:jc w:val="center"/>
        <w:rPr>
          <w:rFonts w:ascii="仿宋" w:hAnsi="仿宋" w:eastAsia="仿宋" w:cs="仿宋"/>
          <w:color w:val="auto"/>
          <w:sz w:val="36"/>
          <w:szCs w:val="36"/>
          <w:highlight w:val="none"/>
        </w:rPr>
      </w:pPr>
    </w:p>
    <w:p w14:paraId="07B9B5D8">
      <w:pPr>
        <w:pStyle w:val="73"/>
        <w:spacing w:after="0"/>
        <w:ind w:firstLine="420"/>
        <w:jc w:val="center"/>
        <w:rPr>
          <w:rFonts w:ascii="仿宋" w:hAnsi="仿宋" w:eastAsia="仿宋" w:cs="仿宋"/>
          <w:color w:val="auto"/>
          <w:sz w:val="36"/>
          <w:szCs w:val="36"/>
          <w:highlight w:val="none"/>
        </w:rPr>
      </w:pPr>
    </w:p>
    <w:p w14:paraId="28931A28">
      <w:pPr>
        <w:pStyle w:val="73"/>
        <w:spacing w:after="0"/>
        <w:ind w:left="0" w:leftChars="0" w:firstLine="0" w:firstLineChars="0"/>
        <w:jc w:val="center"/>
        <w:rPr>
          <w:rFonts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七</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14:paraId="0BEF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50CBFC8">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6B09A020">
            <w:pPr>
              <w:rPr>
                <w:rFonts w:ascii="仿宋" w:hAnsi="仿宋" w:eastAsia="仿宋" w:cs="仿宋"/>
                <w:color w:val="auto"/>
                <w:spacing w:val="-1"/>
                <w:highlight w:val="none"/>
              </w:rPr>
            </w:pPr>
            <w:r>
              <w:rPr>
                <w:rFonts w:hint="eastAsia" w:ascii="仿宋" w:hAnsi="仿宋" w:eastAsia="仿宋" w:cs="仿宋"/>
                <w:color w:val="auto"/>
                <w:spacing w:val="-1"/>
                <w:highlight w:val="none"/>
              </w:rPr>
              <w:t>一般商务条款序号</w:t>
            </w:r>
          </w:p>
        </w:tc>
        <w:tc>
          <w:tcPr>
            <w:tcW w:w="2269" w:type="dxa"/>
            <w:vAlign w:val="center"/>
          </w:tcPr>
          <w:p w14:paraId="2FCCB9AE">
            <w:pP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134" w:type="dxa"/>
            <w:vAlign w:val="center"/>
          </w:tcPr>
          <w:p w14:paraId="7485F876">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74365DA7">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7F55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B0807BA">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211D5FA6">
            <w:pPr>
              <w:rPr>
                <w:rFonts w:ascii="仿宋" w:hAnsi="仿宋" w:eastAsia="仿宋" w:cs="仿宋"/>
                <w:color w:val="auto"/>
                <w:spacing w:val="-1"/>
                <w:highlight w:val="none"/>
              </w:rPr>
            </w:pPr>
          </w:p>
        </w:tc>
        <w:tc>
          <w:tcPr>
            <w:tcW w:w="2269" w:type="dxa"/>
            <w:vAlign w:val="center"/>
          </w:tcPr>
          <w:p w14:paraId="52DB9424">
            <w:pPr>
              <w:rPr>
                <w:rFonts w:ascii="仿宋" w:hAnsi="仿宋" w:eastAsia="仿宋" w:cs="仿宋"/>
                <w:color w:val="auto"/>
                <w:spacing w:val="-1"/>
                <w:highlight w:val="none"/>
              </w:rPr>
            </w:pPr>
          </w:p>
        </w:tc>
        <w:tc>
          <w:tcPr>
            <w:tcW w:w="1134" w:type="dxa"/>
            <w:vAlign w:val="center"/>
          </w:tcPr>
          <w:p w14:paraId="53CFAAAD">
            <w:pPr>
              <w:rPr>
                <w:rFonts w:ascii="仿宋" w:hAnsi="仿宋" w:eastAsia="仿宋" w:cs="仿宋"/>
                <w:color w:val="auto"/>
                <w:spacing w:val="-1"/>
                <w:highlight w:val="none"/>
              </w:rPr>
            </w:pPr>
          </w:p>
        </w:tc>
        <w:tc>
          <w:tcPr>
            <w:tcW w:w="2658" w:type="dxa"/>
            <w:vAlign w:val="center"/>
          </w:tcPr>
          <w:p w14:paraId="7E860C9A">
            <w:pPr>
              <w:rPr>
                <w:rFonts w:ascii="仿宋" w:hAnsi="仿宋" w:eastAsia="仿宋" w:cs="仿宋"/>
                <w:color w:val="auto"/>
                <w:spacing w:val="-1"/>
                <w:highlight w:val="none"/>
              </w:rPr>
            </w:pPr>
          </w:p>
        </w:tc>
      </w:tr>
      <w:tr w14:paraId="14BF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0939B9">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41C1C975">
            <w:pPr>
              <w:rPr>
                <w:rFonts w:ascii="仿宋" w:hAnsi="仿宋" w:eastAsia="仿宋" w:cs="仿宋"/>
                <w:color w:val="auto"/>
                <w:spacing w:val="-1"/>
                <w:highlight w:val="none"/>
              </w:rPr>
            </w:pPr>
          </w:p>
        </w:tc>
        <w:tc>
          <w:tcPr>
            <w:tcW w:w="2269" w:type="dxa"/>
            <w:vAlign w:val="center"/>
          </w:tcPr>
          <w:p w14:paraId="2C82BC92">
            <w:pPr>
              <w:rPr>
                <w:rFonts w:ascii="仿宋" w:hAnsi="仿宋" w:eastAsia="仿宋" w:cs="仿宋"/>
                <w:color w:val="auto"/>
                <w:spacing w:val="-1"/>
                <w:highlight w:val="none"/>
              </w:rPr>
            </w:pPr>
          </w:p>
        </w:tc>
        <w:tc>
          <w:tcPr>
            <w:tcW w:w="1134" w:type="dxa"/>
            <w:vAlign w:val="center"/>
          </w:tcPr>
          <w:p w14:paraId="2565A227">
            <w:pPr>
              <w:rPr>
                <w:rFonts w:ascii="仿宋" w:hAnsi="仿宋" w:eastAsia="仿宋" w:cs="仿宋"/>
                <w:color w:val="auto"/>
                <w:spacing w:val="-1"/>
                <w:highlight w:val="none"/>
              </w:rPr>
            </w:pPr>
          </w:p>
        </w:tc>
        <w:tc>
          <w:tcPr>
            <w:tcW w:w="2658" w:type="dxa"/>
            <w:vAlign w:val="center"/>
          </w:tcPr>
          <w:p w14:paraId="3D062830">
            <w:pPr>
              <w:rPr>
                <w:rFonts w:ascii="仿宋" w:hAnsi="仿宋" w:eastAsia="仿宋" w:cs="仿宋"/>
                <w:color w:val="auto"/>
                <w:spacing w:val="-1"/>
                <w:highlight w:val="none"/>
              </w:rPr>
            </w:pPr>
          </w:p>
        </w:tc>
      </w:tr>
      <w:tr w14:paraId="7951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F5A9FB">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6EDFAF1C">
            <w:pPr>
              <w:rPr>
                <w:rFonts w:ascii="仿宋" w:hAnsi="仿宋" w:eastAsia="仿宋" w:cs="仿宋"/>
                <w:color w:val="auto"/>
                <w:spacing w:val="-1"/>
                <w:highlight w:val="none"/>
              </w:rPr>
            </w:pPr>
          </w:p>
        </w:tc>
        <w:tc>
          <w:tcPr>
            <w:tcW w:w="2269" w:type="dxa"/>
            <w:vAlign w:val="center"/>
          </w:tcPr>
          <w:p w14:paraId="6CF98354">
            <w:pPr>
              <w:rPr>
                <w:rFonts w:ascii="仿宋" w:hAnsi="仿宋" w:eastAsia="仿宋" w:cs="仿宋"/>
                <w:color w:val="auto"/>
                <w:spacing w:val="-1"/>
                <w:highlight w:val="none"/>
              </w:rPr>
            </w:pPr>
          </w:p>
        </w:tc>
        <w:tc>
          <w:tcPr>
            <w:tcW w:w="1134" w:type="dxa"/>
            <w:vAlign w:val="center"/>
          </w:tcPr>
          <w:p w14:paraId="5D89F4E2">
            <w:pPr>
              <w:rPr>
                <w:rFonts w:ascii="仿宋" w:hAnsi="仿宋" w:eastAsia="仿宋" w:cs="仿宋"/>
                <w:color w:val="auto"/>
                <w:spacing w:val="-1"/>
                <w:highlight w:val="none"/>
              </w:rPr>
            </w:pPr>
          </w:p>
        </w:tc>
        <w:tc>
          <w:tcPr>
            <w:tcW w:w="2658" w:type="dxa"/>
            <w:vAlign w:val="center"/>
          </w:tcPr>
          <w:p w14:paraId="61559CED">
            <w:pPr>
              <w:rPr>
                <w:rFonts w:ascii="仿宋" w:hAnsi="仿宋" w:eastAsia="仿宋" w:cs="仿宋"/>
                <w:color w:val="auto"/>
                <w:spacing w:val="-1"/>
                <w:highlight w:val="none"/>
              </w:rPr>
            </w:pPr>
          </w:p>
        </w:tc>
      </w:tr>
      <w:tr w14:paraId="5C32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1965780">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50949229">
            <w:pPr>
              <w:rPr>
                <w:rFonts w:ascii="仿宋" w:hAnsi="仿宋" w:eastAsia="仿宋" w:cs="仿宋"/>
                <w:color w:val="auto"/>
                <w:spacing w:val="-1"/>
                <w:highlight w:val="none"/>
              </w:rPr>
            </w:pPr>
          </w:p>
        </w:tc>
        <w:tc>
          <w:tcPr>
            <w:tcW w:w="2269" w:type="dxa"/>
            <w:vAlign w:val="center"/>
          </w:tcPr>
          <w:p w14:paraId="4F48E627">
            <w:pPr>
              <w:rPr>
                <w:rFonts w:ascii="仿宋" w:hAnsi="仿宋" w:eastAsia="仿宋" w:cs="仿宋"/>
                <w:color w:val="auto"/>
                <w:spacing w:val="-1"/>
                <w:highlight w:val="none"/>
              </w:rPr>
            </w:pPr>
          </w:p>
        </w:tc>
        <w:tc>
          <w:tcPr>
            <w:tcW w:w="1134" w:type="dxa"/>
            <w:vAlign w:val="center"/>
          </w:tcPr>
          <w:p w14:paraId="4C321AFC">
            <w:pPr>
              <w:rPr>
                <w:rFonts w:ascii="仿宋" w:hAnsi="仿宋" w:eastAsia="仿宋" w:cs="仿宋"/>
                <w:color w:val="auto"/>
                <w:spacing w:val="-1"/>
                <w:highlight w:val="none"/>
              </w:rPr>
            </w:pPr>
          </w:p>
        </w:tc>
        <w:tc>
          <w:tcPr>
            <w:tcW w:w="2658" w:type="dxa"/>
            <w:vAlign w:val="center"/>
          </w:tcPr>
          <w:p w14:paraId="02371050">
            <w:pPr>
              <w:rPr>
                <w:rFonts w:ascii="仿宋" w:hAnsi="仿宋" w:eastAsia="仿宋" w:cs="仿宋"/>
                <w:color w:val="auto"/>
                <w:spacing w:val="-1"/>
                <w:highlight w:val="none"/>
              </w:rPr>
            </w:pPr>
          </w:p>
        </w:tc>
      </w:tr>
      <w:tr w14:paraId="1975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23DB5EA">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5510A278">
            <w:pPr>
              <w:rPr>
                <w:rFonts w:ascii="仿宋" w:hAnsi="仿宋" w:eastAsia="仿宋" w:cs="仿宋"/>
                <w:color w:val="auto"/>
                <w:spacing w:val="-1"/>
                <w:highlight w:val="none"/>
              </w:rPr>
            </w:pPr>
          </w:p>
        </w:tc>
        <w:tc>
          <w:tcPr>
            <w:tcW w:w="2269" w:type="dxa"/>
            <w:vAlign w:val="center"/>
          </w:tcPr>
          <w:p w14:paraId="42ECF13A">
            <w:pPr>
              <w:rPr>
                <w:rFonts w:ascii="仿宋" w:hAnsi="仿宋" w:eastAsia="仿宋" w:cs="仿宋"/>
                <w:color w:val="auto"/>
                <w:spacing w:val="-1"/>
                <w:highlight w:val="none"/>
              </w:rPr>
            </w:pPr>
          </w:p>
        </w:tc>
        <w:tc>
          <w:tcPr>
            <w:tcW w:w="1134" w:type="dxa"/>
            <w:vAlign w:val="center"/>
          </w:tcPr>
          <w:p w14:paraId="058E72A2">
            <w:pPr>
              <w:rPr>
                <w:rFonts w:ascii="仿宋" w:hAnsi="仿宋" w:eastAsia="仿宋" w:cs="仿宋"/>
                <w:color w:val="auto"/>
                <w:spacing w:val="-1"/>
                <w:highlight w:val="none"/>
              </w:rPr>
            </w:pPr>
          </w:p>
        </w:tc>
        <w:tc>
          <w:tcPr>
            <w:tcW w:w="2658" w:type="dxa"/>
            <w:vAlign w:val="center"/>
          </w:tcPr>
          <w:p w14:paraId="0A99DFE8">
            <w:pPr>
              <w:rPr>
                <w:rFonts w:ascii="仿宋" w:hAnsi="仿宋" w:eastAsia="仿宋" w:cs="仿宋"/>
                <w:color w:val="auto"/>
                <w:spacing w:val="-1"/>
                <w:highlight w:val="none"/>
              </w:rPr>
            </w:pPr>
          </w:p>
        </w:tc>
      </w:tr>
      <w:tr w14:paraId="1B7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8B8A399">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67C15646">
            <w:pPr>
              <w:rPr>
                <w:rFonts w:ascii="仿宋" w:hAnsi="仿宋" w:eastAsia="仿宋" w:cs="仿宋"/>
                <w:color w:val="auto"/>
                <w:spacing w:val="-1"/>
                <w:highlight w:val="none"/>
              </w:rPr>
            </w:pPr>
          </w:p>
        </w:tc>
        <w:tc>
          <w:tcPr>
            <w:tcW w:w="2269" w:type="dxa"/>
            <w:vAlign w:val="center"/>
          </w:tcPr>
          <w:p w14:paraId="31C94512">
            <w:pPr>
              <w:rPr>
                <w:rFonts w:ascii="仿宋" w:hAnsi="仿宋" w:eastAsia="仿宋" w:cs="仿宋"/>
                <w:color w:val="auto"/>
                <w:spacing w:val="-1"/>
                <w:highlight w:val="none"/>
              </w:rPr>
            </w:pPr>
          </w:p>
        </w:tc>
        <w:tc>
          <w:tcPr>
            <w:tcW w:w="1134" w:type="dxa"/>
            <w:vAlign w:val="center"/>
          </w:tcPr>
          <w:p w14:paraId="575191BB">
            <w:pPr>
              <w:rPr>
                <w:rFonts w:ascii="仿宋" w:hAnsi="仿宋" w:eastAsia="仿宋" w:cs="仿宋"/>
                <w:color w:val="auto"/>
                <w:spacing w:val="-1"/>
                <w:highlight w:val="none"/>
              </w:rPr>
            </w:pPr>
          </w:p>
        </w:tc>
        <w:tc>
          <w:tcPr>
            <w:tcW w:w="2658" w:type="dxa"/>
            <w:vAlign w:val="center"/>
          </w:tcPr>
          <w:p w14:paraId="7FCF80FF">
            <w:pPr>
              <w:rPr>
                <w:rFonts w:ascii="仿宋" w:hAnsi="仿宋" w:eastAsia="仿宋" w:cs="仿宋"/>
                <w:color w:val="auto"/>
                <w:spacing w:val="-1"/>
                <w:highlight w:val="none"/>
              </w:rPr>
            </w:pPr>
          </w:p>
        </w:tc>
      </w:tr>
      <w:tr w14:paraId="417C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6E20011">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0A274F23">
            <w:pPr>
              <w:rPr>
                <w:rFonts w:ascii="仿宋" w:hAnsi="仿宋" w:eastAsia="仿宋" w:cs="仿宋"/>
                <w:color w:val="auto"/>
                <w:spacing w:val="-1"/>
                <w:highlight w:val="none"/>
              </w:rPr>
            </w:pPr>
          </w:p>
        </w:tc>
        <w:tc>
          <w:tcPr>
            <w:tcW w:w="2269" w:type="dxa"/>
            <w:vAlign w:val="center"/>
          </w:tcPr>
          <w:p w14:paraId="3BD8DF29">
            <w:pPr>
              <w:rPr>
                <w:rFonts w:ascii="仿宋" w:hAnsi="仿宋" w:eastAsia="仿宋" w:cs="仿宋"/>
                <w:color w:val="auto"/>
                <w:spacing w:val="-1"/>
                <w:highlight w:val="none"/>
              </w:rPr>
            </w:pPr>
          </w:p>
        </w:tc>
        <w:tc>
          <w:tcPr>
            <w:tcW w:w="1134" w:type="dxa"/>
            <w:vAlign w:val="center"/>
          </w:tcPr>
          <w:p w14:paraId="000EC17D">
            <w:pPr>
              <w:rPr>
                <w:rFonts w:ascii="仿宋" w:hAnsi="仿宋" w:eastAsia="仿宋" w:cs="仿宋"/>
                <w:color w:val="auto"/>
                <w:spacing w:val="-1"/>
                <w:highlight w:val="none"/>
              </w:rPr>
            </w:pPr>
          </w:p>
        </w:tc>
        <w:tc>
          <w:tcPr>
            <w:tcW w:w="2658" w:type="dxa"/>
            <w:vAlign w:val="center"/>
          </w:tcPr>
          <w:p w14:paraId="4679B7A0">
            <w:pPr>
              <w:rPr>
                <w:rFonts w:ascii="仿宋" w:hAnsi="仿宋" w:eastAsia="仿宋" w:cs="仿宋"/>
                <w:color w:val="auto"/>
                <w:spacing w:val="-1"/>
                <w:highlight w:val="none"/>
              </w:rPr>
            </w:pPr>
          </w:p>
        </w:tc>
      </w:tr>
      <w:tr w14:paraId="71EC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971DA97">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1D11562E">
            <w:pPr>
              <w:rPr>
                <w:rFonts w:ascii="仿宋" w:hAnsi="仿宋" w:eastAsia="仿宋" w:cs="仿宋"/>
                <w:color w:val="auto"/>
                <w:spacing w:val="-1"/>
                <w:highlight w:val="none"/>
              </w:rPr>
            </w:pPr>
          </w:p>
        </w:tc>
        <w:tc>
          <w:tcPr>
            <w:tcW w:w="2269" w:type="dxa"/>
            <w:vAlign w:val="center"/>
          </w:tcPr>
          <w:p w14:paraId="101FCBD6">
            <w:pPr>
              <w:rPr>
                <w:rFonts w:ascii="仿宋" w:hAnsi="仿宋" w:eastAsia="仿宋" w:cs="仿宋"/>
                <w:color w:val="auto"/>
                <w:spacing w:val="-1"/>
                <w:highlight w:val="none"/>
              </w:rPr>
            </w:pPr>
          </w:p>
        </w:tc>
        <w:tc>
          <w:tcPr>
            <w:tcW w:w="1134" w:type="dxa"/>
            <w:vAlign w:val="center"/>
          </w:tcPr>
          <w:p w14:paraId="6DAEA0B3">
            <w:pPr>
              <w:rPr>
                <w:rFonts w:ascii="仿宋" w:hAnsi="仿宋" w:eastAsia="仿宋" w:cs="仿宋"/>
                <w:color w:val="auto"/>
                <w:spacing w:val="-1"/>
                <w:highlight w:val="none"/>
              </w:rPr>
            </w:pPr>
          </w:p>
        </w:tc>
        <w:tc>
          <w:tcPr>
            <w:tcW w:w="2658" w:type="dxa"/>
            <w:vAlign w:val="center"/>
          </w:tcPr>
          <w:p w14:paraId="5A699234">
            <w:pPr>
              <w:rPr>
                <w:rFonts w:ascii="仿宋" w:hAnsi="仿宋" w:eastAsia="仿宋" w:cs="仿宋"/>
                <w:color w:val="auto"/>
                <w:spacing w:val="-1"/>
                <w:highlight w:val="none"/>
              </w:rPr>
            </w:pPr>
          </w:p>
        </w:tc>
      </w:tr>
      <w:tr w14:paraId="07D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36EB28C">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4E34BE34">
            <w:pPr>
              <w:rPr>
                <w:rFonts w:ascii="仿宋" w:hAnsi="仿宋" w:eastAsia="仿宋" w:cs="仿宋"/>
                <w:color w:val="auto"/>
                <w:spacing w:val="-1"/>
                <w:highlight w:val="none"/>
              </w:rPr>
            </w:pPr>
          </w:p>
        </w:tc>
        <w:tc>
          <w:tcPr>
            <w:tcW w:w="2269" w:type="dxa"/>
            <w:vAlign w:val="center"/>
          </w:tcPr>
          <w:p w14:paraId="3F714E53">
            <w:pPr>
              <w:rPr>
                <w:rFonts w:ascii="仿宋" w:hAnsi="仿宋" w:eastAsia="仿宋" w:cs="仿宋"/>
                <w:color w:val="auto"/>
                <w:spacing w:val="-1"/>
                <w:highlight w:val="none"/>
              </w:rPr>
            </w:pPr>
          </w:p>
        </w:tc>
        <w:tc>
          <w:tcPr>
            <w:tcW w:w="1134" w:type="dxa"/>
            <w:vAlign w:val="center"/>
          </w:tcPr>
          <w:p w14:paraId="6598179D">
            <w:pPr>
              <w:rPr>
                <w:rFonts w:ascii="仿宋" w:hAnsi="仿宋" w:eastAsia="仿宋" w:cs="仿宋"/>
                <w:color w:val="auto"/>
                <w:spacing w:val="-1"/>
                <w:highlight w:val="none"/>
              </w:rPr>
            </w:pPr>
          </w:p>
        </w:tc>
        <w:tc>
          <w:tcPr>
            <w:tcW w:w="2658" w:type="dxa"/>
            <w:vAlign w:val="center"/>
          </w:tcPr>
          <w:p w14:paraId="40FD6DD9">
            <w:pPr>
              <w:rPr>
                <w:rFonts w:ascii="仿宋" w:hAnsi="仿宋" w:eastAsia="仿宋" w:cs="仿宋"/>
                <w:color w:val="auto"/>
                <w:spacing w:val="-1"/>
                <w:highlight w:val="none"/>
              </w:rPr>
            </w:pPr>
          </w:p>
        </w:tc>
      </w:tr>
      <w:tr w14:paraId="18F3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46331B6">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7C5910D8">
            <w:pPr>
              <w:rPr>
                <w:rFonts w:ascii="仿宋" w:hAnsi="仿宋" w:eastAsia="仿宋" w:cs="仿宋"/>
                <w:color w:val="auto"/>
                <w:spacing w:val="-1"/>
                <w:highlight w:val="none"/>
              </w:rPr>
            </w:pPr>
          </w:p>
        </w:tc>
        <w:tc>
          <w:tcPr>
            <w:tcW w:w="2269" w:type="dxa"/>
            <w:vAlign w:val="center"/>
          </w:tcPr>
          <w:p w14:paraId="6AEF2990">
            <w:pPr>
              <w:rPr>
                <w:rFonts w:ascii="仿宋" w:hAnsi="仿宋" w:eastAsia="仿宋" w:cs="仿宋"/>
                <w:color w:val="auto"/>
                <w:spacing w:val="-1"/>
                <w:highlight w:val="none"/>
              </w:rPr>
            </w:pPr>
          </w:p>
        </w:tc>
        <w:tc>
          <w:tcPr>
            <w:tcW w:w="1134" w:type="dxa"/>
            <w:vAlign w:val="center"/>
          </w:tcPr>
          <w:p w14:paraId="62C895E2">
            <w:pPr>
              <w:rPr>
                <w:rFonts w:ascii="仿宋" w:hAnsi="仿宋" w:eastAsia="仿宋" w:cs="仿宋"/>
                <w:color w:val="auto"/>
                <w:spacing w:val="-1"/>
                <w:highlight w:val="none"/>
              </w:rPr>
            </w:pPr>
          </w:p>
        </w:tc>
        <w:tc>
          <w:tcPr>
            <w:tcW w:w="2658" w:type="dxa"/>
            <w:vAlign w:val="center"/>
          </w:tcPr>
          <w:p w14:paraId="7CE824C0">
            <w:pPr>
              <w:rPr>
                <w:rFonts w:ascii="仿宋" w:hAnsi="仿宋" w:eastAsia="仿宋" w:cs="仿宋"/>
                <w:color w:val="auto"/>
                <w:spacing w:val="-1"/>
                <w:highlight w:val="none"/>
              </w:rPr>
            </w:pPr>
          </w:p>
        </w:tc>
      </w:tr>
      <w:tr w14:paraId="7EC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0400C75">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63F3E30F">
            <w:pPr>
              <w:rPr>
                <w:rFonts w:ascii="仿宋" w:hAnsi="仿宋" w:eastAsia="仿宋" w:cs="仿宋"/>
                <w:color w:val="auto"/>
                <w:spacing w:val="-1"/>
                <w:highlight w:val="none"/>
              </w:rPr>
            </w:pPr>
          </w:p>
        </w:tc>
        <w:tc>
          <w:tcPr>
            <w:tcW w:w="2269" w:type="dxa"/>
            <w:vAlign w:val="center"/>
          </w:tcPr>
          <w:p w14:paraId="70813C28">
            <w:pPr>
              <w:rPr>
                <w:rFonts w:ascii="仿宋" w:hAnsi="仿宋" w:eastAsia="仿宋" w:cs="仿宋"/>
                <w:color w:val="auto"/>
                <w:spacing w:val="-1"/>
                <w:highlight w:val="none"/>
              </w:rPr>
            </w:pPr>
          </w:p>
        </w:tc>
        <w:tc>
          <w:tcPr>
            <w:tcW w:w="1134" w:type="dxa"/>
            <w:vAlign w:val="center"/>
          </w:tcPr>
          <w:p w14:paraId="56C5BE10">
            <w:pPr>
              <w:rPr>
                <w:rFonts w:ascii="仿宋" w:hAnsi="仿宋" w:eastAsia="仿宋" w:cs="仿宋"/>
                <w:color w:val="auto"/>
                <w:spacing w:val="-1"/>
                <w:highlight w:val="none"/>
              </w:rPr>
            </w:pPr>
          </w:p>
        </w:tc>
        <w:tc>
          <w:tcPr>
            <w:tcW w:w="2658" w:type="dxa"/>
            <w:vAlign w:val="center"/>
          </w:tcPr>
          <w:p w14:paraId="1A6A6660">
            <w:pPr>
              <w:rPr>
                <w:rFonts w:ascii="仿宋" w:hAnsi="仿宋" w:eastAsia="仿宋" w:cs="仿宋"/>
                <w:color w:val="auto"/>
                <w:spacing w:val="-1"/>
                <w:highlight w:val="none"/>
              </w:rPr>
            </w:pPr>
          </w:p>
        </w:tc>
      </w:tr>
      <w:tr w14:paraId="40C6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F07755">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45B47EC5">
            <w:pPr>
              <w:rPr>
                <w:rFonts w:ascii="仿宋" w:hAnsi="仿宋" w:eastAsia="仿宋" w:cs="仿宋"/>
                <w:color w:val="auto"/>
                <w:spacing w:val="-1"/>
                <w:highlight w:val="none"/>
              </w:rPr>
            </w:pPr>
          </w:p>
        </w:tc>
        <w:tc>
          <w:tcPr>
            <w:tcW w:w="2269" w:type="dxa"/>
            <w:vAlign w:val="center"/>
          </w:tcPr>
          <w:p w14:paraId="059D1133">
            <w:pPr>
              <w:rPr>
                <w:rFonts w:ascii="仿宋" w:hAnsi="仿宋" w:eastAsia="仿宋" w:cs="仿宋"/>
                <w:color w:val="auto"/>
                <w:spacing w:val="-1"/>
                <w:highlight w:val="none"/>
              </w:rPr>
            </w:pPr>
          </w:p>
        </w:tc>
        <w:tc>
          <w:tcPr>
            <w:tcW w:w="1134" w:type="dxa"/>
            <w:vAlign w:val="center"/>
          </w:tcPr>
          <w:p w14:paraId="781F396C">
            <w:pPr>
              <w:rPr>
                <w:rFonts w:ascii="仿宋" w:hAnsi="仿宋" w:eastAsia="仿宋" w:cs="仿宋"/>
                <w:color w:val="auto"/>
                <w:spacing w:val="-1"/>
                <w:highlight w:val="none"/>
              </w:rPr>
            </w:pPr>
          </w:p>
        </w:tc>
        <w:tc>
          <w:tcPr>
            <w:tcW w:w="2658" w:type="dxa"/>
            <w:vAlign w:val="center"/>
          </w:tcPr>
          <w:p w14:paraId="0CF484DD">
            <w:pPr>
              <w:rPr>
                <w:rFonts w:ascii="仿宋" w:hAnsi="仿宋" w:eastAsia="仿宋" w:cs="仿宋"/>
                <w:color w:val="auto"/>
                <w:spacing w:val="-1"/>
                <w:highlight w:val="none"/>
              </w:rPr>
            </w:pPr>
          </w:p>
        </w:tc>
      </w:tr>
      <w:tr w14:paraId="1FC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683360D">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0B96132C">
            <w:pPr>
              <w:rPr>
                <w:rFonts w:ascii="仿宋" w:hAnsi="仿宋" w:eastAsia="仿宋" w:cs="仿宋"/>
                <w:color w:val="auto"/>
                <w:spacing w:val="-1"/>
                <w:highlight w:val="none"/>
              </w:rPr>
            </w:pPr>
          </w:p>
        </w:tc>
        <w:tc>
          <w:tcPr>
            <w:tcW w:w="2269" w:type="dxa"/>
            <w:vAlign w:val="center"/>
          </w:tcPr>
          <w:p w14:paraId="606DB3E0">
            <w:pPr>
              <w:rPr>
                <w:rFonts w:ascii="仿宋" w:hAnsi="仿宋" w:eastAsia="仿宋" w:cs="仿宋"/>
                <w:color w:val="auto"/>
                <w:spacing w:val="-1"/>
                <w:highlight w:val="none"/>
              </w:rPr>
            </w:pPr>
          </w:p>
        </w:tc>
        <w:tc>
          <w:tcPr>
            <w:tcW w:w="1134" w:type="dxa"/>
            <w:vAlign w:val="center"/>
          </w:tcPr>
          <w:p w14:paraId="08B2AC7B">
            <w:pPr>
              <w:rPr>
                <w:rFonts w:ascii="仿宋" w:hAnsi="仿宋" w:eastAsia="仿宋" w:cs="仿宋"/>
                <w:color w:val="auto"/>
                <w:spacing w:val="-1"/>
                <w:highlight w:val="none"/>
              </w:rPr>
            </w:pPr>
          </w:p>
        </w:tc>
        <w:tc>
          <w:tcPr>
            <w:tcW w:w="2658" w:type="dxa"/>
            <w:vAlign w:val="center"/>
          </w:tcPr>
          <w:p w14:paraId="36D7E12B">
            <w:pPr>
              <w:rPr>
                <w:rFonts w:ascii="仿宋" w:hAnsi="仿宋" w:eastAsia="仿宋" w:cs="仿宋"/>
                <w:color w:val="auto"/>
                <w:spacing w:val="-1"/>
                <w:highlight w:val="none"/>
              </w:rPr>
            </w:pPr>
          </w:p>
        </w:tc>
      </w:tr>
      <w:tr w14:paraId="00E0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928EB1B">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65DB7D71">
            <w:pPr>
              <w:rPr>
                <w:rFonts w:ascii="仿宋" w:hAnsi="仿宋" w:eastAsia="仿宋" w:cs="仿宋"/>
                <w:color w:val="auto"/>
                <w:spacing w:val="-1"/>
                <w:highlight w:val="none"/>
              </w:rPr>
            </w:pPr>
          </w:p>
        </w:tc>
        <w:tc>
          <w:tcPr>
            <w:tcW w:w="2269" w:type="dxa"/>
            <w:vAlign w:val="center"/>
          </w:tcPr>
          <w:p w14:paraId="10720026">
            <w:pPr>
              <w:rPr>
                <w:rFonts w:ascii="仿宋" w:hAnsi="仿宋" w:eastAsia="仿宋" w:cs="仿宋"/>
                <w:color w:val="auto"/>
                <w:spacing w:val="-1"/>
                <w:highlight w:val="none"/>
              </w:rPr>
            </w:pPr>
          </w:p>
        </w:tc>
        <w:tc>
          <w:tcPr>
            <w:tcW w:w="1134" w:type="dxa"/>
            <w:vAlign w:val="center"/>
          </w:tcPr>
          <w:p w14:paraId="784879F9">
            <w:pPr>
              <w:rPr>
                <w:rFonts w:ascii="仿宋" w:hAnsi="仿宋" w:eastAsia="仿宋" w:cs="仿宋"/>
                <w:color w:val="auto"/>
                <w:spacing w:val="-1"/>
                <w:highlight w:val="none"/>
              </w:rPr>
            </w:pPr>
          </w:p>
        </w:tc>
        <w:tc>
          <w:tcPr>
            <w:tcW w:w="2658" w:type="dxa"/>
            <w:vAlign w:val="center"/>
          </w:tcPr>
          <w:p w14:paraId="2BB5D6CD">
            <w:pPr>
              <w:rPr>
                <w:rFonts w:ascii="仿宋" w:hAnsi="仿宋" w:eastAsia="仿宋" w:cs="仿宋"/>
                <w:color w:val="auto"/>
                <w:spacing w:val="-1"/>
                <w:highlight w:val="none"/>
              </w:rPr>
            </w:pPr>
          </w:p>
        </w:tc>
      </w:tr>
      <w:tr w14:paraId="5398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2F27AC6">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74AA95DB">
            <w:pPr>
              <w:rPr>
                <w:rFonts w:ascii="仿宋" w:hAnsi="仿宋" w:eastAsia="仿宋" w:cs="仿宋"/>
                <w:color w:val="auto"/>
                <w:spacing w:val="-1"/>
                <w:highlight w:val="none"/>
              </w:rPr>
            </w:pPr>
          </w:p>
        </w:tc>
        <w:tc>
          <w:tcPr>
            <w:tcW w:w="2269" w:type="dxa"/>
            <w:vAlign w:val="center"/>
          </w:tcPr>
          <w:p w14:paraId="2A994574">
            <w:pPr>
              <w:rPr>
                <w:rFonts w:ascii="仿宋" w:hAnsi="仿宋" w:eastAsia="仿宋" w:cs="仿宋"/>
                <w:color w:val="auto"/>
                <w:spacing w:val="-1"/>
                <w:highlight w:val="none"/>
              </w:rPr>
            </w:pPr>
          </w:p>
        </w:tc>
        <w:tc>
          <w:tcPr>
            <w:tcW w:w="1134" w:type="dxa"/>
            <w:vAlign w:val="center"/>
          </w:tcPr>
          <w:p w14:paraId="4FC84688">
            <w:pPr>
              <w:rPr>
                <w:rFonts w:ascii="仿宋" w:hAnsi="仿宋" w:eastAsia="仿宋" w:cs="仿宋"/>
                <w:color w:val="auto"/>
                <w:spacing w:val="-1"/>
                <w:highlight w:val="none"/>
              </w:rPr>
            </w:pPr>
          </w:p>
        </w:tc>
        <w:tc>
          <w:tcPr>
            <w:tcW w:w="2658" w:type="dxa"/>
            <w:vAlign w:val="center"/>
          </w:tcPr>
          <w:p w14:paraId="2C284773">
            <w:pPr>
              <w:rPr>
                <w:rFonts w:ascii="仿宋" w:hAnsi="仿宋" w:eastAsia="仿宋" w:cs="仿宋"/>
                <w:color w:val="auto"/>
                <w:spacing w:val="-1"/>
                <w:highlight w:val="none"/>
              </w:rPr>
            </w:pPr>
          </w:p>
        </w:tc>
      </w:tr>
    </w:tbl>
    <w:p w14:paraId="7A284E4A">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578E38F6">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70ECEC94">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03B335F6">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482679DF">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63A760BC">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35C9CB48">
      <w:pPr>
        <w:pStyle w:val="73"/>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2A6FF7F1">
      <w:pPr>
        <w:pStyle w:val="73"/>
        <w:spacing w:after="0"/>
        <w:ind w:firstLine="420"/>
        <w:jc w:val="center"/>
        <w:rPr>
          <w:rFonts w:ascii="仿宋" w:hAnsi="仿宋" w:eastAsia="仿宋" w:cs="仿宋"/>
          <w:color w:val="auto"/>
          <w:sz w:val="36"/>
          <w:szCs w:val="36"/>
          <w:highlight w:val="none"/>
        </w:rPr>
      </w:pPr>
    </w:p>
    <w:p w14:paraId="02D79E72">
      <w:pPr>
        <w:pStyle w:val="73"/>
        <w:spacing w:after="0"/>
        <w:ind w:firstLine="420"/>
        <w:jc w:val="center"/>
        <w:rPr>
          <w:rFonts w:ascii="仿宋" w:hAnsi="仿宋" w:eastAsia="仿宋" w:cs="仿宋"/>
          <w:color w:val="auto"/>
          <w:sz w:val="36"/>
          <w:szCs w:val="36"/>
          <w:highlight w:val="none"/>
        </w:rPr>
      </w:pPr>
    </w:p>
    <w:p w14:paraId="574EEDEB">
      <w:pPr>
        <w:pStyle w:val="73"/>
        <w:spacing w:after="0"/>
        <w:ind w:firstLine="420"/>
        <w:jc w:val="center"/>
        <w:rPr>
          <w:rFonts w:ascii="仿宋" w:hAnsi="仿宋" w:eastAsia="仿宋" w:cs="仿宋"/>
          <w:color w:val="auto"/>
          <w:sz w:val="36"/>
          <w:szCs w:val="36"/>
          <w:highlight w:val="none"/>
        </w:rPr>
      </w:pPr>
    </w:p>
    <w:p w14:paraId="26BA1E13">
      <w:pPr>
        <w:pStyle w:val="73"/>
        <w:spacing w:after="0"/>
        <w:ind w:firstLine="420"/>
        <w:jc w:val="center"/>
        <w:rPr>
          <w:rFonts w:ascii="仿宋" w:hAnsi="仿宋" w:eastAsia="仿宋" w:cs="仿宋"/>
          <w:color w:val="auto"/>
          <w:sz w:val="36"/>
          <w:szCs w:val="36"/>
          <w:highlight w:val="none"/>
        </w:rPr>
      </w:pPr>
    </w:p>
    <w:p w14:paraId="08332B80">
      <w:pPr>
        <w:pStyle w:val="8"/>
        <w:numPr>
          <w:ilvl w:val="0"/>
          <w:numId w:val="0"/>
        </w:numPr>
        <w:kinsoku w:val="0"/>
        <w:overflowPunct w:val="0"/>
        <w:spacing w:before="34" w:line="357" w:lineRule="auto"/>
        <w:ind w:right="126"/>
        <w:jc w:val="both"/>
        <w:rPr>
          <w:rFonts w:ascii="仿宋" w:hAnsi="仿宋" w:eastAsia="仿宋" w:cs="仿宋"/>
          <w:b/>
          <w:bCs/>
          <w:color w:val="auto"/>
          <w:sz w:val="20"/>
          <w:szCs w:val="20"/>
          <w:highlight w:val="none"/>
        </w:rPr>
      </w:pPr>
      <w:r>
        <w:rPr>
          <w:rFonts w:hint="eastAsia" w:ascii="仿宋" w:hAnsi="仿宋" w:eastAsia="仿宋" w:cs="仿宋"/>
          <w:color w:val="auto"/>
          <w:sz w:val="32"/>
          <w:szCs w:val="32"/>
          <w:highlight w:val="none"/>
          <w:lang w:eastAsia="zh-CN"/>
        </w:rPr>
        <w:t>八、</w:t>
      </w:r>
      <w:r>
        <w:rPr>
          <w:rFonts w:hint="eastAsia" w:ascii="仿宋" w:hAnsi="仿宋" w:eastAsia="仿宋" w:cs="仿宋"/>
          <w:b/>
          <w:bCs/>
          <w:color w:val="auto"/>
          <w:sz w:val="28"/>
          <w:szCs w:val="28"/>
          <w:highlight w:val="none"/>
        </w:rPr>
        <w:t>近三年（</w:t>
      </w:r>
      <w:r>
        <w:rPr>
          <w:rFonts w:hint="eastAsia" w:ascii="仿宋" w:hAnsi="仿宋" w:eastAsia="仿宋" w:cs="仿宋"/>
          <w:b/>
          <w:bCs/>
          <w:color w:val="auto"/>
          <w:sz w:val="28"/>
          <w:szCs w:val="28"/>
          <w:highlight w:val="none"/>
          <w:lang w:eastAsia="zh-CN"/>
        </w:rPr>
        <w:t>投标截止之日前三年</w:t>
      </w:r>
      <w:r>
        <w:rPr>
          <w:rFonts w:hint="eastAsia" w:ascii="仿宋" w:hAnsi="仿宋" w:eastAsia="仿宋" w:cs="仿宋"/>
          <w:b/>
          <w:bCs/>
          <w:color w:val="auto"/>
          <w:sz w:val="28"/>
          <w:szCs w:val="28"/>
          <w:highlight w:val="none"/>
        </w:rPr>
        <w:t>）类似项目业绩</w:t>
      </w:r>
      <w:r>
        <w:rPr>
          <w:rFonts w:hint="eastAsia" w:ascii="仿宋" w:hAnsi="仿宋" w:eastAsia="仿宋" w:cs="仿宋"/>
          <w:b/>
          <w:bCs/>
          <w:color w:val="auto"/>
          <w:sz w:val="28"/>
          <w:szCs w:val="28"/>
          <w:highlight w:val="none"/>
          <w:lang w:eastAsia="zh-CN"/>
        </w:rPr>
        <w:t>（如有）</w:t>
      </w:r>
    </w:p>
    <w:tbl>
      <w:tblPr>
        <w:tblStyle w:val="24"/>
        <w:tblW w:w="9115" w:type="dxa"/>
        <w:jc w:val="center"/>
        <w:tblLayout w:type="fixed"/>
        <w:tblCellMar>
          <w:top w:w="0" w:type="dxa"/>
          <w:left w:w="10" w:type="dxa"/>
          <w:bottom w:w="0" w:type="dxa"/>
          <w:right w:w="10" w:type="dxa"/>
        </w:tblCellMar>
      </w:tblPr>
      <w:tblGrid>
        <w:gridCol w:w="1919"/>
        <w:gridCol w:w="7196"/>
      </w:tblGrid>
      <w:tr w14:paraId="4A874298">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2C90E246">
            <w:pPr>
              <w:pStyle w:val="71"/>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7196" w:type="dxa"/>
            <w:tcBorders>
              <w:top w:val="single" w:color="auto" w:sz="4" w:space="0"/>
              <w:left w:val="single" w:color="auto" w:sz="4" w:space="0"/>
              <w:right w:val="single" w:color="auto" w:sz="4" w:space="0"/>
            </w:tcBorders>
            <w:shd w:val="clear" w:color="auto" w:fill="FFFFFF"/>
          </w:tcPr>
          <w:p w14:paraId="455A1F38">
            <w:pPr>
              <w:rPr>
                <w:rFonts w:ascii="仿宋" w:hAnsi="仿宋" w:eastAsia="仿宋" w:cs="仿宋"/>
                <w:color w:val="auto"/>
                <w:sz w:val="10"/>
                <w:szCs w:val="10"/>
                <w:highlight w:val="none"/>
              </w:rPr>
            </w:pPr>
          </w:p>
        </w:tc>
      </w:tr>
      <w:tr w14:paraId="761FCED4">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14:paraId="23D9F62E">
            <w:pPr>
              <w:pStyle w:val="7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7196" w:type="dxa"/>
            <w:tcBorders>
              <w:top w:val="single" w:color="auto" w:sz="4" w:space="0"/>
              <w:left w:val="single" w:color="auto" w:sz="4" w:space="0"/>
              <w:right w:val="single" w:color="auto" w:sz="4" w:space="0"/>
            </w:tcBorders>
            <w:shd w:val="clear" w:color="auto" w:fill="FFFFFF"/>
          </w:tcPr>
          <w:p w14:paraId="349E54AF">
            <w:pPr>
              <w:rPr>
                <w:rFonts w:ascii="仿宋" w:hAnsi="仿宋" w:eastAsia="仿宋" w:cs="仿宋"/>
                <w:color w:val="auto"/>
                <w:sz w:val="10"/>
                <w:szCs w:val="10"/>
                <w:highlight w:val="none"/>
              </w:rPr>
            </w:pPr>
          </w:p>
        </w:tc>
      </w:tr>
      <w:tr w14:paraId="0E4F348A">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4D5D727B">
            <w:pPr>
              <w:pStyle w:val="71"/>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51BB6548">
            <w:pPr>
              <w:rPr>
                <w:rFonts w:ascii="仿宋" w:hAnsi="仿宋" w:eastAsia="仿宋" w:cs="仿宋"/>
                <w:color w:val="auto"/>
                <w:sz w:val="10"/>
                <w:szCs w:val="10"/>
                <w:highlight w:val="none"/>
              </w:rPr>
            </w:pPr>
          </w:p>
        </w:tc>
      </w:tr>
      <w:tr w14:paraId="27999B15">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1825571B">
            <w:pPr>
              <w:pStyle w:val="71"/>
              <w:spacing w:line="24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合同金额</w:t>
            </w:r>
          </w:p>
        </w:tc>
        <w:tc>
          <w:tcPr>
            <w:tcW w:w="7196" w:type="dxa"/>
            <w:tcBorders>
              <w:top w:val="single" w:color="auto" w:sz="4" w:space="0"/>
              <w:left w:val="single" w:color="auto" w:sz="4" w:space="0"/>
              <w:right w:val="single" w:color="auto" w:sz="4" w:space="0"/>
            </w:tcBorders>
            <w:shd w:val="clear" w:color="auto" w:fill="FFFFFF"/>
          </w:tcPr>
          <w:p w14:paraId="783CEE5B">
            <w:pPr>
              <w:rPr>
                <w:rFonts w:ascii="仿宋" w:hAnsi="仿宋" w:eastAsia="仿宋" w:cs="仿宋"/>
                <w:color w:val="auto"/>
                <w:sz w:val="10"/>
                <w:szCs w:val="10"/>
                <w:highlight w:val="none"/>
              </w:rPr>
            </w:pPr>
          </w:p>
        </w:tc>
      </w:tr>
      <w:tr w14:paraId="533460B1">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2D936633">
            <w:pPr>
              <w:pStyle w:val="71"/>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7196" w:type="dxa"/>
            <w:tcBorders>
              <w:top w:val="single" w:color="auto" w:sz="4" w:space="0"/>
              <w:left w:val="single" w:color="auto" w:sz="4" w:space="0"/>
              <w:right w:val="single" w:color="auto" w:sz="4" w:space="0"/>
            </w:tcBorders>
            <w:shd w:val="clear" w:color="auto" w:fill="FFFFFF"/>
          </w:tcPr>
          <w:p w14:paraId="1731814C">
            <w:pPr>
              <w:rPr>
                <w:rFonts w:ascii="仿宋" w:hAnsi="仿宋" w:eastAsia="仿宋" w:cs="仿宋"/>
                <w:color w:val="auto"/>
                <w:sz w:val="10"/>
                <w:szCs w:val="10"/>
                <w:highlight w:val="none"/>
              </w:rPr>
            </w:pPr>
          </w:p>
        </w:tc>
      </w:tr>
      <w:tr w14:paraId="4B0A0FF7">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14:paraId="4416683B">
            <w:pPr>
              <w:pStyle w:val="7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7196" w:type="dxa"/>
            <w:tcBorders>
              <w:top w:val="single" w:color="auto" w:sz="4" w:space="0"/>
              <w:left w:val="single" w:color="auto" w:sz="4" w:space="0"/>
              <w:right w:val="single" w:color="auto" w:sz="4" w:space="0"/>
            </w:tcBorders>
            <w:shd w:val="clear" w:color="auto" w:fill="FFFFFF"/>
          </w:tcPr>
          <w:p w14:paraId="27CD27BE">
            <w:pPr>
              <w:rPr>
                <w:rFonts w:ascii="仿宋" w:hAnsi="仿宋" w:eastAsia="仿宋" w:cs="仿宋"/>
                <w:color w:val="auto"/>
                <w:sz w:val="10"/>
                <w:szCs w:val="10"/>
                <w:highlight w:val="none"/>
              </w:rPr>
            </w:pPr>
          </w:p>
        </w:tc>
      </w:tr>
      <w:tr w14:paraId="6F6B94DA">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6392D057">
            <w:pPr>
              <w:pStyle w:val="71"/>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7B32FE63">
            <w:pPr>
              <w:rPr>
                <w:rFonts w:ascii="仿宋" w:hAnsi="仿宋" w:eastAsia="仿宋" w:cs="仿宋"/>
                <w:color w:val="auto"/>
                <w:sz w:val="10"/>
                <w:szCs w:val="10"/>
                <w:highlight w:val="none"/>
              </w:rPr>
            </w:pPr>
          </w:p>
        </w:tc>
      </w:tr>
    </w:tbl>
    <w:p w14:paraId="47381348">
      <w:pPr>
        <w:rPr>
          <w:rFonts w:ascii="仿宋" w:hAnsi="仿宋" w:eastAsia="仿宋" w:cs="仿宋"/>
          <w:color w:val="auto"/>
          <w:spacing w:val="-1"/>
          <w:highlight w:val="none"/>
        </w:rPr>
      </w:pPr>
      <w:r>
        <w:rPr>
          <w:rFonts w:hint="eastAsia" w:ascii="仿宋" w:hAnsi="仿宋" w:eastAsia="仿宋" w:cs="仿宋"/>
          <w:color w:val="auto"/>
          <w:spacing w:val="-1"/>
          <w:highlight w:val="none"/>
        </w:rPr>
        <w:t>注：每个</w:t>
      </w:r>
      <w:r>
        <w:rPr>
          <w:rFonts w:hint="eastAsia" w:ascii="仿宋" w:hAnsi="仿宋" w:eastAsia="仿宋" w:cs="仿宋"/>
          <w:color w:val="auto"/>
          <w:spacing w:val="-1"/>
          <w:highlight w:val="none"/>
          <w:lang w:eastAsia="zh-CN"/>
        </w:rPr>
        <w:t>业绩</w:t>
      </w:r>
      <w:r>
        <w:rPr>
          <w:rFonts w:hint="eastAsia" w:ascii="仿宋" w:hAnsi="仿宋" w:eastAsia="仿宋" w:cs="仿宋"/>
          <w:color w:val="auto"/>
          <w:spacing w:val="-1"/>
          <w:highlight w:val="none"/>
        </w:rPr>
        <w:t>须单独附表，并附上</w:t>
      </w:r>
      <w:r>
        <w:rPr>
          <w:rFonts w:hint="eastAsia" w:ascii="仿宋" w:hAnsi="仿宋" w:eastAsia="仿宋" w:cs="仿宋"/>
          <w:color w:val="auto"/>
          <w:spacing w:val="-1"/>
          <w:highlight w:val="none"/>
          <w:lang w:eastAsia="zh-CN"/>
        </w:rPr>
        <w:t>合同或中标通知书</w:t>
      </w:r>
      <w:r>
        <w:rPr>
          <w:rFonts w:hint="eastAsia" w:ascii="仿宋" w:hAnsi="仿宋" w:eastAsia="仿宋" w:cs="仿宋"/>
          <w:color w:val="auto"/>
          <w:spacing w:val="-1"/>
          <w:highlight w:val="none"/>
        </w:rPr>
        <w:t>相关证明材料，否则专家在评审时将不予采信。</w:t>
      </w:r>
    </w:p>
    <w:p w14:paraId="00F6C8BA">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32F3A3B8">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7F2797BE">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500E402A">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2F041BE8">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27C3BC3A">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日</w:t>
      </w:r>
    </w:p>
    <w:p w14:paraId="3EBD40DC">
      <w:pPr>
        <w:pStyle w:val="73"/>
        <w:spacing w:after="580"/>
        <w:ind w:firstLine="360"/>
        <w:rPr>
          <w:rFonts w:ascii="仿宋" w:hAnsi="仿宋" w:eastAsia="仿宋" w:cs="仿宋"/>
          <w:color w:val="auto"/>
          <w:highlight w:val="none"/>
        </w:rPr>
      </w:pPr>
    </w:p>
    <w:p w14:paraId="206885DA">
      <w:pPr>
        <w:pStyle w:val="73"/>
        <w:spacing w:after="580"/>
        <w:ind w:firstLine="360"/>
        <w:rPr>
          <w:rFonts w:ascii="仿宋" w:hAnsi="仿宋" w:eastAsia="仿宋" w:cs="仿宋"/>
          <w:color w:val="auto"/>
          <w:highlight w:val="none"/>
        </w:rPr>
      </w:pPr>
    </w:p>
    <w:p w14:paraId="72010E60">
      <w:pPr>
        <w:pStyle w:val="73"/>
        <w:spacing w:after="580"/>
        <w:ind w:firstLine="0"/>
        <w:rPr>
          <w:rFonts w:ascii="仿宋" w:hAnsi="仿宋" w:eastAsia="仿宋" w:cs="仿宋"/>
          <w:color w:val="auto"/>
          <w:highlight w:val="none"/>
        </w:rPr>
      </w:pPr>
    </w:p>
    <w:p w14:paraId="7C1EECE0">
      <w:pPr>
        <w:pStyle w:val="72"/>
        <w:spacing w:after="240" w:line="240" w:lineRule="auto"/>
        <w:ind w:firstLine="0"/>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eastAsia="zh-CN"/>
        </w:rPr>
        <w:t>九、</w:t>
      </w:r>
      <w:r>
        <w:rPr>
          <w:rFonts w:hint="eastAsia" w:ascii="仿宋" w:hAnsi="仿宋" w:eastAsia="仿宋" w:cs="仿宋"/>
          <w:b/>
          <w:bCs/>
          <w:color w:val="auto"/>
          <w:sz w:val="36"/>
          <w:szCs w:val="36"/>
          <w:highlight w:val="none"/>
        </w:rPr>
        <w:t>其他商务资格证明资料</w:t>
      </w:r>
      <w:r>
        <w:rPr>
          <w:rFonts w:hint="eastAsia" w:ascii="仿宋" w:hAnsi="仿宋" w:eastAsia="仿宋" w:cs="仿宋"/>
          <w:b/>
          <w:bCs/>
          <w:color w:val="auto"/>
          <w:sz w:val="36"/>
          <w:szCs w:val="36"/>
          <w:highlight w:val="none"/>
          <w:lang w:val="en-US" w:eastAsia="zh-CN"/>
        </w:rPr>
        <w:t>(格式自定）</w:t>
      </w:r>
    </w:p>
    <w:p w14:paraId="79A0E45E">
      <w:pPr>
        <w:pStyle w:val="72"/>
        <w:spacing w:after="240" w:line="240" w:lineRule="auto"/>
        <w:ind w:firstLine="0"/>
        <w:jc w:val="center"/>
        <w:rPr>
          <w:rFonts w:ascii="仿宋" w:hAnsi="仿宋" w:eastAsia="仿宋" w:cs="仿宋"/>
          <w:b/>
          <w:bCs/>
          <w:color w:val="auto"/>
          <w:sz w:val="36"/>
          <w:szCs w:val="36"/>
          <w:highlight w:val="none"/>
          <w:lang w:eastAsia="zh-CN"/>
        </w:rPr>
      </w:pPr>
    </w:p>
    <w:p w14:paraId="5B835AAE">
      <w:pPr>
        <w:pStyle w:val="72"/>
        <w:spacing w:after="240" w:line="240" w:lineRule="auto"/>
        <w:ind w:firstLine="0"/>
        <w:jc w:val="center"/>
        <w:rPr>
          <w:rFonts w:ascii="仿宋" w:hAnsi="仿宋" w:eastAsia="仿宋" w:cs="仿宋"/>
          <w:b/>
          <w:bCs/>
          <w:color w:val="auto"/>
          <w:sz w:val="36"/>
          <w:szCs w:val="36"/>
          <w:highlight w:val="none"/>
          <w:lang w:eastAsia="zh-CN"/>
        </w:rPr>
      </w:pPr>
    </w:p>
    <w:p w14:paraId="01BE8AF8">
      <w:pPr>
        <w:pStyle w:val="72"/>
        <w:spacing w:after="240" w:line="240" w:lineRule="auto"/>
        <w:ind w:firstLine="0"/>
        <w:jc w:val="center"/>
        <w:rPr>
          <w:rFonts w:ascii="仿宋" w:hAnsi="仿宋" w:eastAsia="仿宋" w:cs="仿宋"/>
          <w:b/>
          <w:bCs/>
          <w:color w:val="auto"/>
          <w:sz w:val="36"/>
          <w:szCs w:val="36"/>
          <w:highlight w:val="none"/>
          <w:lang w:eastAsia="zh-CN"/>
        </w:rPr>
      </w:pPr>
    </w:p>
    <w:p w14:paraId="78A35659">
      <w:pPr>
        <w:pStyle w:val="72"/>
        <w:spacing w:after="240" w:line="240" w:lineRule="auto"/>
        <w:ind w:firstLine="0"/>
        <w:jc w:val="center"/>
        <w:rPr>
          <w:rFonts w:ascii="仿宋" w:hAnsi="仿宋" w:eastAsia="仿宋" w:cs="仿宋"/>
          <w:b/>
          <w:bCs/>
          <w:color w:val="auto"/>
          <w:sz w:val="36"/>
          <w:szCs w:val="36"/>
          <w:highlight w:val="none"/>
          <w:lang w:eastAsia="zh-CN"/>
        </w:rPr>
      </w:pPr>
    </w:p>
    <w:p w14:paraId="3BEFCB0E">
      <w:pPr>
        <w:pStyle w:val="72"/>
        <w:spacing w:after="240" w:line="240" w:lineRule="auto"/>
        <w:ind w:firstLine="0"/>
        <w:jc w:val="center"/>
        <w:rPr>
          <w:rFonts w:ascii="仿宋" w:hAnsi="仿宋" w:eastAsia="仿宋" w:cs="仿宋"/>
          <w:b/>
          <w:bCs/>
          <w:color w:val="auto"/>
          <w:sz w:val="36"/>
          <w:szCs w:val="36"/>
          <w:highlight w:val="none"/>
          <w:lang w:eastAsia="zh-CN"/>
        </w:rPr>
      </w:pPr>
    </w:p>
    <w:p w14:paraId="4DD71F4D">
      <w:pPr>
        <w:pStyle w:val="72"/>
        <w:spacing w:after="240" w:line="240" w:lineRule="auto"/>
        <w:ind w:firstLine="0"/>
        <w:jc w:val="center"/>
        <w:rPr>
          <w:rFonts w:ascii="仿宋" w:hAnsi="仿宋" w:eastAsia="仿宋" w:cs="仿宋"/>
          <w:b/>
          <w:bCs/>
          <w:color w:val="auto"/>
          <w:sz w:val="36"/>
          <w:szCs w:val="36"/>
          <w:highlight w:val="none"/>
          <w:lang w:eastAsia="zh-CN"/>
        </w:rPr>
      </w:pPr>
    </w:p>
    <w:p w14:paraId="1A25391E">
      <w:pPr>
        <w:pStyle w:val="72"/>
        <w:spacing w:after="240" w:line="240" w:lineRule="auto"/>
        <w:ind w:firstLine="0"/>
        <w:jc w:val="center"/>
        <w:rPr>
          <w:rFonts w:ascii="仿宋" w:hAnsi="仿宋" w:eastAsia="仿宋" w:cs="仿宋"/>
          <w:b/>
          <w:bCs/>
          <w:color w:val="auto"/>
          <w:sz w:val="36"/>
          <w:szCs w:val="36"/>
          <w:highlight w:val="none"/>
          <w:lang w:eastAsia="zh-CN"/>
        </w:rPr>
      </w:pPr>
    </w:p>
    <w:p w14:paraId="6C087052">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0AF472F4">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1F89E068">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1D3C6AB5">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188F68F1">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2E6B6E84">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rPr>
      </w:pPr>
    </w:p>
    <w:p w14:paraId="5CEED38A">
      <w:pPr>
        <w:pStyle w:val="8"/>
        <w:numPr>
          <w:ilvl w:val="0"/>
          <w:numId w:val="0"/>
        </w:numPr>
        <w:kinsoku w:val="0"/>
        <w:overflowPunct w:val="0"/>
        <w:spacing w:before="34" w:line="357" w:lineRule="auto"/>
        <w:ind w:right="126"/>
        <w:jc w:val="both"/>
        <w:rPr>
          <w:rFonts w:ascii="仿宋" w:hAnsi="仿宋" w:eastAsia="仿宋" w:cs="仿宋"/>
          <w:b/>
          <w:bCs/>
          <w:color w:val="auto"/>
          <w:sz w:val="36"/>
          <w:szCs w:val="36"/>
          <w:highlight w:val="none"/>
        </w:rPr>
      </w:pPr>
    </w:p>
    <w:p w14:paraId="7297BC44">
      <w:pPr>
        <w:pStyle w:val="9"/>
        <w:rPr>
          <w:rFonts w:ascii="仿宋" w:hAnsi="仿宋" w:eastAsia="仿宋" w:cs="仿宋"/>
          <w:b/>
          <w:bCs/>
          <w:color w:val="auto"/>
          <w:sz w:val="36"/>
          <w:szCs w:val="36"/>
          <w:highlight w:val="none"/>
        </w:rPr>
      </w:pPr>
    </w:p>
    <w:p w14:paraId="34445B05"/>
    <w:p w14:paraId="7E2E21C2">
      <w:pPr>
        <w:pStyle w:val="8"/>
        <w:numPr>
          <w:ilvl w:val="0"/>
          <w:numId w:val="0"/>
        </w:numPr>
        <w:kinsoku w:val="0"/>
        <w:overflowPunct w:val="0"/>
        <w:spacing w:before="34" w:line="357" w:lineRule="auto"/>
        <w:ind w:right="126"/>
        <w:jc w:val="center"/>
        <w:rPr>
          <w:rFonts w:ascii="仿宋" w:hAnsi="仿宋" w:eastAsia="仿宋" w:cs="仿宋"/>
          <w:b/>
          <w:bCs/>
          <w:color w:val="auto"/>
          <w:highlight w:val="none"/>
        </w:rPr>
      </w:pPr>
      <w:r>
        <w:rPr>
          <w:rFonts w:hint="eastAsia" w:ascii="仿宋" w:hAnsi="仿宋" w:eastAsia="仿宋" w:cs="仿宋"/>
          <w:b/>
          <w:bCs/>
          <w:color w:val="auto"/>
          <w:sz w:val="36"/>
          <w:szCs w:val="36"/>
          <w:highlight w:val="none"/>
        </w:rPr>
        <w:t>技术部分</w:t>
      </w:r>
    </w:p>
    <w:p w14:paraId="3FFD1949">
      <w:pPr>
        <w:rPr>
          <w:rFonts w:ascii="仿宋" w:hAnsi="仿宋" w:eastAsia="仿宋" w:cs="仿宋"/>
          <w:b/>
          <w:color w:val="auto"/>
          <w:highlight w:val="none"/>
        </w:rPr>
      </w:pPr>
      <w:bookmarkStart w:id="153" w:name="_GoBack"/>
      <w:r>
        <w:rPr>
          <w:rFonts w:hint="eastAsia" w:ascii="仿宋" w:hAnsi="仿宋" w:eastAsia="仿宋" w:cs="仿宋"/>
          <w:b/>
          <w:color w:val="auto"/>
          <w:highlight w:val="none"/>
          <w:lang w:eastAsia="zh-CN"/>
        </w:rPr>
        <w:t>十</w:t>
      </w:r>
      <w:r>
        <w:rPr>
          <w:rFonts w:hint="eastAsia" w:ascii="仿宋" w:hAnsi="仿宋" w:eastAsia="仿宋" w:cs="仿宋"/>
          <w:b/>
          <w:color w:val="auto"/>
          <w:highlight w:val="none"/>
        </w:rPr>
        <w:t>、技术参数响应表</w:t>
      </w:r>
    </w:p>
    <w:p w14:paraId="37C3042E">
      <w:pPr>
        <w:pStyle w:val="73"/>
        <w:spacing w:after="0"/>
        <w:ind w:firstLine="420"/>
        <w:jc w:val="center"/>
        <w:rPr>
          <w:rFonts w:ascii="仿宋" w:hAnsi="仿宋" w:eastAsia="仿宋" w:cs="仿宋"/>
          <w:color w:val="auto"/>
          <w:sz w:val="36"/>
          <w:szCs w:val="36"/>
          <w:highlight w:val="none"/>
          <w:lang w:eastAsia="zh-CN"/>
        </w:rPr>
      </w:pP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104"/>
        <w:gridCol w:w="1299"/>
        <w:gridCol w:w="2658"/>
      </w:tblGrid>
      <w:tr w14:paraId="3ED8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453729">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0C6B624C">
            <w:pPr>
              <w:rPr>
                <w:rFonts w:ascii="仿宋" w:hAnsi="仿宋" w:eastAsia="仿宋" w:cs="仿宋"/>
                <w:color w:val="auto"/>
                <w:spacing w:val="-1"/>
                <w:highlight w:val="none"/>
              </w:rPr>
            </w:pPr>
            <w:r>
              <w:rPr>
                <w:rFonts w:hint="eastAsia" w:ascii="仿宋" w:hAnsi="仿宋" w:eastAsia="仿宋" w:cs="仿宋"/>
                <w:color w:val="auto"/>
                <w:spacing w:val="-1"/>
                <w:highlight w:val="none"/>
              </w:rPr>
              <w:t>一般</w:t>
            </w:r>
            <w:r>
              <w:rPr>
                <w:rFonts w:hint="eastAsia" w:ascii="仿宋" w:hAnsi="仿宋" w:eastAsia="仿宋" w:cs="仿宋"/>
                <w:color w:val="auto"/>
                <w:spacing w:val="-1"/>
                <w:highlight w:val="none"/>
                <w:lang w:eastAsia="zh-CN"/>
              </w:rPr>
              <w:t>技术</w:t>
            </w:r>
            <w:r>
              <w:rPr>
                <w:rFonts w:hint="eastAsia" w:ascii="仿宋" w:hAnsi="仿宋" w:eastAsia="仿宋" w:cs="仿宋"/>
                <w:color w:val="auto"/>
                <w:spacing w:val="-1"/>
                <w:highlight w:val="none"/>
              </w:rPr>
              <w:t>条款序号</w:t>
            </w:r>
          </w:p>
        </w:tc>
        <w:tc>
          <w:tcPr>
            <w:tcW w:w="2104" w:type="dxa"/>
            <w:vAlign w:val="center"/>
          </w:tcPr>
          <w:p w14:paraId="31C5B851">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299" w:type="dxa"/>
            <w:vAlign w:val="center"/>
          </w:tcPr>
          <w:p w14:paraId="1DE53D69">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39049AD0">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012B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7CC4D39">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233D83F4">
            <w:pPr>
              <w:rPr>
                <w:rFonts w:ascii="仿宋" w:hAnsi="仿宋" w:eastAsia="仿宋" w:cs="仿宋"/>
                <w:color w:val="auto"/>
                <w:spacing w:val="-1"/>
                <w:highlight w:val="none"/>
              </w:rPr>
            </w:pPr>
          </w:p>
        </w:tc>
        <w:tc>
          <w:tcPr>
            <w:tcW w:w="2104" w:type="dxa"/>
            <w:vAlign w:val="center"/>
          </w:tcPr>
          <w:p w14:paraId="58F78742">
            <w:pPr>
              <w:rPr>
                <w:rFonts w:ascii="仿宋" w:hAnsi="仿宋" w:eastAsia="仿宋" w:cs="仿宋"/>
                <w:color w:val="auto"/>
                <w:spacing w:val="-1"/>
                <w:highlight w:val="none"/>
              </w:rPr>
            </w:pPr>
          </w:p>
        </w:tc>
        <w:tc>
          <w:tcPr>
            <w:tcW w:w="1299" w:type="dxa"/>
            <w:vAlign w:val="center"/>
          </w:tcPr>
          <w:p w14:paraId="5842FC82">
            <w:pPr>
              <w:rPr>
                <w:rFonts w:ascii="仿宋" w:hAnsi="仿宋" w:eastAsia="仿宋" w:cs="仿宋"/>
                <w:color w:val="auto"/>
                <w:spacing w:val="-1"/>
                <w:highlight w:val="none"/>
              </w:rPr>
            </w:pPr>
          </w:p>
        </w:tc>
        <w:tc>
          <w:tcPr>
            <w:tcW w:w="2658" w:type="dxa"/>
            <w:vAlign w:val="center"/>
          </w:tcPr>
          <w:p w14:paraId="29739C0F">
            <w:pPr>
              <w:rPr>
                <w:rFonts w:ascii="仿宋" w:hAnsi="仿宋" w:eastAsia="仿宋" w:cs="仿宋"/>
                <w:color w:val="auto"/>
                <w:spacing w:val="-1"/>
                <w:highlight w:val="none"/>
              </w:rPr>
            </w:pPr>
          </w:p>
        </w:tc>
      </w:tr>
      <w:tr w14:paraId="3E3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8E00968">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40F04378">
            <w:pPr>
              <w:rPr>
                <w:rFonts w:ascii="仿宋" w:hAnsi="仿宋" w:eastAsia="仿宋" w:cs="仿宋"/>
                <w:color w:val="auto"/>
                <w:spacing w:val="-1"/>
                <w:highlight w:val="none"/>
              </w:rPr>
            </w:pPr>
          </w:p>
        </w:tc>
        <w:tc>
          <w:tcPr>
            <w:tcW w:w="2104" w:type="dxa"/>
            <w:vAlign w:val="center"/>
          </w:tcPr>
          <w:p w14:paraId="3A2C44BE">
            <w:pPr>
              <w:rPr>
                <w:rFonts w:ascii="仿宋" w:hAnsi="仿宋" w:eastAsia="仿宋" w:cs="仿宋"/>
                <w:color w:val="auto"/>
                <w:spacing w:val="-1"/>
                <w:highlight w:val="none"/>
              </w:rPr>
            </w:pPr>
          </w:p>
        </w:tc>
        <w:tc>
          <w:tcPr>
            <w:tcW w:w="1299" w:type="dxa"/>
            <w:vAlign w:val="center"/>
          </w:tcPr>
          <w:p w14:paraId="2689D543">
            <w:pPr>
              <w:rPr>
                <w:rFonts w:ascii="仿宋" w:hAnsi="仿宋" w:eastAsia="仿宋" w:cs="仿宋"/>
                <w:color w:val="auto"/>
                <w:spacing w:val="-1"/>
                <w:highlight w:val="none"/>
              </w:rPr>
            </w:pPr>
          </w:p>
        </w:tc>
        <w:tc>
          <w:tcPr>
            <w:tcW w:w="2658" w:type="dxa"/>
            <w:vAlign w:val="center"/>
          </w:tcPr>
          <w:p w14:paraId="23841DC0">
            <w:pPr>
              <w:rPr>
                <w:rFonts w:ascii="仿宋" w:hAnsi="仿宋" w:eastAsia="仿宋" w:cs="仿宋"/>
                <w:color w:val="auto"/>
                <w:spacing w:val="-1"/>
                <w:highlight w:val="none"/>
              </w:rPr>
            </w:pPr>
          </w:p>
        </w:tc>
      </w:tr>
      <w:tr w14:paraId="1BE3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601EF1D">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2D886D68">
            <w:pPr>
              <w:rPr>
                <w:rFonts w:ascii="仿宋" w:hAnsi="仿宋" w:eastAsia="仿宋" w:cs="仿宋"/>
                <w:color w:val="auto"/>
                <w:spacing w:val="-1"/>
                <w:highlight w:val="none"/>
              </w:rPr>
            </w:pPr>
          </w:p>
        </w:tc>
        <w:tc>
          <w:tcPr>
            <w:tcW w:w="2104" w:type="dxa"/>
            <w:vAlign w:val="center"/>
          </w:tcPr>
          <w:p w14:paraId="0986A6AC">
            <w:pPr>
              <w:rPr>
                <w:rFonts w:ascii="仿宋" w:hAnsi="仿宋" w:eastAsia="仿宋" w:cs="仿宋"/>
                <w:color w:val="auto"/>
                <w:spacing w:val="-1"/>
                <w:highlight w:val="none"/>
              </w:rPr>
            </w:pPr>
          </w:p>
        </w:tc>
        <w:tc>
          <w:tcPr>
            <w:tcW w:w="1299" w:type="dxa"/>
            <w:vAlign w:val="center"/>
          </w:tcPr>
          <w:p w14:paraId="777A2227">
            <w:pPr>
              <w:rPr>
                <w:rFonts w:ascii="仿宋" w:hAnsi="仿宋" w:eastAsia="仿宋" w:cs="仿宋"/>
                <w:color w:val="auto"/>
                <w:spacing w:val="-1"/>
                <w:highlight w:val="none"/>
              </w:rPr>
            </w:pPr>
          </w:p>
        </w:tc>
        <w:tc>
          <w:tcPr>
            <w:tcW w:w="2658" w:type="dxa"/>
            <w:vAlign w:val="center"/>
          </w:tcPr>
          <w:p w14:paraId="4AA5F7F0">
            <w:pPr>
              <w:rPr>
                <w:rFonts w:ascii="仿宋" w:hAnsi="仿宋" w:eastAsia="仿宋" w:cs="仿宋"/>
                <w:color w:val="auto"/>
                <w:spacing w:val="-1"/>
                <w:highlight w:val="none"/>
              </w:rPr>
            </w:pPr>
          </w:p>
        </w:tc>
      </w:tr>
      <w:tr w14:paraId="761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0C386F">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3A70DCBA">
            <w:pPr>
              <w:rPr>
                <w:rFonts w:ascii="仿宋" w:hAnsi="仿宋" w:eastAsia="仿宋" w:cs="仿宋"/>
                <w:color w:val="auto"/>
                <w:spacing w:val="-1"/>
                <w:highlight w:val="none"/>
              </w:rPr>
            </w:pPr>
          </w:p>
        </w:tc>
        <w:tc>
          <w:tcPr>
            <w:tcW w:w="2104" w:type="dxa"/>
            <w:vAlign w:val="center"/>
          </w:tcPr>
          <w:p w14:paraId="18317656">
            <w:pPr>
              <w:rPr>
                <w:rFonts w:ascii="仿宋" w:hAnsi="仿宋" w:eastAsia="仿宋" w:cs="仿宋"/>
                <w:color w:val="auto"/>
                <w:spacing w:val="-1"/>
                <w:highlight w:val="none"/>
              </w:rPr>
            </w:pPr>
          </w:p>
        </w:tc>
        <w:tc>
          <w:tcPr>
            <w:tcW w:w="1299" w:type="dxa"/>
            <w:vAlign w:val="center"/>
          </w:tcPr>
          <w:p w14:paraId="086C64BA">
            <w:pPr>
              <w:rPr>
                <w:rFonts w:ascii="仿宋" w:hAnsi="仿宋" w:eastAsia="仿宋" w:cs="仿宋"/>
                <w:color w:val="auto"/>
                <w:spacing w:val="-1"/>
                <w:highlight w:val="none"/>
              </w:rPr>
            </w:pPr>
          </w:p>
        </w:tc>
        <w:tc>
          <w:tcPr>
            <w:tcW w:w="2658" w:type="dxa"/>
            <w:vAlign w:val="center"/>
          </w:tcPr>
          <w:p w14:paraId="622483F4">
            <w:pPr>
              <w:rPr>
                <w:rFonts w:ascii="仿宋" w:hAnsi="仿宋" w:eastAsia="仿宋" w:cs="仿宋"/>
                <w:color w:val="auto"/>
                <w:spacing w:val="-1"/>
                <w:highlight w:val="none"/>
              </w:rPr>
            </w:pPr>
          </w:p>
        </w:tc>
      </w:tr>
      <w:tr w14:paraId="2BA5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998D180">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34E1E340">
            <w:pPr>
              <w:rPr>
                <w:rFonts w:ascii="仿宋" w:hAnsi="仿宋" w:eastAsia="仿宋" w:cs="仿宋"/>
                <w:color w:val="auto"/>
                <w:spacing w:val="-1"/>
                <w:highlight w:val="none"/>
              </w:rPr>
            </w:pPr>
          </w:p>
        </w:tc>
        <w:tc>
          <w:tcPr>
            <w:tcW w:w="2104" w:type="dxa"/>
            <w:vAlign w:val="center"/>
          </w:tcPr>
          <w:p w14:paraId="45C262B0">
            <w:pPr>
              <w:rPr>
                <w:rFonts w:ascii="仿宋" w:hAnsi="仿宋" w:eastAsia="仿宋" w:cs="仿宋"/>
                <w:color w:val="auto"/>
                <w:spacing w:val="-1"/>
                <w:highlight w:val="none"/>
              </w:rPr>
            </w:pPr>
          </w:p>
        </w:tc>
        <w:tc>
          <w:tcPr>
            <w:tcW w:w="1299" w:type="dxa"/>
            <w:vAlign w:val="center"/>
          </w:tcPr>
          <w:p w14:paraId="35E1DB14">
            <w:pPr>
              <w:rPr>
                <w:rFonts w:ascii="仿宋" w:hAnsi="仿宋" w:eastAsia="仿宋" w:cs="仿宋"/>
                <w:color w:val="auto"/>
                <w:spacing w:val="-1"/>
                <w:highlight w:val="none"/>
              </w:rPr>
            </w:pPr>
          </w:p>
        </w:tc>
        <w:tc>
          <w:tcPr>
            <w:tcW w:w="2658" w:type="dxa"/>
            <w:vAlign w:val="center"/>
          </w:tcPr>
          <w:p w14:paraId="342DFBF4">
            <w:pPr>
              <w:rPr>
                <w:rFonts w:ascii="仿宋" w:hAnsi="仿宋" w:eastAsia="仿宋" w:cs="仿宋"/>
                <w:color w:val="auto"/>
                <w:spacing w:val="-1"/>
                <w:highlight w:val="none"/>
              </w:rPr>
            </w:pPr>
          </w:p>
        </w:tc>
      </w:tr>
      <w:tr w14:paraId="438D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6443592">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7960D436">
            <w:pPr>
              <w:rPr>
                <w:rFonts w:ascii="仿宋" w:hAnsi="仿宋" w:eastAsia="仿宋" w:cs="仿宋"/>
                <w:color w:val="auto"/>
                <w:spacing w:val="-1"/>
                <w:highlight w:val="none"/>
              </w:rPr>
            </w:pPr>
          </w:p>
        </w:tc>
        <w:tc>
          <w:tcPr>
            <w:tcW w:w="2104" w:type="dxa"/>
            <w:vAlign w:val="center"/>
          </w:tcPr>
          <w:p w14:paraId="4CD00B11">
            <w:pPr>
              <w:rPr>
                <w:rFonts w:ascii="仿宋" w:hAnsi="仿宋" w:eastAsia="仿宋" w:cs="仿宋"/>
                <w:color w:val="auto"/>
                <w:spacing w:val="-1"/>
                <w:highlight w:val="none"/>
              </w:rPr>
            </w:pPr>
          </w:p>
        </w:tc>
        <w:tc>
          <w:tcPr>
            <w:tcW w:w="1299" w:type="dxa"/>
            <w:vAlign w:val="center"/>
          </w:tcPr>
          <w:p w14:paraId="6B00FEFA">
            <w:pPr>
              <w:rPr>
                <w:rFonts w:ascii="仿宋" w:hAnsi="仿宋" w:eastAsia="仿宋" w:cs="仿宋"/>
                <w:color w:val="auto"/>
                <w:spacing w:val="-1"/>
                <w:highlight w:val="none"/>
              </w:rPr>
            </w:pPr>
          </w:p>
        </w:tc>
        <w:tc>
          <w:tcPr>
            <w:tcW w:w="2658" w:type="dxa"/>
            <w:vAlign w:val="center"/>
          </w:tcPr>
          <w:p w14:paraId="2F4BC100">
            <w:pPr>
              <w:rPr>
                <w:rFonts w:ascii="仿宋" w:hAnsi="仿宋" w:eastAsia="仿宋" w:cs="仿宋"/>
                <w:color w:val="auto"/>
                <w:spacing w:val="-1"/>
                <w:highlight w:val="none"/>
              </w:rPr>
            </w:pPr>
          </w:p>
        </w:tc>
      </w:tr>
      <w:tr w14:paraId="1403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9A3696E">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2DEA9A00">
            <w:pPr>
              <w:rPr>
                <w:rFonts w:ascii="仿宋" w:hAnsi="仿宋" w:eastAsia="仿宋" w:cs="仿宋"/>
                <w:color w:val="auto"/>
                <w:spacing w:val="-1"/>
                <w:highlight w:val="none"/>
              </w:rPr>
            </w:pPr>
          </w:p>
        </w:tc>
        <w:tc>
          <w:tcPr>
            <w:tcW w:w="2104" w:type="dxa"/>
            <w:vAlign w:val="center"/>
          </w:tcPr>
          <w:p w14:paraId="54D9559B">
            <w:pPr>
              <w:rPr>
                <w:rFonts w:ascii="仿宋" w:hAnsi="仿宋" w:eastAsia="仿宋" w:cs="仿宋"/>
                <w:color w:val="auto"/>
                <w:spacing w:val="-1"/>
                <w:highlight w:val="none"/>
              </w:rPr>
            </w:pPr>
          </w:p>
        </w:tc>
        <w:tc>
          <w:tcPr>
            <w:tcW w:w="1299" w:type="dxa"/>
            <w:vAlign w:val="center"/>
          </w:tcPr>
          <w:p w14:paraId="4AD3E725">
            <w:pPr>
              <w:rPr>
                <w:rFonts w:ascii="仿宋" w:hAnsi="仿宋" w:eastAsia="仿宋" w:cs="仿宋"/>
                <w:color w:val="auto"/>
                <w:spacing w:val="-1"/>
                <w:highlight w:val="none"/>
              </w:rPr>
            </w:pPr>
          </w:p>
        </w:tc>
        <w:tc>
          <w:tcPr>
            <w:tcW w:w="2658" w:type="dxa"/>
            <w:vAlign w:val="center"/>
          </w:tcPr>
          <w:p w14:paraId="53168D2B">
            <w:pPr>
              <w:rPr>
                <w:rFonts w:ascii="仿宋" w:hAnsi="仿宋" w:eastAsia="仿宋" w:cs="仿宋"/>
                <w:color w:val="auto"/>
                <w:spacing w:val="-1"/>
                <w:highlight w:val="none"/>
              </w:rPr>
            </w:pPr>
          </w:p>
        </w:tc>
      </w:tr>
      <w:tr w14:paraId="001F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014C70">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1FBAFA41">
            <w:pPr>
              <w:rPr>
                <w:rFonts w:ascii="仿宋" w:hAnsi="仿宋" w:eastAsia="仿宋" w:cs="仿宋"/>
                <w:color w:val="auto"/>
                <w:spacing w:val="-1"/>
                <w:highlight w:val="none"/>
              </w:rPr>
            </w:pPr>
          </w:p>
        </w:tc>
        <w:tc>
          <w:tcPr>
            <w:tcW w:w="2104" w:type="dxa"/>
            <w:vAlign w:val="center"/>
          </w:tcPr>
          <w:p w14:paraId="77503DE6">
            <w:pPr>
              <w:rPr>
                <w:rFonts w:ascii="仿宋" w:hAnsi="仿宋" w:eastAsia="仿宋" w:cs="仿宋"/>
                <w:color w:val="auto"/>
                <w:spacing w:val="-1"/>
                <w:highlight w:val="none"/>
              </w:rPr>
            </w:pPr>
          </w:p>
        </w:tc>
        <w:tc>
          <w:tcPr>
            <w:tcW w:w="1299" w:type="dxa"/>
            <w:vAlign w:val="center"/>
          </w:tcPr>
          <w:p w14:paraId="622A2618">
            <w:pPr>
              <w:rPr>
                <w:rFonts w:ascii="仿宋" w:hAnsi="仿宋" w:eastAsia="仿宋" w:cs="仿宋"/>
                <w:color w:val="auto"/>
                <w:spacing w:val="-1"/>
                <w:highlight w:val="none"/>
              </w:rPr>
            </w:pPr>
          </w:p>
        </w:tc>
        <w:tc>
          <w:tcPr>
            <w:tcW w:w="2658" w:type="dxa"/>
            <w:vAlign w:val="center"/>
          </w:tcPr>
          <w:p w14:paraId="16185BEF">
            <w:pPr>
              <w:rPr>
                <w:rFonts w:ascii="仿宋" w:hAnsi="仿宋" w:eastAsia="仿宋" w:cs="仿宋"/>
                <w:color w:val="auto"/>
                <w:spacing w:val="-1"/>
                <w:highlight w:val="none"/>
              </w:rPr>
            </w:pPr>
          </w:p>
        </w:tc>
      </w:tr>
      <w:tr w14:paraId="42E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C68062">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7144CD8C">
            <w:pPr>
              <w:rPr>
                <w:rFonts w:ascii="仿宋" w:hAnsi="仿宋" w:eastAsia="仿宋" w:cs="仿宋"/>
                <w:color w:val="auto"/>
                <w:spacing w:val="-1"/>
                <w:highlight w:val="none"/>
              </w:rPr>
            </w:pPr>
          </w:p>
        </w:tc>
        <w:tc>
          <w:tcPr>
            <w:tcW w:w="2104" w:type="dxa"/>
            <w:vAlign w:val="center"/>
          </w:tcPr>
          <w:p w14:paraId="6E436A0D">
            <w:pPr>
              <w:rPr>
                <w:rFonts w:ascii="仿宋" w:hAnsi="仿宋" w:eastAsia="仿宋" w:cs="仿宋"/>
                <w:color w:val="auto"/>
                <w:spacing w:val="-1"/>
                <w:highlight w:val="none"/>
              </w:rPr>
            </w:pPr>
          </w:p>
        </w:tc>
        <w:tc>
          <w:tcPr>
            <w:tcW w:w="1299" w:type="dxa"/>
            <w:vAlign w:val="center"/>
          </w:tcPr>
          <w:p w14:paraId="38451EB9">
            <w:pPr>
              <w:rPr>
                <w:rFonts w:ascii="仿宋" w:hAnsi="仿宋" w:eastAsia="仿宋" w:cs="仿宋"/>
                <w:color w:val="auto"/>
                <w:spacing w:val="-1"/>
                <w:highlight w:val="none"/>
              </w:rPr>
            </w:pPr>
          </w:p>
        </w:tc>
        <w:tc>
          <w:tcPr>
            <w:tcW w:w="2658" w:type="dxa"/>
            <w:vAlign w:val="center"/>
          </w:tcPr>
          <w:p w14:paraId="03C9A8C8">
            <w:pPr>
              <w:rPr>
                <w:rFonts w:ascii="仿宋" w:hAnsi="仿宋" w:eastAsia="仿宋" w:cs="仿宋"/>
                <w:color w:val="auto"/>
                <w:spacing w:val="-1"/>
                <w:highlight w:val="none"/>
              </w:rPr>
            </w:pPr>
          </w:p>
        </w:tc>
      </w:tr>
      <w:tr w14:paraId="2185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488D24">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6EB1E735">
            <w:pPr>
              <w:rPr>
                <w:rFonts w:ascii="仿宋" w:hAnsi="仿宋" w:eastAsia="仿宋" w:cs="仿宋"/>
                <w:color w:val="auto"/>
                <w:spacing w:val="-1"/>
                <w:highlight w:val="none"/>
              </w:rPr>
            </w:pPr>
          </w:p>
        </w:tc>
        <w:tc>
          <w:tcPr>
            <w:tcW w:w="2104" w:type="dxa"/>
            <w:vAlign w:val="center"/>
          </w:tcPr>
          <w:p w14:paraId="5A15D262">
            <w:pPr>
              <w:rPr>
                <w:rFonts w:ascii="仿宋" w:hAnsi="仿宋" w:eastAsia="仿宋" w:cs="仿宋"/>
                <w:color w:val="auto"/>
                <w:spacing w:val="-1"/>
                <w:highlight w:val="none"/>
              </w:rPr>
            </w:pPr>
          </w:p>
        </w:tc>
        <w:tc>
          <w:tcPr>
            <w:tcW w:w="1299" w:type="dxa"/>
            <w:vAlign w:val="center"/>
          </w:tcPr>
          <w:p w14:paraId="56DAF564">
            <w:pPr>
              <w:rPr>
                <w:rFonts w:ascii="仿宋" w:hAnsi="仿宋" w:eastAsia="仿宋" w:cs="仿宋"/>
                <w:color w:val="auto"/>
                <w:spacing w:val="-1"/>
                <w:highlight w:val="none"/>
              </w:rPr>
            </w:pPr>
          </w:p>
        </w:tc>
        <w:tc>
          <w:tcPr>
            <w:tcW w:w="2658" w:type="dxa"/>
            <w:vAlign w:val="center"/>
          </w:tcPr>
          <w:p w14:paraId="5977DA73">
            <w:pPr>
              <w:rPr>
                <w:rFonts w:ascii="仿宋" w:hAnsi="仿宋" w:eastAsia="仿宋" w:cs="仿宋"/>
                <w:color w:val="auto"/>
                <w:spacing w:val="-1"/>
                <w:highlight w:val="none"/>
              </w:rPr>
            </w:pPr>
          </w:p>
        </w:tc>
      </w:tr>
      <w:tr w14:paraId="6ED1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4C58A84">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49CC9D70">
            <w:pPr>
              <w:rPr>
                <w:rFonts w:ascii="仿宋" w:hAnsi="仿宋" w:eastAsia="仿宋" w:cs="仿宋"/>
                <w:color w:val="auto"/>
                <w:spacing w:val="-1"/>
                <w:highlight w:val="none"/>
              </w:rPr>
            </w:pPr>
          </w:p>
        </w:tc>
        <w:tc>
          <w:tcPr>
            <w:tcW w:w="2104" w:type="dxa"/>
            <w:vAlign w:val="center"/>
          </w:tcPr>
          <w:p w14:paraId="2B55B3CF">
            <w:pPr>
              <w:rPr>
                <w:rFonts w:ascii="仿宋" w:hAnsi="仿宋" w:eastAsia="仿宋" w:cs="仿宋"/>
                <w:color w:val="auto"/>
                <w:spacing w:val="-1"/>
                <w:highlight w:val="none"/>
              </w:rPr>
            </w:pPr>
          </w:p>
        </w:tc>
        <w:tc>
          <w:tcPr>
            <w:tcW w:w="1299" w:type="dxa"/>
            <w:vAlign w:val="center"/>
          </w:tcPr>
          <w:p w14:paraId="3FA03FCD">
            <w:pPr>
              <w:rPr>
                <w:rFonts w:ascii="仿宋" w:hAnsi="仿宋" w:eastAsia="仿宋" w:cs="仿宋"/>
                <w:color w:val="auto"/>
                <w:spacing w:val="-1"/>
                <w:highlight w:val="none"/>
              </w:rPr>
            </w:pPr>
          </w:p>
        </w:tc>
        <w:tc>
          <w:tcPr>
            <w:tcW w:w="2658" w:type="dxa"/>
            <w:vAlign w:val="center"/>
          </w:tcPr>
          <w:p w14:paraId="4D8AA920">
            <w:pPr>
              <w:rPr>
                <w:rFonts w:ascii="仿宋" w:hAnsi="仿宋" w:eastAsia="仿宋" w:cs="仿宋"/>
                <w:color w:val="auto"/>
                <w:spacing w:val="-1"/>
                <w:highlight w:val="none"/>
              </w:rPr>
            </w:pPr>
          </w:p>
        </w:tc>
      </w:tr>
      <w:tr w14:paraId="5F4A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C032076">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69E2DC58">
            <w:pPr>
              <w:rPr>
                <w:rFonts w:ascii="仿宋" w:hAnsi="仿宋" w:eastAsia="仿宋" w:cs="仿宋"/>
                <w:color w:val="auto"/>
                <w:spacing w:val="-1"/>
                <w:highlight w:val="none"/>
              </w:rPr>
            </w:pPr>
          </w:p>
        </w:tc>
        <w:tc>
          <w:tcPr>
            <w:tcW w:w="2104" w:type="dxa"/>
            <w:vAlign w:val="center"/>
          </w:tcPr>
          <w:p w14:paraId="4E34BB3F">
            <w:pPr>
              <w:rPr>
                <w:rFonts w:ascii="仿宋" w:hAnsi="仿宋" w:eastAsia="仿宋" w:cs="仿宋"/>
                <w:color w:val="auto"/>
                <w:spacing w:val="-1"/>
                <w:highlight w:val="none"/>
              </w:rPr>
            </w:pPr>
          </w:p>
        </w:tc>
        <w:tc>
          <w:tcPr>
            <w:tcW w:w="1299" w:type="dxa"/>
            <w:vAlign w:val="center"/>
          </w:tcPr>
          <w:p w14:paraId="6188E9C2">
            <w:pPr>
              <w:rPr>
                <w:rFonts w:ascii="仿宋" w:hAnsi="仿宋" w:eastAsia="仿宋" w:cs="仿宋"/>
                <w:color w:val="auto"/>
                <w:spacing w:val="-1"/>
                <w:highlight w:val="none"/>
              </w:rPr>
            </w:pPr>
          </w:p>
        </w:tc>
        <w:tc>
          <w:tcPr>
            <w:tcW w:w="2658" w:type="dxa"/>
            <w:vAlign w:val="center"/>
          </w:tcPr>
          <w:p w14:paraId="1A5A5BC9">
            <w:pPr>
              <w:rPr>
                <w:rFonts w:ascii="仿宋" w:hAnsi="仿宋" w:eastAsia="仿宋" w:cs="仿宋"/>
                <w:color w:val="auto"/>
                <w:spacing w:val="-1"/>
                <w:highlight w:val="none"/>
              </w:rPr>
            </w:pPr>
          </w:p>
        </w:tc>
      </w:tr>
      <w:tr w14:paraId="5B06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BF8208C">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15AC9CDD">
            <w:pPr>
              <w:rPr>
                <w:rFonts w:ascii="仿宋" w:hAnsi="仿宋" w:eastAsia="仿宋" w:cs="仿宋"/>
                <w:color w:val="auto"/>
                <w:spacing w:val="-1"/>
                <w:highlight w:val="none"/>
              </w:rPr>
            </w:pPr>
          </w:p>
        </w:tc>
        <w:tc>
          <w:tcPr>
            <w:tcW w:w="2104" w:type="dxa"/>
            <w:vAlign w:val="center"/>
          </w:tcPr>
          <w:p w14:paraId="07CD2D75">
            <w:pPr>
              <w:rPr>
                <w:rFonts w:ascii="仿宋" w:hAnsi="仿宋" w:eastAsia="仿宋" w:cs="仿宋"/>
                <w:color w:val="auto"/>
                <w:spacing w:val="-1"/>
                <w:highlight w:val="none"/>
              </w:rPr>
            </w:pPr>
          </w:p>
        </w:tc>
        <w:tc>
          <w:tcPr>
            <w:tcW w:w="1299" w:type="dxa"/>
            <w:vAlign w:val="center"/>
          </w:tcPr>
          <w:p w14:paraId="48815821">
            <w:pPr>
              <w:rPr>
                <w:rFonts w:ascii="仿宋" w:hAnsi="仿宋" w:eastAsia="仿宋" w:cs="仿宋"/>
                <w:color w:val="auto"/>
                <w:spacing w:val="-1"/>
                <w:highlight w:val="none"/>
              </w:rPr>
            </w:pPr>
          </w:p>
        </w:tc>
        <w:tc>
          <w:tcPr>
            <w:tcW w:w="2658" w:type="dxa"/>
            <w:vAlign w:val="center"/>
          </w:tcPr>
          <w:p w14:paraId="07E481B4">
            <w:pPr>
              <w:rPr>
                <w:rFonts w:ascii="仿宋" w:hAnsi="仿宋" w:eastAsia="仿宋" w:cs="仿宋"/>
                <w:color w:val="auto"/>
                <w:spacing w:val="-1"/>
                <w:highlight w:val="none"/>
              </w:rPr>
            </w:pPr>
          </w:p>
        </w:tc>
      </w:tr>
      <w:tr w14:paraId="4FA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CC688B4">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DC6F93A">
            <w:pPr>
              <w:rPr>
                <w:rFonts w:ascii="仿宋" w:hAnsi="仿宋" w:eastAsia="仿宋" w:cs="仿宋"/>
                <w:color w:val="auto"/>
                <w:spacing w:val="-1"/>
                <w:highlight w:val="none"/>
              </w:rPr>
            </w:pPr>
          </w:p>
        </w:tc>
        <w:tc>
          <w:tcPr>
            <w:tcW w:w="2104" w:type="dxa"/>
            <w:vAlign w:val="center"/>
          </w:tcPr>
          <w:p w14:paraId="15F8C3DD">
            <w:pPr>
              <w:rPr>
                <w:rFonts w:ascii="仿宋" w:hAnsi="仿宋" w:eastAsia="仿宋" w:cs="仿宋"/>
                <w:color w:val="auto"/>
                <w:spacing w:val="-1"/>
                <w:highlight w:val="none"/>
              </w:rPr>
            </w:pPr>
          </w:p>
        </w:tc>
        <w:tc>
          <w:tcPr>
            <w:tcW w:w="1299" w:type="dxa"/>
            <w:vAlign w:val="center"/>
          </w:tcPr>
          <w:p w14:paraId="5CC1EF9F">
            <w:pPr>
              <w:rPr>
                <w:rFonts w:ascii="仿宋" w:hAnsi="仿宋" w:eastAsia="仿宋" w:cs="仿宋"/>
                <w:color w:val="auto"/>
                <w:spacing w:val="-1"/>
                <w:highlight w:val="none"/>
              </w:rPr>
            </w:pPr>
          </w:p>
        </w:tc>
        <w:tc>
          <w:tcPr>
            <w:tcW w:w="2658" w:type="dxa"/>
            <w:vAlign w:val="center"/>
          </w:tcPr>
          <w:p w14:paraId="02FD874F">
            <w:pPr>
              <w:rPr>
                <w:rFonts w:ascii="仿宋" w:hAnsi="仿宋" w:eastAsia="仿宋" w:cs="仿宋"/>
                <w:color w:val="auto"/>
                <w:spacing w:val="-1"/>
                <w:highlight w:val="none"/>
              </w:rPr>
            </w:pPr>
          </w:p>
        </w:tc>
      </w:tr>
      <w:tr w14:paraId="0144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0E32760">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34920785">
            <w:pPr>
              <w:rPr>
                <w:rFonts w:ascii="仿宋" w:hAnsi="仿宋" w:eastAsia="仿宋" w:cs="仿宋"/>
                <w:color w:val="auto"/>
                <w:spacing w:val="-1"/>
                <w:highlight w:val="none"/>
              </w:rPr>
            </w:pPr>
          </w:p>
        </w:tc>
        <w:tc>
          <w:tcPr>
            <w:tcW w:w="2104" w:type="dxa"/>
            <w:vAlign w:val="center"/>
          </w:tcPr>
          <w:p w14:paraId="21872FE8">
            <w:pPr>
              <w:rPr>
                <w:rFonts w:ascii="仿宋" w:hAnsi="仿宋" w:eastAsia="仿宋" w:cs="仿宋"/>
                <w:color w:val="auto"/>
                <w:spacing w:val="-1"/>
                <w:highlight w:val="none"/>
              </w:rPr>
            </w:pPr>
          </w:p>
        </w:tc>
        <w:tc>
          <w:tcPr>
            <w:tcW w:w="1299" w:type="dxa"/>
            <w:vAlign w:val="center"/>
          </w:tcPr>
          <w:p w14:paraId="104D9948">
            <w:pPr>
              <w:rPr>
                <w:rFonts w:ascii="仿宋" w:hAnsi="仿宋" w:eastAsia="仿宋" w:cs="仿宋"/>
                <w:color w:val="auto"/>
                <w:spacing w:val="-1"/>
                <w:highlight w:val="none"/>
              </w:rPr>
            </w:pPr>
          </w:p>
        </w:tc>
        <w:tc>
          <w:tcPr>
            <w:tcW w:w="2658" w:type="dxa"/>
            <w:vAlign w:val="center"/>
          </w:tcPr>
          <w:p w14:paraId="5B00FA47">
            <w:pPr>
              <w:rPr>
                <w:rFonts w:ascii="仿宋" w:hAnsi="仿宋" w:eastAsia="仿宋" w:cs="仿宋"/>
                <w:color w:val="auto"/>
                <w:spacing w:val="-1"/>
                <w:highlight w:val="none"/>
              </w:rPr>
            </w:pPr>
          </w:p>
        </w:tc>
      </w:tr>
    </w:tbl>
    <w:p w14:paraId="369F3C02">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3005BD66">
      <w:pPr>
        <w:rPr>
          <w:rFonts w:ascii="仿宋" w:hAnsi="仿宋" w:eastAsia="仿宋" w:cs="仿宋"/>
          <w:color w:val="auto"/>
          <w:szCs w:val="21"/>
          <w:highlight w:val="none"/>
        </w:rPr>
      </w:pPr>
    </w:p>
    <w:p w14:paraId="552BAC02">
      <w:pPr>
        <w:rPr>
          <w:rFonts w:ascii="仿宋" w:hAnsi="仿宋" w:eastAsia="仿宋" w:cs="仿宋"/>
          <w:color w:val="auto"/>
          <w:szCs w:val="21"/>
          <w:highlight w:val="none"/>
        </w:rPr>
      </w:pPr>
    </w:p>
    <w:p w14:paraId="61F0538F">
      <w:pPr>
        <w:rPr>
          <w:rFonts w:ascii="仿宋" w:hAnsi="仿宋" w:eastAsia="仿宋" w:cs="仿宋"/>
          <w:color w:val="auto"/>
          <w:szCs w:val="21"/>
          <w:highlight w:val="none"/>
        </w:rPr>
      </w:pPr>
    </w:p>
    <w:p w14:paraId="4D7B2799">
      <w:pPr>
        <w:rPr>
          <w:rFonts w:ascii="仿宋" w:hAnsi="仿宋" w:eastAsia="仿宋" w:cs="仿宋"/>
          <w:color w:val="auto"/>
          <w:szCs w:val="21"/>
          <w:highlight w:val="none"/>
        </w:rPr>
      </w:pPr>
    </w:p>
    <w:p w14:paraId="46AE6900">
      <w:pPr>
        <w:rPr>
          <w:rFonts w:ascii="仿宋" w:hAnsi="仿宋" w:eastAsia="仿宋" w:cs="仿宋"/>
          <w:color w:val="auto"/>
          <w:szCs w:val="21"/>
          <w:highlight w:val="none"/>
        </w:rPr>
      </w:pPr>
    </w:p>
    <w:p w14:paraId="5C1CBFA5">
      <w:pPr>
        <w:rPr>
          <w:rFonts w:ascii="仿宋" w:hAnsi="仿宋" w:eastAsia="仿宋" w:cs="仿宋"/>
          <w:color w:val="auto"/>
          <w:szCs w:val="21"/>
          <w:highlight w:val="none"/>
        </w:rPr>
      </w:pPr>
    </w:p>
    <w:p w14:paraId="2881BEDB">
      <w:pPr>
        <w:rPr>
          <w:rFonts w:ascii="仿宋" w:hAnsi="仿宋" w:eastAsia="仿宋" w:cs="仿宋"/>
          <w:color w:val="auto"/>
          <w:szCs w:val="21"/>
          <w:highlight w:val="none"/>
        </w:rPr>
      </w:pPr>
    </w:p>
    <w:p w14:paraId="0D5833CD">
      <w:pPr>
        <w:rPr>
          <w:rFonts w:ascii="仿宋" w:hAnsi="仿宋" w:eastAsia="仿宋" w:cs="仿宋"/>
          <w:color w:val="auto"/>
          <w:szCs w:val="21"/>
          <w:highlight w:val="none"/>
        </w:rPr>
      </w:pPr>
    </w:p>
    <w:p w14:paraId="3BCC98D7">
      <w:pPr>
        <w:rPr>
          <w:rFonts w:ascii="仿宋" w:hAnsi="仿宋" w:eastAsia="仿宋" w:cs="仿宋"/>
          <w:color w:val="auto"/>
          <w:szCs w:val="21"/>
          <w:highlight w:val="none"/>
        </w:rPr>
      </w:pPr>
    </w:p>
    <w:p w14:paraId="3B2F6665">
      <w:pPr>
        <w:rPr>
          <w:rFonts w:ascii="仿宋" w:hAnsi="仿宋" w:eastAsia="仿宋" w:cs="仿宋"/>
          <w:color w:val="auto"/>
          <w:szCs w:val="21"/>
          <w:highlight w:val="none"/>
        </w:rPr>
      </w:pPr>
    </w:p>
    <w:p w14:paraId="463162C2">
      <w:pPr>
        <w:pStyle w:val="39"/>
        <w:rPr>
          <w:color w:val="auto"/>
          <w:highlight w:val="none"/>
        </w:rPr>
      </w:pPr>
    </w:p>
    <w:p w14:paraId="692F7DC7">
      <w:pPr>
        <w:rPr>
          <w:rFonts w:ascii="仿宋" w:hAnsi="仿宋" w:eastAsia="仿宋" w:cs="仿宋"/>
          <w:color w:val="auto"/>
          <w:szCs w:val="21"/>
          <w:highlight w:val="none"/>
        </w:rPr>
      </w:pPr>
    </w:p>
    <w:p w14:paraId="01523747">
      <w:pPr>
        <w:rPr>
          <w:rFonts w:ascii="仿宋" w:hAnsi="仿宋" w:eastAsia="仿宋" w:cs="仿宋"/>
          <w:color w:val="auto"/>
          <w:szCs w:val="21"/>
          <w:highlight w:val="none"/>
        </w:rPr>
      </w:pPr>
    </w:p>
    <w:p w14:paraId="70B0034B">
      <w:pPr>
        <w:rPr>
          <w:rFonts w:ascii="仿宋" w:hAnsi="仿宋" w:eastAsia="仿宋" w:cs="仿宋"/>
          <w:color w:val="auto"/>
          <w:szCs w:val="21"/>
          <w:highlight w:val="none"/>
        </w:rPr>
      </w:pPr>
    </w:p>
    <w:p w14:paraId="4F7AD64B">
      <w:pPr>
        <w:rPr>
          <w:rFonts w:ascii="仿宋" w:hAnsi="仿宋" w:eastAsia="仿宋" w:cs="仿宋"/>
          <w:color w:val="auto"/>
          <w:szCs w:val="21"/>
          <w:highlight w:val="none"/>
        </w:rPr>
      </w:pPr>
    </w:p>
    <w:p w14:paraId="5ED22511">
      <w:pPr>
        <w:numPr>
          <w:ilvl w:val="0"/>
          <w:numId w:val="8"/>
        </w:numPr>
        <w:ind w:left="-150" w:leftChars="0" w:firstLine="363" w:firstLineChars="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技术方案（投标人自行编写的技术文件</w:t>
      </w:r>
      <w:r>
        <w:rPr>
          <w:rFonts w:hint="eastAsia" w:ascii="仿宋" w:hAnsi="仿宋" w:eastAsia="仿宋" w:cs="仿宋"/>
          <w:b/>
          <w:color w:val="auto"/>
          <w:sz w:val="28"/>
          <w:szCs w:val="28"/>
          <w:highlight w:val="none"/>
          <w:lang w:eastAsia="zh-CN"/>
        </w:rPr>
        <w:t>，包括但不限于</w:t>
      </w:r>
      <w:r>
        <w:rPr>
          <w:rFonts w:hint="eastAsia" w:ascii="仿宋" w:hAnsi="仿宋" w:eastAsia="仿宋" w:cs="仿宋"/>
          <w:b/>
          <w:color w:val="auto"/>
          <w:sz w:val="28"/>
          <w:szCs w:val="28"/>
          <w:highlight w:val="none"/>
        </w:rPr>
        <w:t>）</w:t>
      </w:r>
    </w:p>
    <w:p w14:paraId="48C7AC88">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w:t>
      </w:r>
      <w:r>
        <w:rPr>
          <w:rFonts w:hint="eastAsia"/>
          <w:b w:val="0"/>
          <w:bCs w:val="0"/>
          <w:sz w:val="22"/>
          <w:szCs w:val="22"/>
          <w:lang w:val="en-US" w:eastAsia="zh-CN"/>
        </w:rPr>
        <w:t>1</w:t>
      </w:r>
      <w:r>
        <w:rPr>
          <w:rFonts w:hint="eastAsia"/>
          <w:b w:val="0"/>
          <w:bCs w:val="0"/>
          <w:sz w:val="22"/>
          <w:szCs w:val="22"/>
          <w:lang w:eastAsia="zh-CN"/>
        </w:rPr>
        <w:t>）针对本次招标内容的实施方案</w:t>
      </w:r>
    </w:p>
    <w:p w14:paraId="3F79B9CF">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（2）服务质量保证措施。</w:t>
      </w:r>
      <w:r>
        <w:rPr>
          <w:rFonts w:hint="eastAsia"/>
          <w:b w:val="0"/>
          <w:bCs w:val="0"/>
          <w:sz w:val="22"/>
          <w:szCs w:val="22"/>
          <w:lang w:eastAsia="zh-CN"/>
        </w:rPr>
        <w:softHyphen/>
      </w:r>
    </w:p>
    <w:p w14:paraId="4D6A67C7">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（3）售后与承诺（范围、标准及期限等）。</w:t>
      </w:r>
    </w:p>
    <w:p w14:paraId="0085AFEE">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（4）优惠措施（后期服务费用及方式）。</w:t>
      </w:r>
    </w:p>
    <w:p w14:paraId="3AB0964E">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（5）投标服务符合竞争性磋商文件规定的其他证明文件及磋商响应人认为需加以说明的其他内容。</w:t>
      </w:r>
    </w:p>
    <w:p w14:paraId="14255A2B">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default"/>
          <w:b w:val="0"/>
          <w:bCs w:val="0"/>
          <w:sz w:val="22"/>
          <w:szCs w:val="22"/>
          <w:lang w:val="en-US" w:eastAsia="zh-CN"/>
        </w:rPr>
      </w:pPr>
      <w:r>
        <w:rPr>
          <w:rFonts w:hint="eastAsia"/>
          <w:b w:val="0"/>
          <w:bCs w:val="0"/>
          <w:sz w:val="22"/>
          <w:szCs w:val="22"/>
          <w:lang w:eastAsia="zh-CN"/>
        </w:rPr>
        <w:t>（6）投标承诺书（附件</w:t>
      </w:r>
      <w:r>
        <w:rPr>
          <w:rFonts w:hint="eastAsia"/>
          <w:b w:val="0"/>
          <w:bCs w:val="0"/>
          <w:sz w:val="22"/>
          <w:szCs w:val="22"/>
          <w:lang w:val="en-US" w:eastAsia="zh-CN"/>
        </w:rPr>
        <w:t>1）</w:t>
      </w:r>
    </w:p>
    <w:p w14:paraId="72FAAAF9">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b w:val="0"/>
          <w:bCs w:val="0"/>
          <w:sz w:val="22"/>
          <w:szCs w:val="22"/>
          <w:lang w:eastAsia="zh-CN"/>
        </w:rPr>
      </w:pPr>
      <w:r>
        <w:rPr>
          <w:rFonts w:hint="eastAsia"/>
          <w:b w:val="0"/>
          <w:bCs w:val="0"/>
          <w:sz w:val="22"/>
          <w:szCs w:val="22"/>
          <w:lang w:eastAsia="zh-CN"/>
        </w:rPr>
        <w:t>（7）评分标准和细则中技术部分证明材料（格式自拟）</w:t>
      </w:r>
    </w:p>
    <w:p w14:paraId="58B1A450">
      <w:pPr>
        <w:pStyle w:val="2"/>
        <w:keepNext/>
        <w:keepLines/>
        <w:pageBreakBefore w:val="0"/>
        <w:widowControl w:val="0"/>
        <w:numPr>
          <w:ilvl w:val="0"/>
          <w:numId w:val="0"/>
        </w:numPr>
        <w:kinsoku/>
        <w:wordWrap/>
        <w:overflowPunct/>
        <w:topLinePunct w:val="0"/>
        <w:autoSpaceDE/>
        <w:autoSpaceDN/>
        <w:bidi w:val="0"/>
        <w:adjustRightInd/>
        <w:snapToGrid/>
        <w:spacing w:line="300" w:lineRule="exact"/>
        <w:textAlignment w:val="baseline"/>
        <w:rPr>
          <w:rFonts w:hint="eastAsia" w:eastAsia="宋体"/>
          <w:b w:val="0"/>
          <w:bCs w:val="0"/>
          <w:sz w:val="22"/>
          <w:szCs w:val="22"/>
          <w:lang w:eastAsia="zh-CN"/>
        </w:rPr>
      </w:pPr>
      <w:r>
        <w:rPr>
          <w:rFonts w:hint="eastAsia"/>
          <w:b w:val="0"/>
          <w:bCs w:val="0"/>
          <w:sz w:val="22"/>
          <w:szCs w:val="22"/>
          <w:lang w:eastAsia="zh-CN"/>
        </w:rPr>
        <w:t>（8）投标人认为有必要提供的其他证明材料（格式自拟）</w:t>
      </w:r>
    </w:p>
    <w:p w14:paraId="29F5DBDC">
      <w:pPr>
        <w:pStyle w:val="10"/>
        <w:ind w:left="0" w:leftChars="0" w:firstLine="0" w:firstLineChars="0"/>
        <w:rPr>
          <w:rFonts w:hint="eastAsia" w:ascii="仿宋" w:hAnsi="仿宋" w:eastAsia="仿宋" w:cs="仿宋"/>
          <w:b/>
          <w:color w:val="auto"/>
          <w:sz w:val="36"/>
          <w:szCs w:val="36"/>
          <w:highlight w:val="none"/>
          <w:lang w:eastAsia="zh-CN"/>
        </w:rPr>
      </w:pPr>
    </w:p>
    <w:p w14:paraId="17670910">
      <w:pP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br w:type="page"/>
      </w:r>
    </w:p>
    <w:p w14:paraId="2A397BB5">
      <w:pPr>
        <w:spacing w:line="348" w:lineRule="auto"/>
        <w:jc w:val="center"/>
        <w:rPr>
          <w:rFonts w:hint="eastAsia" w:ascii="仿宋" w:hAnsi="仿宋" w:eastAsia="仿宋" w:cs="仿宋"/>
          <w:b/>
          <w:sz w:val="32"/>
          <w:szCs w:val="28"/>
        </w:rPr>
      </w:pPr>
      <w:r>
        <w:rPr>
          <w:rFonts w:hint="eastAsia" w:ascii="仿宋" w:hAnsi="仿宋" w:eastAsia="仿宋" w:cs="仿宋"/>
          <w:b/>
          <w:sz w:val="32"/>
          <w:szCs w:val="28"/>
          <w:lang w:eastAsia="zh-CN"/>
        </w:rPr>
        <w:t>附件</w:t>
      </w:r>
      <w:r>
        <w:rPr>
          <w:rFonts w:hint="eastAsia" w:ascii="仿宋" w:hAnsi="仿宋" w:eastAsia="仿宋" w:cs="仿宋"/>
          <w:b/>
          <w:sz w:val="32"/>
          <w:szCs w:val="28"/>
          <w:lang w:val="en-US" w:eastAsia="zh-CN"/>
        </w:rPr>
        <w:t>1：</w:t>
      </w:r>
      <w:r>
        <w:rPr>
          <w:rFonts w:hint="eastAsia" w:ascii="仿宋" w:hAnsi="仿宋" w:eastAsia="仿宋" w:cs="仿宋"/>
          <w:b/>
          <w:sz w:val="32"/>
          <w:szCs w:val="28"/>
        </w:rPr>
        <w:t>投标承诺书</w:t>
      </w:r>
    </w:p>
    <w:p w14:paraId="3F37056A">
      <w:pPr>
        <w:spacing w:line="348" w:lineRule="auto"/>
        <w:rPr>
          <w:rFonts w:hint="eastAsia" w:ascii="仿宋" w:hAnsi="仿宋" w:eastAsia="仿宋" w:cs="仿宋"/>
          <w:sz w:val="24"/>
          <w:u w:val="single"/>
        </w:rPr>
      </w:pPr>
      <w:r>
        <w:rPr>
          <w:rFonts w:hint="eastAsia" w:ascii="仿宋" w:hAnsi="仿宋" w:eastAsia="仿宋" w:cs="仿宋"/>
          <w:sz w:val="24"/>
        </w:rPr>
        <w:t>招标人：</w:t>
      </w:r>
      <w:r>
        <w:rPr>
          <w:rFonts w:hint="eastAsia" w:ascii="仿宋" w:hAnsi="仿宋" w:eastAsia="仿宋" w:cs="仿宋"/>
          <w:sz w:val="24"/>
          <w:u w:val="single"/>
        </w:rPr>
        <w:t xml:space="preserve">                                        </w:t>
      </w:r>
    </w:p>
    <w:p w14:paraId="155206DC">
      <w:pPr>
        <w:spacing w:line="348" w:lineRule="auto"/>
        <w:rPr>
          <w:rFonts w:hint="eastAsia" w:ascii="仿宋" w:hAnsi="仿宋" w:eastAsia="仿宋" w:cs="仿宋"/>
          <w:sz w:val="24"/>
        </w:rPr>
      </w:pPr>
      <w:r>
        <w:rPr>
          <w:rFonts w:hint="eastAsia" w:ascii="仿宋" w:hAnsi="仿宋" w:eastAsia="仿宋" w:cs="仿宋"/>
          <w:sz w:val="24"/>
        </w:rPr>
        <w:t>1、根据已收到的</w:t>
      </w:r>
      <w:r>
        <w:rPr>
          <w:rFonts w:hint="eastAsia" w:ascii="仿宋" w:hAnsi="仿宋" w:eastAsia="仿宋" w:cs="仿宋"/>
          <w:sz w:val="24"/>
          <w:u w:val="single"/>
        </w:rPr>
        <w:t xml:space="preserve">                           </w:t>
      </w:r>
      <w:r>
        <w:rPr>
          <w:rFonts w:hint="eastAsia" w:ascii="仿宋" w:hAnsi="仿宋" w:eastAsia="仿宋" w:cs="仿宋"/>
          <w:sz w:val="24"/>
        </w:rPr>
        <w:t>采购项目的竞争性磋商文件，遵照国家、自治区招标投标法律法规的规定，我单位经研究贵方的竞争性磋商文件后愿以投标书的经济标部分所报投标价格承揽本招标范围内的全部内容。</w:t>
      </w:r>
    </w:p>
    <w:p w14:paraId="462B3107">
      <w:pPr>
        <w:spacing w:line="348" w:lineRule="auto"/>
        <w:rPr>
          <w:rFonts w:hint="eastAsia" w:ascii="仿宋" w:hAnsi="仿宋" w:eastAsia="仿宋" w:cs="仿宋"/>
          <w:sz w:val="24"/>
        </w:rPr>
      </w:pPr>
      <w:r>
        <w:rPr>
          <w:rFonts w:hint="eastAsia" w:ascii="仿宋" w:hAnsi="仿宋" w:eastAsia="仿宋" w:cs="仿宋"/>
          <w:sz w:val="24"/>
        </w:rPr>
        <w:t>2、一旦我方中标，我方承诺：</w:t>
      </w:r>
    </w:p>
    <w:p w14:paraId="29FA896A">
      <w:pPr>
        <w:numPr>
          <w:ilvl w:val="1"/>
          <w:numId w:val="9"/>
        </w:numPr>
        <w:tabs>
          <w:tab w:val="left" w:pos="1440"/>
        </w:tabs>
        <w:adjustRightInd w:val="0"/>
        <w:snapToGrid w:val="0"/>
        <w:spacing w:line="348" w:lineRule="auto"/>
        <w:ind w:firstLine="60"/>
        <w:jc w:val="left"/>
        <w:rPr>
          <w:rFonts w:hint="eastAsia" w:ascii="仿宋" w:hAnsi="仿宋" w:eastAsia="仿宋" w:cs="仿宋"/>
          <w:sz w:val="24"/>
        </w:rPr>
      </w:pPr>
      <w:r>
        <w:rPr>
          <w:rFonts w:hint="eastAsia" w:ascii="仿宋" w:hAnsi="仿宋" w:eastAsia="仿宋" w:cs="仿宋"/>
          <w:sz w:val="24"/>
          <w:lang w:eastAsia="zh-CN"/>
        </w:rPr>
        <w:t>根据签订的合同和</w:t>
      </w:r>
      <w:r>
        <w:rPr>
          <w:rFonts w:hint="eastAsia" w:ascii="仿宋" w:hAnsi="仿宋" w:eastAsia="仿宋" w:cs="仿宋"/>
          <w:sz w:val="24"/>
        </w:rPr>
        <w:t>磋商</w:t>
      </w:r>
      <w:r>
        <w:rPr>
          <w:rFonts w:hint="eastAsia" w:ascii="仿宋" w:hAnsi="仿宋" w:eastAsia="仿宋" w:cs="仿宋"/>
          <w:sz w:val="24"/>
          <w:lang w:eastAsia="zh-CN"/>
        </w:rPr>
        <w:t>文件的规定严格按照</w:t>
      </w:r>
      <w:r>
        <w:rPr>
          <w:rFonts w:hint="eastAsia" w:ascii="仿宋" w:hAnsi="仿宋" w:eastAsia="仿宋" w:cs="仿宋"/>
          <w:sz w:val="24"/>
        </w:rPr>
        <w:t>磋商</w:t>
      </w:r>
      <w:r>
        <w:rPr>
          <w:rFonts w:hint="eastAsia" w:ascii="仿宋" w:hAnsi="仿宋" w:eastAsia="仿宋" w:cs="仿宋"/>
          <w:sz w:val="24"/>
          <w:lang w:eastAsia="zh-CN"/>
        </w:rPr>
        <w:t>文件内容执行</w:t>
      </w:r>
    </w:p>
    <w:p w14:paraId="73363592">
      <w:pPr>
        <w:numPr>
          <w:ilvl w:val="1"/>
          <w:numId w:val="9"/>
        </w:numPr>
        <w:tabs>
          <w:tab w:val="left" w:pos="1440"/>
        </w:tabs>
        <w:adjustRightInd w:val="0"/>
        <w:snapToGrid w:val="0"/>
        <w:spacing w:line="348" w:lineRule="auto"/>
        <w:ind w:firstLine="60"/>
        <w:rPr>
          <w:rFonts w:hint="eastAsia" w:ascii="仿宋" w:hAnsi="仿宋" w:eastAsia="仿宋" w:cs="仿宋"/>
          <w:sz w:val="24"/>
        </w:rPr>
      </w:pPr>
      <w:r>
        <w:rPr>
          <w:rFonts w:hint="eastAsia" w:ascii="仿宋" w:hAnsi="仿宋" w:eastAsia="仿宋" w:cs="仿宋"/>
          <w:sz w:val="24"/>
        </w:rPr>
        <w:t>完全履约的承诺；</w:t>
      </w:r>
    </w:p>
    <w:p w14:paraId="5D52F6B1">
      <w:pPr>
        <w:numPr>
          <w:ilvl w:val="1"/>
          <w:numId w:val="9"/>
        </w:numPr>
        <w:tabs>
          <w:tab w:val="left" w:pos="1440"/>
        </w:tabs>
        <w:adjustRightInd w:val="0"/>
        <w:snapToGrid w:val="0"/>
        <w:spacing w:line="348" w:lineRule="auto"/>
        <w:ind w:firstLine="60"/>
        <w:rPr>
          <w:rFonts w:hint="eastAsia" w:ascii="仿宋" w:hAnsi="仿宋" w:eastAsia="仿宋" w:cs="仿宋"/>
          <w:sz w:val="24"/>
        </w:rPr>
      </w:pPr>
      <w:r>
        <w:rPr>
          <w:rFonts w:hint="eastAsia" w:ascii="仿宋" w:hAnsi="仿宋" w:eastAsia="仿宋" w:cs="仿宋"/>
          <w:sz w:val="24"/>
        </w:rPr>
        <w:t>磋商响应人中标后，不转包的承诺；</w:t>
      </w:r>
    </w:p>
    <w:p w14:paraId="7BAAC6AC">
      <w:pPr>
        <w:numPr>
          <w:ilvl w:val="1"/>
          <w:numId w:val="9"/>
        </w:numPr>
        <w:tabs>
          <w:tab w:val="left" w:pos="1440"/>
        </w:tabs>
        <w:adjustRightInd w:val="0"/>
        <w:snapToGrid w:val="0"/>
        <w:spacing w:line="348" w:lineRule="auto"/>
        <w:ind w:firstLine="60"/>
        <w:rPr>
          <w:rFonts w:hint="eastAsia" w:ascii="仿宋" w:hAnsi="仿宋" w:eastAsia="仿宋" w:cs="仿宋"/>
          <w:sz w:val="24"/>
        </w:rPr>
      </w:pPr>
      <w:r>
        <w:rPr>
          <w:rFonts w:hint="eastAsia" w:ascii="仿宋" w:hAnsi="仿宋" w:eastAsia="仿宋" w:cs="仿宋"/>
          <w:sz w:val="24"/>
        </w:rPr>
        <w:t>保证服务质量符合国家规范及行业标准的承诺；</w:t>
      </w:r>
    </w:p>
    <w:p w14:paraId="54DE8C63">
      <w:pPr>
        <w:spacing w:line="348" w:lineRule="auto"/>
        <w:rPr>
          <w:rFonts w:hint="eastAsia" w:ascii="仿宋" w:hAnsi="仿宋" w:eastAsia="仿宋" w:cs="仿宋"/>
          <w:sz w:val="24"/>
        </w:rPr>
      </w:pPr>
      <w:r>
        <w:rPr>
          <w:rFonts w:hint="eastAsia" w:ascii="仿宋" w:hAnsi="仿宋" w:eastAsia="仿宋" w:cs="仿宋"/>
          <w:sz w:val="24"/>
        </w:rPr>
        <w:t>如达不到上述承诺要求之一的：我方自报赔偿金：合同价格的</w:t>
      </w:r>
      <w:r>
        <w:rPr>
          <w:rFonts w:hint="eastAsia" w:ascii="仿宋" w:hAnsi="仿宋" w:eastAsia="仿宋" w:cs="仿宋"/>
          <w:sz w:val="24"/>
          <w:u w:val="single"/>
        </w:rPr>
        <w:t xml:space="preserve"> 10  </w:t>
      </w:r>
      <w:r>
        <w:rPr>
          <w:rFonts w:hint="eastAsia" w:ascii="仿宋" w:hAnsi="仿宋" w:eastAsia="仿宋" w:cs="仿宋"/>
          <w:sz w:val="24"/>
        </w:rPr>
        <w:t>%。</w:t>
      </w:r>
    </w:p>
    <w:p w14:paraId="7819BEE6">
      <w:pPr>
        <w:spacing w:line="348" w:lineRule="auto"/>
        <w:rPr>
          <w:rFonts w:hint="eastAsia" w:ascii="仿宋" w:hAnsi="仿宋" w:eastAsia="仿宋" w:cs="仿宋"/>
          <w:sz w:val="24"/>
        </w:rPr>
      </w:pPr>
      <w:r>
        <w:rPr>
          <w:rFonts w:hint="eastAsia" w:ascii="仿宋" w:hAnsi="仿宋" w:eastAsia="仿宋" w:cs="仿宋"/>
          <w:sz w:val="24"/>
        </w:rPr>
        <w:t>3、如果我方中标，我方将在竞争性磋商文件规定的时间内签订合同。如果我方违约，除投标保证金外，另外，我方愿以中标价的</w:t>
      </w:r>
      <w:r>
        <w:rPr>
          <w:rFonts w:hint="eastAsia" w:ascii="仿宋" w:hAnsi="仿宋" w:eastAsia="仿宋" w:cs="仿宋"/>
          <w:sz w:val="24"/>
          <w:u w:val="single"/>
        </w:rPr>
        <w:t xml:space="preserve"> 10  </w:t>
      </w:r>
      <w:r>
        <w:rPr>
          <w:rFonts w:hint="eastAsia" w:ascii="仿宋" w:hAnsi="仿宋" w:eastAsia="仿宋" w:cs="仿宋"/>
          <w:sz w:val="24"/>
        </w:rPr>
        <w:t>%作为赔偿金，同时贵方有权终止我方中标并选择其他中标人。</w:t>
      </w:r>
    </w:p>
    <w:p w14:paraId="48970509">
      <w:pPr>
        <w:spacing w:line="348" w:lineRule="auto"/>
        <w:rPr>
          <w:rFonts w:hint="eastAsia" w:ascii="仿宋" w:hAnsi="仿宋" w:eastAsia="仿宋" w:cs="仿宋"/>
          <w:sz w:val="24"/>
        </w:rPr>
      </w:pPr>
      <w:r>
        <w:rPr>
          <w:rFonts w:hint="eastAsia" w:ascii="仿宋" w:hAnsi="仿宋" w:eastAsia="仿宋" w:cs="仿宋"/>
          <w:sz w:val="24"/>
        </w:rPr>
        <w:t>4、贵方的竞争性磋商文件、本投标书和中标通知书将构成约束双方的合同。</w:t>
      </w:r>
    </w:p>
    <w:p w14:paraId="6E49D9C5">
      <w:pPr>
        <w:spacing w:line="348" w:lineRule="auto"/>
        <w:rPr>
          <w:rFonts w:hint="eastAsia" w:ascii="仿宋" w:hAnsi="仿宋" w:eastAsia="仿宋" w:cs="仿宋"/>
          <w:sz w:val="24"/>
        </w:rPr>
      </w:pPr>
    </w:p>
    <w:p w14:paraId="3694B1FC">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rPr>
        <w:t xml:space="preserve">                             </w:t>
      </w:r>
    </w:p>
    <w:p w14:paraId="16D10266">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p>
    <w:p w14:paraId="7269E8A3">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p>
    <w:p w14:paraId="2EC74994">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p>
    <w:p w14:paraId="45E2CB9C">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rPr>
        <w:t xml:space="preserve">　　　　　 </w:t>
      </w:r>
    </w:p>
    <w:p w14:paraId="1E67009E">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银行账号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rPr>
        <w:t>　　　　　 　</w:t>
      </w:r>
    </w:p>
    <w:p w14:paraId="48386351">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投标人单位章</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p>
    <w:p w14:paraId="2F54123D">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00" w:lineRule="auto"/>
        <w:ind w:left="1087" w:leftChars="257" w:hanging="540"/>
        <w:textAlignment w:val="auto"/>
        <w:rPr>
          <w:rFonts w:hint="default" w:ascii="仿宋" w:hAnsi="仿宋" w:eastAsia="仿宋" w:cs="仿宋"/>
          <w:b w:val="0"/>
          <w:bCs/>
          <w:sz w:val="24"/>
          <w:szCs w:val="24"/>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r>
        <w:rPr>
          <w:rFonts w:hint="eastAsia" w:ascii="仿宋" w:hAnsi="仿宋" w:eastAsia="仿宋" w:cs="仿宋"/>
          <w:color w:val="auto"/>
          <w:sz w:val="24"/>
          <w:highlight w:val="none"/>
          <w:u w:val="single"/>
          <w:lang w:val="en-US" w:eastAsia="zh-CN"/>
        </w:rPr>
        <w:tab/>
      </w:r>
    </w:p>
    <w:p w14:paraId="60B1C16B">
      <w:pPr>
        <w:tabs>
          <w:tab w:val="left" w:pos="6300"/>
        </w:tabs>
        <w:snapToGrid w:val="0"/>
        <w:spacing w:line="348" w:lineRule="auto"/>
        <w:jc w:val="left"/>
        <w:outlineLvl w:val="0"/>
        <w:rPr>
          <w:rFonts w:hint="eastAsia" w:ascii="仿宋" w:hAnsi="仿宋" w:eastAsia="仿宋" w:cs="仿宋"/>
          <w:color w:val="000000"/>
          <w:sz w:val="24"/>
          <w:szCs w:val="24"/>
        </w:rPr>
      </w:pPr>
    </w:p>
    <w:p w14:paraId="6DFFC4D3">
      <w:pPr>
        <w:keepNext w:val="0"/>
        <w:keepLines w:val="0"/>
        <w:pageBreakBefore w:val="0"/>
        <w:widowControl w:val="0"/>
        <w:kinsoku/>
        <w:wordWrap/>
        <w:overflowPunct/>
        <w:topLinePunct w:val="0"/>
        <w:autoSpaceDE/>
        <w:autoSpaceDN/>
        <w:bidi w:val="0"/>
        <w:adjustRightInd w:val="0"/>
        <w:snapToGrid w:val="0"/>
        <w:spacing w:line="480" w:lineRule="auto"/>
        <w:ind w:firstLine="566" w:firstLineChars="200"/>
        <w:jc w:val="center"/>
        <w:textAlignment w:val="auto"/>
        <w:rPr>
          <w:rFonts w:hint="eastAsia" w:ascii="仿宋" w:hAnsi="仿宋" w:eastAsia="仿宋" w:cs="仿宋"/>
          <w:b/>
          <w:bCs/>
          <w:sz w:val="28"/>
          <w:szCs w:val="28"/>
        </w:rPr>
      </w:pPr>
    </w:p>
    <w:p w14:paraId="1C8D468D">
      <w:pPr>
        <w:keepNext w:val="0"/>
        <w:keepLines w:val="0"/>
        <w:pageBreakBefore w:val="0"/>
        <w:widowControl w:val="0"/>
        <w:kinsoku/>
        <w:wordWrap/>
        <w:overflowPunct/>
        <w:topLinePunct w:val="0"/>
        <w:autoSpaceDE/>
        <w:autoSpaceDN/>
        <w:bidi w:val="0"/>
        <w:adjustRightInd w:val="0"/>
        <w:snapToGrid w:val="0"/>
        <w:spacing w:line="480" w:lineRule="auto"/>
        <w:ind w:firstLine="566" w:firstLineChars="200"/>
        <w:jc w:val="center"/>
        <w:textAlignment w:val="auto"/>
        <w:rPr>
          <w:rFonts w:hint="eastAsia" w:ascii="仿宋" w:hAnsi="仿宋" w:eastAsia="仿宋" w:cs="仿宋"/>
          <w:b/>
          <w:bCs/>
          <w:sz w:val="28"/>
          <w:szCs w:val="28"/>
        </w:rPr>
      </w:pPr>
    </w:p>
    <w:p w14:paraId="780670F4">
      <w:pPr>
        <w:keepNext w:val="0"/>
        <w:keepLines w:val="0"/>
        <w:pageBreakBefore w:val="0"/>
        <w:widowControl w:val="0"/>
        <w:kinsoku/>
        <w:wordWrap/>
        <w:overflowPunct/>
        <w:topLinePunct w:val="0"/>
        <w:autoSpaceDE/>
        <w:autoSpaceDN/>
        <w:bidi w:val="0"/>
        <w:adjustRightInd w:val="0"/>
        <w:snapToGrid w:val="0"/>
        <w:spacing w:line="480" w:lineRule="auto"/>
        <w:ind w:firstLine="566" w:firstLineChars="200"/>
        <w:jc w:val="center"/>
        <w:textAlignment w:val="auto"/>
        <w:rPr>
          <w:rFonts w:hint="eastAsia" w:ascii="仿宋" w:hAnsi="仿宋" w:eastAsia="仿宋" w:cs="仿宋"/>
          <w:b/>
          <w:bCs/>
          <w:sz w:val="28"/>
          <w:szCs w:val="28"/>
        </w:rPr>
      </w:pPr>
    </w:p>
    <w:p w14:paraId="6290F873">
      <w:pPr>
        <w:keepNext w:val="0"/>
        <w:keepLines w:val="0"/>
        <w:pageBreakBefore w:val="0"/>
        <w:widowControl w:val="0"/>
        <w:kinsoku/>
        <w:wordWrap/>
        <w:overflowPunct/>
        <w:topLinePunct w:val="0"/>
        <w:autoSpaceDE/>
        <w:autoSpaceDN/>
        <w:bidi w:val="0"/>
        <w:adjustRightInd w:val="0"/>
        <w:snapToGrid w:val="0"/>
        <w:spacing w:line="480" w:lineRule="auto"/>
        <w:ind w:firstLine="566" w:firstLineChars="200"/>
        <w:jc w:val="center"/>
        <w:textAlignment w:val="auto"/>
        <w:rPr>
          <w:rFonts w:hint="eastAsia" w:ascii="仿宋" w:hAnsi="仿宋" w:eastAsia="仿宋" w:cs="仿宋"/>
          <w:sz w:val="28"/>
          <w:szCs w:val="28"/>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w:t>
      </w:r>
    </w:p>
    <w:p w14:paraId="7B9439E1">
      <w:pPr>
        <w:wordWrap/>
        <w:spacing w:line="480" w:lineRule="auto"/>
        <w:ind w:firstLine="426" w:firstLineChars="200"/>
        <w:jc w:val="left"/>
        <w:rPr>
          <w:rFonts w:hint="eastAsia" w:ascii="仿宋" w:hAnsi="仿宋" w:eastAsia="仿宋" w:cs="仿宋"/>
        </w:rPr>
      </w:pPr>
      <w:r>
        <w:rPr>
          <w:rFonts w:hint="eastAsia" w:ascii="仿宋" w:hAnsi="仿宋" w:eastAsia="仿宋" w:cs="仿宋"/>
          <w:lang w:val="en-US" w:eastAsia="zh-CN"/>
        </w:rPr>
        <w:t>本公司（联合体）郑重声明，根据《政府采购促进中小企业发展管理办法》（财库﹝2020﹞46 号）的规定，本公司（联合体）参加</w:t>
      </w:r>
      <w:r>
        <w:rPr>
          <w:rFonts w:hint="eastAsia" w:ascii="仿宋" w:hAnsi="仿宋" w:eastAsia="仿宋" w:cs="仿宋"/>
          <w:u w:val="single"/>
          <w:lang w:val="en-US" w:eastAsia="zh-CN"/>
        </w:rPr>
        <w:t>（单位名称）</w:t>
      </w:r>
      <w:r>
        <w:rPr>
          <w:rFonts w:hint="eastAsia" w:ascii="仿宋" w:hAnsi="仿宋" w:eastAsia="仿宋" w:cs="仿宋"/>
          <w:lang w:val="en-US" w:eastAsia="zh-CN"/>
        </w:rPr>
        <w:t>的</w:t>
      </w:r>
      <w:r>
        <w:rPr>
          <w:rFonts w:hint="eastAsia" w:ascii="仿宋" w:hAnsi="仿宋" w:eastAsia="仿宋" w:cs="仿宋"/>
          <w:u w:val="single"/>
          <w:lang w:val="en-US" w:eastAsia="zh-CN"/>
        </w:rPr>
        <w:t>（项目名称）</w:t>
      </w:r>
      <w:r>
        <w:rPr>
          <w:rFonts w:hint="eastAsia" w:ascii="仿宋" w:hAnsi="仿宋" w:eastAsia="仿宋" w:cs="仿宋"/>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060A271">
      <w:pPr>
        <w:wordWrap/>
        <w:spacing w:line="480" w:lineRule="auto"/>
        <w:ind w:firstLine="426" w:firstLineChars="20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u w:val="single"/>
          <w:lang w:val="en-US" w:eastAsia="zh-CN"/>
        </w:rPr>
        <w:t>（标的名称）</w:t>
      </w:r>
      <w:r>
        <w:rPr>
          <w:rFonts w:hint="eastAsia" w:ascii="仿宋" w:hAnsi="仿宋" w:eastAsia="仿宋" w:cs="仿宋"/>
          <w:lang w:val="en-US" w:eastAsia="zh-CN"/>
        </w:rPr>
        <w:t>，属于</w:t>
      </w:r>
      <w:r>
        <w:rPr>
          <w:rFonts w:hint="eastAsia" w:ascii="仿宋" w:hAnsi="仿宋" w:eastAsia="仿宋" w:cs="仿宋"/>
          <w:u w:val="single"/>
          <w:lang w:val="en-US" w:eastAsia="zh-CN"/>
        </w:rPr>
        <w:t>（招标文件明确所属行业）</w:t>
      </w:r>
      <w:r>
        <w:rPr>
          <w:rFonts w:hint="eastAsia" w:ascii="仿宋" w:hAnsi="仿宋" w:eastAsia="仿宋" w:cs="仿宋"/>
          <w:lang w:val="en-US" w:eastAsia="zh-CN"/>
        </w:rPr>
        <w:t>；承</w:t>
      </w:r>
      <w:r>
        <w:rPr>
          <w:rFonts w:hint="eastAsia" w:ascii="仿宋" w:hAnsi="仿宋" w:eastAsia="仿宋" w:cs="仿宋"/>
          <w:u w:val="none"/>
          <w:lang w:val="en-US" w:eastAsia="zh-CN"/>
        </w:rPr>
        <w:t>建（承接）</w:t>
      </w:r>
      <w:r>
        <w:rPr>
          <w:rFonts w:hint="eastAsia" w:ascii="仿宋" w:hAnsi="仿宋" w:eastAsia="仿宋" w:cs="仿宋"/>
          <w:lang w:val="en-US" w:eastAsia="zh-CN"/>
        </w:rPr>
        <w:t>企业为</w:t>
      </w:r>
      <w:r>
        <w:rPr>
          <w:rFonts w:hint="eastAsia" w:ascii="仿宋" w:hAnsi="仿宋" w:eastAsia="仿宋" w:cs="仿宋"/>
          <w:u w:val="single"/>
          <w:lang w:val="en-US" w:eastAsia="zh-CN"/>
        </w:rPr>
        <w:t>（企业名称）</w:t>
      </w:r>
      <w:r>
        <w:rPr>
          <w:rFonts w:hint="eastAsia" w:ascii="仿宋" w:hAnsi="仿宋" w:eastAsia="仿宋" w:cs="仿宋"/>
          <w:lang w:val="en-US" w:eastAsia="zh-CN"/>
        </w:rPr>
        <w:t>，从业人员</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人，营业收入为</w:t>
      </w:r>
      <w:r>
        <w:rPr>
          <w:rFonts w:hint="eastAsia" w:ascii="仿宋" w:hAnsi="仿宋" w:eastAsia="仿宋" w:cs="仿宋"/>
          <w:u w:val="single"/>
          <w:lang w:val="en-US" w:eastAsia="zh-CN"/>
        </w:rPr>
        <w:t>     </w:t>
      </w:r>
      <w:r>
        <w:rPr>
          <w:rFonts w:hint="eastAsia" w:ascii="仿宋" w:hAnsi="仿宋" w:eastAsia="仿宋" w:cs="仿宋"/>
          <w:lang w:val="en-US" w:eastAsia="zh-CN"/>
        </w:rPr>
        <w:t>万元，资产总额为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万元，属于（中型企业、小型企业、微型企业）；</w:t>
      </w:r>
    </w:p>
    <w:p w14:paraId="7F2A8922">
      <w:pPr>
        <w:wordWrap/>
        <w:spacing w:line="480" w:lineRule="auto"/>
        <w:ind w:firstLine="486" w:firstLineChars="200"/>
        <w:jc w:val="left"/>
        <w:rPr>
          <w:rFonts w:hint="eastAsia" w:ascii="仿宋" w:hAnsi="仿宋" w:eastAsia="仿宋" w:cs="仿宋"/>
          <w:lang w:val="en-US" w:eastAsia="zh-CN"/>
        </w:rPr>
      </w:pPr>
      <w:r>
        <w:rPr>
          <w:rFonts w:ascii="宋体" w:hAnsi="宋体" w:eastAsia="宋体" w:cs="宋体"/>
          <w:sz w:val="24"/>
          <w:szCs w:val="24"/>
        </w:rPr>
        <w:t>……</w:t>
      </w:r>
    </w:p>
    <w:p w14:paraId="6C7F8F15">
      <w:pPr>
        <w:wordWrap/>
        <w:spacing w:line="480" w:lineRule="auto"/>
        <w:ind w:firstLine="426" w:firstLineChars="200"/>
        <w:jc w:val="left"/>
        <w:rPr>
          <w:rFonts w:hint="eastAsia" w:ascii="仿宋" w:hAnsi="仿宋" w:eastAsia="仿宋" w:cs="仿宋"/>
        </w:rPr>
      </w:pPr>
      <w:r>
        <w:rPr>
          <w:rFonts w:hint="eastAsia" w:ascii="仿宋" w:hAnsi="仿宋" w:eastAsia="仿宋" w:cs="仿宋"/>
          <w:lang w:val="en-US" w:eastAsia="zh-CN"/>
        </w:rPr>
        <w:t>以上企业，不属于大企业的分支机构，不存在控股股东为大企业的情形，也不存在与大企业的负责人为同一人的情形。</w:t>
      </w:r>
    </w:p>
    <w:p w14:paraId="4725EE3C">
      <w:pPr>
        <w:wordWrap/>
        <w:spacing w:line="480" w:lineRule="auto"/>
        <w:ind w:firstLine="426" w:firstLineChars="200"/>
        <w:jc w:val="left"/>
        <w:rPr>
          <w:rFonts w:hint="eastAsia" w:ascii="仿宋" w:hAnsi="仿宋" w:eastAsia="仿宋" w:cs="仿宋"/>
          <w:lang w:val="en-US" w:eastAsia="zh-CN"/>
        </w:rPr>
      </w:pPr>
      <w:r>
        <w:rPr>
          <w:rFonts w:hint="eastAsia" w:ascii="仿宋" w:hAnsi="仿宋" w:eastAsia="仿宋" w:cs="仿宋"/>
          <w:lang w:val="en-US" w:eastAsia="zh-CN"/>
        </w:rPr>
        <w:t>本企业对上述声明内容的真实性负责。如有虚假，将依法承担相应责任。</w:t>
      </w:r>
    </w:p>
    <w:p w14:paraId="6EAF30C6">
      <w:pPr>
        <w:wordWrap/>
        <w:spacing w:line="480" w:lineRule="auto"/>
        <w:ind w:firstLine="426" w:firstLineChars="200"/>
        <w:jc w:val="left"/>
        <w:rPr>
          <w:rFonts w:hint="eastAsia" w:ascii="仿宋" w:hAnsi="仿宋" w:eastAsia="仿宋" w:cs="仿宋"/>
        </w:rPr>
      </w:pPr>
      <w:r>
        <w:rPr>
          <w:rFonts w:hint="eastAsia" w:ascii="仿宋" w:hAnsi="仿宋" w:eastAsia="仿宋" w:cs="仿宋"/>
          <w:lang w:val="en-US" w:eastAsia="zh-CN"/>
        </w:rPr>
        <w:t> 企业名称（盖章）：</w:t>
      </w:r>
    </w:p>
    <w:p w14:paraId="7638F626">
      <w:pPr>
        <w:wordWrap/>
        <w:spacing w:line="480" w:lineRule="auto"/>
        <w:ind w:firstLine="426" w:firstLineChars="200"/>
        <w:jc w:val="left"/>
        <w:rPr>
          <w:rFonts w:hint="eastAsia" w:ascii="仿宋" w:hAnsi="仿宋" w:eastAsia="仿宋" w:cs="仿宋"/>
        </w:rPr>
      </w:pPr>
      <w:r>
        <w:rPr>
          <w:rFonts w:hint="eastAsia" w:ascii="仿宋" w:hAnsi="仿宋" w:eastAsia="仿宋" w:cs="仿宋"/>
          <w:lang w:val="en-US" w:eastAsia="zh-CN"/>
        </w:rPr>
        <w:t>日  期：</w:t>
      </w:r>
      <w:r>
        <w:rPr>
          <w:rFonts w:hint="eastAsia" w:ascii="仿宋" w:hAnsi="仿宋" w:eastAsia="仿宋" w:cs="仿宋"/>
        </w:rPr>
        <w:t xml:space="preserve"> </w:t>
      </w:r>
    </w:p>
    <w:p w14:paraId="099B1FC4">
      <w:pPr>
        <w:spacing w:line="480" w:lineRule="auto"/>
        <w:ind w:right="480" w:firstLine="426" w:firstLineChars="200"/>
        <w:jc w:val="right"/>
        <w:rPr>
          <w:rFonts w:hint="eastAsia" w:ascii="仿宋" w:hAnsi="仿宋" w:eastAsia="仿宋" w:cs="仿宋"/>
        </w:rPr>
      </w:pPr>
    </w:p>
    <w:p w14:paraId="7900E36A">
      <w:pPr>
        <w:spacing w:line="480" w:lineRule="auto"/>
        <w:rPr>
          <w:rFonts w:hint="eastAsia" w:ascii="仿宋" w:hAnsi="仿宋" w:eastAsia="仿宋" w:cs="仿宋"/>
          <w:b/>
          <w:bCs/>
          <w:sz w:val="28"/>
          <w:szCs w:val="36"/>
        </w:rPr>
      </w:pPr>
      <w:r>
        <w:rPr>
          <w:rFonts w:hint="eastAsia" w:ascii="仿宋" w:hAnsi="仿宋" w:eastAsia="仿宋" w:cs="仿宋"/>
          <w:vertAlign w:val="superscript"/>
        </w:rPr>
        <w:t>1</w:t>
      </w:r>
      <w:r>
        <w:rPr>
          <w:rFonts w:hint="eastAsia" w:ascii="仿宋" w:hAnsi="仿宋" w:eastAsia="仿宋" w:cs="仿宋"/>
        </w:rPr>
        <w:t>从业人员、 营业收入、 资产总额填报上一年度数据， 无上</w:t>
      </w:r>
      <w:bookmarkEnd w:id="153"/>
      <w:r>
        <w:rPr>
          <w:rFonts w:hint="eastAsia" w:ascii="仿宋" w:hAnsi="仿宋" w:eastAsia="仿宋" w:cs="仿宋"/>
        </w:rPr>
        <w:t>一年度数据的新成立企业可不填报。</w:t>
      </w:r>
    </w:p>
    <w:p w14:paraId="14C1F4A0">
      <w:pPr>
        <w:pStyle w:val="8"/>
        <w:jc w:val="center"/>
        <w:rPr>
          <w:rFonts w:hint="eastAsia" w:ascii="仿宋" w:hAnsi="仿宋" w:eastAsia="仿宋" w:cs="仿宋"/>
          <w:b/>
          <w:bCs/>
          <w:sz w:val="24"/>
          <w:szCs w:val="32"/>
        </w:rPr>
      </w:pPr>
    </w:p>
    <w:p w14:paraId="78FC7F76">
      <w:pPr>
        <w:pStyle w:val="8"/>
        <w:jc w:val="center"/>
        <w:rPr>
          <w:rFonts w:hint="eastAsia" w:ascii="仿宋" w:hAnsi="仿宋" w:eastAsia="仿宋" w:cs="仿宋"/>
          <w:b/>
          <w:bCs/>
          <w:sz w:val="24"/>
          <w:szCs w:val="32"/>
        </w:rPr>
      </w:pPr>
    </w:p>
    <w:p w14:paraId="680B483A">
      <w:pPr>
        <w:pStyle w:val="8"/>
        <w:jc w:val="center"/>
        <w:rPr>
          <w:rFonts w:hint="eastAsia" w:ascii="仿宋" w:hAnsi="仿宋" w:eastAsia="仿宋" w:cs="仿宋"/>
          <w:b/>
          <w:bCs/>
          <w:sz w:val="24"/>
          <w:szCs w:val="32"/>
        </w:rPr>
      </w:pPr>
    </w:p>
    <w:p w14:paraId="2C307579">
      <w:pPr>
        <w:pStyle w:val="8"/>
        <w:jc w:val="center"/>
        <w:rPr>
          <w:rFonts w:hint="eastAsia" w:ascii="仿宋" w:hAnsi="仿宋" w:eastAsia="仿宋" w:cs="仿宋"/>
          <w:b/>
          <w:bCs/>
          <w:sz w:val="24"/>
          <w:szCs w:val="32"/>
        </w:rPr>
      </w:pPr>
    </w:p>
    <w:p w14:paraId="6BAA62C5">
      <w:pPr>
        <w:pStyle w:val="8"/>
        <w:jc w:val="center"/>
        <w:rPr>
          <w:rFonts w:hint="eastAsia" w:ascii="仿宋" w:hAnsi="仿宋" w:eastAsia="仿宋" w:cs="仿宋"/>
          <w:b/>
          <w:bCs/>
          <w:sz w:val="24"/>
          <w:szCs w:val="32"/>
        </w:rPr>
      </w:pPr>
      <w:r>
        <w:rPr>
          <w:rFonts w:hint="eastAsia" w:ascii="仿宋" w:hAnsi="仿宋" w:eastAsia="仿宋" w:cs="仿宋"/>
          <w:b/>
          <w:bCs/>
          <w:sz w:val="24"/>
          <w:szCs w:val="32"/>
        </w:rPr>
        <w:t>关于对本投标文件（响应文件）中资料真实性的承诺</w:t>
      </w:r>
    </w:p>
    <w:p w14:paraId="7E504137">
      <w:pPr>
        <w:pStyle w:val="10"/>
        <w:rPr>
          <w:rFonts w:hint="eastAsia" w:ascii="仿宋" w:hAnsi="仿宋" w:eastAsia="仿宋" w:cs="仿宋"/>
        </w:rPr>
      </w:pPr>
    </w:p>
    <w:p w14:paraId="2E4174AD">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评标委员会（磋商小组）  </w:t>
      </w:r>
    </w:p>
    <w:p w14:paraId="7062D37E">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的招标文件（竞争性磋商文件）的要求，我公司愿意参加投标，并有能力提供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项目中的（包号及</w:t>
      </w:r>
      <w:r>
        <w:rPr>
          <w:rFonts w:hint="eastAsia" w:ascii="仿宋" w:hAnsi="仿宋" w:eastAsia="仿宋" w:cs="仿宋"/>
          <w:sz w:val="24"/>
          <w:lang w:val="en-US" w:eastAsia="zh-CN"/>
        </w:rPr>
        <w:t>服务</w:t>
      </w:r>
      <w:r>
        <w:rPr>
          <w:rFonts w:hint="eastAsia" w:ascii="仿宋" w:hAnsi="仿宋" w:eastAsia="仿宋" w:cs="仿宋"/>
          <w:sz w:val="24"/>
        </w:rPr>
        <w:t>名称）招标</w:t>
      </w:r>
      <w:r>
        <w:rPr>
          <w:rFonts w:hint="eastAsia" w:ascii="仿宋" w:hAnsi="仿宋" w:eastAsia="仿宋" w:cs="仿宋"/>
          <w:sz w:val="24"/>
          <w:lang w:val="en-US" w:eastAsia="zh-CN"/>
        </w:rPr>
        <w:t>服务内容</w:t>
      </w:r>
      <w:r>
        <w:rPr>
          <w:rFonts w:hint="eastAsia" w:ascii="仿宋" w:hAnsi="仿宋" w:eastAsia="仿宋" w:cs="仿宋"/>
          <w:sz w:val="24"/>
        </w:rPr>
        <w:t>，我公司在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14:paraId="60148FB5">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我公司将严格按招标文件（竞争性磋商文件）要求，在编制本投标文件（响应文件）时，对投标文件中所提供的资料全部真实和正确，并对提供的所有资料（资格、业绩、其他材料等）的真实性负责！ </w:t>
      </w:r>
    </w:p>
    <w:p w14:paraId="1EB2A0ED">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14:paraId="12F763A2">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特此承诺</w:t>
      </w:r>
    </w:p>
    <w:p w14:paraId="451D4EA5">
      <w:pPr>
        <w:pStyle w:val="4"/>
        <w:numPr>
          <w:ilvl w:val="1"/>
          <w:numId w:val="0"/>
        </w:numPr>
        <w:ind w:left="431"/>
        <w:jc w:val="left"/>
        <w:rPr>
          <w:rFonts w:hint="eastAsia" w:ascii="仿宋" w:hAnsi="仿宋" w:eastAsia="仿宋" w:cs="仿宋"/>
        </w:rPr>
      </w:pPr>
    </w:p>
    <w:p w14:paraId="464924DE">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供应商（全称）： </w:t>
      </w:r>
      <w:r>
        <w:rPr>
          <w:rFonts w:hint="eastAsia" w:ascii="仿宋" w:hAnsi="仿宋" w:eastAsia="仿宋" w:cs="仿宋"/>
          <w:sz w:val="24"/>
          <w:u w:val="single"/>
        </w:rPr>
        <w:t>            </w:t>
      </w:r>
      <w:r>
        <w:rPr>
          <w:rFonts w:hint="eastAsia" w:ascii="仿宋" w:hAnsi="仿宋" w:eastAsia="仿宋" w:cs="仿宋"/>
          <w:sz w:val="24"/>
        </w:rPr>
        <w:t>（盖单位章）</w:t>
      </w:r>
    </w:p>
    <w:p w14:paraId="0B8EA552">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w:t>
      </w:r>
      <w:r>
        <w:rPr>
          <w:rFonts w:hint="eastAsia" w:ascii="仿宋" w:hAnsi="仿宋" w:eastAsia="仿宋" w:cs="仿宋"/>
          <w:sz w:val="24"/>
        </w:rPr>
        <w:t>（签字）</w:t>
      </w:r>
    </w:p>
    <w:p w14:paraId="0795C1EA">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有效的联系方式 </w:t>
      </w:r>
      <w:r>
        <w:rPr>
          <w:rFonts w:hint="eastAsia" w:ascii="仿宋" w:hAnsi="仿宋" w:eastAsia="仿宋" w:cs="仿宋"/>
          <w:sz w:val="24"/>
          <w:u w:val="single"/>
        </w:rPr>
        <w:t>             </w:t>
      </w:r>
      <w:r>
        <w:rPr>
          <w:rFonts w:hint="eastAsia" w:ascii="仿宋" w:hAnsi="仿宋" w:eastAsia="仿宋" w:cs="仿宋"/>
          <w:sz w:val="24"/>
        </w:rPr>
        <w:t>    </w:t>
      </w:r>
    </w:p>
    <w:p w14:paraId="6A0141DD">
      <w:pPr>
        <w:spacing w:line="360" w:lineRule="auto"/>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AE413D1">
      <w:pPr>
        <w:pStyle w:val="18"/>
        <w:rPr>
          <w:rFonts w:hint="eastAsia" w:ascii="仿宋" w:hAnsi="仿宋" w:eastAsia="仿宋" w:cs="仿宋"/>
          <w:b/>
          <w:bCs/>
          <w:color w:val="000000"/>
          <w:kern w:val="0"/>
          <w:sz w:val="24"/>
          <w:szCs w:val="24"/>
          <w:lang w:val="zh-CN"/>
        </w:rPr>
      </w:pPr>
      <w:r>
        <w:rPr>
          <w:rFonts w:hint="eastAsia" w:ascii="仿宋" w:hAnsi="仿宋" w:eastAsia="仿宋" w:cs="仿宋"/>
          <w:b/>
          <w:bCs/>
          <w:sz w:val="24"/>
        </w:rPr>
        <w:t>说明：投标（磋商或询价）供应商提供此承诺的，内容应填写完整</w:t>
      </w:r>
    </w:p>
    <w:p w14:paraId="63E85C3D"/>
    <w:p w14:paraId="239444E3">
      <w:pPr>
        <w:pStyle w:val="2"/>
      </w:pPr>
    </w:p>
    <w:p w14:paraId="71F3B772"/>
    <w:p w14:paraId="5B533C7B">
      <w:pPr>
        <w:pStyle w:val="2"/>
      </w:pPr>
    </w:p>
    <w:p w14:paraId="70C7E193">
      <w:r>
        <w:rPr>
          <w:rFonts w:hint="eastAsia" w:ascii="仿宋" w:hAnsi="仿宋" w:eastAsia="仿宋" w:cs="仿宋"/>
          <w:b/>
          <w:color w:val="auto"/>
          <w:sz w:val="36"/>
          <w:szCs w:val="36"/>
          <w:highlight w:val="none"/>
        </w:rPr>
        <w:t>十</w:t>
      </w:r>
      <w:r>
        <w:rPr>
          <w:rFonts w:hint="eastAsia" w:ascii="仿宋" w:hAnsi="仿宋" w:eastAsia="仿宋" w:cs="仿宋"/>
          <w:b/>
          <w:color w:val="auto"/>
          <w:sz w:val="36"/>
          <w:szCs w:val="36"/>
          <w:highlight w:val="none"/>
          <w:lang w:eastAsia="zh-CN"/>
        </w:rPr>
        <w:t>二</w:t>
      </w:r>
      <w:r>
        <w:rPr>
          <w:rFonts w:hint="eastAsia" w:ascii="仿宋" w:hAnsi="仿宋" w:eastAsia="仿宋" w:cs="仿宋"/>
          <w:b/>
          <w:color w:val="auto"/>
          <w:sz w:val="36"/>
          <w:szCs w:val="36"/>
          <w:highlight w:val="none"/>
        </w:rPr>
        <w:t>、投标人认为需要提交的技术资料</w:t>
      </w:r>
      <w:r>
        <w:rPr>
          <w:rFonts w:hint="eastAsia" w:ascii="仿宋" w:hAnsi="仿宋" w:eastAsia="仿宋" w:cs="仿宋"/>
          <w:b/>
          <w:color w:val="auto"/>
          <w:sz w:val="36"/>
          <w:szCs w:val="36"/>
          <w:highlight w:val="none"/>
          <w:lang w:eastAsia="zh-CN"/>
        </w:rPr>
        <w:t>（根据评审标准自行添加）</w:t>
      </w:r>
    </w:p>
    <w:sectPr>
      <w:headerReference r:id="rId6" w:type="default"/>
      <w:footerReference r:id="rId7" w:type="default"/>
      <w:pgSz w:w="11905" w:h="16838"/>
      <w:pgMar w:top="1440" w:right="1797" w:bottom="1440" w:left="1797" w:header="850" w:footer="992" w:gutter="0"/>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2" w:usb3="00000000" w:csb0="0002000D" w:csb1="00000000"/>
  </w:font>
  <w:font w:name="Yu Gothic">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10B9">
    <w:pPr>
      <w:pStyle w:val="15"/>
      <w:ind w:right="360"/>
      <w:jc w:val="both"/>
      <w:rPr>
        <w:color w:val="800000"/>
        <w:sz w:val="20"/>
        <w:szCs w:val="20"/>
      </w:rPr>
    </w:pPr>
    <w:r>
      <w:rPr>
        <w:sz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128B7">
                          <w:pPr>
                            <w:pStyle w:val="15"/>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wPVa/XAQAAswMAAA4AAAAAAAAAAQAgAAAA&#10;HgEAAGRycy9lMm9Eb2MueG1sUEsFBgAAAAAGAAYAWQEAAGcFAAAAAA==&#10;">
              <v:fill on="f" focussize="0,0"/>
              <v:stroke on="f"/>
              <v:imagedata o:title=""/>
              <o:lock v:ext="edit" aspectratio="f"/>
              <v:textbox inset="0mm,0mm,0mm,0mm" style="mso-fit-shape-to-text:t;">
                <w:txbxContent>
                  <w:p w14:paraId="660128B7">
                    <w:pPr>
                      <w:pStyle w:val="1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color w:val="800000"/>
        <w:sz w:val="16"/>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DD87">
    <w:pPr>
      <w:pStyle w:val="15"/>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CC98B6">
                          <w:pPr>
                            <w:pStyle w:val="15"/>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DuGuX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0CWOGHpxv98//n71w9GBXKn&#10;D1hR01N4hClDCpPUoQWb3iSCDdnR88VRNUQmqbhcr9brkpAlnc0J4RTPnwfA+El5y1JQc6Ary06K&#10;0xeMY+vckqY5f6eNobqojPunQJipUiTGI8cUxWE/TMT3vjmT2J5uu+aOlpsz89mRmWkx5gDmYD8H&#10;xwD60BG1ZeaF4fYYiUTmliaMsNNguqasblqptAcv89z1/Bt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wO4a5cABAACOAwAADgAAAAAAAAABACAAAAAfAQAAZHJzL2Uyb0RvYy54bWxQSwUG&#10;AAAAAAYABgBZAQAAUQUAAAAA&#10;">
              <v:fill on="f" focussize="0,0"/>
              <v:stroke on="f"/>
              <v:imagedata o:title=""/>
              <o:lock v:ext="edit" aspectratio="f"/>
              <v:textbox inset="0mm,0mm,0mm,0mm" style="mso-fit-shape-to-text:t;">
                <w:txbxContent>
                  <w:p w14:paraId="1DCC98B6">
                    <w:pPr>
                      <w:pStyle w:val="15"/>
                    </w:pPr>
                    <w:r>
                      <w:fldChar w:fldCharType="begin"/>
                    </w:r>
                    <w:r>
                      <w:instrText xml:space="preserve"> PAGE  \* MERGEFORMAT </w:instrText>
                    </w:r>
                    <w:r>
                      <w:fldChar w:fldCharType="separate"/>
                    </w:r>
                    <w:r>
                      <w:t>23</w:t>
                    </w:r>
                    <w:r>
                      <w:fldChar w:fldCharType="end"/>
                    </w:r>
                  </w:p>
                </w:txbxContent>
              </v:textbox>
            </v:rect>
          </w:pict>
        </mc:Fallback>
      </mc:AlternateContent>
    </w:r>
    <w:r>
      <w:rPr>
        <w:rFonts w:hint="eastAsia"/>
        <w:sz w:val="13"/>
        <w:szCs w:val="13"/>
      </w:rPr>
      <w:t xml:space="preserve"> </w:t>
    </w:r>
    <w:r>
      <w:rPr>
        <w:rFonts w:hint="eastAsia"/>
      </w:rPr>
      <w:t xml:space="preserve">  </w:t>
    </w:r>
  </w:p>
  <w:p w14:paraId="2A0919A5">
    <w:pPr>
      <w:pStyle w:val="15"/>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A575">
    <w:pPr>
      <w:pStyle w:val="15"/>
      <w:ind w:right="360"/>
      <w:jc w:val="both"/>
      <w:rPr>
        <w:rFonts w:hint="eastAsia" w:eastAsia="宋体"/>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8951C">
                          <w:pPr>
                            <w:pStyle w:val="15"/>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ie9gBAACz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lZ05YGvj5x/fzz9/nX9/Y&#10;8nn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emJ72AEAALMDAAAOAAAAAAAAAAEAIAAA&#10;AB4BAABkcnMvZTJvRG9jLnhtbFBLBQYAAAAABgAGAFkBAABoBQAAAAA=&#10;">
              <v:fill on="f" focussize="0,0"/>
              <v:stroke on="f"/>
              <v:imagedata o:title=""/>
              <o:lock v:ext="edit" aspectratio="f"/>
              <v:textbox inset="0mm,0mm,0mm,0mm" style="mso-fit-shape-to-text:t;">
                <w:txbxContent>
                  <w:p w14:paraId="3AD8951C">
                    <w:pPr>
                      <w:pStyle w:val="15"/>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ascii="宋体" w:hAnsi="宋体" w:cs="宋体"/>
        <w:sz w:val="24"/>
        <w:szCs w:val="24"/>
      </w:rPr>
      <w:t xml:space="preserve">  </w:t>
    </w:r>
  </w:p>
  <w:p w14:paraId="288AFDDE">
    <w:pPr>
      <w:pStyle w:val="15"/>
      <w:autoSpaceDE w:val="0"/>
      <w:autoSpaceDN w:val="0"/>
      <w:adjustRightInd w:val="0"/>
      <w:ind w:left="7200" w:hanging="7200" w:hangingChars="4000"/>
      <w:jc w:val="both"/>
    </w:pPr>
  </w:p>
  <w:p w14:paraId="14A7DD39">
    <w:pPr>
      <w:pStyle w:val="1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E7FA">
    <w:pPr>
      <w:pStyle w:val="16"/>
      <w:pBdr>
        <w:bottom w:val="none" w:color="auto" w:sz="0" w:space="0"/>
      </w:pBdr>
      <w:tabs>
        <w:tab w:val="clear" w:pos="4153"/>
        <w:tab w:val="clear" w:pos="8306"/>
      </w:tabs>
      <w:jc w:val="both"/>
    </w:pPr>
    <w:r>
      <w:rPr>
        <w:rFonts w:hint="eastAsia"/>
        <w:u w:val="none"/>
      </w:rPr>
      <w:t xml:space="preserve"> </w:t>
    </w:r>
    <w:r>
      <w:rPr>
        <w:rFonts w:hint="eastAsia"/>
        <w:u w:val="none"/>
        <w:lang w:eastAsia="zh-CN"/>
      </w:rPr>
      <w:t>克州财政局惠民惠农“一卡通”补贴资金金融机构代发项目</w:t>
    </w:r>
    <w:r>
      <w:rPr>
        <w:rFonts w:hint="eastAsia"/>
        <w:u w:val="none"/>
      </w:rPr>
      <w:t xml:space="preserve"> </w:t>
    </w: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6829">
    <w:pPr>
      <w:pStyle w:val="16"/>
      <w:jc w:val="both"/>
      <w:rPr>
        <w:rFonts w:ascii="宋体" w:hAnsi="宋体" w:cs="宋体"/>
        <w:sz w:val="21"/>
        <w:szCs w:val="21"/>
      </w:rPr>
    </w:pPr>
    <w:r>
      <w:rPr>
        <w:rFonts w:hint="eastAsia"/>
        <w:u w:val="none"/>
        <w:lang w:eastAsia="zh-CN"/>
      </w:rPr>
      <w:t>克州财政局惠民惠农“一卡通”补贴资金金融机构代发项目</w:t>
    </w:r>
    <w:r>
      <w:rPr>
        <w:rFonts w:hint="eastAsia"/>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2E016"/>
    <w:multiLevelType w:val="singleLevel"/>
    <w:tmpl w:val="9262E016"/>
    <w:lvl w:ilvl="0" w:tentative="0">
      <w:start w:val="11"/>
      <w:numFmt w:val="chineseCounting"/>
      <w:suff w:val="nothing"/>
      <w:lvlText w:val="%1、"/>
      <w:lvlJc w:val="left"/>
      <w:pPr>
        <w:ind w:left="-150"/>
      </w:pPr>
      <w:rPr>
        <w:rFonts w:hint="eastAsia"/>
      </w:rPr>
    </w:lvl>
  </w:abstractNum>
  <w:abstractNum w:abstractNumId="1">
    <w:nsid w:val="B0ABFF80"/>
    <w:multiLevelType w:val="singleLevel"/>
    <w:tmpl w:val="B0ABFF80"/>
    <w:lvl w:ilvl="0" w:tentative="0">
      <w:start w:val="4"/>
      <w:numFmt w:val="chineseCounting"/>
      <w:suff w:val="space"/>
      <w:lvlText w:val="第%1章"/>
      <w:lvlJc w:val="left"/>
      <w:rPr>
        <w:rFonts w:hint="eastAsia"/>
      </w:rPr>
    </w:lvl>
  </w:abstractNum>
  <w:abstractNum w:abstractNumId="2">
    <w:nsid w:val="DD02DD23"/>
    <w:multiLevelType w:val="singleLevel"/>
    <w:tmpl w:val="DD02DD23"/>
    <w:lvl w:ilvl="0" w:tentative="0">
      <w:start w:val="1"/>
      <w:numFmt w:val="decimal"/>
      <w:suff w:val="nothing"/>
      <w:lvlText w:val="%1、"/>
      <w:lvlJc w:val="left"/>
    </w:lvl>
  </w:abstractNum>
  <w:abstractNum w:abstractNumId="3">
    <w:nsid w:val="0000000E"/>
    <w:multiLevelType w:val="multilevel"/>
    <w:tmpl w:val="0000000E"/>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6"/>
  </w:num>
  <w:num w:numId="3">
    <w:abstractNumId w:val="7"/>
  </w:num>
  <w:num w:numId="4">
    <w:abstractNumId w:val="4"/>
  </w:num>
  <w:num w:numId="5">
    <w:abstractNumId w:val="8"/>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WFhZjMyNTM3N2ZmN2I0NjJiYmJiYWE0ZDE4Yj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718"/>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302"/>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F04E5"/>
    <w:rsid w:val="01920401"/>
    <w:rsid w:val="0195644C"/>
    <w:rsid w:val="019E4202"/>
    <w:rsid w:val="01B16E65"/>
    <w:rsid w:val="01B87B26"/>
    <w:rsid w:val="01EA1125"/>
    <w:rsid w:val="02505505"/>
    <w:rsid w:val="0255198A"/>
    <w:rsid w:val="026844A3"/>
    <w:rsid w:val="027423B3"/>
    <w:rsid w:val="028E7BDF"/>
    <w:rsid w:val="02D34744"/>
    <w:rsid w:val="0308778C"/>
    <w:rsid w:val="03634626"/>
    <w:rsid w:val="037800D1"/>
    <w:rsid w:val="03EA6FAA"/>
    <w:rsid w:val="03EE2A56"/>
    <w:rsid w:val="04016320"/>
    <w:rsid w:val="04814D63"/>
    <w:rsid w:val="04B05277"/>
    <w:rsid w:val="050D4295"/>
    <w:rsid w:val="0530678A"/>
    <w:rsid w:val="05371AF0"/>
    <w:rsid w:val="054116CB"/>
    <w:rsid w:val="0548574A"/>
    <w:rsid w:val="055038BC"/>
    <w:rsid w:val="05544350"/>
    <w:rsid w:val="055D1B12"/>
    <w:rsid w:val="05A65CF5"/>
    <w:rsid w:val="05AF71B0"/>
    <w:rsid w:val="060519C4"/>
    <w:rsid w:val="064F03AA"/>
    <w:rsid w:val="066C1A43"/>
    <w:rsid w:val="06787432"/>
    <w:rsid w:val="06C23618"/>
    <w:rsid w:val="06C427AE"/>
    <w:rsid w:val="06DF5D71"/>
    <w:rsid w:val="074C0952"/>
    <w:rsid w:val="074E6108"/>
    <w:rsid w:val="0765096C"/>
    <w:rsid w:val="07854B6B"/>
    <w:rsid w:val="079C734A"/>
    <w:rsid w:val="07E76B46"/>
    <w:rsid w:val="07EF451C"/>
    <w:rsid w:val="0830547E"/>
    <w:rsid w:val="08305869"/>
    <w:rsid w:val="08597DA5"/>
    <w:rsid w:val="087D4360"/>
    <w:rsid w:val="08E421C5"/>
    <w:rsid w:val="08F4718E"/>
    <w:rsid w:val="0977292C"/>
    <w:rsid w:val="09982D4A"/>
    <w:rsid w:val="09F6762F"/>
    <w:rsid w:val="0A003984"/>
    <w:rsid w:val="0A0A57FB"/>
    <w:rsid w:val="0A425D09"/>
    <w:rsid w:val="0A615213"/>
    <w:rsid w:val="0A761D42"/>
    <w:rsid w:val="0A962227"/>
    <w:rsid w:val="0ACB590F"/>
    <w:rsid w:val="0AD361DF"/>
    <w:rsid w:val="0AD55E09"/>
    <w:rsid w:val="0AFD6B67"/>
    <w:rsid w:val="0BB0345C"/>
    <w:rsid w:val="0BCE4606"/>
    <w:rsid w:val="0C0E4E32"/>
    <w:rsid w:val="0C1E5D62"/>
    <w:rsid w:val="0C96326B"/>
    <w:rsid w:val="0C9B41E0"/>
    <w:rsid w:val="0CB8726D"/>
    <w:rsid w:val="0CBB3996"/>
    <w:rsid w:val="0CCE5B94"/>
    <w:rsid w:val="0D09727C"/>
    <w:rsid w:val="0D2A4B10"/>
    <w:rsid w:val="0D3B47C9"/>
    <w:rsid w:val="0D3F1B32"/>
    <w:rsid w:val="0D873BD3"/>
    <w:rsid w:val="0D9B7F82"/>
    <w:rsid w:val="0DC009E4"/>
    <w:rsid w:val="0DF72D4B"/>
    <w:rsid w:val="0E3966AF"/>
    <w:rsid w:val="0E6514CE"/>
    <w:rsid w:val="0EC850B8"/>
    <w:rsid w:val="0F2C78B5"/>
    <w:rsid w:val="0F4A0448"/>
    <w:rsid w:val="0F8001C0"/>
    <w:rsid w:val="0FB2671F"/>
    <w:rsid w:val="0FBF4B97"/>
    <w:rsid w:val="10130368"/>
    <w:rsid w:val="1061783B"/>
    <w:rsid w:val="10BF71E9"/>
    <w:rsid w:val="11105DEF"/>
    <w:rsid w:val="1132247A"/>
    <w:rsid w:val="1185656A"/>
    <w:rsid w:val="11FE7ED2"/>
    <w:rsid w:val="1204469C"/>
    <w:rsid w:val="121E04E8"/>
    <w:rsid w:val="12200177"/>
    <w:rsid w:val="123F499D"/>
    <w:rsid w:val="124047DA"/>
    <w:rsid w:val="126E04C4"/>
    <w:rsid w:val="12B00FFB"/>
    <w:rsid w:val="12F61C03"/>
    <w:rsid w:val="134A0A16"/>
    <w:rsid w:val="135F18E9"/>
    <w:rsid w:val="13684705"/>
    <w:rsid w:val="13F07810"/>
    <w:rsid w:val="1405689D"/>
    <w:rsid w:val="141334FE"/>
    <w:rsid w:val="14AD4DB8"/>
    <w:rsid w:val="14AE2E3A"/>
    <w:rsid w:val="150017B7"/>
    <w:rsid w:val="15157722"/>
    <w:rsid w:val="151E215B"/>
    <w:rsid w:val="154C271C"/>
    <w:rsid w:val="15775A8C"/>
    <w:rsid w:val="15EC220C"/>
    <w:rsid w:val="16BD36CC"/>
    <w:rsid w:val="16C36D06"/>
    <w:rsid w:val="170C218F"/>
    <w:rsid w:val="17351EB0"/>
    <w:rsid w:val="1740319E"/>
    <w:rsid w:val="17747CFC"/>
    <w:rsid w:val="177D1D83"/>
    <w:rsid w:val="18151AED"/>
    <w:rsid w:val="183A09B0"/>
    <w:rsid w:val="186576DB"/>
    <w:rsid w:val="1870581D"/>
    <w:rsid w:val="18AE7A18"/>
    <w:rsid w:val="18B03A11"/>
    <w:rsid w:val="18FE121D"/>
    <w:rsid w:val="19491AD7"/>
    <w:rsid w:val="198B16F3"/>
    <w:rsid w:val="19940024"/>
    <w:rsid w:val="19A8476A"/>
    <w:rsid w:val="19AF2DCC"/>
    <w:rsid w:val="19C66C22"/>
    <w:rsid w:val="19E16A10"/>
    <w:rsid w:val="1A555846"/>
    <w:rsid w:val="1ACB068F"/>
    <w:rsid w:val="1ADC3C25"/>
    <w:rsid w:val="1AE8631D"/>
    <w:rsid w:val="1B1A7868"/>
    <w:rsid w:val="1BD179B9"/>
    <w:rsid w:val="1C3B7159"/>
    <w:rsid w:val="1C46552A"/>
    <w:rsid w:val="1C8C41A9"/>
    <w:rsid w:val="1C982E58"/>
    <w:rsid w:val="1CB338B2"/>
    <w:rsid w:val="1CF42E6E"/>
    <w:rsid w:val="1CF852BE"/>
    <w:rsid w:val="1D2A5E93"/>
    <w:rsid w:val="1D2F3EC2"/>
    <w:rsid w:val="1D644556"/>
    <w:rsid w:val="1D674430"/>
    <w:rsid w:val="1DBD623B"/>
    <w:rsid w:val="1DC96A0D"/>
    <w:rsid w:val="1DE25432"/>
    <w:rsid w:val="1DFE291F"/>
    <w:rsid w:val="1E385966"/>
    <w:rsid w:val="1ECC70CB"/>
    <w:rsid w:val="1F5E0AEF"/>
    <w:rsid w:val="1FA73631"/>
    <w:rsid w:val="1FA83492"/>
    <w:rsid w:val="1FA93AE5"/>
    <w:rsid w:val="1FAD44AE"/>
    <w:rsid w:val="201448F3"/>
    <w:rsid w:val="205F5715"/>
    <w:rsid w:val="206B2007"/>
    <w:rsid w:val="20BD7D18"/>
    <w:rsid w:val="20C20C31"/>
    <w:rsid w:val="20C84D12"/>
    <w:rsid w:val="21543824"/>
    <w:rsid w:val="21B005DE"/>
    <w:rsid w:val="21C43CC6"/>
    <w:rsid w:val="21E06B06"/>
    <w:rsid w:val="22505310"/>
    <w:rsid w:val="226B2757"/>
    <w:rsid w:val="227F3C44"/>
    <w:rsid w:val="22D14F53"/>
    <w:rsid w:val="230F7587"/>
    <w:rsid w:val="23563868"/>
    <w:rsid w:val="239F2708"/>
    <w:rsid w:val="23C93BD9"/>
    <w:rsid w:val="240E27FB"/>
    <w:rsid w:val="24311F11"/>
    <w:rsid w:val="24DD7F37"/>
    <w:rsid w:val="25011339"/>
    <w:rsid w:val="2529314D"/>
    <w:rsid w:val="2594352C"/>
    <w:rsid w:val="260C44CD"/>
    <w:rsid w:val="26163EB5"/>
    <w:rsid w:val="263E265D"/>
    <w:rsid w:val="264B42F1"/>
    <w:rsid w:val="26A17794"/>
    <w:rsid w:val="26D657B7"/>
    <w:rsid w:val="276B6060"/>
    <w:rsid w:val="27B2145C"/>
    <w:rsid w:val="27E403E2"/>
    <w:rsid w:val="27EB411E"/>
    <w:rsid w:val="27F136FF"/>
    <w:rsid w:val="27FA7131"/>
    <w:rsid w:val="284035F2"/>
    <w:rsid w:val="28836A4D"/>
    <w:rsid w:val="28962D82"/>
    <w:rsid w:val="28C22024"/>
    <w:rsid w:val="290129D3"/>
    <w:rsid w:val="2905171F"/>
    <w:rsid w:val="292A4047"/>
    <w:rsid w:val="2951316E"/>
    <w:rsid w:val="29600F4E"/>
    <w:rsid w:val="297468CD"/>
    <w:rsid w:val="29EB5041"/>
    <w:rsid w:val="29F319B0"/>
    <w:rsid w:val="2A014ED6"/>
    <w:rsid w:val="2A1B2201"/>
    <w:rsid w:val="2A1D2EF1"/>
    <w:rsid w:val="2A3F0864"/>
    <w:rsid w:val="2A677CA8"/>
    <w:rsid w:val="2A7F1496"/>
    <w:rsid w:val="2A9071FF"/>
    <w:rsid w:val="2A9C2D33"/>
    <w:rsid w:val="2AC8240E"/>
    <w:rsid w:val="2AE91610"/>
    <w:rsid w:val="2B2471D4"/>
    <w:rsid w:val="2B4E7BAF"/>
    <w:rsid w:val="2B8D1001"/>
    <w:rsid w:val="2BA21234"/>
    <w:rsid w:val="2BAE7D76"/>
    <w:rsid w:val="2BCD7395"/>
    <w:rsid w:val="2C2253F3"/>
    <w:rsid w:val="2CFE750E"/>
    <w:rsid w:val="2D05394C"/>
    <w:rsid w:val="2D0F7889"/>
    <w:rsid w:val="2D40315E"/>
    <w:rsid w:val="2D5B636E"/>
    <w:rsid w:val="2D8F0C49"/>
    <w:rsid w:val="2DA566E7"/>
    <w:rsid w:val="2DEF1375"/>
    <w:rsid w:val="2E11396D"/>
    <w:rsid w:val="2E4C1B74"/>
    <w:rsid w:val="2EE46E89"/>
    <w:rsid w:val="2EE95C88"/>
    <w:rsid w:val="2EF37D5C"/>
    <w:rsid w:val="2F3B5F63"/>
    <w:rsid w:val="2F3C2100"/>
    <w:rsid w:val="2F971030"/>
    <w:rsid w:val="2FC607EE"/>
    <w:rsid w:val="2FF63802"/>
    <w:rsid w:val="30392D61"/>
    <w:rsid w:val="30724A0E"/>
    <w:rsid w:val="307325D9"/>
    <w:rsid w:val="30C51EF2"/>
    <w:rsid w:val="30DC1948"/>
    <w:rsid w:val="30E060E4"/>
    <w:rsid w:val="30F7069D"/>
    <w:rsid w:val="310A12DF"/>
    <w:rsid w:val="311116F3"/>
    <w:rsid w:val="31870817"/>
    <w:rsid w:val="31F2015C"/>
    <w:rsid w:val="3204159C"/>
    <w:rsid w:val="321F1705"/>
    <w:rsid w:val="329B0E37"/>
    <w:rsid w:val="32DD50BF"/>
    <w:rsid w:val="33171D0F"/>
    <w:rsid w:val="334E7C57"/>
    <w:rsid w:val="338F34FE"/>
    <w:rsid w:val="33A55C06"/>
    <w:rsid w:val="33D755DC"/>
    <w:rsid w:val="345B262C"/>
    <w:rsid w:val="345F6B83"/>
    <w:rsid w:val="34DB703E"/>
    <w:rsid w:val="355D1BDD"/>
    <w:rsid w:val="356E26F7"/>
    <w:rsid w:val="35FF1075"/>
    <w:rsid w:val="36312BA6"/>
    <w:rsid w:val="3676199F"/>
    <w:rsid w:val="367C6D9B"/>
    <w:rsid w:val="3681660E"/>
    <w:rsid w:val="36AB0D07"/>
    <w:rsid w:val="36C3270A"/>
    <w:rsid w:val="36D84407"/>
    <w:rsid w:val="36EF12D2"/>
    <w:rsid w:val="370D3660"/>
    <w:rsid w:val="371562DB"/>
    <w:rsid w:val="373553B6"/>
    <w:rsid w:val="37432253"/>
    <w:rsid w:val="37825166"/>
    <w:rsid w:val="37B26BC7"/>
    <w:rsid w:val="37D33BB4"/>
    <w:rsid w:val="37D843A8"/>
    <w:rsid w:val="37DF7667"/>
    <w:rsid w:val="383270EA"/>
    <w:rsid w:val="385555E4"/>
    <w:rsid w:val="386E24EE"/>
    <w:rsid w:val="38765E93"/>
    <w:rsid w:val="38B32C64"/>
    <w:rsid w:val="390B7D65"/>
    <w:rsid w:val="39247742"/>
    <w:rsid w:val="3927078A"/>
    <w:rsid w:val="3950329E"/>
    <w:rsid w:val="396948F7"/>
    <w:rsid w:val="39875A38"/>
    <w:rsid w:val="39C0030D"/>
    <w:rsid w:val="3A32322C"/>
    <w:rsid w:val="3A881CA1"/>
    <w:rsid w:val="3B0A0908"/>
    <w:rsid w:val="3B1C5C24"/>
    <w:rsid w:val="3B4E03C5"/>
    <w:rsid w:val="3B4E1274"/>
    <w:rsid w:val="3B83077B"/>
    <w:rsid w:val="3BA20BFD"/>
    <w:rsid w:val="3BC85AEF"/>
    <w:rsid w:val="3CB5559F"/>
    <w:rsid w:val="3CB709DF"/>
    <w:rsid w:val="3D405675"/>
    <w:rsid w:val="3D436353"/>
    <w:rsid w:val="3D534CEE"/>
    <w:rsid w:val="3D6A7724"/>
    <w:rsid w:val="3DAB4624"/>
    <w:rsid w:val="3DCB25D0"/>
    <w:rsid w:val="3DD13F45"/>
    <w:rsid w:val="3E421533"/>
    <w:rsid w:val="3E4E44C1"/>
    <w:rsid w:val="3E612161"/>
    <w:rsid w:val="3E8D5E6B"/>
    <w:rsid w:val="3E975D9B"/>
    <w:rsid w:val="3F746C78"/>
    <w:rsid w:val="3F796D91"/>
    <w:rsid w:val="3F876A33"/>
    <w:rsid w:val="3F985066"/>
    <w:rsid w:val="3FA30497"/>
    <w:rsid w:val="3FBA61CD"/>
    <w:rsid w:val="3FC91903"/>
    <w:rsid w:val="3FD247CD"/>
    <w:rsid w:val="3FDD1EA2"/>
    <w:rsid w:val="40E81C84"/>
    <w:rsid w:val="40F94293"/>
    <w:rsid w:val="41250EA4"/>
    <w:rsid w:val="415A7879"/>
    <w:rsid w:val="41A47E1B"/>
    <w:rsid w:val="42621693"/>
    <w:rsid w:val="427D0EBF"/>
    <w:rsid w:val="42AA6865"/>
    <w:rsid w:val="42BC352D"/>
    <w:rsid w:val="42D33CD5"/>
    <w:rsid w:val="432B7EEF"/>
    <w:rsid w:val="434A46EC"/>
    <w:rsid w:val="436E5BE5"/>
    <w:rsid w:val="4386267B"/>
    <w:rsid w:val="43C301D8"/>
    <w:rsid w:val="43CB2F74"/>
    <w:rsid w:val="43D46D69"/>
    <w:rsid w:val="442B7132"/>
    <w:rsid w:val="44971B57"/>
    <w:rsid w:val="44B93D3A"/>
    <w:rsid w:val="44E977E0"/>
    <w:rsid w:val="450F3328"/>
    <w:rsid w:val="453252CE"/>
    <w:rsid w:val="453A4CCF"/>
    <w:rsid w:val="455117A9"/>
    <w:rsid w:val="45763405"/>
    <w:rsid w:val="45D049C6"/>
    <w:rsid w:val="45E85D49"/>
    <w:rsid w:val="46002DD3"/>
    <w:rsid w:val="46166F98"/>
    <w:rsid w:val="46293689"/>
    <w:rsid w:val="465A35BD"/>
    <w:rsid w:val="465A6BE7"/>
    <w:rsid w:val="465F0134"/>
    <w:rsid w:val="47113641"/>
    <w:rsid w:val="47842674"/>
    <w:rsid w:val="4795427E"/>
    <w:rsid w:val="47A17BED"/>
    <w:rsid w:val="47AC1DC2"/>
    <w:rsid w:val="47B9126E"/>
    <w:rsid w:val="48315726"/>
    <w:rsid w:val="4866371A"/>
    <w:rsid w:val="48A67C34"/>
    <w:rsid w:val="48CE652C"/>
    <w:rsid w:val="491E2A22"/>
    <w:rsid w:val="492275A4"/>
    <w:rsid w:val="493354CD"/>
    <w:rsid w:val="49470F79"/>
    <w:rsid w:val="49610F4C"/>
    <w:rsid w:val="49C9699B"/>
    <w:rsid w:val="4A6632DA"/>
    <w:rsid w:val="4AA06B93"/>
    <w:rsid w:val="4AA76A01"/>
    <w:rsid w:val="4AC11C68"/>
    <w:rsid w:val="4AF018C8"/>
    <w:rsid w:val="4AF33166"/>
    <w:rsid w:val="4AF60B8B"/>
    <w:rsid w:val="4B036369"/>
    <w:rsid w:val="4B2F3C11"/>
    <w:rsid w:val="4B506EDA"/>
    <w:rsid w:val="4B6649E4"/>
    <w:rsid w:val="4B7A0F54"/>
    <w:rsid w:val="4C3D5727"/>
    <w:rsid w:val="4C8A219B"/>
    <w:rsid w:val="4CBA35FB"/>
    <w:rsid w:val="4CD60A27"/>
    <w:rsid w:val="4D0E714B"/>
    <w:rsid w:val="4D141FE0"/>
    <w:rsid w:val="4D785BA5"/>
    <w:rsid w:val="4DAC05E6"/>
    <w:rsid w:val="4E0524B6"/>
    <w:rsid w:val="4E084FD4"/>
    <w:rsid w:val="4E1C4782"/>
    <w:rsid w:val="4E5668E7"/>
    <w:rsid w:val="4E5F5F0E"/>
    <w:rsid w:val="4E677615"/>
    <w:rsid w:val="4E9F1EC2"/>
    <w:rsid w:val="4E9F2FAC"/>
    <w:rsid w:val="4ED84B4D"/>
    <w:rsid w:val="4ED96A7E"/>
    <w:rsid w:val="4F361873"/>
    <w:rsid w:val="4F6C1A77"/>
    <w:rsid w:val="4FB22195"/>
    <w:rsid w:val="4FBB0B69"/>
    <w:rsid w:val="500372D1"/>
    <w:rsid w:val="500D4E33"/>
    <w:rsid w:val="5023004A"/>
    <w:rsid w:val="504F0E3F"/>
    <w:rsid w:val="50533F76"/>
    <w:rsid w:val="50955F2A"/>
    <w:rsid w:val="50E028B4"/>
    <w:rsid w:val="50F11F70"/>
    <w:rsid w:val="51205BE3"/>
    <w:rsid w:val="51247002"/>
    <w:rsid w:val="513D33E2"/>
    <w:rsid w:val="51453FF0"/>
    <w:rsid w:val="51B11960"/>
    <w:rsid w:val="51D73D9E"/>
    <w:rsid w:val="51E517A3"/>
    <w:rsid w:val="520B596A"/>
    <w:rsid w:val="52A871D4"/>
    <w:rsid w:val="52AE3E89"/>
    <w:rsid w:val="52C27FEE"/>
    <w:rsid w:val="52ED5A1D"/>
    <w:rsid w:val="53AC1EF9"/>
    <w:rsid w:val="53D310CB"/>
    <w:rsid w:val="53DE35D5"/>
    <w:rsid w:val="54056FB1"/>
    <w:rsid w:val="541920D0"/>
    <w:rsid w:val="543E122D"/>
    <w:rsid w:val="544337D2"/>
    <w:rsid w:val="546E6143"/>
    <w:rsid w:val="54866DF9"/>
    <w:rsid w:val="54C44B46"/>
    <w:rsid w:val="54ED35AA"/>
    <w:rsid w:val="54FF6D7A"/>
    <w:rsid w:val="551D40DC"/>
    <w:rsid w:val="55455503"/>
    <w:rsid w:val="55482300"/>
    <w:rsid w:val="555C5838"/>
    <w:rsid w:val="55637EE4"/>
    <w:rsid w:val="55A04CAF"/>
    <w:rsid w:val="55A91966"/>
    <w:rsid w:val="55C217A6"/>
    <w:rsid w:val="564F25FE"/>
    <w:rsid w:val="565A665B"/>
    <w:rsid w:val="56752120"/>
    <w:rsid w:val="569F4299"/>
    <w:rsid w:val="56CE1E48"/>
    <w:rsid w:val="570B10AD"/>
    <w:rsid w:val="5752573D"/>
    <w:rsid w:val="575628A5"/>
    <w:rsid w:val="579B5FEE"/>
    <w:rsid w:val="57D27E9C"/>
    <w:rsid w:val="57DD4F82"/>
    <w:rsid w:val="580E03AC"/>
    <w:rsid w:val="584E6149"/>
    <w:rsid w:val="58580246"/>
    <w:rsid w:val="587D598D"/>
    <w:rsid w:val="58BC090E"/>
    <w:rsid w:val="59103135"/>
    <w:rsid w:val="59154646"/>
    <w:rsid w:val="592E6609"/>
    <w:rsid w:val="597D4C6F"/>
    <w:rsid w:val="59C02DAD"/>
    <w:rsid w:val="59D06384"/>
    <w:rsid w:val="59E629DC"/>
    <w:rsid w:val="5A9F6E67"/>
    <w:rsid w:val="5AA93841"/>
    <w:rsid w:val="5AF32F02"/>
    <w:rsid w:val="5B1043AE"/>
    <w:rsid w:val="5B2B19EA"/>
    <w:rsid w:val="5B2B4256"/>
    <w:rsid w:val="5B314FB8"/>
    <w:rsid w:val="5B5136E8"/>
    <w:rsid w:val="5C36729C"/>
    <w:rsid w:val="5C520E7C"/>
    <w:rsid w:val="5C5611D3"/>
    <w:rsid w:val="5C5B4901"/>
    <w:rsid w:val="5C9014E4"/>
    <w:rsid w:val="5CC055C4"/>
    <w:rsid w:val="5CC07DD9"/>
    <w:rsid w:val="5CD050B5"/>
    <w:rsid w:val="5CD57B38"/>
    <w:rsid w:val="5D2017FC"/>
    <w:rsid w:val="5D325D70"/>
    <w:rsid w:val="5D656B1E"/>
    <w:rsid w:val="5D7B1E4D"/>
    <w:rsid w:val="5D8F3BEA"/>
    <w:rsid w:val="5DC23869"/>
    <w:rsid w:val="5E6D4E5F"/>
    <w:rsid w:val="5EC4310E"/>
    <w:rsid w:val="5EFA2F5D"/>
    <w:rsid w:val="5F1405A9"/>
    <w:rsid w:val="5F692CB3"/>
    <w:rsid w:val="5F697A43"/>
    <w:rsid w:val="5F8968E7"/>
    <w:rsid w:val="5FA8056B"/>
    <w:rsid w:val="5FDC07C6"/>
    <w:rsid w:val="600C0AFA"/>
    <w:rsid w:val="60736014"/>
    <w:rsid w:val="609E54CA"/>
    <w:rsid w:val="60C5005E"/>
    <w:rsid w:val="611475B8"/>
    <w:rsid w:val="61152866"/>
    <w:rsid w:val="617A1A94"/>
    <w:rsid w:val="61990230"/>
    <w:rsid w:val="61AB1547"/>
    <w:rsid w:val="61EB288B"/>
    <w:rsid w:val="6222226E"/>
    <w:rsid w:val="62352A8D"/>
    <w:rsid w:val="62A36DC8"/>
    <w:rsid w:val="63154001"/>
    <w:rsid w:val="63475D27"/>
    <w:rsid w:val="63AB43E3"/>
    <w:rsid w:val="63F35B2D"/>
    <w:rsid w:val="64837769"/>
    <w:rsid w:val="64BD1D66"/>
    <w:rsid w:val="64E341A7"/>
    <w:rsid w:val="64EC3D37"/>
    <w:rsid w:val="64F61D79"/>
    <w:rsid w:val="65580870"/>
    <w:rsid w:val="65D8641E"/>
    <w:rsid w:val="6612135A"/>
    <w:rsid w:val="66364FB0"/>
    <w:rsid w:val="66B3546E"/>
    <w:rsid w:val="66B52FA4"/>
    <w:rsid w:val="67487ECD"/>
    <w:rsid w:val="674D4335"/>
    <w:rsid w:val="67BA210E"/>
    <w:rsid w:val="680F4066"/>
    <w:rsid w:val="68120612"/>
    <w:rsid w:val="68246BFD"/>
    <w:rsid w:val="68393700"/>
    <w:rsid w:val="683C5CF5"/>
    <w:rsid w:val="686B482C"/>
    <w:rsid w:val="687A05CB"/>
    <w:rsid w:val="688A35DC"/>
    <w:rsid w:val="68E929F2"/>
    <w:rsid w:val="68F41093"/>
    <w:rsid w:val="68FD194E"/>
    <w:rsid w:val="69553709"/>
    <w:rsid w:val="695E2B47"/>
    <w:rsid w:val="69721525"/>
    <w:rsid w:val="698060B5"/>
    <w:rsid w:val="699E6EDB"/>
    <w:rsid w:val="6A0C5CC5"/>
    <w:rsid w:val="6A1F310C"/>
    <w:rsid w:val="6A580B27"/>
    <w:rsid w:val="6A62486A"/>
    <w:rsid w:val="6A9C5931"/>
    <w:rsid w:val="6AA638F9"/>
    <w:rsid w:val="6B293D9A"/>
    <w:rsid w:val="6B4231FD"/>
    <w:rsid w:val="6B6506FF"/>
    <w:rsid w:val="6BC3064C"/>
    <w:rsid w:val="6BD20370"/>
    <w:rsid w:val="6BDC2A11"/>
    <w:rsid w:val="6BDD7D8E"/>
    <w:rsid w:val="6C4179F9"/>
    <w:rsid w:val="6C4C59CB"/>
    <w:rsid w:val="6D924ED4"/>
    <w:rsid w:val="6E0A61CA"/>
    <w:rsid w:val="6E112BCB"/>
    <w:rsid w:val="6EF235B1"/>
    <w:rsid w:val="6F3D6CAA"/>
    <w:rsid w:val="6F7E2977"/>
    <w:rsid w:val="6F944336"/>
    <w:rsid w:val="6F97449F"/>
    <w:rsid w:val="6F9E54E7"/>
    <w:rsid w:val="6FA6078D"/>
    <w:rsid w:val="6FAD4F96"/>
    <w:rsid w:val="6FF5292A"/>
    <w:rsid w:val="702A28D7"/>
    <w:rsid w:val="70894D06"/>
    <w:rsid w:val="709F0BEB"/>
    <w:rsid w:val="716A0369"/>
    <w:rsid w:val="71EA4A14"/>
    <w:rsid w:val="72BB5F8B"/>
    <w:rsid w:val="72BB6655"/>
    <w:rsid w:val="72DF5BFA"/>
    <w:rsid w:val="72FA1A10"/>
    <w:rsid w:val="73290307"/>
    <w:rsid w:val="733D0B73"/>
    <w:rsid w:val="73662167"/>
    <w:rsid w:val="73760D55"/>
    <w:rsid w:val="737F2B52"/>
    <w:rsid w:val="73952CB3"/>
    <w:rsid w:val="73BB3031"/>
    <w:rsid w:val="73DE2356"/>
    <w:rsid w:val="73DE5E35"/>
    <w:rsid w:val="73E3255B"/>
    <w:rsid w:val="74485A21"/>
    <w:rsid w:val="74B4133C"/>
    <w:rsid w:val="74D10E1E"/>
    <w:rsid w:val="74D80B53"/>
    <w:rsid w:val="75976C60"/>
    <w:rsid w:val="75BF7803"/>
    <w:rsid w:val="75E71CD3"/>
    <w:rsid w:val="75ED4C66"/>
    <w:rsid w:val="75F537A2"/>
    <w:rsid w:val="761A4816"/>
    <w:rsid w:val="769D3F76"/>
    <w:rsid w:val="770143E1"/>
    <w:rsid w:val="7707379D"/>
    <w:rsid w:val="774769D9"/>
    <w:rsid w:val="77802750"/>
    <w:rsid w:val="77B70EF4"/>
    <w:rsid w:val="77C60C9B"/>
    <w:rsid w:val="77DE145E"/>
    <w:rsid w:val="77E51F05"/>
    <w:rsid w:val="78343564"/>
    <w:rsid w:val="78463590"/>
    <w:rsid w:val="786960F5"/>
    <w:rsid w:val="78D26A7E"/>
    <w:rsid w:val="790463BB"/>
    <w:rsid w:val="79115F2B"/>
    <w:rsid w:val="793D5770"/>
    <w:rsid w:val="797D2FE0"/>
    <w:rsid w:val="79940026"/>
    <w:rsid w:val="79A13787"/>
    <w:rsid w:val="79C97604"/>
    <w:rsid w:val="7A162C99"/>
    <w:rsid w:val="7A1D1ABC"/>
    <w:rsid w:val="7A550D56"/>
    <w:rsid w:val="7B18439F"/>
    <w:rsid w:val="7B406A51"/>
    <w:rsid w:val="7B582291"/>
    <w:rsid w:val="7B776F27"/>
    <w:rsid w:val="7B810197"/>
    <w:rsid w:val="7B951B50"/>
    <w:rsid w:val="7BA479E1"/>
    <w:rsid w:val="7BAF10A7"/>
    <w:rsid w:val="7BD303AD"/>
    <w:rsid w:val="7BE81FC4"/>
    <w:rsid w:val="7C184A57"/>
    <w:rsid w:val="7C28078E"/>
    <w:rsid w:val="7C4B4301"/>
    <w:rsid w:val="7C675C0A"/>
    <w:rsid w:val="7C6B587F"/>
    <w:rsid w:val="7C7C3179"/>
    <w:rsid w:val="7C860105"/>
    <w:rsid w:val="7CB2089F"/>
    <w:rsid w:val="7CF02627"/>
    <w:rsid w:val="7CFF4E1C"/>
    <w:rsid w:val="7D6513F2"/>
    <w:rsid w:val="7D690930"/>
    <w:rsid w:val="7DB67EA0"/>
    <w:rsid w:val="7E23216E"/>
    <w:rsid w:val="7E636592"/>
    <w:rsid w:val="7E8E57B1"/>
    <w:rsid w:val="7EAC1347"/>
    <w:rsid w:val="7F0D5859"/>
    <w:rsid w:val="7F3C676E"/>
    <w:rsid w:val="7FA22F78"/>
    <w:rsid w:val="7FA27CF2"/>
    <w:rsid w:val="7FA637C6"/>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autoRedefine/>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autoRedefine/>
    <w:qFormat/>
    <w:uiPriority w:val="0"/>
    <w:pPr>
      <w:jc w:val="left"/>
    </w:pPr>
  </w:style>
  <w:style w:type="paragraph" w:styleId="8">
    <w:name w:val="Body Text"/>
    <w:basedOn w:val="1"/>
    <w:next w:val="9"/>
    <w:link w:val="44"/>
    <w:autoRedefine/>
    <w:qFormat/>
    <w:uiPriority w:val="0"/>
    <w:pPr>
      <w:spacing w:after="120"/>
    </w:pPr>
  </w:style>
  <w:style w:type="paragraph" w:customStyle="1" w:styleId="9">
    <w:name w:val="_Style 2"/>
    <w:basedOn w:val="1"/>
    <w:next w:val="1"/>
    <w:autoRedefine/>
    <w:qFormat/>
    <w:uiPriority w:val="0"/>
    <w:pPr>
      <w:ind w:firstLine="200" w:firstLineChars="200"/>
    </w:pPr>
    <w:rPr>
      <w:rFonts w:ascii="Calibri" w:hAnsi="Calibri"/>
      <w:sz w:val="28"/>
      <w:szCs w:val="22"/>
    </w:rPr>
  </w:style>
  <w:style w:type="paragraph" w:styleId="10">
    <w:name w:val="Body Text Indent"/>
    <w:basedOn w:val="1"/>
    <w:next w:val="1"/>
    <w:autoRedefine/>
    <w:qFormat/>
    <w:uiPriority w:val="0"/>
    <w:pPr>
      <w:spacing w:after="120"/>
      <w:ind w:left="200" w:leftChars="200"/>
    </w:pPr>
  </w:style>
  <w:style w:type="paragraph" w:styleId="11">
    <w:name w:val="toc 3"/>
    <w:basedOn w:val="1"/>
    <w:next w:val="1"/>
    <w:autoRedefine/>
    <w:qFormat/>
    <w:uiPriority w:val="39"/>
    <w:pPr>
      <w:tabs>
        <w:tab w:val="right" w:leader="dot" w:pos="9288"/>
      </w:tabs>
      <w:ind w:left="400" w:leftChars="400"/>
    </w:pPr>
    <w:rPr>
      <w:rFonts w:ascii="宋体"/>
    </w:rPr>
  </w:style>
  <w:style w:type="paragraph" w:styleId="12">
    <w:name w:val="Plain Text"/>
    <w:basedOn w:val="1"/>
    <w:next w:val="13"/>
    <w:link w:val="45"/>
    <w:autoRedefine/>
    <w:qFormat/>
    <w:uiPriority w:val="0"/>
    <w:rPr>
      <w:rFonts w:ascii="宋体"/>
      <w:color w:val="000000"/>
      <w:szCs w:val="20"/>
      <w:u w:color="000000"/>
    </w:rPr>
  </w:style>
  <w:style w:type="paragraph" w:styleId="13">
    <w:name w:val="index 7"/>
    <w:basedOn w:val="1"/>
    <w:next w:val="1"/>
    <w:autoRedefine/>
    <w:qFormat/>
    <w:uiPriority w:val="0"/>
    <w:pPr>
      <w:ind w:left="1200" w:leftChars="1200"/>
    </w:pPr>
  </w:style>
  <w:style w:type="paragraph" w:styleId="14">
    <w:name w:val="Date"/>
    <w:basedOn w:val="1"/>
    <w:next w:val="1"/>
    <w:link w:val="46"/>
    <w:autoRedefine/>
    <w:qFormat/>
    <w:uiPriority w:val="0"/>
    <w:rPr>
      <w:rFonts w:ascii="Arial" w:hAnsi="Arial" w:eastAsia="仿宋_GB2312"/>
      <w:color w:val="000000"/>
      <w:sz w:val="32"/>
      <w:szCs w:val="20"/>
      <w:u w:color="000000"/>
    </w:rPr>
  </w:style>
  <w:style w:type="paragraph" w:styleId="15">
    <w:name w:val="footer"/>
    <w:basedOn w:val="1"/>
    <w:link w:val="47"/>
    <w:autoRedefine/>
    <w:qFormat/>
    <w:uiPriority w:val="0"/>
    <w:pPr>
      <w:tabs>
        <w:tab w:val="center" w:pos="4153"/>
        <w:tab w:val="right" w:pos="8306"/>
      </w:tabs>
      <w:snapToGrid w:val="0"/>
      <w:jc w:val="left"/>
    </w:pPr>
    <w:rPr>
      <w:sz w:val="18"/>
      <w:szCs w:val="18"/>
    </w:rPr>
  </w:style>
  <w:style w:type="paragraph" w:styleId="16">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0"/>
    <w:pPr>
      <w:adjustRightInd w:val="0"/>
      <w:spacing w:line="312" w:lineRule="atLeast"/>
      <w:jc w:val="left"/>
      <w:textAlignment w:val="baseline"/>
    </w:pPr>
    <w:rPr>
      <w:kern w:val="0"/>
      <w:sz w:val="18"/>
      <w:szCs w:val="20"/>
    </w:rPr>
  </w:style>
  <w:style w:type="paragraph" w:styleId="19">
    <w:name w:val="toc 2"/>
    <w:basedOn w:val="1"/>
    <w:next w:val="1"/>
    <w:autoRedefine/>
    <w:qFormat/>
    <w:uiPriority w:val="39"/>
    <w:pPr>
      <w:ind w:left="200" w:leftChars="200"/>
    </w:pPr>
  </w:style>
  <w:style w:type="paragraph" w:styleId="20">
    <w:name w:val="Body Text 2"/>
    <w:basedOn w:val="1"/>
    <w:autoRedefine/>
    <w:qFormat/>
    <w:uiPriority w:val="0"/>
    <w:pPr>
      <w:tabs>
        <w:tab w:val="left" w:pos="0"/>
      </w:tabs>
      <w:spacing w:line="400" w:lineRule="atLeast"/>
    </w:pPr>
    <w:rPr>
      <w:rFonts w:ascii="Arial" w:hAnsi="Arial"/>
      <w:color w:val="000000"/>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8"/>
    <w:autoRedefine/>
    <w:unhideWhenUsed/>
    <w:qFormat/>
    <w:uiPriority w:val="0"/>
    <w:pPr>
      <w:ind w:firstLine="420" w:firstLineChars="100"/>
    </w:pPr>
  </w:style>
  <w:style w:type="paragraph" w:styleId="23">
    <w:name w:val="Body Text First Indent 2"/>
    <w:basedOn w:val="10"/>
    <w:next w:val="5"/>
    <w:autoRedefine/>
    <w:unhideWhenUsed/>
    <w:qFormat/>
    <w:uiPriority w:val="99"/>
    <w:pPr>
      <w:ind w:left="420" w:firstLine="420"/>
    </w:pPr>
    <w:rPr>
      <w:rFonts w:cs="宋体"/>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autoRedefine/>
    <w:qFormat/>
    <w:uiPriority w:val="0"/>
    <w:rPr>
      <w:color w:val="333333"/>
      <w:u w:val="none"/>
    </w:rPr>
  </w:style>
  <w:style w:type="character" w:styleId="30">
    <w:name w:val="HTML Definition"/>
    <w:basedOn w:val="26"/>
    <w:autoRedefine/>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99"/>
    <w:rPr>
      <w:color w:val="0000FF"/>
      <w:u w:val="single"/>
    </w:rPr>
  </w:style>
  <w:style w:type="character" w:styleId="35">
    <w:name w:val="HTML Code"/>
    <w:basedOn w:val="26"/>
    <w:autoRedefine/>
    <w:qFormat/>
    <w:uiPriority w:val="0"/>
    <w:rPr>
      <w:rFonts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40">
    <w:name w:val="标题 5（有编号）（绿盟科技）"/>
    <w:basedOn w:val="1"/>
    <w:next w:val="41"/>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4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Normal]"/>
    <w:autoRedefine/>
    <w:qFormat/>
    <w:uiPriority w:val="0"/>
    <w:rPr>
      <w:rFonts w:ascii="宋体" w:hAnsi="宋体" w:eastAsia="宋体" w:cs="Times New Roman"/>
      <w:sz w:val="24"/>
      <w:szCs w:val="22"/>
      <w:lang w:val="zh-CN" w:eastAsia="zh-CN" w:bidi="ar-SA"/>
    </w:rPr>
  </w:style>
  <w:style w:type="character" w:customStyle="1" w:styleId="44">
    <w:name w:val="正文文本 Char"/>
    <w:link w:val="8"/>
    <w:autoRedefine/>
    <w:semiHidden/>
    <w:qFormat/>
    <w:locked/>
    <w:uiPriority w:val="0"/>
    <w:rPr>
      <w:rFonts w:eastAsia="宋体"/>
      <w:kern w:val="2"/>
      <w:sz w:val="21"/>
      <w:szCs w:val="24"/>
      <w:lang w:val="en-US" w:eastAsia="zh-CN" w:bidi="ar-SA"/>
    </w:rPr>
  </w:style>
  <w:style w:type="character" w:customStyle="1" w:styleId="45">
    <w:name w:val="纯文本 Char"/>
    <w:link w:val="12"/>
    <w:autoRedefine/>
    <w:qFormat/>
    <w:uiPriority w:val="0"/>
    <w:rPr>
      <w:rFonts w:ascii="宋体"/>
      <w:color w:val="000000"/>
      <w:kern w:val="2"/>
      <w:sz w:val="21"/>
      <w:u w:val="none" w:color="000000"/>
    </w:rPr>
  </w:style>
  <w:style w:type="character" w:customStyle="1" w:styleId="46">
    <w:name w:val="日期 Char"/>
    <w:link w:val="14"/>
    <w:autoRedefine/>
    <w:qFormat/>
    <w:uiPriority w:val="0"/>
    <w:rPr>
      <w:rFonts w:ascii="Arial" w:hAnsi="Arial" w:eastAsia="仿宋_GB2312"/>
      <w:color w:val="000000"/>
      <w:kern w:val="2"/>
      <w:sz w:val="32"/>
      <w:u w:val="none" w:color="000000"/>
      <w:lang w:val="en-US" w:eastAsia="zh-CN" w:bidi="ar-SA"/>
    </w:rPr>
  </w:style>
  <w:style w:type="character" w:customStyle="1" w:styleId="47">
    <w:name w:val="页脚 Char"/>
    <w:link w:val="15"/>
    <w:autoRedefine/>
    <w:qFormat/>
    <w:locked/>
    <w:uiPriority w:val="0"/>
    <w:rPr>
      <w:rFonts w:eastAsia="宋体"/>
      <w:kern w:val="2"/>
      <w:sz w:val="18"/>
      <w:szCs w:val="18"/>
      <w:lang w:val="en-US" w:eastAsia="zh-CN" w:bidi="ar-SA"/>
    </w:rPr>
  </w:style>
  <w:style w:type="character" w:customStyle="1" w:styleId="48">
    <w:name w:val="页眉 Char"/>
    <w:link w:val="16"/>
    <w:autoRedefine/>
    <w:qFormat/>
    <w:locked/>
    <w:uiPriority w:val="0"/>
    <w:rPr>
      <w:rFonts w:eastAsia="宋体"/>
      <w:kern w:val="2"/>
      <w:sz w:val="18"/>
      <w:szCs w:val="18"/>
      <w:lang w:val="en-US" w:eastAsia="zh-CN" w:bidi="ar-SA"/>
    </w:rPr>
  </w:style>
  <w:style w:type="character" w:customStyle="1" w:styleId="49">
    <w:name w:val="Body Text Char"/>
    <w:autoRedefine/>
    <w:qFormat/>
    <w:locked/>
    <w:uiPriority w:val="0"/>
    <w:rPr>
      <w:rFonts w:ascii="宋体" w:hAnsi="Arial"/>
      <w:sz w:val="28"/>
    </w:rPr>
  </w:style>
  <w:style w:type="paragraph" w:customStyle="1" w:styleId="50">
    <w:name w:val="p0"/>
    <w:basedOn w:val="1"/>
    <w:autoRedefine/>
    <w:qFormat/>
    <w:uiPriority w:val="0"/>
    <w:pPr>
      <w:widowControl/>
      <w:jc w:val="left"/>
    </w:pPr>
    <w:rPr>
      <w:rFonts w:ascii="宋体" w:hAnsi="宋体" w:cs="宋体"/>
      <w:kern w:val="0"/>
      <w:sz w:val="18"/>
      <w:szCs w:val="18"/>
    </w:rPr>
  </w:style>
  <w:style w:type="paragraph" w:customStyle="1" w:styleId="51">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2">
    <w:name w:val="WPS Plain"/>
    <w:autoRedefine/>
    <w:qFormat/>
    <w:uiPriority w:val="0"/>
    <w:rPr>
      <w:rFonts w:ascii="Times New Roman" w:hAnsi="Times New Roman" w:eastAsia="宋体" w:cs="Times New Roman"/>
      <w:lang w:val="en-US" w:eastAsia="zh-CN" w:bidi="ar-SA"/>
    </w:rPr>
  </w:style>
  <w:style w:type="paragraph" w:styleId="53">
    <w:name w:val="List Paragraph"/>
    <w:basedOn w:val="1"/>
    <w:autoRedefine/>
    <w:qFormat/>
    <w:uiPriority w:val="0"/>
    <w:pPr>
      <w:spacing w:line="360" w:lineRule="auto"/>
      <w:ind w:firstLine="420" w:firstLineChars="200"/>
    </w:pPr>
    <w:rPr>
      <w:rFonts w:ascii="宋体" w:hAnsi="宋体" w:cs="宋体"/>
      <w:sz w:val="24"/>
    </w:rPr>
  </w:style>
  <w:style w:type="paragraph" w:customStyle="1" w:styleId="54">
    <w:name w:val="Char"/>
    <w:basedOn w:val="1"/>
    <w:next w:val="1"/>
    <w:autoRedefine/>
    <w:qFormat/>
    <w:uiPriority w:val="0"/>
    <w:pPr>
      <w:widowControl/>
      <w:spacing w:line="360" w:lineRule="auto"/>
      <w:jc w:val="left"/>
    </w:pPr>
    <w:rPr>
      <w:kern w:val="0"/>
      <w:szCs w:val="20"/>
      <w:lang w:eastAsia="en-US"/>
    </w:rPr>
  </w:style>
  <w:style w:type="paragraph" w:customStyle="1" w:styleId="55">
    <w:name w:val="正文1"/>
    <w:autoRedefine/>
    <w:qFormat/>
    <w:uiPriority w:val="0"/>
    <w:rPr>
      <w:rFonts w:ascii="Calibri" w:hAnsi="Calibri" w:eastAsia="Times New Roman" w:cs="Times New Roman"/>
      <w:sz w:val="24"/>
      <w:szCs w:val="24"/>
      <w:lang w:val="en-US" w:eastAsia="zh-CN" w:bidi="ar-SA"/>
    </w:rPr>
  </w:style>
  <w:style w:type="paragraph" w:customStyle="1" w:styleId="56">
    <w:name w:val="样式 左侧:  0 厘米 悬挂缩进: 2.5 字符"/>
    <w:basedOn w:val="1"/>
    <w:autoRedefine/>
    <w:qFormat/>
    <w:uiPriority w:val="0"/>
    <w:pPr>
      <w:ind w:left="525" w:hanging="525" w:hangingChars="250"/>
    </w:pPr>
    <w:rPr>
      <w:szCs w:val="20"/>
    </w:rPr>
  </w:style>
  <w:style w:type="paragraph" w:customStyle="1" w:styleId="57">
    <w:name w:val="图例"/>
    <w:basedOn w:val="1"/>
    <w:autoRedefine/>
    <w:qFormat/>
    <w:uiPriority w:val="0"/>
    <w:pPr>
      <w:spacing w:before="120" w:after="120" w:line="360" w:lineRule="auto"/>
      <w:jc w:val="center"/>
    </w:pPr>
    <w:rPr>
      <w:rFonts w:eastAsia="仿宋_GB2312"/>
      <w:b/>
      <w:sz w:val="24"/>
    </w:rPr>
  </w:style>
  <w:style w:type="paragraph" w:customStyle="1" w:styleId="58">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59">
    <w:name w:val="black1"/>
    <w:basedOn w:val="1"/>
    <w:autoRedefine/>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0">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61">
    <w:name w:val="列出段落1"/>
    <w:basedOn w:val="1"/>
    <w:autoRedefine/>
    <w:qFormat/>
    <w:uiPriority w:val="0"/>
    <w:pPr>
      <w:ind w:firstLine="420" w:firstLineChars="200"/>
    </w:pPr>
    <w:rPr>
      <w:rFonts w:ascii="Calibri" w:hAnsi="Calibri"/>
      <w:szCs w:val="22"/>
    </w:rPr>
  </w:style>
  <w:style w:type="paragraph" w:customStyle="1" w:styleId="62">
    <w:name w:val="Table Paragraph"/>
    <w:basedOn w:val="1"/>
    <w:autoRedefine/>
    <w:qFormat/>
    <w:uiPriority w:val="1"/>
  </w:style>
  <w:style w:type="character" w:customStyle="1" w:styleId="63">
    <w:name w:val="font21"/>
    <w:basedOn w:val="26"/>
    <w:autoRedefine/>
    <w:qFormat/>
    <w:uiPriority w:val="0"/>
    <w:rPr>
      <w:rFonts w:hint="eastAsia" w:ascii="宋体" w:hAnsi="宋体" w:eastAsia="宋体" w:cs="宋体"/>
      <w:color w:val="000000"/>
      <w:sz w:val="20"/>
      <w:szCs w:val="20"/>
      <w:u w:val="none"/>
    </w:rPr>
  </w:style>
  <w:style w:type="character" w:customStyle="1" w:styleId="64">
    <w:name w:val="font31"/>
    <w:basedOn w:val="26"/>
    <w:autoRedefine/>
    <w:qFormat/>
    <w:uiPriority w:val="0"/>
    <w:rPr>
      <w:rFonts w:hint="eastAsia" w:ascii="宋体" w:hAnsi="宋体" w:eastAsia="宋体" w:cs="宋体"/>
      <w:color w:val="FF0000"/>
      <w:sz w:val="20"/>
      <w:szCs w:val="20"/>
      <w:u w:val="none"/>
    </w:rPr>
  </w:style>
  <w:style w:type="character" w:customStyle="1" w:styleId="65">
    <w:name w:val="font01"/>
    <w:basedOn w:val="26"/>
    <w:autoRedefine/>
    <w:qFormat/>
    <w:uiPriority w:val="0"/>
    <w:rPr>
      <w:rFonts w:ascii="宋体" w:hAnsi="宋体" w:eastAsia="宋体" w:cs="宋体"/>
      <w:color w:val="000000"/>
      <w:sz w:val="20"/>
      <w:szCs w:val="20"/>
      <w:u w:val="none"/>
    </w:rPr>
  </w:style>
  <w:style w:type="character" w:customStyle="1" w:styleId="66">
    <w:name w:val="标题 1 Char"/>
    <w:basedOn w:val="26"/>
    <w:link w:val="3"/>
    <w:autoRedefine/>
    <w:qFormat/>
    <w:uiPriority w:val="0"/>
    <w:rPr>
      <w:b/>
      <w:bCs/>
      <w:kern w:val="44"/>
      <w:sz w:val="44"/>
      <w:szCs w:val="44"/>
    </w:rPr>
  </w:style>
  <w:style w:type="paragraph" w:customStyle="1" w:styleId="6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8">
    <w:name w:val="BodyText"/>
    <w:basedOn w:val="1"/>
    <w:next w:val="1"/>
    <w:autoRedefine/>
    <w:qFormat/>
    <w:uiPriority w:val="0"/>
    <w:pPr>
      <w:tabs>
        <w:tab w:val="left" w:pos="780"/>
      </w:tabs>
    </w:pPr>
    <w:rPr>
      <w:rFonts w:ascii="黑体" w:eastAsia="黑体"/>
      <w:sz w:val="22"/>
    </w:rPr>
  </w:style>
  <w:style w:type="paragraph" w:customStyle="1" w:styleId="69">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70">
    <w:name w:val="Table caption|1"/>
    <w:basedOn w:val="1"/>
    <w:autoRedefine/>
    <w:qFormat/>
    <w:uiPriority w:val="0"/>
    <w:rPr>
      <w:rFonts w:ascii="宋体" w:hAnsi="宋体" w:eastAsia="宋体" w:cs="宋体"/>
      <w:sz w:val="22"/>
      <w:szCs w:val="22"/>
      <w:lang w:val="zh-TW" w:eastAsia="zh-TW" w:bidi="zh-TW"/>
    </w:rPr>
  </w:style>
  <w:style w:type="paragraph" w:customStyle="1" w:styleId="71">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3">
    <w:name w:val="Body text|2"/>
    <w:basedOn w:val="1"/>
    <w:autoRedefine/>
    <w:qFormat/>
    <w:uiPriority w:val="0"/>
    <w:pPr>
      <w:spacing w:after="260"/>
      <w:ind w:firstLine="140"/>
    </w:pPr>
    <w:rPr>
      <w:rFonts w:ascii="宋体" w:hAnsi="宋体" w:eastAsia="宋体" w:cs="宋体"/>
      <w:sz w:val="30"/>
      <w:szCs w:val="30"/>
      <w:lang w:val="zh-TW" w:eastAsia="zh-TW" w:bidi="zh-TW"/>
    </w:rPr>
  </w:style>
  <w:style w:type="character" w:customStyle="1" w:styleId="74">
    <w:name w:val="layui-layer-tabnow"/>
    <w:basedOn w:val="26"/>
    <w:autoRedefine/>
    <w:qFormat/>
    <w:uiPriority w:val="0"/>
    <w:rPr>
      <w:bdr w:val="single" w:color="CCCCCC" w:sz="6" w:space="0"/>
      <w:shd w:val="clear" w:fill="FFFFFF"/>
    </w:rPr>
  </w:style>
  <w:style w:type="character" w:customStyle="1" w:styleId="75">
    <w:name w:val="first-child"/>
    <w:basedOn w:val="26"/>
    <w:autoRedefine/>
    <w:qFormat/>
    <w:uiPriority w:val="0"/>
  </w:style>
  <w:style w:type="paragraph" w:customStyle="1" w:styleId="7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77">
    <w:name w:val="纯文本1"/>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65</Pages>
  <Words>3515</Words>
  <Characters>4003</Characters>
  <Lines>418</Lines>
  <Paragraphs>117</Paragraphs>
  <TotalTime>5</TotalTime>
  <ScaleCrop>false</ScaleCrop>
  <LinksUpToDate>false</LinksUpToDate>
  <CharactersWithSpaces>4168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小阔爱</cp:lastModifiedBy>
  <cp:lastPrinted>2024-03-18T04:43:00Z</cp:lastPrinted>
  <dcterms:modified xsi:type="dcterms:W3CDTF">2024-12-06T05:47:12Z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63BF5A2236404AF882894C2165F19389_13</vt:lpwstr>
  </property>
</Properties>
</file>