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rPr>
      </w:pPr>
    </w:p>
    <w:p>
      <w:pPr>
        <w:pStyle w:val="26"/>
        <w:jc w:val="center"/>
        <w:rPr>
          <w:rFonts w:hint="eastAsia"/>
          <w:sz w:val="20"/>
          <w:szCs w:val="22"/>
          <w:lang w:val="en-US" w:eastAsia="zh-CN"/>
        </w:rPr>
      </w:pPr>
      <w:r>
        <w:rPr>
          <w:rFonts w:hint="eastAsia" w:ascii="宋体" w:hAnsi="宋体" w:cs="宋体"/>
          <w:b/>
          <w:bCs/>
          <w:sz w:val="44"/>
          <w:szCs w:val="44"/>
          <w:lang w:val="en-US" w:eastAsia="zh-CN"/>
        </w:rPr>
        <w:t>2023年教育脱贫攻坚同乡村振兴有效衔接义务教育学校建设项目（设备采购）一包</w:t>
      </w:r>
    </w:p>
    <w:p>
      <w:pPr>
        <w:pStyle w:val="49"/>
        <w:rPr>
          <w:rFonts w:hint="default"/>
          <w:lang w:val="en-US" w:eastAsia="zh-CN"/>
        </w:rPr>
      </w:pPr>
    </w:p>
    <w:p>
      <w:pPr>
        <w:pStyle w:val="49"/>
        <w:rPr>
          <w:rFonts w:hint="default"/>
          <w:lang w:val="en-US" w:eastAsia="zh-CN"/>
        </w:rPr>
      </w:pPr>
    </w:p>
    <w:p>
      <w:pPr>
        <w:tabs>
          <w:tab w:val="center" w:pos="4215"/>
          <w:tab w:val="left" w:pos="6948"/>
        </w:tabs>
        <w:autoSpaceDE w:val="0"/>
        <w:autoSpaceDN w:val="0"/>
        <w:jc w:val="left"/>
        <w:rPr>
          <w:rFonts w:hint="eastAsia" w:ascii="宋体" w:hAnsi="宋体" w:eastAsia="宋体" w:cs="楷体"/>
          <w:b/>
          <w:bCs/>
          <w:sz w:val="72"/>
          <w:szCs w:val="72"/>
          <w:lang w:val="en-US" w:eastAsia="zh-CN"/>
        </w:rPr>
      </w:pPr>
      <w:r>
        <w:rPr>
          <w:rFonts w:hint="eastAsia" w:ascii="宋体" w:hAnsi="宋体" w:cs="楷体"/>
          <w:b/>
          <w:bCs/>
          <w:sz w:val="72"/>
          <w:szCs w:val="72"/>
          <w:lang w:val="en-US" w:eastAsia="zh-CN"/>
        </w:rPr>
        <w:tab/>
      </w:r>
      <w:r>
        <w:rPr>
          <w:rFonts w:hint="eastAsia" w:ascii="宋体" w:hAnsi="宋体" w:eastAsia="宋体" w:cs="楷体"/>
          <w:b/>
          <w:bCs/>
          <w:sz w:val="72"/>
          <w:szCs w:val="72"/>
          <w:lang w:val="en-US" w:eastAsia="zh-CN"/>
        </w:rPr>
        <w:t>招</w:t>
      </w:r>
      <w:r>
        <w:rPr>
          <w:rFonts w:hint="eastAsia" w:ascii="宋体" w:hAnsi="宋体" w:cs="楷体"/>
          <w:b/>
          <w:bCs/>
          <w:sz w:val="72"/>
          <w:szCs w:val="72"/>
          <w:lang w:val="en-US" w:eastAsia="zh-CN"/>
        </w:rPr>
        <w:tab/>
      </w: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标</w:t>
      </w: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文</w:t>
      </w: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件</w:t>
      </w:r>
    </w:p>
    <w:p>
      <w:pPr>
        <w:pStyle w:val="49"/>
        <w:ind w:left="0" w:leftChars="0" w:firstLine="0" w:firstLineChars="0"/>
        <w:rPr>
          <w:rFonts w:hint="eastAsia"/>
          <w:lang w:val="zh-CN"/>
        </w:rPr>
      </w:pPr>
    </w:p>
    <w:p>
      <w:pPr>
        <w:pStyle w:val="49"/>
        <w:ind w:left="0" w:leftChars="0" w:firstLine="0" w:firstLineChars="0"/>
        <w:rPr>
          <w:rFonts w:hint="eastAsia"/>
          <w:lang w:val="zh-CN"/>
        </w:rPr>
      </w:pPr>
    </w:p>
    <w:p>
      <w:pPr>
        <w:widowControl/>
        <w:autoSpaceDE w:val="0"/>
        <w:autoSpaceDN w:val="0"/>
        <w:spacing w:line="600" w:lineRule="auto"/>
        <w:ind w:right="-28" w:firstLine="849" w:firstLineChars="300"/>
        <w:textAlignment w:val="bottom"/>
        <w:rPr>
          <w:rFonts w:hint="eastAsia" w:ascii="宋体" w:hAnsi="宋体" w:cs="宋体"/>
          <w:b/>
          <w:kern w:val="2"/>
          <w:sz w:val="28"/>
          <w:szCs w:val="22"/>
          <w:lang w:val="en-US" w:eastAsia="zh-CN" w:bidi="ar-SA"/>
        </w:rPr>
      </w:pPr>
      <w:r>
        <w:rPr>
          <w:rFonts w:hint="eastAsia" w:ascii="宋体" w:hAnsi="宋体"/>
          <w:b/>
          <w:sz w:val="28"/>
          <w:szCs w:val="22"/>
        </w:rPr>
        <w:t>采 购 人：</w:t>
      </w:r>
      <w:r>
        <w:rPr>
          <w:rFonts w:hint="eastAsia" w:ascii="宋体" w:hAnsi="宋体" w:cs="宋体"/>
          <w:b/>
          <w:kern w:val="2"/>
          <w:sz w:val="28"/>
          <w:szCs w:val="22"/>
          <w:lang w:val="en-US" w:eastAsia="zh-CN" w:bidi="ar-SA"/>
        </w:rPr>
        <w:t>阿图什市教育局（盖章）</w:t>
      </w:r>
    </w:p>
    <w:p>
      <w:pPr>
        <w:pStyle w:val="2"/>
        <w:spacing w:line="600" w:lineRule="auto"/>
        <w:ind w:firstLine="849" w:firstLineChars="300"/>
        <w:rPr>
          <w:rFonts w:hint="default"/>
          <w:lang w:val="en-US" w:eastAsia="zh-CN"/>
        </w:rPr>
      </w:pPr>
      <w:r>
        <w:rPr>
          <w:rFonts w:hint="eastAsia" w:ascii="宋体" w:hAnsi="宋体" w:cs="宋体"/>
          <w:b/>
          <w:kern w:val="2"/>
          <w:sz w:val="28"/>
          <w:szCs w:val="22"/>
          <w:lang w:val="en-US" w:eastAsia="zh-CN" w:bidi="ar-SA"/>
        </w:rPr>
        <w:t xml:space="preserve">法定代表人或授权人： </w:t>
      </w:r>
      <w:r>
        <w:rPr>
          <w:rFonts w:hint="eastAsia" w:ascii="宋体" w:hAnsi="宋体" w:cs="宋体"/>
          <w:b/>
          <w:kern w:val="2"/>
          <w:sz w:val="28"/>
          <w:szCs w:val="22"/>
          <w:u w:val="single"/>
          <w:lang w:val="en-US" w:eastAsia="zh-CN" w:bidi="ar-SA"/>
        </w:rPr>
        <w:t xml:space="preserve">                    </w:t>
      </w:r>
      <w:r>
        <w:rPr>
          <w:rFonts w:hint="eastAsia" w:ascii="宋体" w:hAnsi="宋体" w:cs="宋体"/>
          <w:b/>
          <w:kern w:val="2"/>
          <w:sz w:val="28"/>
          <w:szCs w:val="22"/>
          <w:lang w:val="en-US" w:eastAsia="zh-CN" w:bidi="ar-SA"/>
        </w:rPr>
        <w:t>（签字或盖章）</w:t>
      </w:r>
    </w:p>
    <w:p>
      <w:pPr>
        <w:widowControl/>
        <w:autoSpaceDE w:val="0"/>
        <w:autoSpaceDN w:val="0"/>
        <w:spacing w:line="600" w:lineRule="auto"/>
        <w:ind w:right="-28" w:firstLine="849" w:firstLineChars="300"/>
        <w:textAlignment w:val="bottom"/>
        <w:rPr>
          <w:rFonts w:hint="default" w:ascii="宋体" w:hAnsi="宋体"/>
          <w:b/>
          <w:sz w:val="28"/>
          <w:szCs w:val="22"/>
          <w:lang w:val="en-US" w:eastAsia="zh-CN"/>
        </w:rPr>
      </w:pPr>
      <w:r>
        <w:rPr>
          <w:rFonts w:hint="eastAsia" w:ascii="宋体" w:hAnsi="宋体"/>
          <w:b/>
          <w:sz w:val="28"/>
          <w:szCs w:val="22"/>
        </w:rPr>
        <w:t>联系人</w:t>
      </w:r>
      <w:r>
        <w:rPr>
          <w:rFonts w:hint="eastAsia" w:ascii="宋体" w:hAnsi="宋体"/>
          <w:b/>
          <w:sz w:val="28"/>
          <w:szCs w:val="22"/>
          <w:lang w:eastAsia="zh-CN"/>
        </w:rPr>
        <w:t>：</w:t>
      </w:r>
      <w:r>
        <w:rPr>
          <w:rFonts w:hint="eastAsia" w:ascii="宋体" w:hAnsi="宋体"/>
          <w:b/>
          <w:sz w:val="28"/>
          <w:szCs w:val="22"/>
          <w:lang w:val="en-US" w:eastAsia="zh-CN"/>
        </w:rPr>
        <w:t xml:space="preserve">沙先生            </w:t>
      </w:r>
      <w:r>
        <w:rPr>
          <w:rFonts w:hint="eastAsia" w:ascii="宋体" w:hAnsi="宋体"/>
          <w:b/>
          <w:sz w:val="28"/>
          <w:szCs w:val="22"/>
          <w:lang w:eastAsia="zh-CN"/>
        </w:rPr>
        <w:t>联系电话</w:t>
      </w:r>
      <w:r>
        <w:rPr>
          <w:rFonts w:hint="eastAsia" w:ascii="宋体" w:hAnsi="宋体"/>
          <w:b/>
          <w:sz w:val="28"/>
          <w:szCs w:val="22"/>
        </w:rPr>
        <w:t xml:space="preserve">   </w:t>
      </w:r>
      <w:r>
        <w:rPr>
          <w:rFonts w:hint="eastAsia" w:ascii="宋体" w:hAnsi="宋体"/>
          <w:b/>
          <w:sz w:val="28"/>
          <w:szCs w:val="22"/>
          <w:lang w:val="en-US" w:eastAsia="zh-CN"/>
        </w:rPr>
        <w:t>18199726032</w:t>
      </w:r>
    </w:p>
    <w:p>
      <w:pPr>
        <w:widowControl/>
        <w:autoSpaceDE w:val="0"/>
        <w:autoSpaceDN w:val="0"/>
        <w:spacing w:line="600" w:lineRule="auto"/>
        <w:ind w:right="-28" w:firstLine="849" w:firstLineChars="300"/>
        <w:textAlignment w:val="bottom"/>
        <w:rPr>
          <w:rFonts w:hint="eastAsia" w:ascii="宋体" w:hAnsi="宋体"/>
          <w:b/>
          <w:sz w:val="28"/>
          <w:szCs w:val="22"/>
          <w:lang w:val="en-US" w:eastAsia="zh-CN"/>
        </w:rPr>
      </w:pPr>
      <w:r>
        <w:rPr>
          <w:rFonts w:hint="eastAsia" w:ascii="宋体" w:hAnsi="宋体"/>
          <w:b/>
          <w:sz w:val="28"/>
          <w:szCs w:val="22"/>
        </w:rPr>
        <w:t>代理机构：</w:t>
      </w:r>
      <w:r>
        <w:rPr>
          <w:rFonts w:hint="eastAsia" w:ascii="宋体" w:hAnsi="宋体"/>
          <w:b/>
          <w:sz w:val="28"/>
          <w:szCs w:val="22"/>
          <w:lang w:val="en-US" w:eastAsia="zh-CN"/>
        </w:rPr>
        <w:t>中轩项目管理有限公司（盖章）</w:t>
      </w:r>
    </w:p>
    <w:p>
      <w:pPr>
        <w:pStyle w:val="2"/>
        <w:spacing w:line="600" w:lineRule="auto"/>
        <w:ind w:firstLine="849" w:firstLineChars="300"/>
        <w:rPr>
          <w:rFonts w:hint="eastAsia"/>
          <w:lang w:eastAsia="zh-CN"/>
        </w:rPr>
      </w:pPr>
      <w:r>
        <w:rPr>
          <w:rFonts w:hint="eastAsia" w:ascii="宋体" w:hAnsi="宋体" w:cs="宋体"/>
          <w:b/>
          <w:kern w:val="2"/>
          <w:sz w:val="28"/>
          <w:szCs w:val="22"/>
          <w:lang w:val="en-US" w:eastAsia="zh-CN" w:bidi="ar-SA"/>
        </w:rPr>
        <w:t>法定代表人或授权人：</w:t>
      </w:r>
      <w:r>
        <w:rPr>
          <w:rFonts w:hint="eastAsia" w:ascii="宋体" w:hAnsi="宋体" w:cs="宋体"/>
          <w:b/>
          <w:kern w:val="2"/>
          <w:sz w:val="28"/>
          <w:szCs w:val="22"/>
          <w:u w:val="single"/>
          <w:lang w:val="en-US" w:eastAsia="zh-CN" w:bidi="ar-SA"/>
        </w:rPr>
        <w:t xml:space="preserve">                     </w:t>
      </w:r>
      <w:r>
        <w:rPr>
          <w:rFonts w:hint="eastAsia" w:ascii="宋体" w:hAnsi="宋体" w:cs="宋体"/>
          <w:b/>
          <w:kern w:val="2"/>
          <w:sz w:val="28"/>
          <w:szCs w:val="22"/>
          <w:lang w:val="en-US" w:eastAsia="zh-CN" w:bidi="ar-SA"/>
        </w:rPr>
        <w:t>（签字或盖章）</w:t>
      </w:r>
    </w:p>
    <w:p>
      <w:pPr>
        <w:widowControl/>
        <w:autoSpaceDE w:val="0"/>
        <w:autoSpaceDN w:val="0"/>
        <w:spacing w:line="60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val="en-US" w:eastAsia="zh-CN"/>
        </w:rPr>
        <w:t>莫先生</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lang w:eastAsia="zh-CN"/>
        </w:rPr>
        <w:t>联系电话：</w:t>
      </w:r>
      <w:r>
        <w:rPr>
          <w:rFonts w:hint="eastAsia" w:ascii="宋体" w:hAnsi="宋体"/>
          <w:b/>
          <w:color w:val="auto"/>
          <w:sz w:val="28"/>
          <w:szCs w:val="22"/>
          <w:lang w:val="en-US" w:eastAsia="zh-CN"/>
        </w:rPr>
        <w:t>13809988058</w:t>
      </w:r>
    </w:p>
    <w:p>
      <w:pPr>
        <w:pStyle w:val="26"/>
        <w:rPr>
          <w:rFonts w:hint="default"/>
          <w:lang w:val="en-US" w:eastAsia="zh-CN"/>
        </w:rPr>
      </w:pPr>
    </w:p>
    <w:p>
      <w:pPr>
        <w:pStyle w:val="5"/>
        <w:numPr>
          <w:ilvl w:val="1"/>
          <w:numId w:val="0"/>
        </w:numPr>
        <w:rPr>
          <w:rFonts w:hint="default"/>
          <w:lang w:val="en-US" w:eastAsia="zh-CN"/>
        </w:rPr>
      </w:pPr>
    </w:p>
    <w:p>
      <w:pPr>
        <w:rPr>
          <w:rFonts w:hint="default"/>
          <w:lang w:val="en-US" w:eastAsia="zh-CN"/>
        </w:rPr>
      </w:pPr>
    </w:p>
    <w:p>
      <w:pPr>
        <w:widowControl/>
        <w:autoSpaceDE w:val="0"/>
        <w:autoSpaceDN w:val="0"/>
        <w:spacing w:line="360" w:lineRule="auto"/>
        <w:ind w:right="-26" w:firstLine="1815" w:firstLineChars="500"/>
        <w:jc w:val="both"/>
        <w:textAlignment w:val="bottom"/>
        <w:rPr>
          <w:rFonts w:hint="eastAsia" w:ascii="宋体" w:hAnsi="宋体" w:cs="宋体"/>
          <w:sz w:val="32"/>
          <w:szCs w:val="32"/>
        </w:rPr>
      </w:pPr>
      <w:r>
        <w:rPr>
          <w:rFonts w:hint="eastAsia" w:ascii="宋体" w:hAnsi="宋体" w:cs="宋体"/>
          <w:b/>
          <w:sz w:val="36"/>
          <w:szCs w:val="36"/>
        </w:rPr>
        <w:t>招投标监督管理机构备案登记栏</w:t>
      </w:r>
    </w:p>
    <w:tbl>
      <w:tblPr>
        <w:tblStyle w:val="28"/>
        <w:tblpPr w:leftFromText="180" w:rightFromText="180" w:vertAnchor="text" w:horzAnchor="page" w:tblpXSpec="center" w:tblpY="2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3" w:hRule="atLeast"/>
          <w:jc w:val="center"/>
        </w:trPr>
        <w:tc>
          <w:tcPr>
            <w:tcW w:w="8248" w:type="dxa"/>
            <w:noWrap w:val="0"/>
            <w:vAlign w:val="top"/>
          </w:tcPr>
          <w:p>
            <w:pPr>
              <w:pStyle w:val="5"/>
              <w:numPr>
                <w:ilvl w:val="0"/>
                <w:numId w:val="0"/>
              </w:numPr>
              <w:rPr>
                <w:rFonts w:hint="eastAsia" w:ascii="宋体" w:hAnsi="宋体" w:cs="宋体"/>
              </w:rPr>
            </w:pPr>
            <w:bookmarkStart w:id="0" w:name="_Hlt10524010"/>
            <w:bookmarkEnd w:id="0"/>
            <w:bookmarkStart w:id="1" w:name="_Hlt10519329"/>
            <w:bookmarkEnd w:id="1"/>
            <w:bookmarkStart w:id="2" w:name="_Hlt42956379"/>
            <w:bookmarkEnd w:id="2"/>
            <w:bookmarkStart w:id="3" w:name="_Hlt10523642"/>
            <w:bookmarkEnd w:id="3"/>
            <w:bookmarkStart w:id="4" w:name="_Hlt10567911"/>
            <w:bookmarkEnd w:id="4"/>
            <w:bookmarkStart w:id="5" w:name="_Hlt10462525"/>
            <w:bookmarkEnd w:id="5"/>
            <w:bookmarkStart w:id="6" w:name="_Hlt42956360"/>
            <w:bookmarkEnd w:id="6"/>
            <w:bookmarkStart w:id="7" w:name="_Hlt10524029"/>
            <w:bookmarkEnd w:id="7"/>
            <w:bookmarkStart w:id="8" w:name="_Hlt10529670"/>
            <w:bookmarkEnd w:id="8"/>
            <w:bookmarkStart w:id="9" w:name="_Hlt10524018"/>
            <w:bookmarkEnd w:id="9"/>
          </w:p>
          <w:p>
            <w:pPr>
              <w:rPr>
                <w:rFonts w:hint="eastAsia" w:ascii="宋体" w:hAnsi="宋体" w:cs="宋体"/>
              </w:rPr>
            </w:pPr>
          </w:p>
          <w:p>
            <w:pPr>
              <w:pStyle w:val="49"/>
              <w:rPr>
                <w:rFonts w:hint="eastAsia"/>
              </w:rPr>
            </w:pPr>
          </w:p>
          <w:p>
            <w:pPr>
              <w:widowControl/>
              <w:adjustRightInd w:val="0"/>
              <w:spacing w:before="100" w:after="100" w:line="360" w:lineRule="auto"/>
              <w:jc w:val="left"/>
              <w:rPr>
                <w:rFonts w:hint="eastAsia" w:ascii="宋体" w:hAnsi="宋体" w:cs="宋体"/>
                <w:sz w:val="30"/>
                <w:szCs w:val="30"/>
                <w:lang w:val="zh-CN"/>
              </w:rPr>
            </w:pPr>
            <w:r>
              <w:rPr>
                <w:rFonts w:hint="eastAsia" w:ascii="宋体" w:hAnsi="宋体" w:cs="宋体"/>
                <w:sz w:val="30"/>
                <w:szCs w:val="30"/>
              </w:rPr>
              <w:t>招 标 人:</w:t>
            </w:r>
            <w:r>
              <w:rPr>
                <w:rFonts w:hint="eastAsia" w:ascii="宋体" w:hAnsi="宋体" w:cs="宋体"/>
                <w:sz w:val="30"/>
                <w:szCs w:val="30"/>
                <w:lang w:eastAsia="zh-CN"/>
              </w:rPr>
              <w:t>阿图什市教育局</w:t>
            </w:r>
          </w:p>
          <w:p>
            <w:pPr>
              <w:pStyle w:val="5"/>
              <w:numPr>
                <w:ilvl w:val="0"/>
                <w:numId w:val="0"/>
              </w:numPr>
              <w:rPr>
                <w:rFonts w:hint="eastAsia" w:ascii="宋体" w:hAnsi="宋体" w:cs="宋体"/>
              </w:rPr>
            </w:pPr>
          </w:p>
          <w:p>
            <w:pPr>
              <w:rPr>
                <w:rFonts w:hint="eastAsia" w:ascii="宋体" w:hAnsi="宋体" w:cs="宋体"/>
              </w:rPr>
            </w:pPr>
          </w:p>
          <w:p>
            <w:pPr>
              <w:pStyle w:val="49"/>
              <w:rPr>
                <w:rFonts w:hint="eastAsia"/>
              </w:rPr>
            </w:pPr>
          </w:p>
          <w:p>
            <w:pPr>
              <w:widowControl/>
              <w:adjustRightInd w:val="0"/>
              <w:spacing w:before="100" w:after="100" w:line="360" w:lineRule="auto"/>
              <w:jc w:val="left"/>
              <w:rPr>
                <w:rFonts w:hint="eastAsia" w:ascii="宋体" w:hAnsi="宋体" w:cs="宋体"/>
                <w:b/>
                <w:sz w:val="32"/>
              </w:rPr>
            </w:pPr>
          </w:p>
          <w:p>
            <w:pPr>
              <w:pStyle w:val="26"/>
              <w:ind w:left="0" w:leftChars="0" w:firstLine="0" w:firstLineChars="0"/>
              <w:jc w:val="both"/>
              <w:rPr>
                <w:rFonts w:hint="eastAsia" w:ascii="宋体" w:hAnsi="宋体" w:eastAsia="宋体" w:cs="宋体"/>
                <w:sz w:val="30"/>
                <w:szCs w:val="30"/>
                <w:lang w:val="en-US" w:eastAsia="zh-CN"/>
              </w:rPr>
            </w:pPr>
            <w:r>
              <w:rPr>
                <w:rFonts w:hint="eastAsia" w:ascii="宋体" w:hAnsi="宋体" w:eastAsia="宋体" w:cs="宋体"/>
                <w:sz w:val="30"/>
                <w:szCs w:val="30"/>
                <w:lang w:eastAsia="zh-CN"/>
              </w:rPr>
              <w:t>项目名称：</w:t>
            </w:r>
            <w:r>
              <w:rPr>
                <w:rFonts w:hint="eastAsia" w:ascii="宋体" w:hAnsi="宋体" w:eastAsia="宋体" w:cs="宋体"/>
                <w:sz w:val="30"/>
                <w:szCs w:val="30"/>
                <w:lang w:val="en-US" w:eastAsia="zh-CN"/>
              </w:rPr>
              <w:t>2023年教育脱贫攻坚同乡村振兴</w:t>
            </w:r>
            <w:r>
              <w:rPr>
                <w:rFonts w:hint="eastAsia" w:ascii="宋体" w:hAnsi="宋体" w:cs="宋体"/>
                <w:sz w:val="30"/>
                <w:szCs w:val="30"/>
                <w:lang w:val="en-US" w:eastAsia="zh-CN"/>
              </w:rPr>
              <w:t>有效</w:t>
            </w:r>
            <w:r>
              <w:rPr>
                <w:rFonts w:hint="eastAsia" w:ascii="宋体" w:hAnsi="宋体" w:eastAsia="宋体" w:cs="宋体"/>
                <w:sz w:val="30"/>
                <w:szCs w:val="30"/>
                <w:lang w:val="en-US" w:eastAsia="zh-CN"/>
              </w:rPr>
              <w:t>衔接义务教育学校建设项目（设备采购）一包</w:t>
            </w:r>
          </w:p>
          <w:p>
            <w:pPr>
              <w:widowControl/>
              <w:adjustRightInd w:val="0"/>
              <w:spacing w:before="100" w:after="100" w:line="360" w:lineRule="auto"/>
              <w:jc w:val="left"/>
              <w:rPr>
                <w:rFonts w:hint="eastAsia" w:ascii="宋体" w:hAnsi="宋体" w:eastAsia="宋体" w:cs="宋体"/>
                <w:sz w:val="30"/>
                <w:szCs w:val="30"/>
                <w:lang w:eastAsia="zh-CN"/>
              </w:rPr>
            </w:pPr>
          </w:p>
          <w:p>
            <w:pPr>
              <w:pStyle w:val="26"/>
              <w:rPr>
                <w:rFonts w:hint="eastAsia" w:ascii="宋体" w:hAnsi="宋体" w:eastAsia="宋体" w:cs="宋体"/>
                <w:sz w:val="30"/>
                <w:szCs w:val="30"/>
                <w:lang w:eastAsia="zh-CN"/>
              </w:rPr>
            </w:pPr>
          </w:p>
          <w:p>
            <w:pPr>
              <w:rPr>
                <w:rFonts w:hint="eastAsia" w:ascii="宋体" w:hAnsi="宋体" w:eastAsia="宋体" w:cs="宋体"/>
                <w:sz w:val="30"/>
                <w:szCs w:val="30"/>
                <w:lang w:eastAsia="zh-CN"/>
              </w:rPr>
            </w:pPr>
          </w:p>
          <w:p>
            <w:pPr>
              <w:pStyle w:val="26"/>
              <w:rPr>
                <w:rFonts w:hint="eastAsia"/>
                <w:lang w:eastAsia="zh-CN"/>
              </w:rPr>
            </w:pPr>
          </w:p>
          <w:p>
            <w:pPr>
              <w:widowControl/>
              <w:adjustRightInd w:val="0"/>
              <w:spacing w:before="100" w:after="100" w:line="360" w:lineRule="auto"/>
              <w:jc w:val="left"/>
              <w:rPr>
                <w:rFonts w:hint="eastAsia" w:ascii="宋体" w:hAnsi="宋体" w:eastAsia="宋体" w:cs="宋体"/>
                <w:sz w:val="30"/>
                <w:szCs w:val="30"/>
                <w:lang w:eastAsia="zh-CN"/>
              </w:rPr>
            </w:pPr>
          </w:p>
          <w:p>
            <w:pPr>
              <w:widowControl/>
              <w:adjustRightInd w:val="0"/>
              <w:spacing w:before="100" w:after="100" w:line="360" w:lineRule="auto"/>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招标代理机构：</w:t>
            </w:r>
            <w:r>
              <w:rPr>
                <w:rFonts w:hint="eastAsia" w:ascii="宋体" w:hAnsi="宋体" w:cs="宋体"/>
                <w:sz w:val="30"/>
                <w:szCs w:val="30"/>
                <w:lang w:val="zh-CN" w:eastAsia="zh-CN"/>
              </w:rPr>
              <w:t>中轩项目管理有限公司</w:t>
            </w:r>
          </w:p>
          <w:p>
            <w:pPr>
              <w:pStyle w:val="26"/>
              <w:ind w:left="0" w:leftChars="0" w:firstLine="0" w:firstLineChars="0"/>
              <w:rPr>
                <w:rFonts w:hint="eastAsia" w:ascii="宋体" w:hAnsi="宋体" w:eastAsia="宋体" w:cs="宋体"/>
                <w:sz w:val="30"/>
                <w:szCs w:val="30"/>
                <w:lang w:eastAsia="zh-CN"/>
              </w:rPr>
            </w:pPr>
          </w:p>
          <w:p>
            <w:pPr>
              <w:rPr>
                <w:rFonts w:hint="eastAsia"/>
                <w:lang w:eastAsia="zh-CN"/>
              </w:rPr>
            </w:pPr>
          </w:p>
          <w:p>
            <w:pPr>
              <w:pStyle w:val="26"/>
              <w:rPr>
                <w:rFonts w:hint="eastAsia"/>
                <w:lang w:eastAsia="zh-CN"/>
              </w:rPr>
            </w:pPr>
          </w:p>
          <w:p>
            <w:pPr>
              <w:widowControl/>
              <w:adjustRightInd w:val="0"/>
              <w:spacing w:before="100" w:after="100" w:line="360" w:lineRule="auto"/>
              <w:ind w:firstLine="2121" w:firstLineChars="700"/>
              <w:jc w:val="left"/>
              <w:rPr>
                <w:rFonts w:hint="eastAsia" w:ascii="宋体" w:hAnsi="宋体" w:cs="宋体"/>
                <w:sz w:val="32"/>
                <w:szCs w:val="32"/>
              </w:rPr>
            </w:pPr>
            <w:r>
              <w:rPr>
                <w:rFonts w:hint="eastAsia" w:ascii="宋体" w:hAnsi="宋体" w:eastAsia="宋体" w:cs="宋体"/>
                <w:sz w:val="30"/>
                <w:szCs w:val="30"/>
                <w:lang w:eastAsia="zh-CN"/>
              </w:rPr>
              <w:t>本采购项目招标文件已报备</w:t>
            </w:r>
          </w:p>
        </w:tc>
      </w:tr>
    </w:tbl>
    <w:p>
      <w:pPr>
        <w:pStyle w:val="49"/>
        <w:spacing w:line="240" w:lineRule="auto"/>
        <w:ind w:left="0" w:leftChars="0" w:firstLine="0" w:firstLineChars="0"/>
        <w:rPr>
          <w:rFonts w:hint="eastAsia"/>
        </w:rPr>
      </w:pPr>
    </w:p>
    <w:p>
      <w:pPr>
        <w:pStyle w:val="49"/>
        <w:spacing w:line="240" w:lineRule="auto"/>
        <w:ind w:left="0" w:leftChars="0" w:firstLine="0" w:firstLineChars="0"/>
        <w:rPr>
          <w:rFonts w:hint="eastAsia"/>
        </w:rPr>
      </w:pPr>
    </w:p>
    <w:p>
      <w:pPr>
        <w:pStyle w:val="49"/>
        <w:spacing w:line="240" w:lineRule="auto"/>
        <w:ind w:left="0" w:leftChars="0" w:firstLine="0" w:firstLineChars="0"/>
        <w:rPr>
          <w:rFonts w:hint="eastAsia"/>
        </w:rPr>
      </w:pPr>
    </w:p>
    <w:p>
      <w:pPr>
        <w:shd w:val="clear" w:color="auto" w:fill="auto"/>
        <w:jc w:val="center"/>
        <w:rPr>
          <w:rFonts w:hint="eastAsia"/>
          <w:b/>
          <w:color w:val="auto"/>
          <w:sz w:val="36"/>
          <w:highlight w:val="none"/>
        </w:rPr>
      </w:pPr>
      <w:r>
        <w:rPr>
          <w:rFonts w:hint="eastAsia"/>
          <w:b/>
          <w:color w:val="auto"/>
          <w:sz w:val="36"/>
          <w:highlight w:val="none"/>
        </w:rPr>
        <w:t>目  录</w:t>
      </w:r>
    </w:p>
    <w:p>
      <w:pPr>
        <w:pStyle w:val="19"/>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6" w:firstLineChars="200"/>
        <w:textAlignment w:val="auto"/>
        <w:rPr>
          <w:rFonts w:ascii="宋体" w:hAnsi="宋体"/>
          <w:color w:val="auto"/>
          <w:szCs w:val="22"/>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bCs/>
          <w:color w:val="auto"/>
          <w:highlight w:val="none"/>
        </w:rPr>
        <w:t>第一章</w:t>
      </w:r>
      <w:r>
        <w:rPr>
          <w:rStyle w:val="38"/>
          <w:rFonts w:hint="eastAsia" w:ascii="宋体" w:hAnsi="宋体"/>
          <w:bCs/>
          <w:color w:val="auto"/>
          <w:highlight w:val="none"/>
          <w:lang w:val="en-US" w:eastAsia="zh-CN"/>
        </w:rPr>
        <w:t xml:space="preserve"> </w:t>
      </w:r>
      <w:r>
        <w:rPr>
          <w:rStyle w:val="38"/>
          <w:rFonts w:hint="eastAsia" w:ascii="宋体" w:hAnsi="宋体"/>
          <w:bCs/>
          <w:color w:val="auto"/>
          <w:highlight w:val="none"/>
        </w:rPr>
        <w:t>招标公告</w:t>
      </w:r>
      <w:r>
        <w:rPr>
          <w:rFonts w:ascii="宋体" w:hAnsi="宋体"/>
          <w:color w:val="auto"/>
          <w:szCs w:val="22"/>
          <w:highlight w:val="none"/>
        </w:rPr>
        <w:tab/>
      </w:r>
      <w:r>
        <w:rPr>
          <w:rFonts w:hint="eastAsia" w:ascii="宋体" w:hAnsi="宋体"/>
          <w:color w:val="auto"/>
          <w:szCs w:val="22"/>
          <w:highlight w:val="none"/>
          <w:lang w:val="en-US" w:eastAsia="zh-CN"/>
        </w:rPr>
        <w:t>4</w:t>
      </w:r>
      <w:r>
        <w:rPr>
          <w:rFonts w:ascii="宋体" w:hAnsi="宋体"/>
          <w:color w:val="auto"/>
          <w:highlight w:val="none"/>
        </w:rPr>
        <w:fldChar w:fldCharType="end"/>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第二章</w:t>
      </w:r>
      <w:r>
        <w:rPr>
          <w:rStyle w:val="38"/>
          <w:rFonts w:ascii="宋体" w:hAnsi="宋体"/>
          <w:color w:val="auto"/>
          <w:highlight w:val="none"/>
        </w:rPr>
        <w:t xml:space="preserve"> </w:t>
      </w:r>
      <w:r>
        <w:rPr>
          <w:rStyle w:val="38"/>
          <w:rFonts w:hint="eastAsia" w:ascii="宋体" w:hAnsi="宋体"/>
          <w:color w:val="auto"/>
          <w:highlight w:val="none"/>
        </w:rPr>
        <w:t>投标人须知</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一、投标人须知前附表</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"_Toc469495723" </w:instrText>
      </w:r>
      <w:r>
        <w:rPr>
          <w:rFonts w:ascii="宋体" w:hAnsi="宋体"/>
          <w:color w:val="auto"/>
          <w:highlight w:val="none"/>
        </w:rPr>
        <w:fldChar w:fldCharType="separate"/>
      </w:r>
      <w:r>
        <w:rPr>
          <w:rFonts w:hint="eastAsia" w:ascii="宋体" w:hAnsi="宋体"/>
          <w:color w:val="auto"/>
          <w:highlight w:val="none"/>
        </w:rPr>
        <w:t>二、投标人须知</w:t>
      </w:r>
      <w:r>
        <w:rPr>
          <w:rFonts w:ascii="宋体" w:hAnsi="宋体"/>
          <w:color w:val="auto"/>
          <w:highlight w:val="none"/>
        </w:rPr>
        <w:tab/>
      </w:r>
      <w:r>
        <w:rPr>
          <w:rFonts w:hint="eastAsia" w:ascii="宋体" w:hAnsi="宋体"/>
          <w:color w:val="auto"/>
          <w:highlight w:val="none"/>
          <w:lang w:val="en-US" w:eastAsia="zh-CN"/>
        </w:rPr>
        <w:t>1</w:t>
      </w:r>
      <w:r>
        <w:rPr>
          <w:rFonts w:ascii="宋体" w:hAnsi="宋体"/>
          <w:color w:val="auto"/>
          <w:highlight w:val="none"/>
        </w:rPr>
        <w:fldChar w:fldCharType="end"/>
      </w:r>
      <w:r>
        <w:rPr>
          <w:rFonts w:hint="eastAsia" w:ascii="宋体" w:hAnsi="宋体"/>
          <w:color w:val="auto"/>
          <w:highlight w:val="none"/>
          <w:lang w:val="en-US" w:eastAsia="zh-CN"/>
        </w:rPr>
        <w:t>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1.政府采购投诉书(范本、质疑函范本）..................................36</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639" w:firstLineChars="3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政府采购投诉书范本...............................................36</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2.投诉相关说明.....................................................37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3.质疑函范本.......................................................39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第三章</w:t>
      </w:r>
      <w:r>
        <w:rPr>
          <w:rStyle w:val="38"/>
          <w:rFonts w:ascii="宋体" w:hAnsi="宋体"/>
          <w:color w:val="auto"/>
          <w:highlight w:val="none"/>
        </w:rPr>
        <w:t xml:space="preserve">  </w:t>
      </w:r>
      <w:r>
        <w:rPr>
          <w:rStyle w:val="38"/>
          <w:rFonts w:hint="eastAsia" w:ascii="宋体" w:hAnsi="宋体"/>
          <w:color w:val="auto"/>
          <w:highlight w:val="none"/>
        </w:rPr>
        <w:t>评标办法</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ascii="宋体" w:hAnsi="宋体"/>
          <w:color w:val="auto"/>
          <w:highlight w:val="none"/>
        </w:rPr>
        <w:t xml:space="preserve">  </w:t>
      </w:r>
      <w:r>
        <w:rPr>
          <w:rStyle w:val="38"/>
          <w:rFonts w:hint="eastAsia" w:ascii="宋体" w:hAnsi="宋体"/>
          <w:color w:val="auto"/>
          <w:highlight w:val="none"/>
        </w:rPr>
        <w:t>总则</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投标文件初审</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2</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"_Toc469495734"</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三</w:t>
      </w:r>
      <w:r>
        <w:rPr>
          <w:rStyle w:val="38"/>
          <w:rFonts w:ascii="宋体" w:hAnsi="宋体"/>
          <w:color w:val="auto"/>
          <w:highlight w:val="none"/>
        </w:rPr>
        <w:t xml:space="preserve">  </w:t>
      </w:r>
      <w:r>
        <w:rPr>
          <w:rStyle w:val="38"/>
          <w:rFonts w:hint="eastAsia" w:ascii="宋体" w:hAnsi="宋体"/>
          <w:color w:val="auto"/>
          <w:highlight w:val="none"/>
        </w:rPr>
        <w:t>投标文件的澄清和补正</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3</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"_Toc469495735"</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四</w:t>
      </w:r>
      <w:r>
        <w:rPr>
          <w:rStyle w:val="38"/>
          <w:rFonts w:ascii="宋体" w:hAnsi="宋体"/>
          <w:color w:val="auto"/>
          <w:highlight w:val="none"/>
        </w:rPr>
        <w:t xml:space="preserve"> </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比较与评价</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4</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"_Toc469495736" </w:instrText>
      </w:r>
      <w:r>
        <w:rPr>
          <w:rFonts w:ascii="宋体" w:hAnsi="宋体"/>
          <w:color w:val="auto"/>
          <w:highlight w:val="none"/>
        </w:rPr>
        <w:fldChar w:fldCharType="separate"/>
      </w:r>
      <w:r>
        <w:rPr>
          <w:rFonts w:hint="eastAsia" w:ascii="宋体" w:hAnsi="宋体"/>
          <w:color w:val="auto"/>
          <w:highlight w:val="none"/>
        </w:rPr>
        <w:t>五</w:t>
      </w:r>
      <w:r>
        <w:rPr>
          <w:rFonts w:ascii="宋体" w:hAnsi="宋体"/>
          <w:color w:val="auto"/>
          <w:highlight w:val="none"/>
        </w:rPr>
        <w:t xml:space="preserve">  </w:t>
      </w:r>
      <w:r>
        <w:rPr>
          <w:rFonts w:hint="eastAsia" w:ascii="宋体" w:hAnsi="宋体"/>
          <w:color w:val="auto"/>
          <w:highlight w:val="none"/>
        </w:rPr>
        <w:t>推荐中标候选人</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第四章  采购内容及技术要求..............................................49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第五章</w:t>
      </w:r>
      <w:r>
        <w:rPr>
          <w:rStyle w:val="38"/>
          <w:rFonts w:ascii="宋体" w:hAnsi="宋体"/>
          <w:color w:val="auto"/>
          <w:highlight w:val="none"/>
        </w:rPr>
        <w:t xml:space="preserve">  </w:t>
      </w:r>
      <w:r>
        <w:rPr>
          <w:rStyle w:val="38"/>
          <w:rFonts w:hint="eastAsia" w:ascii="宋体" w:hAnsi="宋体"/>
          <w:color w:val="auto"/>
          <w:highlight w:val="none"/>
        </w:rPr>
        <w:t>合同条款及格式</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合同协议书</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合同条款</w:t>
      </w:r>
      <w:r>
        <w:rPr>
          <w:rFonts w:ascii="宋体" w:hAnsi="宋体"/>
          <w:color w:val="auto"/>
          <w:highlight w:val="none"/>
        </w:rPr>
        <w:tab/>
      </w:r>
      <w:r>
        <w:rPr>
          <w:rFonts w:hint="eastAsia" w:ascii="宋体" w:hAnsi="宋体"/>
          <w:color w:val="auto"/>
          <w:highlight w:val="none"/>
          <w:lang w:val="en-US" w:eastAsia="zh-CN"/>
        </w:rPr>
        <w:t>.</w:t>
      </w:r>
      <w:r>
        <w:rPr>
          <w:rFonts w:ascii="宋体" w:hAnsi="宋体"/>
          <w:color w:val="auto"/>
          <w:highlight w:val="none"/>
        </w:rPr>
        <w:fldChar w:fldCharType="end"/>
      </w:r>
      <w:r>
        <w:rPr>
          <w:rFonts w:hint="eastAsia" w:ascii="宋体" w:hAnsi="宋体"/>
          <w:color w:val="auto"/>
          <w:highlight w:val="none"/>
          <w:lang w:val="en-US" w:eastAsia="zh-CN"/>
        </w:rPr>
        <w:t>59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第六章</w:t>
      </w:r>
      <w:r>
        <w:rPr>
          <w:rStyle w:val="38"/>
          <w:rFonts w:ascii="宋体" w:hAnsi="宋体"/>
          <w:color w:val="auto"/>
          <w:highlight w:val="none"/>
        </w:rPr>
        <w:t xml:space="preserve">  </w:t>
      </w:r>
      <w:r>
        <w:rPr>
          <w:rStyle w:val="38"/>
          <w:rFonts w:hint="eastAsia" w:ascii="宋体" w:hAnsi="宋体"/>
          <w:color w:val="auto"/>
          <w:highlight w:val="none"/>
        </w:rPr>
        <w:t>投标文件格式</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r>
        <w:rPr>
          <w:rFonts w:hint="eastAsia" w:ascii="宋体" w:hAnsi="宋体"/>
          <w:color w:val="auto"/>
          <w:highlight w:val="none"/>
          <w:lang w:val="en-US" w:eastAsia="zh-CN"/>
        </w:rPr>
        <w:t>4</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jc w:val="distribute"/>
        <w:textAlignment w:val="auto"/>
        <w:rPr>
          <w:rFonts w:hint="eastAsia" w:ascii="宋体" w:hAnsi="宋体" w:cs="宋体"/>
          <w:color w:val="auto"/>
          <w:sz w:val="24"/>
          <w:highlight w:val="none"/>
        </w:rPr>
      </w:pPr>
      <w:r>
        <w:rPr>
          <w:rFonts w:hint="eastAsia" w:ascii="宋体" w:hAnsi="宋体" w:cs="宋体"/>
          <w:color w:val="auto"/>
          <w:sz w:val="24"/>
          <w:highlight w:val="none"/>
        </w:rPr>
        <w:fldChar w:fldCharType="end"/>
      </w:r>
    </w:p>
    <w:p>
      <w:pPr>
        <w:spacing w:line="240" w:lineRule="auto"/>
        <w:jc w:val="center"/>
        <w:rPr>
          <w:rFonts w:hint="eastAsia" w:ascii="宋体" w:hAnsi="宋体" w:cs="宋体"/>
          <w:b/>
          <w:bCs/>
          <w:kern w:val="36"/>
          <w:sz w:val="36"/>
          <w:szCs w:val="36"/>
        </w:rPr>
      </w:pPr>
      <w:r>
        <w:rPr>
          <w:rFonts w:hint="eastAsia" w:ascii="宋体" w:hAnsi="宋体" w:cs="宋体"/>
          <w:color w:val="FF0000"/>
          <w:sz w:val="24"/>
          <w:highlight w:val="none"/>
        </w:rPr>
        <w:br w:type="page"/>
      </w:r>
      <w:r>
        <w:rPr>
          <w:rFonts w:ascii="宋体" w:hAnsi="宋体" w:cs="宋体"/>
          <w:b/>
          <w:bCs/>
          <w:kern w:val="36"/>
          <w:sz w:val="36"/>
          <w:szCs w:val="36"/>
        </w:rPr>
        <w:t>第一部分 招标公告</w:t>
      </w:r>
    </w:p>
    <w:p>
      <w:pPr>
        <w:pStyle w:val="5"/>
        <w:keepNext w:val="0"/>
        <w:keepLines w:val="0"/>
        <w:widowControl/>
        <w:numPr>
          <w:ilvl w:val="0"/>
          <w:numId w:val="0"/>
        </w:numPr>
        <w:suppressLineNumbers w:val="0"/>
        <w:spacing w:before="0" w:beforeAutospacing="0" w:after="0" w:afterAutospacing="0" w:line="240" w:lineRule="auto"/>
        <w:ind w:left="-420" w:leftChars="0" w:right="0" w:rightChars="0"/>
        <w:jc w:val="center"/>
        <w:rPr>
          <w:rFonts w:hint="eastAsia" w:ascii="宋体" w:hAnsi="宋体" w:eastAsia="宋体" w:cs="宋体"/>
          <w:b/>
          <w:bCs/>
          <w:kern w:val="2"/>
          <w:sz w:val="28"/>
          <w:szCs w:val="28"/>
          <w:lang w:val="en-US" w:eastAsia="zh-CN" w:bidi="ar-SA"/>
        </w:rPr>
      </w:pPr>
      <w:bookmarkStart w:id="10" w:name="_Toc469495721"/>
      <w:bookmarkStart w:id="11" w:name="_Toc469495723"/>
      <w:r>
        <w:rPr>
          <w:rFonts w:hint="eastAsia" w:ascii="宋体" w:hAnsi="宋体" w:eastAsia="宋体" w:cs="宋体"/>
          <w:b/>
          <w:bCs/>
          <w:kern w:val="2"/>
          <w:sz w:val="28"/>
          <w:szCs w:val="28"/>
          <w:lang w:val="en-US" w:eastAsia="zh-CN" w:bidi="ar-SA"/>
        </w:rPr>
        <w:t>2023年教育脱贫攻坚同乡村振兴</w:t>
      </w:r>
      <w:r>
        <w:rPr>
          <w:rFonts w:hint="eastAsia" w:ascii="宋体" w:hAnsi="宋体" w:cs="宋体"/>
          <w:b/>
          <w:bCs/>
          <w:kern w:val="2"/>
          <w:sz w:val="28"/>
          <w:szCs w:val="28"/>
          <w:lang w:val="en-US" w:eastAsia="zh-CN" w:bidi="ar-SA"/>
        </w:rPr>
        <w:t>有效</w:t>
      </w:r>
      <w:r>
        <w:rPr>
          <w:rFonts w:hint="eastAsia" w:ascii="宋体" w:hAnsi="宋体" w:eastAsia="宋体" w:cs="宋体"/>
          <w:b/>
          <w:bCs/>
          <w:kern w:val="2"/>
          <w:sz w:val="28"/>
          <w:szCs w:val="28"/>
          <w:lang w:val="en-US" w:eastAsia="zh-CN" w:bidi="ar-SA"/>
        </w:rPr>
        <w:t>衔接义务教育学校建设项目（设备采购）一包公开招标公告</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i w:val="0"/>
          <w:iCs w:val="0"/>
          <w:caps w:val="0"/>
          <w:color w:val="auto"/>
          <w:spacing w:val="0"/>
          <w:sz w:val="21"/>
          <w:szCs w:val="21"/>
          <w:u w:val="none"/>
          <w:lang w:val="en-US" w:eastAsia="zh-CN"/>
        </w:rPr>
      </w:pPr>
      <w:r>
        <w:rPr>
          <w:rFonts w:hint="eastAsia" w:ascii="宋体" w:hAnsi="宋体" w:eastAsia="宋体" w:cs="宋体"/>
          <w:b/>
          <w:bCs/>
          <w:kern w:val="2"/>
          <w:sz w:val="21"/>
          <w:szCs w:val="21"/>
          <w:lang w:val="en-US" w:eastAsia="zh-CN" w:bidi="ar-SA"/>
        </w:rPr>
        <w:t xml:space="preserve">项目概况 </w:t>
      </w:r>
    </w:p>
    <w:p>
      <w:pPr>
        <w:pStyle w:val="24"/>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2023年教育脱贫攻坚同乡村振兴</w:t>
      </w:r>
      <w:r>
        <w:rPr>
          <w:rFonts w:hint="eastAsia" w:cs="宋体"/>
          <w:kern w:val="2"/>
          <w:sz w:val="21"/>
          <w:szCs w:val="21"/>
          <w:lang w:val="en-US" w:eastAsia="zh-CN" w:bidi="ar-SA"/>
        </w:rPr>
        <w:t>有效</w:t>
      </w:r>
      <w:r>
        <w:rPr>
          <w:rFonts w:hint="eastAsia" w:ascii="宋体" w:hAnsi="宋体" w:eastAsia="宋体" w:cs="宋体"/>
          <w:kern w:val="2"/>
          <w:sz w:val="21"/>
          <w:szCs w:val="21"/>
          <w:lang w:val="en-US" w:eastAsia="zh-CN" w:bidi="ar-SA"/>
        </w:rPr>
        <w:t>衔接义务教育学校建设项目（设备采购）一包的潜在投标人应在供应商登陆政采云平台http://www.zcygov.cn/，在线申请获取招标文件（登录政府采购云平台 → 项目采购 → 获取招标文件→申请，审核通过后可下载招标文件，如有操作性问题，可与政采云在线客服进行咨询，咨询电话：(95763），并于2023年</w:t>
      </w:r>
      <w:r>
        <w:rPr>
          <w:rFonts w:hint="eastAsia" w:cs="宋体"/>
          <w:kern w:val="2"/>
          <w:sz w:val="21"/>
          <w:szCs w:val="21"/>
          <w:lang w:val="en-US" w:eastAsia="zh-CN" w:bidi="ar-SA"/>
        </w:rPr>
        <w:t>06</w:t>
      </w:r>
      <w:r>
        <w:rPr>
          <w:rFonts w:hint="eastAsia" w:ascii="宋体" w:hAnsi="宋体" w:eastAsia="宋体" w:cs="宋体"/>
          <w:kern w:val="2"/>
          <w:sz w:val="21"/>
          <w:szCs w:val="21"/>
          <w:lang w:val="en-US" w:eastAsia="zh-CN" w:bidi="ar-SA"/>
        </w:rPr>
        <w:t>月</w:t>
      </w:r>
      <w:r>
        <w:rPr>
          <w:rFonts w:hint="eastAsia" w:cs="宋体"/>
          <w:kern w:val="2"/>
          <w:sz w:val="21"/>
          <w:szCs w:val="21"/>
          <w:lang w:val="en-US" w:eastAsia="zh-CN" w:bidi="ar-SA"/>
        </w:rPr>
        <w:t xml:space="preserve">19 </w:t>
      </w:r>
      <w:r>
        <w:rPr>
          <w:rFonts w:hint="eastAsia" w:ascii="宋体" w:hAnsi="宋体" w:eastAsia="宋体" w:cs="宋体"/>
          <w:kern w:val="2"/>
          <w:sz w:val="21"/>
          <w:szCs w:val="21"/>
          <w:lang w:val="en-US" w:eastAsia="zh-CN" w:bidi="ar-SA"/>
        </w:rPr>
        <w:t>日1</w:t>
      </w:r>
      <w:r>
        <w:rPr>
          <w:rFonts w:hint="eastAsia" w:cs="宋体"/>
          <w:kern w:val="2"/>
          <w:sz w:val="21"/>
          <w:szCs w:val="21"/>
          <w:lang w:val="en-US" w:eastAsia="zh-CN" w:bidi="ar-SA"/>
        </w:rPr>
        <w:t>0</w:t>
      </w:r>
      <w:r>
        <w:rPr>
          <w:rFonts w:hint="eastAsia" w:ascii="宋体" w:hAnsi="宋体" w:eastAsia="宋体" w:cs="宋体"/>
          <w:kern w:val="2"/>
          <w:sz w:val="21"/>
          <w:szCs w:val="21"/>
          <w:lang w:val="en-US" w:eastAsia="zh-CN" w:bidi="ar-SA"/>
        </w:rPr>
        <w:t>：</w:t>
      </w:r>
      <w:r>
        <w:rPr>
          <w:rFonts w:hint="eastAsia" w:cs="宋体"/>
          <w:kern w:val="2"/>
          <w:sz w:val="21"/>
          <w:szCs w:val="21"/>
          <w:lang w:val="en-US" w:eastAsia="zh-CN" w:bidi="ar-SA"/>
        </w:rPr>
        <w:t>3</w:t>
      </w:r>
      <w:r>
        <w:rPr>
          <w:rFonts w:hint="eastAsia" w:ascii="宋体" w:hAnsi="宋体" w:eastAsia="宋体" w:cs="宋体"/>
          <w:kern w:val="2"/>
          <w:sz w:val="21"/>
          <w:szCs w:val="21"/>
          <w:lang w:val="en-US" w:eastAsia="zh-CN" w:bidi="ar-SA"/>
        </w:rPr>
        <w:t>0（北京时间）前递交投标文件。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一、项目基本情况</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项目编号：</w:t>
      </w:r>
      <w:r>
        <w:rPr>
          <w:rFonts w:hint="eastAsia" w:ascii="Times New Roman" w:hAnsi="Times New Roman" w:cs="Times New Roman"/>
          <w:b w:val="0"/>
          <w:bCs/>
          <w:color w:val="auto"/>
          <w:kern w:val="2"/>
          <w:sz w:val="21"/>
          <w:szCs w:val="21"/>
          <w:lang w:val="en-US" w:eastAsia="zh-CN" w:bidi="ar-SA"/>
        </w:rPr>
        <w:t>ATSCG-2023032</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项目名称：2023年教育脱贫攻坚同乡村振兴</w:t>
      </w:r>
      <w:r>
        <w:rPr>
          <w:rFonts w:hint="eastAsia" w:cs="宋体"/>
          <w:kern w:val="2"/>
          <w:sz w:val="21"/>
          <w:szCs w:val="21"/>
          <w:lang w:val="en-US" w:eastAsia="zh-CN" w:bidi="ar-SA"/>
        </w:rPr>
        <w:t>有效</w:t>
      </w:r>
      <w:r>
        <w:rPr>
          <w:rFonts w:hint="eastAsia" w:ascii="宋体" w:hAnsi="宋体" w:eastAsia="宋体" w:cs="宋体"/>
          <w:kern w:val="2"/>
          <w:sz w:val="21"/>
          <w:szCs w:val="21"/>
          <w:lang w:val="en-US" w:eastAsia="zh-CN" w:bidi="ar-SA"/>
        </w:rPr>
        <w:t>衔接义务教育学校建设项目（设备采购）一包</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采购方式：公开招标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预算金额（元）：</w:t>
      </w:r>
      <w:r>
        <w:rPr>
          <w:rFonts w:hint="eastAsia" w:cs="宋体"/>
          <w:kern w:val="2"/>
          <w:sz w:val="21"/>
          <w:szCs w:val="21"/>
          <w:lang w:val="en-US" w:eastAsia="zh-CN" w:bidi="ar-SA"/>
        </w:rPr>
        <w:t>2330000.00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最高限价（元）：</w:t>
      </w:r>
      <w:r>
        <w:rPr>
          <w:rFonts w:hint="eastAsia" w:cs="宋体"/>
          <w:kern w:val="2"/>
          <w:sz w:val="21"/>
          <w:szCs w:val="21"/>
          <w:lang w:val="en-US" w:eastAsia="zh-CN" w:bidi="ar-SA"/>
        </w:rPr>
        <w:t>2330000.00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采购需求：信息技术及体育器材一批（数量及参数详见招标文件）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cs="宋体"/>
          <w:kern w:val="2"/>
          <w:sz w:val="21"/>
          <w:szCs w:val="21"/>
          <w:lang w:val="en-US" w:eastAsia="zh-CN" w:bidi="ar-SA"/>
        </w:rPr>
      </w:pPr>
      <w:r>
        <w:rPr>
          <w:rFonts w:hint="eastAsia" w:ascii="宋体" w:hAnsi="宋体" w:eastAsia="宋体" w:cs="宋体"/>
          <w:kern w:val="2"/>
          <w:sz w:val="21"/>
          <w:szCs w:val="21"/>
          <w:lang w:val="en-US" w:eastAsia="zh-CN" w:bidi="ar-SA"/>
        </w:rPr>
        <w:t>标项名称:2023年教育脱贫攻坚同乡村振兴</w:t>
      </w:r>
      <w:r>
        <w:rPr>
          <w:rFonts w:hint="eastAsia" w:cs="宋体"/>
          <w:kern w:val="2"/>
          <w:sz w:val="21"/>
          <w:szCs w:val="21"/>
          <w:lang w:val="en-US" w:eastAsia="zh-CN" w:bidi="ar-SA"/>
        </w:rPr>
        <w:t>有效</w:t>
      </w:r>
      <w:r>
        <w:rPr>
          <w:rFonts w:hint="eastAsia" w:ascii="宋体" w:hAnsi="宋体" w:eastAsia="宋体" w:cs="宋体"/>
          <w:kern w:val="2"/>
          <w:sz w:val="21"/>
          <w:szCs w:val="21"/>
          <w:lang w:val="en-US" w:eastAsia="zh-CN" w:bidi="ar-SA"/>
        </w:rPr>
        <w:t>衔接义务教育学校建设项目（设备采购）一包</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数量:1</w:t>
      </w:r>
      <w:r>
        <w:rPr>
          <w:rFonts w:hint="eastAsia" w:cs="宋体"/>
          <w:kern w:val="2"/>
          <w:sz w:val="21"/>
          <w:szCs w:val="21"/>
          <w:lang w:val="en-US" w:eastAsia="zh-CN" w:bidi="ar-SA"/>
        </w:rPr>
        <w:t>批</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预算金额（元）:</w:t>
      </w:r>
      <w:r>
        <w:rPr>
          <w:rFonts w:hint="eastAsia" w:cs="宋体"/>
          <w:kern w:val="2"/>
          <w:sz w:val="21"/>
          <w:szCs w:val="21"/>
          <w:lang w:val="en-US" w:eastAsia="zh-CN" w:bidi="ar-SA"/>
        </w:rPr>
        <w:t>2330000.00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简要规格描述或项目基本概况介绍、用途：信息技术及体育器材一批（数量及参数详见招标文件）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备注：</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合同履约期限：标项 1，</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本项目不接受联合体投标。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二、申请人的资格要求：</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1.满足《中华人民共和国政府采购法》第二十二条规定；</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2.落实政府采购政策需满足的资格要求：标项1：供应商为中小企业</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3.</w:t>
      </w:r>
      <w:r>
        <w:rPr>
          <w:rFonts w:hint="eastAsia" w:ascii="宋体" w:hAnsi="宋体" w:eastAsia="宋体" w:cs="宋体"/>
          <w:kern w:val="2"/>
          <w:sz w:val="21"/>
          <w:szCs w:val="21"/>
          <w:lang w:val="en-US" w:eastAsia="zh-CN" w:bidi="ar-SA"/>
        </w:rPr>
        <w:t>本项目的特定资格要求：标项1：</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（1）具有合格有效的三证合一营业执照；</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（2）具有授权委托书及被委托人身份证（法人提供法人证明书及法人身份证）；</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（3）投标企业须提供投标人（被授权人）投标截止时间前半年内任意1个月的社保证明；</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cs="宋体"/>
          <w:kern w:val="2"/>
          <w:sz w:val="21"/>
          <w:szCs w:val="21"/>
          <w:lang w:val="en-US" w:eastAsia="zh-CN" w:bidi="ar-SA"/>
        </w:rPr>
        <w:t>5</w:t>
      </w:r>
      <w:r>
        <w:rPr>
          <w:rFonts w:hint="eastAsia" w:ascii="宋体" w:hAnsi="宋体" w:eastAsia="宋体" w:cs="宋体"/>
          <w:kern w:val="2"/>
          <w:sz w:val="21"/>
          <w:szCs w:val="21"/>
          <w:lang w:val="en-US" w:eastAsia="zh-CN" w:bidi="ar-SA"/>
        </w:rPr>
        <w:t>）</w:t>
      </w:r>
      <w:r>
        <w:rPr>
          <w:rFonts w:hint="eastAsia" w:hAnsi="Times New Roman" w:cs="Times New Roman"/>
          <w:b w:val="0"/>
          <w:bCs/>
          <w:color w:val="auto"/>
          <w:sz w:val="21"/>
          <w:szCs w:val="21"/>
          <w:highlight w:val="none"/>
          <w:lang w:val="en-US" w:eastAsia="zh-CN"/>
        </w:rPr>
        <w:t>本项目不接受联合体投标。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 xml:space="preserve">三、获取招标文件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时间：2023年</w:t>
      </w:r>
      <w:r>
        <w:rPr>
          <w:rFonts w:hint="eastAsia"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月</w:t>
      </w:r>
      <w:r>
        <w:rPr>
          <w:rFonts w:hint="eastAsia" w:cs="宋体"/>
          <w:kern w:val="2"/>
          <w:sz w:val="21"/>
          <w:szCs w:val="21"/>
          <w:highlight w:val="none"/>
          <w:lang w:val="en-US" w:eastAsia="zh-CN" w:bidi="ar-SA"/>
        </w:rPr>
        <w:t xml:space="preserve"> 29</w:t>
      </w:r>
      <w:r>
        <w:rPr>
          <w:rFonts w:hint="eastAsia" w:ascii="宋体" w:hAnsi="宋体" w:eastAsia="宋体" w:cs="宋体"/>
          <w:kern w:val="2"/>
          <w:sz w:val="21"/>
          <w:szCs w:val="21"/>
          <w:highlight w:val="none"/>
          <w:lang w:val="en-US" w:eastAsia="zh-CN" w:bidi="ar-SA"/>
        </w:rPr>
        <w:t>日至2023年</w:t>
      </w:r>
      <w:r>
        <w:rPr>
          <w:rFonts w:hint="eastAsia"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月</w:t>
      </w:r>
      <w:r>
        <w:rPr>
          <w:rFonts w:hint="eastAsia" w:cs="宋体"/>
          <w:kern w:val="2"/>
          <w:sz w:val="21"/>
          <w:szCs w:val="21"/>
          <w:highlight w:val="none"/>
          <w:lang w:val="en-US" w:eastAsia="zh-CN" w:bidi="ar-SA"/>
        </w:rPr>
        <w:t>9</w:t>
      </w:r>
      <w:r>
        <w:rPr>
          <w:rFonts w:hint="eastAsia" w:ascii="宋体" w:hAnsi="宋体" w:eastAsia="宋体" w:cs="宋体"/>
          <w:kern w:val="2"/>
          <w:sz w:val="21"/>
          <w:szCs w:val="21"/>
          <w:highlight w:val="none"/>
          <w:lang w:val="en-US" w:eastAsia="zh-CN" w:bidi="ar-SA"/>
        </w:rPr>
        <w:t>日，每天上午10:00至1</w:t>
      </w:r>
      <w:r>
        <w:rPr>
          <w:rFonts w:hint="eastAsia"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w:t>
      </w:r>
      <w:r>
        <w:rPr>
          <w:rFonts w:hint="eastAsia"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0，下午16:</w:t>
      </w:r>
      <w:r>
        <w:rPr>
          <w:rFonts w:hint="eastAsia"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0至</w:t>
      </w:r>
      <w:r>
        <w:rPr>
          <w:rFonts w:hint="eastAsia" w:cs="宋体"/>
          <w:kern w:val="2"/>
          <w:sz w:val="21"/>
          <w:szCs w:val="21"/>
          <w:highlight w:val="none"/>
          <w:lang w:val="en-US" w:eastAsia="zh-CN" w:bidi="ar-SA"/>
        </w:rPr>
        <w:t>20</w:t>
      </w:r>
      <w:r>
        <w:rPr>
          <w:rFonts w:hint="eastAsia" w:ascii="宋体" w:hAnsi="宋体" w:eastAsia="宋体" w:cs="宋体"/>
          <w:kern w:val="2"/>
          <w:sz w:val="21"/>
          <w:szCs w:val="21"/>
          <w:highlight w:val="none"/>
          <w:lang w:val="en-US" w:eastAsia="zh-CN" w:bidi="ar-SA"/>
        </w:rPr>
        <w:t>:</w:t>
      </w:r>
      <w:r>
        <w:rPr>
          <w:rFonts w:hint="eastAsia" w:cs="宋体"/>
          <w:kern w:val="2"/>
          <w:sz w:val="21"/>
          <w:szCs w:val="21"/>
          <w:highlight w:val="none"/>
          <w:lang w:val="en-US" w:eastAsia="zh-CN" w:bidi="ar-SA"/>
        </w:rPr>
        <w:t>0</w:t>
      </w:r>
      <w:r>
        <w:rPr>
          <w:rFonts w:hint="eastAsia" w:ascii="宋体" w:hAnsi="宋体" w:eastAsia="宋体" w:cs="宋体"/>
          <w:kern w:val="2"/>
          <w:sz w:val="21"/>
          <w:szCs w:val="21"/>
          <w:highlight w:val="none"/>
          <w:lang w:val="en-US" w:eastAsia="zh-CN" w:bidi="ar-SA"/>
        </w:rPr>
        <w:t>0（北京时间，法定节假日除外）</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方式：（1）线上获取（登录政府采购云平台 → 项目采购 → 获取招标文件→ 申请，审核通过后可下载招标文件）。本次招标不提供纸质版招标文件。（2）供应商获取招标文件前应注册成为政府采购云平台正式供应商。</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售价（元）：0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四、提交投标文件截止时间、开标时间和地点</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提交投标文件截止时间：202</w:t>
      </w:r>
      <w:r>
        <w:rPr>
          <w:rFonts w:hint="eastAsia" w:cs="宋体"/>
          <w:i w:val="0"/>
          <w:iCs w:val="0"/>
          <w:caps w:val="0"/>
          <w:color w:val="000000"/>
          <w:spacing w:val="0"/>
          <w:kern w:val="0"/>
          <w:sz w:val="21"/>
          <w:szCs w:val="21"/>
          <w:lang w:val="en-US" w:eastAsia="zh-CN" w:bidi="ar"/>
        </w:rPr>
        <w:t>3</w:t>
      </w:r>
      <w:r>
        <w:rPr>
          <w:rFonts w:hint="eastAsia" w:ascii="宋体" w:hAnsi="宋体" w:eastAsia="宋体" w:cs="宋体"/>
          <w:i w:val="0"/>
          <w:iCs w:val="0"/>
          <w:caps w:val="0"/>
          <w:color w:val="000000"/>
          <w:spacing w:val="0"/>
          <w:kern w:val="0"/>
          <w:sz w:val="21"/>
          <w:szCs w:val="21"/>
          <w:lang w:val="en-US" w:eastAsia="zh-CN" w:bidi="ar"/>
        </w:rPr>
        <w:t>年</w:t>
      </w:r>
      <w:r>
        <w:rPr>
          <w:rFonts w:hint="eastAsia" w:cs="宋体"/>
          <w:i w:val="0"/>
          <w:iCs w:val="0"/>
          <w:caps w:val="0"/>
          <w:color w:val="000000"/>
          <w:spacing w:val="0"/>
          <w:kern w:val="0"/>
          <w:sz w:val="21"/>
          <w:szCs w:val="21"/>
          <w:lang w:val="en-US" w:eastAsia="zh-CN" w:bidi="ar"/>
        </w:rPr>
        <w:t xml:space="preserve"> 6</w:t>
      </w:r>
      <w:r>
        <w:rPr>
          <w:rFonts w:hint="eastAsia" w:ascii="宋体" w:hAnsi="宋体" w:eastAsia="宋体" w:cs="宋体"/>
          <w:i w:val="0"/>
          <w:iCs w:val="0"/>
          <w:caps w:val="0"/>
          <w:color w:val="000000"/>
          <w:spacing w:val="0"/>
          <w:kern w:val="0"/>
          <w:sz w:val="21"/>
          <w:szCs w:val="21"/>
          <w:lang w:val="en-US" w:eastAsia="zh-CN" w:bidi="ar"/>
        </w:rPr>
        <w:t>月</w:t>
      </w:r>
      <w:r>
        <w:rPr>
          <w:rFonts w:hint="eastAsia" w:cs="宋体"/>
          <w:i w:val="0"/>
          <w:iCs w:val="0"/>
          <w:caps w:val="0"/>
          <w:color w:val="000000"/>
          <w:spacing w:val="0"/>
          <w:kern w:val="0"/>
          <w:sz w:val="21"/>
          <w:szCs w:val="21"/>
          <w:lang w:val="en-US" w:eastAsia="zh-CN" w:bidi="ar"/>
        </w:rPr>
        <w:t xml:space="preserve">19 </w:t>
      </w:r>
      <w:r>
        <w:rPr>
          <w:rFonts w:hint="eastAsia" w:ascii="宋体" w:hAnsi="宋体" w:eastAsia="宋体" w:cs="宋体"/>
          <w:i w:val="0"/>
          <w:iCs w:val="0"/>
          <w:caps w:val="0"/>
          <w:color w:val="000000"/>
          <w:spacing w:val="0"/>
          <w:kern w:val="0"/>
          <w:sz w:val="21"/>
          <w:szCs w:val="21"/>
          <w:lang w:val="en-US" w:eastAsia="zh-CN" w:bidi="ar"/>
        </w:rPr>
        <w:t>日 1</w:t>
      </w:r>
      <w:r>
        <w:rPr>
          <w:rFonts w:hint="eastAsia" w:cs="宋体"/>
          <w:i w:val="0"/>
          <w:iCs w:val="0"/>
          <w:caps w:val="0"/>
          <w:color w:val="000000"/>
          <w:spacing w:val="0"/>
          <w:kern w:val="0"/>
          <w:sz w:val="21"/>
          <w:szCs w:val="21"/>
          <w:lang w:val="en-US" w:eastAsia="zh-CN" w:bidi="ar"/>
        </w:rPr>
        <w:t>0</w:t>
      </w:r>
      <w:r>
        <w:rPr>
          <w:rFonts w:hint="eastAsia" w:ascii="宋体" w:hAnsi="宋体" w:eastAsia="宋体" w:cs="宋体"/>
          <w:i w:val="0"/>
          <w:iCs w:val="0"/>
          <w:caps w:val="0"/>
          <w:color w:val="000000"/>
          <w:spacing w:val="0"/>
          <w:kern w:val="0"/>
          <w:sz w:val="21"/>
          <w:szCs w:val="21"/>
          <w:lang w:val="en-US" w:eastAsia="zh-CN" w:bidi="ar"/>
        </w:rPr>
        <w:t>:</w:t>
      </w:r>
      <w:r>
        <w:rPr>
          <w:rFonts w:hint="eastAsia" w:cs="宋体"/>
          <w:i w:val="0"/>
          <w:iCs w:val="0"/>
          <w:caps w:val="0"/>
          <w:color w:val="000000"/>
          <w:spacing w:val="0"/>
          <w:kern w:val="0"/>
          <w:sz w:val="21"/>
          <w:szCs w:val="21"/>
          <w:lang w:val="en-US" w:eastAsia="zh-CN" w:bidi="ar"/>
        </w:rPr>
        <w:t>3</w:t>
      </w:r>
      <w:r>
        <w:rPr>
          <w:rFonts w:hint="eastAsia" w:ascii="宋体" w:hAnsi="宋体" w:eastAsia="宋体" w:cs="宋体"/>
          <w:i w:val="0"/>
          <w:iCs w:val="0"/>
          <w:caps w:val="0"/>
          <w:color w:val="000000"/>
          <w:spacing w:val="0"/>
          <w:kern w:val="0"/>
          <w:sz w:val="21"/>
          <w:szCs w:val="21"/>
          <w:lang w:val="en-US" w:eastAsia="zh-CN" w:bidi="ar"/>
        </w:rPr>
        <w:t>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投标地点：政府采购云平台（www.zcygov.cn）</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开标时间：202</w:t>
      </w:r>
      <w:r>
        <w:rPr>
          <w:rFonts w:hint="eastAsia" w:cs="宋体"/>
          <w:i w:val="0"/>
          <w:iCs w:val="0"/>
          <w:caps w:val="0"/>
          <w:color w:val="000000"/>
          <w:spacing w:val="0"/>
          <w:kern w:val="0"/>
          <w:sz w:val="21"/>
          <w:szCs w:val="21"/>
          <w:lang w:val="en-US" w:eastAsia="zh-CN" w:bidi="ar"/>
        </w:rPr>
        <w:t>3</w:t>
      </w:r>
      <w:r>
        <w:rPr>
          <w:rFonts w:hint="eastAsia" w:ascii="宋体" w:hAnsi="宋体" w:eastAsia="宋体" w:cs="宋体"/>
          <w:i w:val="0"/>
          <w:iCs w:val="0"/>
          <w:caps w:val="0"/>
          <w:color w:val="000000"/>
          <w:spacing w:val="0"/>
          <w:kern w:val="0"/>
          <w:sz w:val="21"/>
          <w:szCs w:val="21"/>
          <w:lang w:val="en-US" w:eastAsia="zh-CN" w:bidi="ar"/>
        </w:rPr>
        <w:t>年</w:t>
      </w:r>
      <w:r>
        <w:rPr>
          <w:rFonts w:hint="eastAsia" w:cs="宋体"/>
          <w:i w:val="0"/>
          <w:iCs w:val="0"/>
          <w:caps w:val="0"/>
          <w:color w:val="000000"/>
          <w:spacing w:val="0"/>
          <w:kern w:val="0"/>
          <w:sz w:val="21"/>
          <w:szCs w:val="21"/>
          <w:lang w:val="en-US" w:eastAsia="zh-CN" w:bidi="ar"/>
        </w:rPr>
        <w:t>6</w:t>
      </w:r>
      <w:r>
        <w:rPr>
          <w:rFonts w:hint="eastAsia" w:ascii="宋体" w:hAnsi="宋体" w:eastAsia="宋体" w:cs="宋体"/>
          <w:i w:val="0"/>
          <w:iCs w:val="0"/>
          <w:caps w:val="0"/>
          <w:color w:val="000000"/>
          <w:spacing w:val="0"/>
          <w:kern w:val="0"/>
          <w:sz w:val="21"/>
          <w:szCs w:val="21"/>
          <w:lang w:val="en-US" w:eastAsia="zh-CN" w:bidi="ar"/>
        </w:rPr>
        <w:t>月</w:t>
      </w:r>
      <w:r>
        <w:rPr>
          <w:rFonts w:hint="eastAsia" w:cs="宋体"/>
          <w:i w:val="0"/>
          <w:iCs w:val="0"/>
          <w:caps w:val="0"/>
          <w:color w:val="000000"/>
          <w:spacing w:val="0"/>
          <w:kern w:val="0"/>
          <w:sz w:val="21"/>
          <w:szCs w:val="21"/>
          <w:lang w:val="en-US" w:eastAsia="zh-CN" w:bidi="ar"/>
        </w:rPr>
        <w:t>19</w:t>
      </w:r>
      <w:r>
        <w:rPr>
          <w:rFonts w:hint="eastAsia" w:ascii="宋体" w:hAnsi="宋体" w:eastAsia="宋体" w:cs="宋体"/>
          <w:i w:val="0"/>
          <w:iCs w:val="0"/>
          <w:caps w:val="0"/>
          <w:color w:val="000000"/>
          <w:spacing w:val="0"/>
          <w:kern w:val="0"/>
          <w:sz w:val="21"/>
          <w:szCs w:val="21"/>
          <w:lang w:val="en-US" w:eastAsia="zh-CN" w:bidi="ar"/>
        </w:rPr>
        <w:t>日 1</w:t>
      </w:r>
      <w:r>
        <w:rPr>
          <w:rFonts w:hint="eastAsia" w:cs="宋体"/>
          <w:i w:val="0"/>
          <w:iCs w:val="0"/>
          <w:caps w:val="0"/>
          <w:color w:val="000000"/>
          <w:spacing w:val="0"/>
          <w:kern w:val="0"/>
          <w:sz w:val="21"/>
          <w:szCs w:val="21"/>
          <w:lang w:val="en-US" w:eastAsia="zh-CN" w:bidi="ar"/>
        </w:rPr>
        <w:t>0</w:t>
      </w:r>
      <w:r>
        <w:rPr>
          <w:rFonts w:hint="eastAsia" w:ascii="宋体" w:hAnsi="宋体" w:eastAsia="宋体" w:cs="宋体"/>
          <w:i w:val="0"/>
          <w:iCs w:val="0"/>
          <w:caps w:val="0"/>
          <w:color w:val="000000"/>
          <w:spacing w:val="0"/>
          <w:kern w:val="0"/>
          <w:sz w:val="21"/>
          <w:szCs w:val="21"/>
          <w:lang w:val="en-US" w:eastAsia="zh-CN" w:bidi="ar"/>
        </w:rPr>
        <w:t>:</w:t>
      </w:r>
      <w:r>
        <w:rPr>
          <w:rFonts w:hint="eastAsia" w:cs="宋体"/>
          <w:i w:val="0"/>
          <w:iCs w:val="0"/>
          <w:caps w:val="0"/>
          <w:color w:val="000000"/>
          <w:spacing w:val="0"/>
          <w:kern w:val="0"/>
          <w:sz w:val="21"/>
          <w:szCs w:val="21"/>
          <w:lang w:val="en-US" w:eastAsia="zh-CN" w:bidi="ar"/>
        </w:rPr>
        <w:t>3</w:t>
      </w:r>
      <w:r>
        <w:rPr>
          <w:rFonts w:hint="eastAsia" w:ascii="宋体" w:hAnsi="宋体" w:eastAsia="宋体" w:cs="宋体"/>
          <w:i w:val="0"/>
          <w:iCs w:val="0"/>
          <w:caps w:val="0"/>
          <w:color w:val="000000"/>
          <w:spacing w:val="0"/>
          <w:kern w:val="0"/>
          <w:sz w:val="21"/>
          <w:szCs w:val="21"/>
          <w:lang w:val="en-US" w:eastAsia="zh-CN" w:bidi="ar"/>
        </w:rPr>
        <w:t>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 xml:space="preserve">开标地点：政府采购云平台（www.zcygov.cn）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 xml:space="preserve">五、公告期限 </w:t>
      </w:r>
    </w:p>
    <w:p>
      <w:pPr>
        <w:keepNext w:val="0"/>
        <w:keepLines w:val="0"/>
        <w:pageBreakBefore w:val="0"/>
        <w:widowControl w:val="0"/>
        <w:kinsoku/>
        <w:wordWrap/>
        <w:overflowPunct/>
        <w:topLinePunct w:val="0"/>
        <w:autoSpaceDE/>
        <w:autoSpaceDN/>
        <w:bidi w:val="0"/>
        <w:adjustRightInd/>
        <w:snapToGrid/>
        <w:spacing w:line="240" w:lineRule="auto"/>
        <w:ind w:firstLine="213" w:firstLineChars="100"/>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 xml:space="preserve"> 自本公告发布之日起5个工作日。</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六、其他补充事宜</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eastAsia="zh-CN"/>
        </w:rPr>
      </w:pPr>
      <w:r>
        <w:rPr>
          <w:rFonts w:hint="eastAsia" w:cs="宋体"/>
          <w:sz w:val="27"/>
          <w:szCs w:val="27"/>
          <w:lang w:val="en-US" w:eastAsia="zh-CN"/>
        </w:rPr>
        <w:t xml:space="preserve"> </w:t>
      </w:r>
      <w:r>
        <w:rPr>
          <w:rFonts w:hint="eastAsia" w:ascii="宋体" w:hAnsi="宋体" w:eastAsia="宋体" w:cs="宋体"/>
          <w:sz w:val="21"/>
          <w:szCs w:val="21"/>
        </w:rPr>
        <w:t>1.本项目采用全流程不见面电子开评标，投标供应商需要使用CA加密设备，供应商可通过新疆数字证书认证中心官网（https://www.xjca.com.cn/）或下载“新疆政务通”APP自行进行申领。</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eastAsia="zh-CN"/>
        </w:rPr>
      </w:pPr>
      <w:r>
        <w:rPr>
          <w:rFonts w:hint="eastAsia" w:cs="宋体"/>
          <w:sz w:val="21"/>
          <w:szCs w:val="21"/>
          <w:lang w:val="en-US" w:eastAsia="zh-CN"/>
        </w:rPr>
        <w:t xml:space="preserve">    </w:t>
      </w:r>
      <w:r>
        <w:rPr>
          <w:rFonts w:hint="eastAsia" w:ascii="宋体" w:hAnsi="宋体" w:eastAsia="宋体" w:cs="宋体"/>
          <w:sz w:val="21"/>
          <w:szCs w:val="21"/>
        </w:rPr>
        <w:t>2.本项目实行网上投标，采用加密电子投标文件(供应商须使用CA加密设备通过政采云电子投标客户端制作投标文件)。若供应商参与投标，自行承担投标一切费用。</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eastAsia="zh-CN"/>
        </w:rPr>
      </w:pPr>
      <w:r>
        <w:rPr>
          <w:rFonts w:hint="eastAsia" w:cs="宋体"/>
          <w:sz w:val="21"/>
          <w:szCs w:val="21"/>
          <w:lang w:val="en-US" w:eastAsia="zh-CN"/>
        </w:rPr>
        <w:t xml:space="preserve">    </w:t>
      </w:r>
      <w:r>
        <w:rPr>
          <w:rFonts w:hint="eastAsia" w:ascii="宋体" w:hAnsi="宋体" w:eastAsia="宋体" w:cs="宋体"/>
          <w:sz w:val="21"/>
          <w:szCs w:val="21"/>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eastAsia="zh-CN"/>
        </w:rPr>
      </w:pPr>
      <w:r>
        <w:rPr>
          <w:rFonts w:hint="eastAsia" w:cs="宋体"/>
          <w:sz w:val="21"/>
          <w:szCs w:val="21"/>
          <w:lang w:val="en-US" w:eastAsia="zh-CN"/>
        </w:rPr>
        <w:t xml:space="preserve">    </w:t>
      </w:r>
      <w:r>
        <w:rPr>
          <w:rFonts w:hint="eastAsia" w:ascii="宋体" w:hAnsi="宋体" w:eastAsia="宋体" w:cs="宋体"/>
          <w:sz w:val="21"/>
          <w:szCs w:val="21"/>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cs="宋体"/>
          <w:sz w:val="21"/>
          <w:szCs w:val="21"/>
          <w:lang w:eastAsia="zh-CN"/>
        </w:rPr>
        <w:t xml:space="preserve">95763 </w:t>
      </w:r>
      <w:r>
        <w:rPr>
          <w:rFonts w:hint="eastAsia" w:ascii="宋体" w:hAnsi="宋体" w:eastAsia="宋体" w:cs="宋体"/>
          <w:sz w:val="21"/>
          <w:szCs w:val="21"/>
        </w:rPr>
        <w:t>进行咨询。</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cs="宋体"/>
          <w:sz w:val="21"/>
          <w:szCs w:val="21"/>
          <w:lang w:val="en-US" w:eastAsia="zh-CN"/>
        </w:rPr>
        <w:t xml:space="preserve">    </w:t>
      </w:r>
      <w:r>
        <w:rPr>
          <w:rFonts w:hint="eastAsia" w:ascii="宋体" w:hAnsi="宋体" w:eastAsia="宋体" w:cs="宋体"/>
          <w:sz w:val="21"/>
          <w:szCs w:val="21"/>
        </w:rPr>
        <w:t>5.供应商在开标时须使用制作加密电子投标文件所使用的CA锁及电脑，电脑须提前配置好浏览器（建议使用谷歌浏览器），以便开标时解锁。</w:t>
      </w:r>
      <w:r>
        <w:rPr>
          <w:rFonts w:hint="eastAsia" w:cs="宋体"/>
          <w:sz w:val="21"/>
          <w:szCs w:val="21"/>
          <w:lang w:val="en-US" w:eastAsia="zh-CN"/>
        </w:rPr>
        <w:t xml:space="preserve">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eastAsia="zh-CN"/>
        </w:rPr>
      </w:pPr>
      <w:r>
        <w:rPr>
          <w:rFonts w:hint="eastAsia" w:cs="宋体"/>
          <w:sz w:val="21"/>
          <w:szCs w:val="21"/>
          <w:lang w:val="en-US" w:eastAsia="zh-CN"/>
        </w:rPr>
        <w:t xml:space="preserve">    </w:t>
      </w:r>
      <w:r>
        <w:rPr>
          <w:rFonts w:hint="eastAsia" w:ascii="宋体" w:hAnsi="宋体" w:eastAsia="宋体" w:cs="宋体"/>
          <w:sz w:val="21"/>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cs="宋体"/>
          <w:sz w:val="21"/>
          <w:szCs w:val="21"/>
          <w:lang w:eastAsia="zh-CN"/>
        </w:rPr>
        <w:t>。</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rPr>
      </w:pPr>
      <w:r>
        <w:rPr>
          <w:rFonts w:hint="eastAsia" w:cs="宋体"/>
          <w:sz w:val="21"/>
          <w:szCs w:val="21"/>
          <w:lang w:val="en-US" w:eastAsia="zh-CN"/>
        </w:rPr>
        <w:t xml:space="preserve">   </w:t>
      </w:r>
      <w:r>
        <w:rPr>
          <w:rFonts w:hint="eastAsia" w:ascii="宋体" w:hAnsi="宋体" w:eastAsia="宋体" w:cs="宋体"/>
          <w:sz w:val="21"/>
          <w:szCs w:val="21"/>
        </w:rPr>
        <w:t>7.为了保证开评标顺利进行，政采云线上开标功能完全实现，供应商开标所使用的电脑设备须具有视频及语音功能。</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特别提示：</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1、超过200万元的货物和服务采购项目、超过400万元的工程采购项目中适宜由中小企业提供的，预留该部分采购项目预算总额的30%以上专门面向中小企业采购，其中预留给小微企业的比例不低于60%。</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七、对本次采购提出询问，请按以下方式联系</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阿图什市教育局</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联系方式：18199726032</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2.采购代理机构信息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中轩项目管理有限公司</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w:t>
      </w:r>
      <w:r>
        <w:rPr>
          <w:rFonts w:hint="eastAsia" w:cs="宋体"/>
          <w:color w:val="auto"/>
          <w:sz w:val="21"/>
          <w:szCs w:val="21"/>
          <w:lang w:val="en-US" w:eastAsia="zh-CN"/>
        </w:rPr>
        <w:t>迎宾</w:t>
      </w:r>
      <w:r>
        <w:rPr>
          <w:rFonts w:hint="eastAsia" w:ascii="宋体" w:hAnsi="宋体" w:eastAsia="宋体" w:cs="宋体"/>
          <w:color w:val="auto"/>
          <w:sz w:val="21"/>
          <w:szCs w:val="21"/>
          <w:lang w:val="en-US" w:eastAsia="zh-CN"/>
        </w:rPr>
        <w:t>路</w:t>
      </w:r>
      <w:r>
        <w:rPr>
          <w:rFonts w:hint="eastAsia" w:cs="宋体"/>
          <w:color w:val="auto"/>
          <w:sz w:val="21"/>
          <w:szCs w:val="21"/>
          <w:lang w:val="en-US" w:eastAsia="zh-CN"/>
        </w:rPr>
        <w:t>80</w:t>
      </w:r>
      <w:r>
        <w:rPr>
          <w:rFonts w:hint="eastAsia" w:ascii="宋体" w:hAnsi="宋体" w:eastAsia="宋体" w:cs="宋体"/>
          <w:color w:val="auto"/>
          <w:sz w:val="21"/>
          <w:szCs w:val="21"/>
          <w:lang w:val="en-US" w:eastAsia="zh-CN"/>
        </w:rPr>
        <w:t>号2楼</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cs="宋体"/>
          <w:color w:val="auto"/>
          <w:sz w:val="21"/>
          <w:szCs w:val="21"/>
          <w:lang w:val="en-US" w:eastAsia="zh-CN"/>
        </w:rPr>
        <w:t>13809988058</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3.项目联系方式</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color w:val="auto"/>
          <w:sz w:val="21"/>
          <w:szCs w:val="21"/>
          <w:lang w:val="en-US" w:eastAsia="zh-CN"/>
        </w:rPr>
      </w:pPr>
      <w:r>
        <w:rPr>
          <w:rFonts w:hint="eastAsia" w:ascii="宋体" w:hAnsi="宋体" w:eastAsia="宋体" w:cs="宋体"/>
          <w:color w:val="auto"/>
          <w:sz w:val="21"/>
          <w:szCs w:val="21"/>
          <w:lang w:val="en-US" w:eastAsia="zh-CN"/>
        </w:rPr>
        <w:t>项目联系人：</w:t>
      </w:r>
      <w:r>
        <w:rPr>
          <w:rFonts w:hint="eastAsia" w:cs="宋体"/>
          <w:color w:val="auto"/>
          <w:sz w:val="21"/>
          <w:szCs w:val="21"/>
          <w:lang w:val="en-US" w:eastAsia="zh-CN"/>
        </w:rPr>
        <w:t>莫先生</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w:t>
      </w:r>
      <w:bookmarkEnd w:id="10"/>
      <w:r>
        <w:rPr>
          <w:rFonts w:hint="eastAsia" w:cs="宋体"/>
          <w:color w:val="auto"/>
          <w:sz w:val="21"/>
          <w:szCs w:val="21"/>
          <w:lang w:val="en-US" w:eastAsia="zh-CN"/>
        </w:rPr>
        <w:t>13809988058</w:t>
      </w:r>
    </w:p>
    <w:p>
      <w:pPr>
        <w:rPr>
          <w:rFonts w:hint="eastAsia"/>
        </w:r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sectPr>
          <w:footerReference r:id="rId3" w:type="default"/>
          <w:pgSz w:w="11905" w:h="16838"/>
          <w:pgMar w:top="1440" w:right="1797" w:bottom="1440" w:left="1797" w:header="850" w:footer="992" w:gutter="0"/>
          <w:pgNumType w:fmt="decimal"/>
          <w:cols w:space="720" w:num="1"/>
          <w:rtlGutter w:val="0"/>
          <w:docGrid w:type="linesAndChars" w:linePitch="325" w:charSpace="635"/>
        </w:sect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r>
        <w:rPr>
          <w:rFonts w:hint="eastAsia" w:ascii="宋体"/>
          <w:b/>
          <w:color w:val="auto"/>
          <w:sz w:val="32"/>
          <w:szCs w:val="32"/>
          <w:highlight w:val="none"/>
        </w:rPr>
        <w:t>投标人须知</w:t>
      </w:r>
      <w:bookmarkStart w:id="12" w:name="_Toc469495722"/>
    </w:p>
    <w:p>
      <w:pPr>
        <w:numPr>
          <w:ilvl w:val="0"/>
          <w:numId w:val="4"/>
        </w:numPr>
        <w:shd w:val="clear" w:color="auto" w:fill="auto"/>
        <w:spacing w:line="500" w:lineRule="exact"/>
        <w:ind w:left="0" w:leftChars="0" w:firstLine="3520" w:firstLineChars="0"/>
        <w:jc w:val="both"/>
        <w:outlineLvl w:val="0"/>
        <w:rPr>
          <w:rFonts w:hint="eastAsia"/>
        </w:rPr>
      </w:pPr>
      <w:r>
        <w:rPr>
          <w:rFonts w:hint="eastAsia" w:ascii="宋体"/>
          <w:b/>
          <w:color w:val="auto"/>
          <w:sz w:val="28"/>
          <w:szCs w:val="28"/>
          <w:highlight w:val="none"/>
        </w:rPr>
        <w:t>投标人须知前附表</w:t>
      </w:r>
      <w:bookmarkEnd w:id="12"/>
    </w:p>
    <w:tbl>
      <w:tblPr>
        <w:tblStyle w:val="28"/>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firstLine="213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lang w:val="en-US" w:eastAsia="zh-CN"/>
              </w:rPr>
            </w:pPr>
            <w:r>
              <w:rPr>
                <w:rFonts w:hint="eastAsia"/>
                <w:b w:val="0"/>
                <w:bCs/>
                <w:color w:val="auto"/>
                <w:sz w:val="21"/>
                <w:szCs w:val="21"/>
                <w:highlight w:val="none"/>
                <w:lang w:val="en-US" w:eastAsia="zh-CN"/>
              </w:rPr>
              <w:t>采购单位：</w:t>
            </w:r>
            <w:r>
              <w:rPr>
                <w:rFonts w:hint="eastAsia"/>
                <w:b w:val="0"/>
                <w:bCs/>
                <w:color w:val="auto"/>
                <w:sz w:val="21"/>
                <w:szCs w:val="21"/>
                <w:lang w:val="en-US" w:eastAsia="zh-CN"/>
              </w:rPr>
              <w:t>阿图什市教育局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lang w:val="en-US" w:eastAsia="zh-CN"/>
              </w:rPr>
            </w:pPr>
            <w:r>
              <w:rPr>
                <w:rFonts w:hint="eastAsia" w:eastAsia="宋体"/>
                <w:b w:val="0"/>
                <w:bCs/>
                <w:color w:val="auto"/>
                <w:sz w:val="21"/>
                <w:szCs w:val="21"/>
                <w:lang w:val="en-US" w:eastAsia="zh-CN"/>
              </w:rPr>
              <w:t>联系人：</w:t>
            </w:r>
            <w:r>
              <w:rPr>
                <w:rFonts w:hint="eastAsia"/>
                <w:b w:val="0"/>
                <w:bCs/>
                <w:color w:val="auto"/>
                <w:sz w:val="21"/>
                <w:szCs w:val="21"/>
                <w:lang w:val="en-US" w:eastAsia="zh-CN"/>
              </w:rPr>
              <w:t>沙先生</w:t>
            </w:r>
            <w:r>
              <w:rPr>
                <w:rFonts w:hint="eastAsia" w:eastAsia="宋体"/>
                <w:b w:val="0"/>
                <w:bCs/>
                <w:color w:val="auto"/>
                <w:sz w:val="21"/>
                <w:szCs w:val="21"/>
                <w:lang w:val="en-US" w:eastAsia="zh-CN"/>
              </w:rPr>
              <w:t xml:space="preserve">        联系电话：</w:t>
            </w:r>
            <w:r>
              <w:rPr>
                <w:rFonts w:hint="eastAsia"/>
                <w:b w:val="0"/>
                <w:bCs/>
                <w:color w:val="auto"/>
                <w:sz w:val="21"/>
                <w:szCs w:val="21"/>
                <w:lang w:val="en-US" w:eastAsia="zh-CN"/>
              </w:rPr>
              <w:t>13809988058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名  称：</w:t>
            </w:r>
            <w:r>
              <w:rPr>
                <w:rFonts w:hint="eastAsia" w:cs="Times New Roman"/>
                <w:b w:val="0"/>
                <w:bCs/>
                <w:color w:val="auto"/>
                <w:sz w:val="21"/>
                <w:szCs w:val="21"/>
                <w:lang w:val="en-US" w:eastAsia="zh-CN"/>
              </w:rPr>
              <w:t>中轩项目管理有限公司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lang w:val="en-US" w:eastAsia="zh-CN"/>
              </w:rPr>
            </w:pPr>
            <w:r>
              <w:rPr>
                <w:rFonts w:hint="eastAsia" w:ascii="Times New Roman" w:hAnsi="Times New Roman" w:eastAsia="宋体" w:cs="Times New Roman"/>
                <w:b w:val="0"/>
                <w:bCs/>
                <w:color w:val="auto"/>
                <w:sz w:val="21"/>
                <w:szCs w:val="21"/>
                <w:lang w:val="en-US" w:eastAsia="zh-CN"/>
              </w:rPr>
              <w:t>地  址：阿图什市</w:t>
            </w:r>
            <w:r>
              <w:rPr>
                <w:rFonts w:hint="eastAsia" w:cs="Times New Roman"/>
                <w:b w:val="0"/>
                <w:bCs/>
                <w:color w:val="auto"/>
                <w:sz w:val="21"/>
                <w:szCs w:val="21"/>
                <w:lang w:val="en-US" w:eastAsia="zh-CN"/>
              </w:rPr>
              <w:t>迎宾</w:t>
            </w:r>
            <w:r>
              <w:rPr>
                <w:rFonts w:hint="eastAsia" w:ascii="Times New Roman" w:hAnsi="Times New Roman" w:eastAsia="宋体" w:cs="Times New Roman"/>
                <w:b w:val="0"/>
                <w:bCs/>
                <w:color w:val="auto"/>
                <w:sz w:val="21"/>
                <w:szCs w:val="21"/>
                <w:lang w:val="en-US" w:eastAsia="zh-CN"/>
              </w:rPr>
              <w:t>路</w:t>
            </w:r>
            <w:r>
              <w:rPr>
                <w:rFonts w:hint="eastAsia" w:cs="Times New Roman"/>
                <w:b w:val="0"/>
                <w:bCs/>
                <w:color w:val="auto"/>
                <w:sz w:val="21"/>
                <w:szCs w:val="21"/>
                <w:lang w:val="en-US" w:eastAsia="zh-CN"/>
              </w:rPr>
              <w:t>80</w:t>
            </w:r>
            <w:r>
              <w:rPr>
                <w:rFonts w:hint="eastAsia" w:ascii="Times New Roman" w:hAnsi="Times New Roman" w:eastAsia="宋体" w:cs="Times New Roman"/>
                <w:b w:val="0"/>
                <w:bCs/>
                <w:color w:val="auto"/>
                <w:sz w:val="21"/>
                <w:szCs w:val="21"/>
                <w:lang w:val="en-US" w:eastAsia="zh-CN"/>
              </w:rPr>
              <w:t>号2楼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color w:val="auto"/>
                <w:sz w:val="21"/>
                <w:szCs w:val="21"/>
                <w:highlight w:val="none"/>
                <w:lang w:val="en-US"/>
              </w:rPr>
            </w:pPr>
            <w:r>
              <w:rPr>
                <w:rFonts w:hint="default" w:ascii="Times New Roman" w:hAnsi="Times New Roman" w:eastAsia="宋体" w:cs="Times New Roman"/>
                <w:b w:val="0"/>
                <w:bCs/>
                <w:color w:val="auto"/>
                <w:sz w:val="21"/>
                <w:szCs w:val="21"/>
                <w:lang w:val="en-US" w:eastAsia="zh-CN"/>
              </w:rPr>
              <w:t>联系人：</w:t>
            </w:r>
            <w:r>
              <w:rPr>
                <w:rFonts w:hint="eastAsia" w:cs="Times New Roman"/>
                <w:b w:val="0"/>
                <w:bCs/>
                <w:color w:val="auto"/>
                <w:sz w:val="21"/>
                <w:szCs w:val="21"/>
                <w:lang w:val="en-US" w:eastAsia="zh-CN"/>
              </w:rPr>
              <w:t>莫先生</w:t>
            </w:r>
            <w:r>
              <w:rPr>
                <w:rFonts w:hint="eastAsia"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联系电话：</w:t>
            </w:r>
            <w:r>
              <w:rPr>
                <w:rFonts w:hint="eastAsia" w:cs="Times New Roman"/>
                <w:b w:val="0"/>
                <w:bCs/>
                <w:color w:val="auto"/>
                <w:sz w:val="21"/>
                <w:szCs w:val="21"/>
                <w:lang w:val="en-US" w:eastAsia="zh-CN"/>
              </w:rPr>
              <w:t>13809988058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项目名称</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项目编号</w:t>
            </w:r>
          </w:p>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采购内容</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rPr>
                <w:rFonts w:hint="eastAsia" w:ascii="宋体" w:hAnsi="宋体" w:eastAsia="宋体" w:cs="宋体"/>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项目名称：</w:t>
            </w:r>
            <w:r>
              <w:rPr>
                <w:rFonts w:hint="eastAsia" w:ascii="宋体" w:hAnsi="宋体" w:eastAsia="宋体" w:cs="宋体"/>
                <w:color w:val="auto"/>
                <w:kern w:val="2"/>
                <w:sz w:val="21"/>
                <w:szCs w:val="21"/>
                <w:lang w:val="en-US" w:eastAsia="zh-CN" w:bidi="ar-SA"/>
              </w:rPr>
              <w:t>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衔接义务教育学校建设项目（设备采购）一包</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cs="Times New Roman"/>
                <w:b w:val="0"/>
                <w:bCs/>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项目编号：ATSCG-2023032-1</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采购内容：信息技术及体</w:t>
            </w:r>
            <w:bookmarkStart w:id="155" w:name="_GoBack"/>
            <w:bookmarkEnd w:id="155"/>
            <w:r>
              <w:rPr>
                <w:rFonts w:hint="eastAsia" w:ascii="Times New Roman" w:hAnsi="Times New Roman" w:cs="Times New Roman"/>
                <w:b w:val="0"/>
                <w:bCs/>
                <w:color w:val="auto"/>
                <w:kern w:val="2"/>
                <w:sz w:val="21"/>
                <w:szCs w:val="21"/>
                <w:lang w:val="en-US" w:eastAsia="zh-CN" w:bidi="ar-SA"/>
              </w:rPr>
              <w:t>育器材一批（数量及参数详见招标文件）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采购预算</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最高投标限价</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jc w:val="left"/>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采购预算：</w:t>
            </w:r>
            <w:r>
              <w:rPr>
                <w:rFonts w:hint="eastAsia" w:ascii="Times New Roman" w:hAnsi="Times New Roman" w:cs="Times New Roman"/>
                <w:color w:val="auto"/>
                <w:kern w:val="2"/>
                <w:sz w:val="21"/>
                <w:szCs w:val="21"/>
                <w:lang w:val="en-US" w:eastAsia="zh-CN" w:bidi="ar-SA"/>
              </w:rPr>
              <w:t>233</w:t>
            </w:r>
            <w:r>
              <w:rPr>
                <w:rFonts w:hint="eastAsia" w:ascii="Times New Roman" w:hAnsi="Times New Roman" w:eastAsia="宋体" w:cs="Times New Roman"/>
                <w:color w:val="auto"/>
                <w:kern w:val="2"/>
                <w:sz w:val="21"/>
                <w:szCs w:val="21"/>
                <w:lang w:val="en-US" w:eastAsia="zh-CN" w:bidi="ar-SA"/>
              </w:rPr>
              <w:t>0000.00元</w:t>
            </w:r>
          </w:p>
          <w:p>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最高投标限价：</w:t>
            </w:r>
            <w:r>
              <w:rPr>
                <w:rFonts w:hint="eastAsia" w:ascii="Times New Roman" w:hAnsi="Times New Roman" w:cs="Times New Roman"/>
                <w:b/>
                <w:bCs/>
                <w:color w:val="auto"/>
                <w:kern w:val="2"/>
                <w:sz w:val="21"/>
                <w:szCs w:val="21"/>
                <w:lang w:val="en-US" w:eastAsia="zh-CN" w:bidi="ar-SA"/>
              </w:rPr>
              <w:t>233</w:t>
            </w:r>
            <w:r>
              <w:rPr>
                <w:rFonts w:hint="eastAsia" w:ascii="Times New Roman" w:hAnsi="Times New Roman" w:eastAsia="宋体" w:cs="Times New Roman"/>
                <w:b/>
                <w:bCs/>
                <w:color w:val="auto"/>
                <w:kern w:val="2"/>
                <w:sz w:val="21"/>
                <w:szCs w:val="21"/>
                <w:lang w:val="en-US" w:eastAsia="zh-CN" w:bidi="ar-SA"/>
              </w:rPr>
              <w:t>0000.00元，投标人的投标报价不得高于最高投标限价，否则其投标将被否决。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2023年教育脱贫攻坚同乡村振兴有效衔接义务教育学校建设项目中央资金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288" w:type="dxa"/>
            <w:noWrap w:val="0"/>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00" w:lineRule="exact"/>
              <w:ind w:left="0" w:right="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30天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甲方指定地点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pPr>
              <w:pStyle w:val="2"/>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具体按双方合同约定执行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1、符合《中华人民共和国政府采购法》第二十二条之规定的合格投标供应商；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2、具有合格有效的三证合一营业执照；</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3、具有授权委托书及被委托人身份证（法人提供法人证明书及法人身份证）；</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4、投标企业须提供投标人（被授权人）投标截止时间前半年内任意1个月的社保证明；</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5、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15"/>
              <w:ind w:left="0" w:leftChars="0" w:firstLine="0" w:firstLineChars="0"/>
              <w:rPr>
                <w:rFonts w:hint="default"/>
                <w:color w:val="auto"/>
                <w:lang w:val="en-US" w:eastAsia="zh-CN"/>
              </w:rPr>
            </w:pPr>
            <w:r>
              <w:rPr>
                <w:rFonts w:hint="eastAsia" w:cs="Times New Roman"/>
                <w:b w:val="0"/>
                <w:bCs/>
                <w:color w:val="auto"/>
                <w:sz w:val="21"/>
                <w:szCs w:val="21"/>
                <w:highlight w:val="none"/>
                <w:lang w:val="en-US" w:eastAsia="zh-CN"/>
              </w:rPr>
              <w:t>6、投标保证金收据或保函等票据；</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s="Times New Roman"/>
                <w:b w:val="0"/>
                <w:bCs/>
                <w:color w:val="auto"/>
                <w:sz w:val="21"/>
                <w:szCs w:val="21"/>
                <w:highlight w:val="none"/>
                <w:lang w:val="en-US" w:eastAsia="zh-CN"/>
              </w:rPr>
              <w:t>7</w:t>
            </w:r>
            <w:r>
              <w:rPr>
                <w:rFonts w:hint="eastAsia" w:hAnsi="Times New Roman" w:cs="Times New Roman"/>
                <w:b w:val="0"/>
                <w:bCs/>
                <w:color w:val="auto"/>
                <w:sz w:val="21"/>
                <w:szCs w:val="21"/>
                <w:highlight w:val="none"/>
                <w:lang w:val="en-US" w:eastAsia="zh-CN"/>
              </w:rPr>
              <w:t>、本项目不接受联合体投标。</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lang w:val="en-US" w:eastAsia="zh-CN"/>
              </w:rPr>
            </w:pPr>
            <w:r>
              <w:rPr>
                <w:rFonts w:hint="eastAsia" w:cs="Times New Roman"/>
                <w:b w:val="0"/>
                <w:bCs/>
                <w:color w:val="auto"/>
                <w:sz w:val="21"/>
                <w:szCs w:val="21"/>
                <w:highlight w:val="none"/>
                <w:lang w:val="en-US" w:eastAsia="zh-CN"/>
              </w:rPr>
              <w:t>8</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14</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单位在领取本项目</w:t>
            </w: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130" w:firstLineChars="1000"/>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金额（万元）</w:t>
                  </w:r>
                </w:p>
              </w:tc>
              <w:tc>
                <w:tcPr>
                  <w:tcW w:w="1546"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货物招标</w:t>
                  </w:r>
                </w:p>
              </w:tc>
              <w:tc>
                <w:tcPr>
                  <w:tcW w:w="190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服务招标</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100以下</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1.50%</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100-500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1.10%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val="en-US" w:eastAsia="zh-CN"/>
                    </w:rPr>
                    <w:t>0.80</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0.80%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eastAsia="宋体" w:cs="宋体"/>
                      <w:b w:val="0"/>
                      <w:bCs/>
                      <w:snapToGrid w:val="0"/>
                      <w:color w:val="auto"/>
                      <w:sz w:val="21"/>
                      <w:szCs w:val="21"/>
                      <w:highlight w:val="none"/>
                      <w:lang w:val="en-US" w:eastAsia="zh-CN"/>
                    </w:rPr>
                    <w:t>45</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eastAsia="宋体" w:cs="宋体"/>
                      <w:b w:val="0"/>
                      <w:bCs/>
                      <w:snapToGrid w:val="0"/>
                      <w:color w:val="auto"/>
                      <w:sz w:val="21"/>
                      <w:szCs w:val="21"/>
                      <w:highlight w:val="none"/>
                      <w:lang w:val="en-US" w:eastAsia="zh-CN"/>
                    </w:rPr>
                    <w:t>25</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bl>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招标代理服务收费按差额定率累进法计算。例如：某项目招标代理业务</w:t>
            </w: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金额为2000万元，计算招标代理服务收费额如下：</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 xml:space="preserve"> 100万元×1.50%=1.5（万元）；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（500-100）万元×1.10%=4.4（万元）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（1000-500）万元×0.80%=4.0（万元）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（2000-1000）万元×0.50%=5.0（万元）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r>
              <w:rPr>
                <w:rFonts w:hint="eastAsia" w:ascii="宋体" w:hAnsi="宋体" w:eastAsia="宋体" w:cs="宋体"/>
                <w:b w:val="0"/>
                <w:bCs/>
                <w:snapToGrid w:val="0"/>
                <w:color w:val="auto"/>
                <w:sz w:val="21"/>
                <w:szCs w:val="21"/>
                <w:highlight w:val="none"/>
              </w:rPr>
              <w:t>合计收费=1.5+4.4+4.0+5.0=14.9(万元)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b/>
                <w:bCs w:val="0"/>
                <w:color w:val="auto"/>
                <w:sz w:val="21"/>
                <w:szCs w:val="21"/>
                <w:highlight w:val="none"/>
                <w:u w:val="single"/>
                <w:lang w:val="en-US" w:eastAsia="zh-CN"/>
              </w:rPr>
              <w:t xml:space="preserve"> </w:t>
            </w:r>
            <w:r>
              <w:rPr>
                <w:rFonts w:hint="eastAsia" w:ascii="Times New Roman" w:hAnsi="Times New Roman" w:eastAsia="宋体" w:cs="Times New Roman"/>
                <w:b/>
                <w:bCs w:val="0"/>
                <w:color w:val="auto"/>
                <w:kern w:val="2"/>
                <w:sz w:val="22"/>
                <w:szCs w:val="28"/>
                <w:u w:val="single"/>
                <w:lang w:val="en-US" w:eastAsia="zh-CN" w:bidi="ar-SA"/>
              </w:rPr>
              <w:t>60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19</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rPr>
            </w:pPr>
            <w:r>
              <w:rPr>
                <w:rFonts w:hint="eastAsia" w:ascii="宋体"/>
                <w:b/>
                <w:bCs w:val="0"/>
                <w:color w:val="auto"/>
                <w:szCs w:val="21"/>
              </w:rPr>
              <w:t>投标保证金</w:t>
            </w:r>
          </w:p>
        </w:tc>
        <w:tc>
          <w:tcPr>
            <w:tcW w:w="7288" w:type="dxa"/>
            <w:noWrap w:val="0"/>
            <w:vAlign w:val="center"/>
          </w:tcPr>
          <w:p>
            <w:pPr>
              <w:snapToGrid w:val="0"/>
              <w:spacing w:line="290" w:lineRule="exact"/>
              <w:rPr>
                <w:rFonts w:hint="eastAsia" w:ascii="宋体" w:hAnsi="宋体" w:cs="宋体-18030"/>
                <w:b w:val="0"/>
                <w:bCs/>
                <w:color w:val="auto"/>
                <w:szCs w:val="21"/>
              </w:rPr>
            </w:pPr>
            <w:r>
              <w:rPr>
                <w:rFonts w:hint="eastAsia" w:ascii="宋体" w:hAnsi="宋体" w:cs="宋体-18030"/>
                <w:b w:val="0"/>
                <w:bCs/>
                <w:color w:val="auto"/>
                <w:szCs w:val="21"/>
              </w:rPr>
              <w:t>投标保证金交纳方式：投标保证金应当以支票、汇票、本票、网上银行支付或者金融机构、担保机构出具的保函等非现金形式交纳。</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rPr>
            </w:pPr>
            <w:r>
              <w:rPr>
                <w:rFonts w:hint="eastAsia" w:ascii="宋体" w:hAnsi="宋体" w:cs="宋体-18030"/>
                <w:b/>
                <w:bCs w:val="0"/>
                <w:color w:val="auto"/>
                <w:szCs w:val="21"/>
              </w:rPr>
              <w:t>投标保证金的金额：</w:t>
            </w:r>
            <w:r>
              <w:rPr>
                <w:rFonts w:hint="eastAsia" w:hAnsi="宋体" w:cs="宋体-18030"/>
                <w:b/>
                <w:bCs w:val="0"/>
                <w:color w:val="auto"/>
                <w:szCs w:val="21"/>
                <w:lang w:val="en-US" w:eastAsia="zh-CN"/>
              </w:rPr>
              <w:t>46</w:t>
            </w:r>
            <w:r>
              <w:rPr>
                <w:rFonts w:hint="eastAsia" w:ascii="宋体" w:hAnsi="宋体" w:cs="宋体-18030"/>
                <w:b/>
                <w:bCs w:val="0"/>
                <w:color w:val="auto"/>
                <w:szCs w:val="21"/>
              </w:rPr>
              <w:t>000</w:t>
            </w:r>
            <w:r>
              <w:rPr>
                <w:rFonts w:hint="eastAsia" w:hAnsi="宋体" w:cs="宋体-18030"/>
                <w:b/>
                <w:bCs w:val="0"/>
                <w:color w:val="auto"/>
                <w:szCs w:val="21"/>
                <w:lang w:val="en-US" w:eastAsia="zh-CN"/>
              </w:rPr>
              <w:t>.00</w:t>
            </w:r>
            <w:r>
              <w:rPr>
                <w:rFonts w:hint="eastAsia" w:ascii="宋体" w:hAnsi="宋体" w:cs="宋体-18030"/>
                <w:b/>
                <w:bCs w:val="0"/>
                <w:color w:val="auto"/>
                <w:szCs w:val="21"/>
              </w:rPr>
              <w:t>元（</w:t>
            </w:r>
            <w:r>
              <w:rPr>
                <w:rFonts w:hint="eastAsia" w:hAnsi="宋体" w:cs="宋体-18030"/>
                <w:b/>
                <w:bCs w:val="0"/>
                <w:color w:val="auto"/>
                <w:szCs w:val="21"/>
                <w:lang w:eastAsia="zh-CN"/>
              </w:rPr>
              <w:t>肆万陆仟</w:t>
            </w:r>
            <w:r>
              <w:rPr>
                <w:rFonts w:hint="eastAsia" w:ascii="宋体" w:hAnsi="宋体" w:cs="宋体-18030"/>
                <w:b/>
                <w:bCs w:val="0"/>
                <w:color w:val="auto"/>
                <w:szCs w:val="21"/>
              </w:rPr>
              <w:t>元整）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lang w:eastAsia="zh-CN"/>
              </w:rPr>
              <w:t>投标保证金</w:t>
            </w:r>
          </w:p>
        </w:tc>
        <w:tc>
          <w:tcPr>
            <w:tcW w:w="7288" w:type="dxa"/>
            <w:tcBorders>
              <w:bottom w:val="single" w:color="auto" w:sz="4" w:space="0"/>
            </w:tcBorders>
            <w:noWrap w:val="0"/>
            <w:vAlign w:val="top"/>
          </w:tcPr>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投标保证金要求：</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投标保证金交纳方式：投标保证金应当以支票、汇票、本票、网上银行支付或者金融机构、担保机构出具的保函等非现金形式交纳。</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投标保证金的金额：46000元；（</w:t>
            </w:r>
            <w:r>
              <w:rPr>
                <w:rFonts w:hint="eastAsia" w:hAnsi="宋体" w:cs="宋体-18030"/>
                <w:b w:val="0"/>
                <w:bCs/>
                <w:color w:val="auto"/>
                <w:szCs w:val="21"/>
                <w:lang w:eastAsia="zh-CN"/>
              </w:rPr>
              <w:t>肆万陆仟</w:t>
            </w:r>
            <w:r>
              <w:rPr>
                <w:rFonts w:hint="eastAsia" w:ascii="宋体" w:hAnsi="宋体" w:cs="宋体-18030"/>
                <w:b w:val="0"/>
                <w:bCs/>
                <w:color w:val="auto"/>
                <w:szCs w:val="21"/>
              </w:rPr>
              <w:t>元</w:t>
            </w:r>
            <w:r>
              <w:rPr>
                <w:rFonts w:hint="eastAsia" w:ascii="宋体" w:hAnsi="宋体" w:eastAsia="宋体" w:cs="宋体"/>
                <w:b w:val="0"/>
                <w:bCs/>
                <w:color w:val="auto"/>
                <w:szCs w:val="21"/>
                <w:lang w:val="en-US" w:eastAsia="zh-CN"/>
              </w:rPr>
              <w:t>整）</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xml:space="preserve">投标保证金缴纳要求：1、投标保证金以电汇、网银等转账形式提交的，应在投标截止时间2023年 </w:t>
            </w:r>
            <w:r>
              <w:rPr>
                <w:rFonts w:hint="eastAsia" w:ascii="宋体" w:hAnsi="宋体" w:cs="宋体"/>
                <w:b w:val="0"/>
                <w:bCs/>
                <w:color w:val="auto"/>
                <w:szCs w:val="21"/>
                <w:lang w:val="en-US" w:eastAsia="zh-CN"/>
              </w:rPr>
              <w:t>6</w:t>
            </w:r>
            <w:r>
              <w:rPr>
                <w:rFonts w:hint="eastAsia" w:ascii="宋体" w:hAnsi="宋体" w:eastAsia="宋体" w:cs="宋体"/>
                <w:b w:val="0"/>
                <w:bCs/>
                <w:color w:val="auto"/>
                <w:szCs w:val="21"/>
                <w:lang w:val="en-US" w:eastAsia="zh-CN"/>
              </w:rPr>
              <w:t xml:space="preserve"> 月 </w:t>
            </w:r>
            <w:r>
              <w:rPr>
                <w:rFonts w:hint="eastAsia" w:ascii="宋体" w:hAnsi="宋体" w:cs="宋体"/>
                <w:b w:val="0"/>
                <w:bCs/>
                <w:color w:val="auto"/>
                <w:szCs w:val="21"/>
                <w:lang w:val="en-US" w:eastAsia="zh-CN"/>
              </w:rPr>
              <w:t>19</w:t>
            </w:r>
            <w:r>
              <w:rPr>
                <w:rFonts w:hint="eastAsia" w:ascii="宋体" w:hAnsi="宋体" w:eastAsia="宋体" w:cs="宋体"/>
                <w:b w:val="0"/>
                <w:bCs/>
                <w:color w:val="auto"/>
                <w:szCs w:val="21"/>
                <w:lang w:val="en-US" w:eastAsia="zh-CN"/>
              </w:rPr>
              <w:t xml:space="preserve"> 日 10:30（北京时间）前以总公司的基本账户一次性汇入指定账户（以到账时间为准），不接受现金及任何个人汇款。确认到账后，手持汇款银行电子回单及基本账户信息/开户许可证复印件（两份）；（一份加盖上企业公章，另一份无需盖章留有空白），到阿图什市政务服务和公共资源交易中心财务室核查缴纳情况，缴纳成功的由阿图什市政务服务和公共资源交易中心财务室在企业携带的银行回单上加盖财务章专用章，作为该项目投标保证金的缴纳依据。</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2、其他特殊情况处理：有效投标保证金成功交纳后，截止开标时间，供应商无正当理由不参加该项目投标且不递交弃标函，投标保证金不予退还。</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户名：阿图什市政务服务和公共资源交易中心</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账号：30456301040005267</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行名：中国农业银行阿图什市天山分理处</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行号：103893045636</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联系人：祝女士</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xml:space="preserve"> 电话：0908-4222076    </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备注：</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1、缴纳时必须写清楚某某项目投标保证金,在核查投标保证金时请统一用A4纸打印银行回单。2、投标保证金退还（招投标结束中标结果公示后）：</w:t>
            </w:r>
          </w:p>
          <w:p>
            <w:pPr>
              <w:snapToGrid w:val="0"/>
              <w:spacing w:line="290" w:lineRule="exact"/>
              <w:rPr>
                <w:rFonts w:hint="eastAsia" w:ascii="宋体" w:hAnsi="宋体" w:cs="宋体-18030"/>
                <w:b w:val="0"/>
                <w:bCs/>
                <w:color w:val="auto"/>
                <w:sz w:val="21"/>
                <w:szCs w:val="21"/>
                <w:highlight w:val="none"/>
              </w:rPr>
            </w:pPr>
            <w:r>
              <w:rPr>
                <w:rFonts w:hint="eastAsia" w:ascii="宋体" w:hAnsi="宋体" w:eastAsia="宋体" w:cs="宋体"/>
                <w:b w:val="0"/>
                <w:bCs/>
                <w:color w:val="auto"/>
                <w:szCs w:val="21"/>
                <w:lang w:val="en-US" w:eastAsia="zh-CN"/>
              </w:rPr>
              <w:t xml:space="preserve">①、投标企业：待开标完成后，3至5个工作日以内政资中心财务人员将收取的项目投标保证金按投标企业基本户退回。②、中标企业：需提供已签订合同复印件一份（并携带合同原件，由中心工作人员核对后退还）。  </w:t>
            </w:r>
            <w:r>
              <w:rPr>
                <w:rFonts w:hint="eastAsia" w:ascii="宋体" w:hAnsi="宋体" w:eastAsia="宋体" w:cs="宋体"/>
                <w:b w:val="0"/>
                <w:bCs/>
                <w:color w:val="auto"/>
                <w:szCs w:val="21"/>
                <w:lang w:eastAsia="zh-CN"/>
              </w:rPr>
              <w:t xml:space="preserve">  </w:t>
            </w:r>
            <w:r>
              <w:rPr>
                <w:rFonts w:hint="eastAsia" w:ascii="宋体" w:hAnsi="宋体" w:eastAsia="宋体" w:cs="宋体"/>
                <w:b w:val="0"/>
                <w:bCs/>
                <w:color w:val="auto"/>
                <w:szCs w:val="21"/>
              </w:rPr>
              <w:t xml:space="preserve">           </w:t>
            </w:r>
            <w:r>
              <w:rPr>
                <w:rFonts w:hint="eastAsia" w:ascii="宋体" w:hAnsi="宋体" w:eastAsia="宋体" w:cs="宋体-18030"/>
                <w:b w:val="0"/>
                <w:bCs/>
                <w:color w:val="auto"/>
                <w:szCs w:val="21"/>
              </w:rPr>
              <w:t xml:space="preserve">        </w:t>
            </w:r>
            <w:r>
              <w:rPr>
                <w:rFonts w:hint="eastAsia" w:ascii="宋体" w:hAnsi="宋体" w:cs="宋体"/>
                <w:color w:val="auto"/>
                <w:szCs w:val="21"/>
              </w:rPr>
              <w:t xml:space="preserve">           </w:t>
            </w:r>
            <w:r>
              <w:rPr>
                <w:rFonts w:hint="eastAsia" w:ascii="宋体" w:hAnsi="宋体"/>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电子投标文件包括“电子加密投标文件”，在投标文件编制完成后同时生成。</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1、“电子加密投标文件”是指通过“政采云电子交易客户端”完成投标文件编制后生成并加密的数据电文形式的投标文件。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1、一份电子加密标书（“.jmbs”格式）。</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2、每份电子投标文件应包括资格证明文件和商务、技术文件两部分。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3、待开标结束后，各投标企业请于2023年</w:t>
            </w:r>
            <w:r>
              <w:rPr>
                <w:rFonts w:hint="eastAsia" w:cs="Times New Roman"/>
                <w:b w:val="0"/>
                <w:bCs/>
                <w:color w:val="auto"/>
                <w:sz w:val="21"/>
                <w:szCs w:val="21"/>
                <w:highlight w:val="none"/>
                <w:lang w:val="en-US" w:eastAsia="zh-CN"/>
              </w:rPr>
              <w:t xml:space="preserve"> 6</w:t>
            </w:r>
            <w:r>
              <w:rPr>
                <w:rFonts w:hint="eastAsia" w:hAnsi="Times New Roman" w:cs="Times New Roman"/>
                <w:b w:val="0"/>
                <w:bCs/>
                <w:color w:val="auto"/>
                <w:sz w:val="21"/>
                <w:szCs w:val="21"/>
                <w:highlight w:val="none"/>
                <w:lang w:val="en-US" w:eastAsia="zh-CN"/>
              </w:rPr>
              <w:t>月</w:t>
            </w:r>
            <w:r>
              <w:rPr>
                <w:rFonts w:hint="eastAsia" w:cs="Times New Roman"/>
                <w:b w:val="0"/>
                <w:bCs/>
                <w:color w:val="auto"/>
                <w:sz w:val="21"/>
                <w:szCs w:val="21"/>
                <w:highlight w:val="none"/>
                <w:lang w:val="en-US" w:eastAsia="zh-CN"/>
              </w:rPr>
              <w:t xml:space="preserve"> 26 </w:t>
            </w:r>
            <w:r>
              <w:rPr>
                <w:rFonts w:hint="eastAsia" w:hAnsi="Times New Roman" w:cs="Times New Roman"/>
                <w:b w:val="0"/>
                <w:bCs/>
                <w:color w:val="auto"/>
                <w:sz w:val="21"/>
                <w:szCs w:val="21"/>
                <w:highlight w:val="none"/>
                <w:lang w:val="en-US" w:eastAsia="zh-CN"/>
              </w:rPr>
              <w:t>日19:30前提供纸质投标文件四份并承诺与纸质投标文件内容一致的承诺书至</w:t>
            </w:r>
            <w:r>
              <w:rPr>
                <w:rFonts w:hint="eastAsia" w:cs="Times New Roman"/>
                <w:b w:val="0"/>
                <w:bCs/>
                <w:color w:val="auto"/>
                <w:sz w:val="21"/>
                <w:szCs w:val="21"/>
                <w:highlight w:val="none"/>
                <w:lang w:val="en-US" w:eastAsia="zh-CN"/>
              </w:rPr>
              <w:t>中轩项目管理有限公司</w:t>
            </w:r>
            <w:r>
              <w:rPr>
                <w:rFonts w:hint="eastAsia" w:hAnsi="Times New Roman" w:cs="Times New Roman"/>
                <w:b w:val="0"/>
                <w:bCs/>
                <w:color w:val="auto"/>
                <w:sz w:val="21"/>
                <w:szCs w:val="21"/>
                <w:highlight w:val="none"/>
                <w:lang w:val="en-US" w:eastAsia="zh-CN"/>
              </w:rPr>
              <w:t>（阿图什市</w:t>
            </w:r>
            <w:r>
              <w:rPr>
                <w:rFonts w:hint="eastAsia" w:cs="Times New Roman"/>
                <w:b w:val="0"/>
                <w:bCs/>
                <w:color w:val="auto"/>
                <w:sz w:val="21"/>
                <w:szCs w:val="21"/>
                <w:highlight w:val="none"/>
                <w:lang w:val="en-US" w:eastAsia="zh-CN"/>
              </w:rPr>
              <w:t>迎宾</w:t>
            </w:r>
            <w:r>
              <w:rPr>
                <w:rFonts w:hint="eastAsia" w:hAnsi="Times New Roman" w:cs="Times New Roman"/>
                <w:b w:val="0"/>
                <w:bCs/>
                <w:color w:val="auto"/>
                <w:sz w:val="21"/>
                <w:szCs w:val="21"/>
                <w:highlight w:val="none"/>
                <w:lang w:val="en-US" w:eastAsia="zh-CN"/>
              </w:rPr>
              <w:t>路</w:t>
            </w:r>
            <w:r>
              <w:rPr>
                <w:rFonts w:hint="eastAsia" w:cs="Times New Roman"/>
                <w:b w:val="0"/>
                <w:bCs/>
                <w:color w:val="auto"/>
                <w:sz w:val="21"/>
                <w:szCs w:val="21"/>
                <w:highlight w:val="none"/>
                <w:lang w:val="en-US" w:eastAsia="zh-CN"/>
              </w:rPr>
              <w:t>80</w:t>
            </w:r>
            <w:r>
              <w:rPr>
                <w:rFonts w:hint="eastAsia" w:hAnsi="Times New Roman" w:cs="Times New Roman"/>
                <w:b w:val="0"/>
                <w:bCs/>
                <w:color w:val="auto"/>
                <w:sz w:val="21"/>
                <w:szCs w:val="21"/>
                <w:highlight w:val="none"/>
                <w:lang w:val="en-US" w:eastAsia="zh-CN"/>
              </w:rPr>
              <w:t>号2楼）。投标人可采用邮寄方式提供纸质版投标文件（收件地址：阿图什市</w:t>
            </w:r>
            <w:r>
              <w:rPr>
                <w:rFonts w:hint="eastAsia" w:cs="Times New Roman"/>
                <w:b w:val="0"/>
                <w:bCs/>
                <w:color w:val="auto"/>
                <w:sz w:val="21"/>
                <w:szCs w:val="21"/>
                <w:highlight w:val="none"/>
                <w:lang w:val="en-US" w:eastAsia="zh-CN"/>
              </w:rPr>
              <w:t>迎宾</w:t>
            </w:r>
            <w:r>
              <w:rPr>
                <w:rFonts w:hint="eastAsia" w:hAnsi="Times New Roman" w:cs="Times New Roman"/>
                <w:b w:val="0"/>
                <w:bCs/>
                <w:color w:val="auto"/>
                <w:sz w:val="21"/>
                <w:szCs w:val="21"/>
                <w:highlight w:val="none"/>
                <w:lang w:val="en-US" w:eastAsia="zh-CN"/>
              </w:rPr>
              <w:t>路</w:t>
            </w:r>
            <w:r>
              <w:rPr>
                <w:rFonts w:hint="eastAsia" w:cs="Times New Roman"/>
                <w:b w:val="0"/>
                <w:bCs/>
                <w:color w:val="auto"/>
                <w:sz w:val="21"/>
                <w:szCs w:val="21"/>
                <w:highlight w:val="none"/>
                <w:lang w:val="en-US" w:eastAsia="zh-CN"/>
              </w:rPr>
              <w:t>80</w:t>
            </w:r>
            <w:r>
              <w:rPr>
                <w:rFonts w:hint="eastAsia" w:hAnsi="Times New Roman" w:cs="Times New Roman"/>
                <w:b w:val="0"/>
                <w:bCs/>
                <w:color w:val="auto"/>
                <w:sz w:val="21"/>
                <w:szCs w:val="21"/>
                <w:highlight w:val="none"/>
                <w:lang w:val="en-US" w:eastAsia="zh-CN"/>
              </w:rPr>
              <w:t>号2楼，收件人：</w:t>
            </w:r>
            <w:r>
              <w:rPr>
                <w:rFonts w:hint="eastAsia" w:cs="Times New Roman"/>
                <w:b w:val="0"/>
                <w:bCs/>
                <w:color w:val="auto"/>
                <w:sz w:val="21"/>
                <w:szCs w:val="21"/>
                <w:highlight w:val="none"/>
                <w:lang w:val="en-US" w:eastAsia="zh-CN"/>
              </w:rPr>
              <w:t>莫先生</w:t>
            </w:r>
            <w:r>
              <w:rPr>
                <w:rFonts w:hint="eastAsia" w:hAnsi="Times New Roman" w:cs="Times New Roman"/>
                <w:b w:val="0"/>
                <w:bCs/>
                <w:color w:val="auto"/>
                <w:sz w:val="21"/>
                <w:szCs w:val="21"/>
                <w:highlight w:val="none"/>
                <w:lang w:val="en-US" w:eastAsia="zh-CN"/>
              </w:rPr>
              <w:t>，电话：</w:t>
            </w:r>
            <w:r>
              <w:rPr>
                <w:rFonts w:hint="eastAsia" w:cs="Times New Roman"/>
                <w:b w:val="0"/>
                <w:bCs/>
                <w:color w:val="auto"/>
                <w:sz w:val="21"/>
                <w:szCs w:val="21"/>
                <w:highlight w:val="none"/>
                <w:lang w:val="en-US" w:eastAsia="zh-CN"/>
              </w:rPr>
              <w:t>13809988058</w:t>
            </w:r>
            <w:r>
              <w:rPr>
                <w:rFonts w:hint="eastAsia" w:hAnsi="Times New Roman" w:cs="Times New Roman"/>
                <w:b w:val="0"/>
                <w:bCs/>
                <w:color w:val="auto"/>
                <w:sz w:val="21"/>
                <w:szCs w:val="21"/>
                <w:highlight w:val="none"/>
                <w:lang w:val="en-US" w:eastAsia="zh-CN"/>
              </w:rPr>
              <w:t>），费用自行承担。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24</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ascii="Times New Roman" w:hAnsi="Times New Roman" w:cs="Times New Roman"/>
                <w:b w:val="0"/>
                <w:bCs/>
                <w:color w:val="auto"/>
                <w:sz w:val="21"/>
                <w:szCs w:val="21"/>
                <w:highlight w:val="none"/>
                <w:lang w:eastAsia="zh-CN"/>
              </w:rPr>
              <w:t>投标截止</w:t>
            </w:r>
            <w:r>
              <w:rPr>
                <w:rFonts w:hint="eastAsia" w:ascii="Times New Roman" w:hAnsi="Times New Roman" w:cs="Times New Roman"/>
                <w:b w:val="0"/>
                <w:bCs/>
                <w:color w:val="auto"/>
                <w:sz w:val="21"/>
                <w:szCs w:val="21"/>
                <w:highlight w:val="none"/>
              </w:rPr>
              <w:t>时间：</w:t>
            </w:r>
            <w:r>
              <w:rPr>
                <w:rFonts w:hint="eastAsia"/>
                <w:b w:val="0"/>
                <w:bCs/>
                <w:color w:val="auto"/>
                <w:sz w:val="21"/>
                <w:szCs w:val="21"/>
                <w:highlight w:val="none"/>
                <w:lang w:val="en-US" w:eastAsia="zh-CN"/>
              </w:rPr>
              <w:t>2023</w:t>
            </w:r>
            <w:r>
              <w:rPr>
                <w:rFonts w:hint="eastAsia"/>
                <w:b w:val="0"/>
                <w:bCs/>
                <w:color w:val="auto"/>
                <w:sz w:val="21"/>
                <w:szCs w:val="21"/>
                <w:highlight w:val="none"/>
              </w:rPr>
              <w:t>年</w:t>
            </w:r>
            <w:r>
              <w:rPr>
                <w:rFonts w:hint="eastAsia"/>
                <w:b w:val="0"/>
                <w:bCs/>
                <w:color w:val="auto"/>
                <w:sz w:val="21"/>
                <w:szCs w:val="21"/>
                <w:highlight w:val="none"/>
                <w:lang w:val="en-US" w:eastAsia="zh-CN"/>
              </w:rPr>
              <w:t xml:space="preserve"> 6 </w:t>
            </w:r>
            <w:r>
              <w:rPr>
                <w:rFonts w:hint="eastAsia"/>
                <w:b w:val="0"/>
                <w:bCs/>
                <w:color w:val="auto"/>
                <w:sz w:val="21"/>
                <w:szCs w:val="21"/>
                <w:highlight w:val="none"/>
              </w:rPr>
              <w:t>月</w:t>
            </w:r>
            <w:r>
              <w:rPr>
                <w:rFonts w:hint="eastAsia"/>
                <w:b w:val="0"/>
                <w:bCs/>
                <w:color w:val="auto"/>
                <w:sz w:val="21"/>
                <w:szCs w:val="21"/>
                <w:highlight w:val="none"/>
                <w:lang w:val="en-US" w:eastAsia="zh-CN"/>
              </w:rPr>
              <w:t xml:space="preserve"> 19 </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lang w:eastAsia="zh-CN"/>
              </w:rPr>
              <w:t>投标</w:t>
            </w:r>
            <w:r>
              <w:rPr>
                <w:rFonts w:hint="eastAsia"/>
                <w:b w:val="0"/>
                <w:bCs/>
                <w:color w:val="auto"/>
                <w:sz w:val="21"/>
                <w:szCs w:val="21"/>
                <w:highlight w:val="none"/>
              </w:rPr>
              <w:t>地点：</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开标时间：</w:t>
            </w:r>
            <w:r>
              <w:rPr>
                <w:rFonts w:hint="eastAsia"/>
                <w:b w:val="0"/>
                <w:bCs/>
                <w:color w:val="auto"/>
                <w:sz w:val="21"/>
                <w:szCs w:val="21"/>
                <w:highlight w:val="none"/>
                <w:lang w:val="en-US" w:eastAsia="zh-CN"/>
              </w:rPr>
              <w:t>2023</w:t>
            </w:r>
            <w:r>
              <w:rPr>
                <w:rFonts w:hint="eastAsia"/>
                <w:b w:val="0"/>
                <w:bCs/>
                <w:color w:val="auto"/>
                <w:sz w:val="21"/>
                <w:szCs w:val="21"/>
                <w:highlight w:val="none"/>
              </w:rPr>
              <w:t>年</w:t>
            </w:r>
            <w:r>
              <w:rPr>
                <w:rFonts w:hint="eastAsia"/>
                <w:b w:val="0"/>
                <w:bCs/>
                <w:color w:val="auto"/>
                <w:sz w:val="21"/>
                <w:szCs w:val="21"/>
                <w:highlight w:val="none"/>
                <w:lang w:val="en-US" w:eastAsia="zh-CN"/>
              </w:rPr>
              <w:t xml:space="preserve"> 6 </w:t>
            </w:r>
            <w:r>
              <w:rPr>
                <w:rFonts w:hint="eastAsia"/>
                <w:b w:val="0"/>
                <w:bCs/>
                <w:color w:val="auto"/>
                <w:sz w:val="21"/>
                <w:szCs w:val="21"/>
                <w:highlight w:val="none"/>
              </w:rPr>
              <w:t>月</w:t>
            </w:r>
            <w:r>
              <w:rPr>
                <w:rFonts w:hint="eastAsia"/>
                <w:b w:val="0"/>
                <w:bCs/>
                <w:color w:val="auto"/>
                <w:sz w:val="21"/>
                <w:szCs w:val="21"/>
                <w:highlight w:val="none"/>
                <w:lang w:val="en-US" w:eastAsia="zh-CN"/>
              </w:rPr>
              <w:t xml:space="preserve">19 </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开标地点：在</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26</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28</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29</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5"/>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lang w:val="en-US" w:eastAsia="zh-CN"/>
              </w:rPr>
            </w:pPr>
            <w:r>
              <w:rPr>
                <w:rFonts w:hint="eastAsia"/>
                <w:b w:val="0"/>
                <w:bCs/>
                <w:color w:val="auto"/>
                <w:lang w:val="en-US" w:eastAsia="zh-CN"/>
              </w:rPr>
              <w:t>中标供应商在合同签订后5个工作日内向采购人交纳中标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pPr>
              <w:shd w:val="clear" w:color="auto" w:fill="auto"/>
              <w:spacing w:line="440" w:lineRule="exact"/>
              <w:jc w:val="left"/>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color w:val="auto"/>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5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30</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时间：202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 xml:space="preserve"> 5 </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 xml:space="preserve"> 29 </w:t>
            </w:r>
            <w:r>
              <w:rPr>
                <w:rFonts w:hint="eastAsia" w:ascii="宋体" w:hAnsi="宋体" w:cs="宋体"/>
                <w:b w:val="0"/>
                <w:bCs/>
                <w:color w:val="auto"/>
                <w:sz w:val="21"/>
                <w:szCs w:val="21"/>
                <w:highlight w:val="none"/>
              </w:rPr>
              <w:t>日至202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 xml:space="preserve"> 6 </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 xml:space="preserve"> 9 </w:t>
            </w:r>
            <w:r>
              <w:rPr>
                <w:rFonts w:hint="eastAsia" w:ascii="宋体" w:hAnsi="宋体" w:cs="宋体"/>
                <w:b w:val="0"/>
                <w:bCs/>
                <w:color w:val="auto"/>
                <w:sz w:val="21"/>
                <w:szCs w:val="21"/>
                <w:highlight w:val="none"/>
              </w:rPr>
              <w:t>日，每天上午10:00至</w:t>
            </w:r>
            <w:r>
              <w:rPr>
                <w:rFonts w:hint="eastAsia" w:ascii="宋体" w:hAnsi="宋体" w:cs="宋体"/>
                <w:b w:val="0"/>
                <w:bCs/>
                <w:color w:val="auto"/>
                <w:sz w:val="21"/>
                <w:szCs w:val="21"/>
                <w:highlight w:val="none"/>
                <w:lang w:val="en-US" w:eastAsia="zh-CN"/>
              </w:rPr>
              <w:t>13</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0，下午16:</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0至</w:t>
            </w:r>
            <w:r>
              <w:rPr>
                <w:rFonts w:hint="eastAsia" w:ascii="宋体" w:hAnsi="宋体" w:cs="宋体"/>
                <w:b w:val="0"/>
                <w:bCs/>
                <w:color w:val="auto"/>
                <w:sz w:val="21"/>
                <w:szCs w:val="21"/>
                <w:highlight w:val="none"/>
                <w:lang w:val="en-US" w:eastAsia="zh-CN"/>
              </w:rPr>
              <w:t>20</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00</w:t>
            </w:r>
            <w:r>
              <w:rPr>
                <w:rFonts w:hint="eastAsia" w:ascii="宋体" w:hAnsi="宋体" w:cs="宋体"/>
                <w:b w:val="0"/>
                <w:bCs/>
                <w:color w:val="auto"/>
                <w:sz w:val="21"/>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方式：（1）线上获取（登录政府采购云平台 → 项目采购 → 获取招标文件→ 申请，审核通过后可下载招标文件）。本次招标不提供纸质版招标文件。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b/>
                <w:bCs w:val="0"/>
                <w:color w:val="auto"/>
                <w:sz w:val="21"/>
                <w:szCs w:val="21"/>
                <w:highlight w:val="none"/>
                <w:lang w:eastAsia="zh-CN"/>
              </w:rPr>
              <w:t>重要说明</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w:t>
            </w:r>
            <w:r>
              <w:rPr>
                <w:rFonts w:hint="eastAsia" w:ascii="宋体" w:hAnsi="宋体" w:eastAsia="宋体" w:cs="宋体"/>
                <w:b w:val="0"/>
                <w:bCs/>
                <w:color w:val="auto"/>
                <w:sz w:val="21"/>
                <w:szCs w:val="21"/>
                <w:highlight w:val="none"/>
              </w:rPr>
              <w:t>各供应商在开标前应确保成为新疆维吾尔自治区政府采购网正式注册入库供应商，</w:t>
            </w:r>
            <w:r>
              <w:rPr>
                <w:rFonts w:hint="eastAsia" w:ascii="宋体" w:hAnsi="宋体" w:eastAsia="宋体" w:cs="宋体"/>
                <w:b w:val="0"/>
                <w:bCs/>
                <w:color w:val="auto"/>
                <w:sz w:val="21"/>
                <w:szCs w:val="21"/>
              </w:rPr>
              <w:t>（已在政采云平台其他省份入驻的供应商无须重复注册）</w:t>
            </w:r>
            <w:r>
              <w:rPr>
                <w:rFonts w:hint="eastAsia" w:ascii="宋体" w:hAnsi="宋体" w:eastAsia="宋体" w:cs="宋体"/>
                <w:b w:val="0"/>
                <w:bCs/>
                <w:color w:val="auto"/>
                <w:sz w:val="21"/>
                <w:szCs w:val="21"/>
                <w:highlight w:val="none"/>
              </w:rPr>
              <w:t>并完成CA数字证书申领。因未注册入库、未办理CA数字证书等原因造成无法投标或投标失败等后果由供应商自行承担。</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进行咨询。</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5.供应商在开标时须使用制作加密电子投标文件所使用的CA锁及电脑，电脑须提前配置好浏览器（建议使用谷歌浏览器），以便开标时解锁。</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宋体" w:hAnsi="宋体" w:cs="宋体"/>
                <w:b w:val="0"/>
                <w:bCs/>
                <w:color w:val="auto"/>
                <w:sz w:val="21"/>
                <w:szCs w:val="21"/>
                <w:highlight w:val="none"/>
                <w:lang w:eastAsia="zh-CN"/>
              </w:rPr>
              <w:t>。</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（1）电子招投标：本项目以数据电文形式，依托“政府采购云平台（www.zcygov.cn）”进行招投标活动。</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（2）投标准备：注册账号--点击“商家入驻”，进行政府采购供应商资料填写；申领CA数字证书---申领流程详见“</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政府采购网-下载专区-电子交易客户端-CA驱动和申领流程”；安装“政采云电子交易客户端”----前往“</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政府采购网-下载专区-电子交易客户端”进行下载并安装。</w:t>
            </w:r>
          </w:p>
          <w:p>
            <w:pPr>
              <w:snapToGrid w:val="0"/>
              <w:spacing w:line="360" w:lineRule="auto"/>
              <w:ind w:firstLine="426" w:firstLineChars="200"/>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3</w:t>
            </w:r>
            <w:r>
              <w:rPr>
                <w:rFonts w:hint="eastAsia" w:ascii="宋体" w:hAnsi="宋体" w:cs="宋体"/>
                <w:b w:val="0"/>
                <w:bCs/>
                <w:color w:val="auto"/>
                <w:szCs w:val="21"/>
              </w:rPr>
              <w:t>）投标文件的制作：在“政采云电子交易客户端”中完成“填写基本信息”、“导入投标文件”、“标书关联”、“标书检查”、“电子签名”、“生成电子标书”等操作。</w:t>
            </w:r>
          </w:p>
          <w:p>
            <w:pPr>
              <w:snapToGrid w:val="0"/>
              <w:spacing w:line="360" w:lineRule="auto"/>
              <w:ind w:firstLine="426" w:firstLineChars="200"/>
              <w:rPr>
                <w:rFonts w:hint="eastAsia" w:ascii="宋体" w:hAnsi="宋体" w:eastAsia="宋体" w:cs="宋体"/>
                <w:b w:val="0"/>
                <w:bCs/>
                <w:color w:val="auto"/>
                <w:sz w:val="21"/>
                <w:szCs w:val="21"/>
                <w:highlight w:val="yellow"/>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4</w:t>
            </w:r>
            <w:r>
              <w:rPr>
                <w:rFonts w:hint="eastAsia" w:ascii="宋体" w:hAnsi="宋体" w:cs="宋体"/>
                <w:b w:val="0"/>
                <w:bCs/>
                <w:color w:val="auto"/>
                <w:szCs w:val="21"/>
              </w:rPr>
              <w:t>）投标文件的传输递交：供应商在投标截止时间前将加密的投标文件上传至政府采购云平台</w:t>
            </w:r>
            <w:r>
              <w:rPr>
                <w:rFonts w:hint="eastAsia" w:ascii="宋体" w:hAnsi="宋体" w:cs="宋体"/>
                <w:b w:val="0"/>
                <w:bCs/>
                <w:color w:val="auto"/>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）投标文件的解密：供应商按照平台提示和采购文件的规定在半小时内完成在线解密。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）具体操作指南：详见政采云平台“服务中心-帮助文档-项目采购-操作流程-电子招投标-政府采购项目电子交易管理操作指南-供应商”。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）供应商在进行上述操作时，如遇技术问题可登录政采云（https://</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HYPERLINK "http://www.zcygov.cn/" \h</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www.zcygov.cn/</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t xml:space="preserve">），点击右侧咨询小采，获取采小蜜智能服务管家帮助，或拨打政采云服务热线 </w:t>
            </w:r>
            <w:r>
              <w:rPr>
                <w:rFonts w:hint="eastAsia" w:ascii="宋体" w:hAnsi="宋体" w:eastAsia="宋体" w:cs="宋体"/>
                <w:b w:val="0"/>
                <w:bCs/>
                <w:color w:val="auto"/>
                <w:sz w:val="21"/>
                <w:szCs w:val="21"/>
                <w:highlight w:val="none"/>
                <w:lang w:eastAsia="zh-CN"/>
              </w:rPr>
              <w:t>95763</w:t>
            </w:r>
            <w:r>
              <w:rPr>
                <w:rFonts w:hint="eastAsia" w:ascii="宋体" w:hAnsi="宋体" w:eastAsia="宋体" w:cs="宋体"/>
                <w:b w:val="0"/>
                <w:bCs/>
                <w:color w:val="auto"/>
                <w:sz w:val="21"/>
                <w:szCs w:val="21"/>
                <w:highlight w:val="none"/>
              </w:rPr>
              <w:t xml:space="preserve"> 获取热线服务帮助。</w:t>
            </w:r>
          </w:p>
          <w:p>
            <w:pPr>
              <w:pStyle w:val="8"/>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b w:val="0"/>
                <w:bCs/>
                <w:color w:val="auto"/>
                <w:sz w:val="21"/>
                <w:szCs w:val="21"/>
                <w:highlight w:val="none"/>
                <w:lang w:eastAsia="zh-CN"/>
              </w:rPr>
              <w:t>中国</w:t>
            </w:r>
            <w:r>
              <w:rPr>
                <w:rFonts w:hint="eastAsia" w:ascii="宋体" w:hAnsi="宋体" w:eastAsia="宋体" w:cs="宋体"/>
                <w:b w:val="0"/>
                <w:bCs/>
                <w:color w:val="auto"/>
                <w:sz w:val="21"/>
                <w:szCs w:val="21"/>
                <w:highlight w:val="none"/>
              </w:rPr>
              <w:t>政府采购网下载专区下载。未按规定获取采购文件或逾期提出的不予受理、答复。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中型、小型、微型企业标准的，按招标文件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lang w:val="en-US" w:eastAsia="zh-CN"/>
              </w:rPr>
              <w:t>中小微企业政策文件说明</w:t>
            </w:r>
          </w:p>
        </w:tc>
        <w:tc>
          <w:tcPr>
            <w:tcW w:w="7288" w:type="dxa"/>
            <w:noWrap w:val="0"/>
            <w:vAlign w:val="top"/>
          </w:tcPr>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本项目对属于小型和微型企业的投标人的投标报价及与</w:t>
            </w:r>
            <w:r>
              <w:rPr>
                <w:rFonts w:hint="eastAsia" w:ascii="宋体" w:hAnsi="宋体" w:eastAsia="宋体" w:cs="宋体"/>
                <w:b w:val="0"/>
                <w:bCs/>
                <w:color w:val="auto"/>
                <w:szCs w:val="21"/>
                <w:lang w:val="en-US" w:eastAsia="zh-CN"/>
              </w:rPr>
              <w:t>10</w:t>
            </w:r>
            <w:r>
              <w:rPr>
                <w:rFonts w:hint="eastAsia" w:ascii="宋体" w:hAnsi="宋体" w:eastAsia="宋体" w:cs="宋体"/>
                <w:b w:val="0"/>
                <w:bCs/>
                <w:color w:val="auto"/>
                <w:szCs w:val="21"/>
              </w:rPr>
              <w:t>%的扣除，用扣除后的价格参与评审。残疾人福利性单位视同小型、微型企业，享受同等价格扣除，但同时属于残疾人福利性单位和小微企业的，不重复价格扣除</w:t>
            </w:r>
          </w:p>
          <w:p>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（2）不符合上述适用情形的投标人无需提供上述声明函件。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val="0"/>
                <w:color w:val="auto"/>
                <w:sz w:val="21"/>
                <w:szCs w:val="21"/>
                <w:highlight w:val="none"/>
              </w:rPr>
            </w:pPr>
            <w:r>
              <w:rPr>
                <w:rFonts w:hint="eastAsia"/>
                <w:b/>
                <w:bCs w:val="0"/>
                <w:color w:val="auto"/>
                <w:sz w:val="21"/>
                <w:szCs w:val="21"/>
                <w:highlight w:val="none"/>
              </w:rPr>
              <w:t>备注</w:t>
            </w:r>
            <w:r>
              <w:rPr>
                <w:rFonts w:hint="eastAsia"/>
                <w:b/>
                <w:bCs w:val="0"/>
                <w:color w:val="auto"/>
                <w:sz w:val="21"/>
                <w:szCs w:val="21"/>
                <w:highlight w:val="none"/>
                <w:lang w:eastAsia="zh-CN"/>
              </w:rPr>
              <w:t>：</w:t>
            </w:r>
          </w:p>
        </w:tc>
        <w:tc>
          <w:tcPr>
            <w:tcW w:w="8824" w:type="dxa"/>
            <w:gridSpan w:val="2"/>
            <w:noWrap w:val="0"/>
            <w:vAlign w:val="center"/>
          </w:tcPr>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着重提醒各投标人注意，并认真查看招标文件中的每一个条款及要求，因误读招标文</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件而造成的后果，招标人概不负责。</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除法律、法规和规章规定外，招标文件中用“拒绝”、“不接受”、“无效”、“不得”等文字规定，对其中任何一条的偏离，在评审时将其视为无效文件。未用上述文字规定或符</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号标注的条款为非实质性要求条款(即一般条款)。</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资格，监管部门依法进行处理。</w:t>
            </w:r>
          </w:p>
          <w:p>
            <w:pPr>
              <w:numPr>
                <w:ilvl w:val="0"/>
                <w:numId w:val="0"/>
              </w:numPr>
              <w:spacing w:line="400" w:lineRule="exact"/>
              <w:ind w:leftChars="0"/>
              <w:jc w:val="left"/>
              <w:rPr>
                <w:rFonts w:hint="eastAsia"/>
                <w:color w:val="auto"/>
              </w:rPr>
            </w:pPr>
            <w:r>
              <w:rPr>
                <w:rFonts w:hint="eastAsia" w:ascii="Times New Roman" w:hAnsi="Times New Roman" w:cs="Times New Roman"/>
                <w:b/>
                <w:bCs w:val="0"/>
                <w:color w:val="auto"/>
                <w:kern w:val="2"/>
                <w:sz w:val="21"/>
                <w:szCs w:val="21"/>
                <w:highlight w:val="none"/>
                <w:lang w:val="en-US" w:eastAsia="zh-CN" w:bidi="ar-SA"/>
              </w:rPr>
              <w:t>5</w:t>
            </w:r>
            <w:r>
              <w:rPr>
                <w:rFonts w:hint="eastAsia" w:ascii="Times New Roman" w:hAnsi="Times New Roman" w:eastAsia="宋体" w:cs="Times New Roman"/>
                <w:b/>
                <w:bCs w:val="0"/>
                <w:color w:val="auto"/>
                <w:kern w:val="2"/>
                <w:sz w:val="21"/>
                <w:szCs w:val="21"/>
                <w:highlight w:val="none"/>
                <w:lang w:val="en-US" w:eastAsia="zh-CN" w:bidi="ar-SA"/>
              </w:rPr>
              <w:t>、投标人使用相同IP地址的，一经发现，相关部门将进一步核实，查实后按串通投标处理。</w:t>
            </w:r>
          </w:p>
        </w:tc>
      </w:tr>
      <w:bookmarkEnd w:id="11"/>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p>
    <w:p>
      <w:pPr>
        <w:shd w:val="clear" w:color="auto" w:fill="auto"/>
        <w:spacing w:line="440" w:lineRule="exact"/>
        <w:jc w:val="center"/>
        <w:outlineLvl w:val="2"/>
        <w:rPr>
          <w:rFonts w:hint="eastAsia" w:ascii="宋体"/>
          <w:color w:val="auto"/>
          <w:sz w:val="28"/>
          <w:szCs w:val="28"/>
          <w:highlight w:val="none"/>
        </w:rPr>
      </w:pPr>
      <w:bookmarkStart w:id="13"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13"/>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4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eastAsia="zh-CN"/>
        </w:rPr>
        <w:t>总价</w:t>
      </w:r>
      <w:r>
        <w:rPr>
          <w:rFonts w:hint="eastAsia" w:ascii="宋体"/>
          <w:color w:val="auto"/>
          <w:szCs w:val="21"/>
          <w:highlight w:val="none"/>
          <w:u w:val="single"/>
        </w:rPr>
        <w:t xml:space="preserve"> 。</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rPr>
          <w:rFonts w:hint="eastAsia"/>
          <w:b/>
          <w:color w:val="auto"/>
          <w:szCs w:val="21"/>
          <w:highlight w:val="none"/>
        </w:rPr>
      </w:pPr>
      <w:r>
        <w:rPr>
          <w:rFonts w:hint="eastAsia"/>
          <w:b/>
          <w:color w:val="auto"/>
          <w:szCs w:val="21"/>
          <w:highlight w:val="none"/>
        </w:rPr>
        <w:t>9.</w:t>
      </w:r>
      <w:bookmarkStart w:id="14" w:name="_Toc144974507"/>
      <w:bookmarkStart w:id="15" w:name="_Toc247527563"/>
      <w:bookmarkStart w:id="16" w:name="_Toc296602429"/>
      <w:bookmarkStart w:id="17" w:name="_Toc247513962"/>
      <w:bookmarkStart w:id="18" w:name="_Toc152045539"/>
      <w:bookmarkStart w:id="19" w:name="_Toc247592876"/>
      <w:bookmarkStart w:id="20" w:name="_Toc152042315"/>
      <w:r>
        <w:rPr>
          <w:rFonts w:hint="eastAsia"/>
          <w:b/>
          <w:color w:val="auto"/>
          <w:szCs w:val="21"/>
          <w:highlight w:val="none"/>
        </w:rPr>
        <w:t xml:space="preserve"> 踏勘现场</w:t>
      </w:r>
      <w:bookmarkEnd w:id="14"/>
      <w:bookmarkEnd w:id="15"/>
      <w:bookmarkEnd w:id="16"/>
      <w:bookmarkEnd w:id="17"/>
      <w:bookmarkEnd w:id="18"/>
      <w:bookmarkEnd w:id="19"/>
      <w:bookmarkEnd w:id="20"/>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21" w:name="_Toc247513963"/>
      <w:bookmarkStart w:id="22" w:name="_Toc296602430"/>
      <w:bookmarkStart w:id="23" w:name="_Toc152045540"/>
      <w:bookmarkStart w:id="24" w:name="_Toc247527564"/>
      <w:bookmarkStart w:id="25" w:name="_Toc144974508"/>
      <w:bookmarkStart w:id="26" w:name="_Toc247592877"/>
      <w:bookmarkStart w:id="27" w:name="_Toc152042316"/>
    </w:p>
    <w:p>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21"/>
      <w:bookmarkEnd w:id="22"/>
      <w:bookmarkEnd w:id="23"/>
      <w:bookmarkEnd w:id="24"/>
      <w:bookmarkEnd w:id="25"/>
      <w:bookmarkEnd w:id="26"/>
      <w:bookmarkEnd w:id="27"/>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2"/>
        <w:shd w:val="clear" w:color="auto" w:fill="auto"/>
        <w:spacing w:after="0" w:line="400" w:lineRule="exact"/>
        <w:ind w:left="0" w:leftChars="0" w:firstLine="43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b/>
          <w:color w:val="auto"/>
          <w:szCs w:val="21"/>
          <w:highlight w:val="none"/>
        </w:rPr>
      </w:pPr>
      <w:r>
        <w:rPr>
          <w:rFonts w:hint="eastAsia" w:ascii="宋体"/>
          <w:bCs/>
          <w:color w:val="auto"/>
          <w:szCs w:val="21"/>
          <w:highlight w:val="none"/>
        </w:rPr>
        <w:t>12.1</w:t>
      </w:r>
      <w:r>
        <w:rPr>
          <w:rFonts w:hint="eastAsia" w:ascii="宋体" w:hAnsi="Times New Roman" w:eastAsia="宋体" w:cs="Times New Roman"/>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6"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3" w:leftChars="100" w:firstLine="319"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6"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9"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28" w:name="_Toc469495725"/>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bookmarkEnd w:id="28"/>
      <w:r>
        <w:rPr>
          <w:rFonts w:hint="eastAsia" w:ascii="宋体"/>
          <w:b/>
          <w:color w:val="auto"/>
          <w:sz w:val="28"/>
          <w:szCs w:val="28"/>
          <w:highlight w:val="none"/>
          <w:lang w:eastAsia="zh-CN"/>
        </w:rPr>
        <w:t>招标文件</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91"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4"/>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426"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0000FF"/>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bookmarkStart w:id="29"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29"/>
    </w:p>
    <w:p>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kern w:val="2"/>
          <w:sz w:val="21"/>
          <w:szCs w:val="21"/>
          <w:lang w:val="en-US" w:eastAsia="zh-CN" w:bidi="ar-SA"/>
        </w:rPr>
        <w:t>投标企业须提供投标人（被授权人）投标截止时间前半年内任意1个月的社保证明；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kern w:val="2"/>
          <w:sz w:val="21"/>
          <w:szCs w:val="21"/>
          <w:lang w:val="en-US" w:eastAsia="zh-CN" w:bidi="ar-SA"/>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287" w:firstLineChars="135"/>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spacing w:line="440" w:lineRule="exact"/>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、投标分项报价表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、近三年（2020年1月1日至今）类似项目业绩表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、中小企业声明函(货物)</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、《残疾人福利性单位声明函》</w:t>
      </w:r>
    </w:p>
    <w:p>
      <w:pPr>
        <w:shd w:val="clear" w:color="auto" w:fill="auto"/>
        <w:spacing w:line="440" w:lineRule="exact"/>
        <w:ind w:firstLine="287" w:firstLineChars="135"/>
        <w:rPr>
          <w:rFonts w:hint="eastAsia"/>
          <w:color w:val="auto"/>
          <w:lang w:val="en-US" w:eastAsia="zh-CN"/>
        </w:rPr>
      </w:pPr>
      <w:r>
        <w:rPr>
          <w:rFonts w:hint="eastAsia" w:ascii="宋体" w:hAnsi="宋体" w:eastAsia="宋体" w:cs="Times New Roman"/>
          <w:color w:val="auto"/>
          <w:szCs w:val="21"/>
          <w:highlight w:val="none"/>
          <w:lang w:val="en-US" w:eastAsia="zh-CN"/>
        </w:rPr>
        <w:t>10、投标人关联单位的说明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11、评分标准和细则中技术部分证明材料</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12、评分标准和细则中技术部分证明材料（格式自拟）</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13、投标人认为有必要提供的其他证明材料（格式自拟）</w:t>
      </w: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6" w:firstLineChars="200"/>
        <w:rPr>
          <w:rFonts w:hint="eastAsia" w:ascii="宋体"/>
          <w:color w:val="auto"/>
          <w:szCs w:val="21"/>
          <w:highlight w:val="none"/>
        </w:rPr>
      </w:pPr>
      <w:bookmarkStart w:id="30"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4"/>
        <w:shd w:val="clear" w:color="auto" w:fill="auto"/>
        <w:bidi w:val="0"/>
        <w:jc w:val="center"/>
        <w:rPr>
          <w:rFonts w:hint="eastAsia"/>
          <w:color w:val="auto"/>
          <w:sz w:val="28"/>
          <w:szCs w:val="28"/>
          <w:highlight w:val="none"/>
        </w:rPr>
      </w:pPr>
      <w:r>
        <w:rPr>
          <w:rFonts w:hint="eastAsia"/>
          <w:color w:val="auto"/>
          <w:sz w:val="28"/>
          <w:szCs w:val="28"/>
          <w:highlight w:val="none"/>
        </w:rPr>
        <w:t>（四）</w:t>
      </w:r>
      <w:bookmarkEnd w:id="30"/>
      <w:r>
        <w:rPr>
          <w:rFonts w:hint="eastAsia"/>
          <w:color w:val="auto"/>
          <w:sz w:val="28"/>
          <w:szCs w:val="28"/>
          <w:highlight w:val="none"/>
        </w:rPr>
        <w:t>投标文件的制作、上传及递交要求</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8"/>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8"/>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8"/>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8"/>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8"/>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31" w:name="_Toc469495728"/>
      <w:r>
        <w:rPr>
          <w:rFonts w:hint="eastAsia" w:ascii="黑体" w:eastAsia="黑体"/>
          <w:color w:val="auto"/>
          <w:sz w:val="28"/>
          <w:szCs w:val="28"/>
          <w:highlight w:val="none"/>
        </w:rPr>
        <w:t>（五）开 标、评标和定标</w:t>
      </w:r>
      <w:bookmarkEnd w:id="31"/>
    </w:p>
    <w:p>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32" w:name="_Toc73975822"/>
      <w:r>
        <w:rPr>
          <w:rFonts w:hint="eastAsia" w:ascii="宋体" w:hAnsi="宋体" w:eastAsia="宋体" w:cs="宋体"/>
          <w:b/>
          <w:bCs/>
          <w:color w:val="auto"/>
          <w:sz w:val="21"/>
          <w:szCs w:val="21"/>
          <w:highlight w:val="none"/>
          <w:lang w:val="en-US" w:eastAsia="zh-CN"/>
        </w:rPr>
        <w:t>28.1开标邀请</w:t>
      </w:r>
      <w:bookmarkEnd w:id="32"/>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8"/>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33"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33"/>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组织签署《政府采购活动现场确认声明书》（疫情防控期间，将通过电子邮件形式组织签署），供应商应在20分钟内通过邮件形式将经签署的《政府采购活动现场确认声明书》发送至采购代理机构指定邮箱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179584851</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3"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6" w:firstLineChars="200"/>
        <w:rPr>
          <w:rFonts w:hint="eastAsia" w:ascii="宋体" w:hAnsi="宋体" w:eastAsia="宋体" w:cs="宋体"/>
          <w:color w:val="0000FF"/>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35</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w:t>
      </w:r>
      <w:r>
        <w:rPr>
          <w:rFonts w:hint="eastAsia" w:ascii="宋体"/>
          <w:color w:val="000000"/>
          <w:szCs w:val="21"/>
          <w:highlight w:val="none"/>
        </w:rPr>
        <w:t>均分</w:t>
      </w:r>
      <w:r>
        <w:rPr>
          <w:rFonts w:hint="eastAsia" w:ascii="宋体"/>
          <w:color w:val="000000"/>
          <w:szCs w:val="21"/>
          <w:highlight w:val="none"/>
          <w:lang w:val="en-US" w:eastAsia="zh-CN"/>
        </w:rPr>
        <w:t>30</w:t>
      </w:r>
      <w:r>
        <w:rPr>
          <w:rFonts w:hint="eastAsia" w:ascii="宋体"/>
          <w:color w:val="000000"/>
          <w:szCs w:val="21"/>
          <w:highlight w:val="none"/>
        </w:rPr>
        <w:t>%以上的</w:t>
      </w:r>
      <w:r>
        <w:rPr>
          <w:rFonts w:hint="eastAsia" w:ascii="宋体"/>
          <w:color w:val="auto"/>
          <w:szCs w:val="21"/>
          <w:highlight w:val="none"/>
        </w:rPr>
        <w:t>）情形的，应由相关人员当场改正或作出书面说明；拒不改正又不作书面说明的，由现场监督员如实记载后存入项目档案资料。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bookmarkStart w:id="34"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3" w:firstLineChars="100"/>
        <w:jc w:val="left"/>
        <w:rPr>
          <w:rFonts w:hint="eastAsia" w:ascii="宋体"/>
          <w:b w:val="0"/>
          <w:bCs w:val="0"/>
          <w:color w:val="0000FF"/>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采购结果经采购人确认后2个工作日内，采购代理机构将在新疆政府采购网（www.zjzfcg.gov.cn）、克州公共资源交易中心网上公告采购结果，中标公告期限为1个工作日。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pStyle w:val="49"/>
        <w:ind w:left="0" w:leftChars="0" w:firstLine="0" w:firstLineChars="0"/>
        <w:rPr>
          <w:rFonts w:hint="eastAsia" w:ascii="宋体"/>
          <w:b w:val="0"/>
          <w:bCs w:val="0"/>
          <w:color w:val="auto"/>
          <w:szCs w:val="21"/>
          <w:highlight w:val="none"/>
          <w:lang w:val="en-US" w:eastAsia="zh-CN"/>
        </w:rPr>
      </w:pPr>
    </w:p>
    <w:p>
      <w:pPr>
        <w:shd w:val="clear" w:color="auto" w:fill="auto"/>
        <w:spacing w:before="156" w:beforeLines="50" w:line="440" w:lineRule="exact"/>
        <w:ind w:firstLine="3113" w:firstLineChars="1100"/>
        <w:jc w:val="both"/>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34"/>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5" w:name="_Toc73975842"/>
      <w:bookmarkStart w:id="36" w:name="_Toc469495730"/>
      <w:r>
        <w:rPr>
          <w:rFonts w:hint="eastAsia" w:ascii="宋体"/>
          <w:b w:val="0"/>
          <w:bCs w:val="0"/>
          <w:color w:val="auto"/>
          <w:szCs w:val="21"/>
          <w:highlight w:val="none"/>
          <w:lang w:val="en-US" w:eastAsia="zh-CN"/>
        </w:rPr>
        <w:t>42．履约保证金</w:t>
      </w:r>
      <w:bookmarkEnd w:id="35"/>
    </w:p>
    <w:p>
      <w:pPr>
        <w:widowControl/>
        <w:spacing w:line="440" w:lineRule="exact"/>
        <w:ind w:firstLine="213"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10%的履约保证金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7" w:name="_Toc73975843"/>
      <w:r>
        <w:rPr>
          <w:rFonts w:hint="eastAsia" w:ascii="宋体"/>
          <w:b w:val="0"/>
          <w:bCs w:val="0"/>
          <w:color w:val="auto"/>
          <w:szCs w:val="21"/>
          <w:highlight w:val="none"/>
          <w:lang w:val="en-US" w:eastAsia="zh-CN"/>
        </w:rPr>
        <w:t>43．签订合同及公告</w:t>
      </w:r>
      <w:bookmarkEnd w:id="37"/>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36"/>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9"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312"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供应商有下列情形之一的，采购代理机构上报至克州财政局政府采购办，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7"/>
        <w:rPr>
          <w:rFonts w:hint="eastAsia" w:ascii="宋体" w:hAnsi="宋体" w:eastAsia="宋体" w:cs="宋体"/>
          <w:b/>
          <w:bCs/>
          <w:color w:val="auto"/>
          <w:sz w:val="21"/>
          <w:szCs w:val="21"/>
          <w:highlight w:val="none"/>
          <w:lang w:eastAsia="zh-CN"/>
        </w:rPr>
      </w:pPr>
    </w:p>
    <w:p>
      <w:pPr>
        <w:pStyle w:val="27"/>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49"/>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38" w:name="_Toc17515"/>
    </w:p>
    <w:p>
      <w:pPr>
        <w:shd w:val="clear" w:color="auto" w:fill="auto"/>
        <w:ind w:left="7951" w:hanging="5814" w:hangingChars="1800"/>
        <w:jc w:val="center"/>
        <w:outlineLvl w:val="0"/>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38"/>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bookmarkStart w:id="39" w:name="_Toc11499"/>
      <w:r>
        <w:rPr>
          <w:rFonts w:hint="eastAsia" w:ascii="宋体" w:hAnsi="宋体" w:eastAsia="宋体" w:cs="宋体"/>
          <w:b/>
          <w:bCs/>
          <w:color w:val="auto"/>
          <w:sz w:val="21"/>
          <w:szCs w:val="21"/>
          <w:highlight w:val="none"/>
        </w:rPr>
        <w:t>质疑前置及时间要求</w:t>
      </w:r>
      <w:bookmarkEnd w:id="39"/>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40" w:name="_Toc13508"/>
      <w:r>
        <w:rPr>
          <w:rFonts w:hint="eastAsia" w:ascii="宋体" w:hAnsi="宋体" w:eastAsia="宋体" w:cs="宋体"/>
          <w:b/>
          <w:bCs/>
          <w:color w:val="auto"/>
          <w:sz w:val="21"/>
          <w:szCs w:val="21"/>
          <w:highlight w:val="none"/>
        </w:rPr>
        <w:t>二、书面方式</w:t>
      </w:r>
      <w:bookmarkEnd w:id="40"/>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41" w:name="_Toc5978"/>
      <w:r>
        <w:rPr>
          <w:rFonts w:hint="eastAsia" w:ascii="宋体" w:hAnsi="宋体" w:eastAsia="宋体" w:cs="宋体"/>
          <w:b/>
          <w:bCs/>
          <w:color w:val="auto"/>
          <w:sz w:val="21"/>
          <w:szCs w:val="21"/>
          <w:highlight w:val="none"/>
        </w:rPr>
        <w:t>三、虚假、恶意投诉法律责任</w:t>
      </w:r>
      <w:bookmarkEnd w:id="41"/>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42"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42"/>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bookmarkStart w:id="43" w:name="_Toc9061"/>
      <w:r>
        <w:rPr>
          <w:rFonts w:hint="eastAsia" w:ascii="宋体" w:hAnsi="宋体" w:eastAsia="宋体" w:cs="宋体"/>
          <w:bCs/>
          <w:color w:val="auto"/>
          <w:sz w:val="21"/>
          <w:szCs w:val="21"/>
          <w:highlight w:val="none"/>
        </w:rPr>
        <w:t>一、质疑供应商基本信息</w:t>
      </w:r>
      <w:bookmarkEnd w:id="4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4" w:name="_Toc15938"/>
      <w:r>
        <w:rPr>
          <w:rFonts w:hint="eastAsia" w:ascii="宋体" w:hAnsi="宋体" w:eastAsia="宋体" w:cs="宋体"/>
          <w:bCs/>
          <w:color w:val="auto"/>
          <w:sz w:val="21"/>
          <w:szCs w:val="21"/>
          <w:highlight w:val="none"/>
        </w:rPr>
        <w:t>二、质疑项目基本情况</w:t>
      </w:r>
      <w:bookmarkEnd w:id="4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5" w:name="_Toc18271"/>
      <w:r>
        <w:rPr>
          <w:rFonts w:hint="eastAsia" w:ascii="宋体" w:hAnsi="宋体" w:eastAsia="宋体" w:cs="宋体"/>
          <w:bCs/>
          <w:color w:val="auto"/>
          <w:sz w:val="21"/>
          <w:szCs w:val="21"/>
          <w:highlight w:val="none"/>
        </w:rPr>
        <w:t>三、质疑事项具体内容</w:t>
      </w:r>
      <w:bookmarkEnd w:id="45"/>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6" w:name="_Toc22365"/>
      <w:r>
        <w:rPr>
          <w:rFonts w:hint="eastAsia" w:ascii="宋体" w:hAnsi="宋体" w:eastAsia="宋体" w:cs="宋体"/>
          <w:bCs/>
          <w:color w:val="auto"/>
          <w:sz w:val="21"/>
          <w:szCs w:val="21"/>
          <w:highlight w:val="none"/>
        </w:rPr>
        <w:t>四、与质疑事项相关的质疑请求</w:t>
      </w:r>
      <w:bookmarkEnd w:id="46"/>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Style w:val="49"/>
        <w:shd w:val="clear" w:color="auto" w:fill="auto"/>
        <w:ind w:left="0" w:leftChars="0" w:firstLine="0" w:firstLineChars="0"/>
        <w:rPr>
          <w:rFonts w:hint="eastAsia" w:ascii="黑体" w:eastAsia="黑体"/>
          <w:color w:val="auto"/>
          <w:sz w:val="30"/>
          <w:szCs w:val="30"/>
          <w:highlight w:val="none"/>
        </w:rPr>
      </w:pPr>
    </w:p>
    <w:p>
      <w:pPr>
        <w:pageBreakBefore/>
        <w:shd w:val="clear" w:color="auto" w:fill="auto"/>
        <w:spacing w:line="440" w:lineRule="exact"/>
        <w:jc w:val="center"/>
        <w:outlineLvl w:val="0"/>
        <w:rPr>
          <w:rFonts w:hint="eastAsia" w:ascii="黑体" w:eastAsia="黑体"/>
          <w:color w:val="auto"/>
          <w:sz w:val="30"/>
          <w:szCs w:val="30"/>
          <w:highlight w:val="none"/>
        </w:rPr>
      </w:pPr>
      <w:bookmarkStart w:id="47" w:name="_Toc469495731"/>
      <w:r>
        <w:rPr>
          <w:rFonts w:hint="eastAsia" w:ascii="黑体" w:eastAsia="黑体"/>
          <w:color w:val="auto"/>
          <w:sz w:val="30"/>
          <w:szCs w:val="30"/>
          <w:highlight w:val="none"/>
        </w:rPr>
        <w:t>第三章  评标办法</w:t>
      </w:r>
      <w:bookmarkEnd w:id="47"/>
    </w:p>
    <w:p>
      <w:pPr>
        <w:shd w:val="clear" w:color="auto" w:fill="auto"/>
        <w:jc w:val="center"/>
        <w:outlineLvl w:val="1"/>
        <w:rPr>
          <w:rFonts w:hint="eastAsia" w:ascii="宋体" w:hAnsi="Times New Roman" w:eastAsia="宋体" w:cs="Times New Roman"/>
          <w:b/>
          <w:color w:val="auto"/>
          <w:sz w:val="28"/>
          <w:szCs w:val="28"/>
          <w:highlight w:val="none"/>
        </w:rPr>
      </w:pPr>
      <w:bookmarkStart w:id="48" w:name="_Toc469495733"/>
      <w:bookmarkStart w:id="49" w:name="_Toc362983802"/>
      <w:bookmarkStart w:id="50" w:name="_Toc267320058"/>
      <w:bookmarkStart w:id="51" w:name="_Toc363135205"/>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23"/>
        <w:shd w:val="clear" w:color="auto" w:fill="auto"/>
        <w:tabs>
          <w:tab w:val="left" w:pos="720"/>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5.3评标报告与推荐</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候选人</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小组各成员应当独立对每个有效响应的文件进行评价、打分，然后汇总每个供应商每项评分因素的得分。</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w:t>
      </w:r>
      <w:r>
        <w:rPr>
          <w:rFonts w:hint="eastAsia" w:ascii="宋体" w:hAnsi="宋体" w:cs="宋体"/>
          <w:bCs/>
          <w:color w:val="auto"/>
          <w:szCs w:val="21"/>
          <w:lang w:val="en-US" w:eastAsia="zh-CN"/>
        </w:rPr>
        <w:t>货物采购</w:t>
      </w:r>
      <w:r>
        <w:rPr>
          <w:rFonts w:hint="eastAsia" w:ascii="宋体" w:hAnsi="宋体" w:eastAsia="宋体" w:cs="宋体"/>
          <w:bCs/>
          <w:color w:val="auto"/>
          <w:szCs w:val="21"/>
        </w:rPr>
        <w:t>项目的价格分值占总分值的比重(即权值)为</w:t>
      </w:r>
      <w:r>
        <w:rPr>
          <w:rFonts w:hint="eastAsia" w:ascii="宋体" w:hAnsi="宋体" w:cs="宋体"/>
          <w:bCs/>
          <w:color w:val="auto"/>
          <w:szCs w:val="21"/>
          <w:lang w:val="en-US" w:eastAsia="zh-CN"/>
        </w:rPr>
        <w:t>35</w:t>
      </w:r>
      <w:r>
        <w:rPr>
          <w:rFonts w:hint="eastAsia" w:ascii="宋体" w:hAnsi="宋体" w:eastAsia="宋体" w:cs="宋体"/>
          <w:bCs/>
          <w:color w:val="auto"/>
          <w:szCs w:val="21"/>
        </w:rPr>
        <w:t>％，采购项目中含不同采购对象的，以占项目资金比例最高的采购对象确定其项目属性。其价格不列为评分因素，有特殊情况需要在上述规定范围外设定价格分权重的。</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综合评分法中的价格分统一采用低价优先法计算，即满足</w:t>
      </w:r>
      <w:r>
        <w:rPr>
          <w:rFonts w:hint="eastAsia" w:ascii="宋体" w:hAnsi="宋体" w:eastAsia="宋体" w:cs="宋体"/>
          <w:bCs/>
          <w:color w:val="auto"/>
          <w:szCs w:val="21"/>
          <w:lang w:eastAsia="zh-CN"/>
        </w:rPr>
        <w:t>招标文件</w:t>
      </w:r>
      <w:r>
        <w:rPr>
          <w:rFonts w:hint="eastAsia" w:ascii="宋体" w:hAnsi="宋体" w:eastAsia="宋体" w:cs="宋体"/>
          <w:bCs/>
          <w:color w:val="auto"/>
          <w:szCs w:val="21"/>
        </w:rPr>
        <w:t>要求且最后报价最低的供应商的价格为</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基准价，其价格分为满分。其他供应商的价格分统一按照下列公式计算：</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报价得分=（</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基准价/最后</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报价）×价格权值×100</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项目评审过程中，不得去掉最后报价中的最高报价和最低报价。</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候选供应商符合《政府采购竞争性</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采购方式管理暂行办法》法第二十五条</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候选供应商。符合本办法第二十一条第三款情形的，可以推荐2家</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候选供应商。评审得分相同的，按照最后报价由低到高的顺序推荐。评审得分且最后报价相同的，按照技术指标优劣顺序推荐。</w:t>
      </w: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bookmarkEnd w:id="48"/>
      <w:bookmarkEnd w:id="49"/>
    </w:p>
    <w:p>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查</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标</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准</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(适</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用</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资</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格</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szCs w:val="21"/>
              </w:rPr>
              <w:t>具备</w:t>
            </w:r>
            <w:r>
              <w:rPr>
                <w:rFonts w:hint="eastAsia" w:ascii="宋体" w:hAnsi="宋体" w:eastAsia="宋体" w:cs="宋体"/>
                <w:szCs w:val="21"/>
                <w:lang w:val="en-US" w:eastAsia="zh-CN"/>
              </w:rPr>
              <w:t>合格有效的</w:t>
            </w:r>
            <w:r>
              <w:rPr>
                <w:rFonts w:hint="eastAsia" w:ascii="宋体" w:hAnsi="宋体" w:eastAsia="宋体" w:cs="宋体"/>
                <w:szCs w:val="21"/>
              </w:rPr>
              <w:t>三证合一营业执照</w:t>
            </w:r>
            <w:r>
              <w:rPr>
                <w:rFonts w:hint="eastAsia" w:ascii="宋体" w:hAnsi="宋体" w:eastAsia="宋体" w:cs="宋体"/>
                <w:szCs w:val="21"/>
                <w:lang w:eastAsia="zh-CN"/>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szCs w:val="21"/>
                <w:lang w:eastAsia="zh-CN"/>
              </w:rPr>
              <w:t>法定代表人投标需提供法定代表人资格证明书，委托代理人投标需提供法定代表人授权委托书；</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3</w:t>
            </w:r>
          </w:p>
        </w:tc>
        <w:tc>
          <w:tcPr>
            <w:tcW w:w="5542" w:type="dxa"/>
            <w:noWrap w:val="0"/>
            <w:vAlign w:val="center"/>
          </w:tcPr>
          <w:p>
            <w:pPr>
              <w:tabs>
                <w:tab w:val="left" w:pos="720"/>
              </w:tabs>
              <w:spacing w:line="44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投标企业须提供投标人（被授权人）投标截止时间前半年内任意1个月的社保证明；</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4</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kern w:val="2"/>
                <w:sz w:val="21"/>
                <w:szCs w:val="21"/>
                <w:lang w:val="en-US" w:eastAsia="zh-CN" w:bidi="ar-SA"/>
              </w:rPr>
              <w:t>投标企业需提供未被“信用中国”（www.creditchina.gov.cn）、中国政府采购网（www.ccgp.gov.cn）列入失信被执行人、重大税收违法案件当事人名单、政府采购严重违法失信行为记录名单（提供查询结果网页截图并加盖供应商公章）；</w:t>
            </w:r>
            <w:r>
              <w:rPr>
                <w:rFonts w:hint="eastAsia" w:ascii="宋体" w:hAnsi="宋体" w:eastAsia="宋体" w:cs="宋体"/>
                <w:szCs w:val="21"/>
              </w:rPr>
              <w:t>  </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c>
          <w:tcPr>
            <w:tcW w:w="5542" w:type="dxa"/>
            <w:noWrap w:val="0"/>
            <w:vAlign w:val="center"/>
          </w:tcPr>
          <w:p>
            <w:pPr>
              <w:tabs>
                <w:tab w:val="left" w:pos="720"/>
              </w:tabs>
              <w:spacing w:line="44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投标保证金收据或保函等票据</w:t>
            </w:r>
            <w:r>
              <w:rPr>
                <w:rFonts w:hint="eastAsia" w:ascii="宋体" w:hAnsi="宋体" w:cs="宋体"/>
                <w:kern w:val="2"/>
                <w:sz w:val="21"/>
                <w:szCs w:val="21"/>
                <w:lang w:val="en-US" w:eastAsia="zh-CN" w:bidi="ar-SA"/>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p>
        </w:tc>
        <w:tc>
          <w:tcPr>
            <w:tcW w:w="8453" w:type="dxa"/>
            <w:gridSpan w:val="4"/>
            <w:noWrap w:val="0"/>
            <w:vAlign w:val="center"/>
          </w:tcPr>
          <w:p>
            <w:pPr>
              <w:shd w:val="clear" w:color="auto" w:fill="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3"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3" w:firstLineChars="100"/>
        <w:rPr>
          <w:rFonts w:hint="eastAsia" w:ascii="宋体"/>
          <w:b/>
          <w:color w:val="auto"/>
          <w:szCs w:val="21"/>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spacing w:before="156" w:beforeLines="50" w:line="440" w:lineRule="exact"/>
        <w:ind w:firstLine="213"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8"/>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项目</w:t>
            </w:r>
          </w:p>
        </w:tc>
        <w:tc>
          <w:tcPr>
            <w:tcW w:w="7074" w:type="dxa"/>
            <w:gridSpan w:val="2"/>
            <w:tcBorders>
              <w:top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评审内容</w:t>
            </w:r>
          </w:p>
        </w:tc>
        <w:tc>
          <w:tcPr>
            <w:tcW w:w="1502" w:type="dxa"/>
            <w:gridSpan w:val="2"/>
            <w:tcBorders>
              <w:top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rPr>
                <w:rFonts w:hint="eastAsia" w:ascii="宋体" w:hAnsi="宋体" w:cs="宋体"/>
              </w:rPr>
            </w:pPr>
          </w:p>
        </w:tc>
        <w:tc>
          <w:tcPr>
            <w:tcW w:w="7074" w:type="dxa"/>
            <w:gridSpan w:val="2"/>
            <w:tcBorders>
              <w:bottom w:val="single" w:color="auto" w:sz="4" w:space="0"/>
            </w:tcBorders>
            <w:noWrap w:val="0"/>
            <w:vAlign w:val="top"/>
          </w:tcPr>
          <w:p>
            <w:pPr>
              <w:rPr>
                <w:rFonts w:hint="eastAsia" w:ascii="宋体" w:hAnsi="宋体" w:cs="宋体"/>
              </w:rPr>
            </w:pPr>
          </w:p>
        </w:tc>
        <w:tc>
          <w:tcPr>
            <w:tcW w:w="753" w:type="dxa"/>
            <w:noWrap w:val="0"/>
            <w:vAlign w:val="center"/>
          </w:tcPr>
          <w:p>
            <w:pPr>
              <w:jc w:val="center"/>
              <w:rPr>
                <w:rFonts w:hint="eastAsia" w:ascii="宋体" w:hAnsi="宋体" w:cs="宋体"/>
                <w:b/>
                <w:sz w:val="24"/>
              </w:rPr>
            </w:pPr>
            <w:r>
              <w:rPr>
                <w:rFonts w:hint="eastAsia" w:ascii="宋体" w:hAnsi="宋体" w:cs="宋体"/>
                <w:color w:val="auto"/>
                <w:spacing w:val="-2"/>
                <w:szCs w:val="21"/>
              </w:rPr>
              <w:t>√</w:t>
            </w:r>
          </w:p>
        </w:tc>
        <w:tc>
          <w:tcPr>
            <w:tcW w:w="749" w:type="dxa"/>
            <w:tcBorders>
              <w:right w:val="single" w:color="auto" w:sz="4" w:space="0"/>
            </w:tcBorders>
            <w:noWrap w:val="0"/>
            <w:vAlign w:val="center"/>
          </w:tcPr>
          <w:p>
            <w:pPr>
              <w:ind w:firstLine="209" w:firstLineChars="100"/>
              <w:rPr>
                <w:rFonts w:hint="eastAsia" w:ascii="宋体" w:hAnsi="宋体" w:cs="宋体"/>
                <w:b/>
                <w:sz w:val="24"/>
              </w:rPr>
            </w:pPr>
            <w:r>
              <w:rPr>
                <w:rFonts w:hint="eastAsia" w:ascii="宋体" w:hAnsi="宋体" w:cs="宋体"/>
                <w:color w:val="auto"/>
                <w:spacing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审</w:t>
            </w:r>
          </w:p>
          <w:p>
            <w:pPr>
              <w:jc w:val="center"/>
              <w:rPr>
                <w:rFonts w:hint="eastAsia" w:ascii="宋体" w:hAnsi="宋体" w:cs="宋体"/>
                <w:szCs w:val="21"/>
              </w:rPr>
            </w:pPr>
            <w:r>
              <w:rPr>
                <w:rFonts w:hint="eastAsia" w:ascii="宋体" w:hAnsi="宋体" w:cs="宋体"/>
                <w:szCs w:val="21"/>
              </w:rPr>
              <w:t>查</w:t>
            </w:r>
          </w:p>
          <w:p>
            <w:pPr>
              <w:jc w:val="center"/>
              <w:rPr>
                <w:rFonts w:hint="eastAsia" w:ascii="宋体" w:hAnsi="宋体" w:cs="宋体"/>
                <w:szCs w:val="21"/>
              </w:rPr>
            </w:pPr>
            <w:r>
              <w:rPr>
                <w:rFonts w:hint="eastAsia" w:ascii="宋体" w:hAnsi="宋体" w:cs="宋体"/>
                <w:szCs w:val="21"/>
              </w:rPr>
              <w:t>标</w:t>
            </w:r>
          </w:p>
          <w:p>
            <w:pPr>
              <w:jc w:val="center"/>
              <w:rPr>
                <w:rFonts w:hint="eastAsia" w:ascii="宋体" w:hAnsi="宋体" w:cs="宋体"/>
                <w:szCs w:val="21"/>
              </w:rPr>
            </w:pPr>
            <w:r>
              <w:rPr>
                <w:rFonts w:hint="eastAsia" w:ascii="宋体" w:hAnsi="宋体" w:cs="宋体"/>
                <w:szCs w:val="21"/>
              </w:rPr>
              <w:t>准</w:t>
            </w: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1</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pPr>
              <w:jc w:val="center"/>
              <w:rPr>
                <w:rFonts w:hint="eastAsia" w:ascii="宋体" w:hAnsi="宋体" w:cs="宋体"/>
                <w:b/>
                <w:szCs w:val="21"/>
              </w:rPr>
            </w:pPr>
          </w:p>
        </w:tc>
        <w:tc>
          <w:tcPr>
            <w:tcW w:w="749" w:type="dxa"/>
            <w:tcBorders>
              <w:left w:val="single" w:color="auto" w:sz="4" w:space="0"/>
              <w:right w:val="single" w:color="auto" w:sz="4" w:space="0"/>
            </w:tcBorders>
            <w:noWrap w:val="0"/>
            <w:vAlign w:val="top"/>
          </w:tcPr>
          <w:p>
            <w:pPr>
              <w:jc w:val="center"/>
              <w:rPr>
                <w:rFonts w:hint="eastAsia"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3</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4</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bottom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5</w:t>
            </w:r>
          </w:p>
        </w:tc>
        <w:tc>
          <w:tcPr>
            <w:tcW w:w="657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pPr>
              <w:rPr>
                <w:rFonts w:hint="eastAsia" w:ascii="宋体" w:hAnsi="宋体" w:cs="宋体"/>
                <w:szCs w:val="21"/>
              </w:rPr>
            </w:pPr>
          </w:p>
        </w:tc>
        <w:tc>
          <w:tcPr>
            <w:tcW w:w="749" w:type="dxa"/>
            <w:tcBorders>
              <w:bottom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1"/>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pPr>
              <w:rPr>
                <w:rFonts w:hint="eastAsia" w:ascii="宋体" w:hAnsi="宋体" w:cs="宋体"/>
                <w:szCs w:val="21"/>
              </w:rPr>
            </w:pPr>
          </w:p>
        </w:tc>
        <w:tc>
          <w:tcPr>
            <w:tcW w:w="749" w:type="dxa"/>
            <w:tcBorders>
              <w:top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8</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9</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10</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color w:val="auto"/>
                <w:spacing w:val="-2"/>
                <w:szCs w:val="21"/>
                <w:lang w:eastAsia="zh-CN"/>
              </w:rPr>
              <w:t>评审结果：须写通过或者不通过</w:t>
            </w:r>
          </w:p>
        </w:tc>
        <w:tc>
          <w:tcPr>
            <w:tcW w:w="1502" w:type="dxa"/>
            <w:gridSpan w:val="2"/>
            <w:tcBorders>
              <w:left w:val="single" w:color="auto" w:sz="4" w:space="0"/>
              <w:right w:val="single" w:color="auto" w:sz="4" w:space="0"/>
            </w:tcBorders>
            <w:noWrap w:val="0"/>
            <w:vAlign w:val="center"/>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ind w:firstLine="375" w:firstLineChars="180"/>
              <w:rPr>
                <w:rFonts w:hint="eastAsia" w:ascii="宋体" w:hAnsi="宋体" w:cs="宋体"/>
                <w:szCs w:val="21"/>
              </w:rPr>
            </w:pPr>
            <w:r>
              <w:rPr>
                <w:rFonts w:hint="eastAsia" w:ascii="宋体" w:hAnsi="宋体" w:cs="宋体"/>
                <w:color w:val="auto"/>
                <w:spacing w:val="-2"/>
                <w:szCs w:val="21"/>
              </w:rPr>
              <w:t xml:space="preserve">结论：通过评审打“√”，未通过评审打“×”   </w:t>
            </w:r>
            <w:r>
              <w:rPr>
                <w:rFonts w:hint="eastAsia" w:ascii="宋体" w:hAnsi="宋体" w:cs="宋体"/>
                <w:color w:val="auto"/>
                <w:szCs w:val="21"/>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52" w:name="_Toc362983803"/>
      <w:bookmarkStart w:id="53" w:name="_Toc469495734"/>
    </w:p>
    <w:p>
      <w:pPr>
        <w:shd w:val="clear" w:color="auto" w:fill="auto"/>
        <w:spacing w:line="400" w:lineRule="exact"/>
        <w:ind w:firstLine="3113" w:firstLineChars="1100"/>
        <w:rPr>
          <w:rFonts w:hint="eastAsia" w:ascii="宋体"/>
          <w:b/>
          <w:color w:val="auto"/>
          <w:sz w:val="28"/>
          <w:szCs w:val="28"/>
          <w:highlight w:val="none"/>
        </w:rPr>
      </w:pPr>
    </w:p>
    <w:p>
      <w:pPr>
        <w:shd w:val="clear" w:color="auto" w:fill="auto"/>
        <w:spacing w:line="400" w:lineRule="exact"/>
        <w:ind w:firstLine="3113" w:firstLineChars="1100"/>
        <w:rPr>
          <w:rFonts w:hint="eastAsia" w:ascii="宋体"/>
          <w:b/>
          <w:color w:val="auto"/>
          <w:sz w:val="24"/>
          <w:highlight w:val="none"/>
        </w:rPr>
      </w:pPr>
      <w:r>
        <w:rPr>
          <w:rFonts w:hint="eastAsia" w:ascii="宋体"/>
          <w:b/>
          <w:color w:val="auto"/>
          <w:sz w:val="28"/>
          <w:szCs w:val="28"/>
          <w:highlight w:val="none"/>
        </w:rPr>
        <w:t>三  投标文件的澄清和补正</w:t>
      </w:r>
      <w:bookmarkEnd w:id="52"/>
      <w:bookmarkEnd w:id="53"/>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3"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1"/>
        <w:rPr>
          <w:rFonts w:hint="eastAsia" w:ascii="宋体"/>
          <w:b/>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bookmarkStart w:id="54" w:name="_Toc469495735"/>
    </w:p>
    <w:p>
      <w:pPr>
        <w:shd w:val="clear" w:color="auto" w:fill="auto"/>
        <w:spacing w:line="400" w:lineRule="exact"/>
        <w:jc w:val="center"/>
        <w:outlineLvl w:val="1"/>
        <w:rPr>
          <w:rFonts w:hint="eastAsia" w:ascii="宋体"/>
          <w:b/>
          <w:color w:val="auto"/>
          <w:sz w:val="24"/>
          <w:highlight w:val="none"/>
        </w:rPr>
      </w:pPr>
      <w:r>
        <w:rPr>
          <w:rFonts w:hint="eastAsia" w:ascii="宋体"/>
          <w:b/>
          <w:color w:val="auto"/>
          <w:sz w:val="24"/>
          <w:highlight w:val="none"/>
        </w:rPr>
        <w:t>四 比较与评价</w:t>
      </w:r>
      <w:bookmarkEnd w:id="54"/>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bookmarkStart w:id="55" w:name="_Toc362983805"/>
      <w:bookmarkStart w:id="56" w:name="_Toc469495736"/>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（8）评分标准和细则（综合评分法评分标准）</w:t>
      </w:r>
    </w:p>
    <w:tbl>
      <w:tblPr>
        <w:tblStyle w:val="28"/>
        <w:tblpPr w:leftFromText="180" w:rightFromText="180" w:vertAnchor="text" w:horzAnchor="margin" w:tblpXSpec="center" w:tblpY="83"/>
        <w:tblW w:w="9038" w:type="dxa"/>
        <w:tblCellSpacing w:w="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1392"/>
        <w:gridCol w:w="985"/>
        <w:gridCol w:w="5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blCellSpacing w:w="0" w:type="dxa"/>
        </w:trPr>
        <w:tc>
          <w:tcPr>
            <w:tcW w:w="81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序号</w:t>
            </w:r>
          </w:p>
        </w:tc>
        <w:tc>
          <w:tcPr>
            <w:tcW w:w="1392"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评审项目</w:t>
            </w:r>
          </w:p>
        </w:tc>
        <w:tc>
          <w:tcPr>
            <w:tcW w:w="98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标准分</w:t>
            </w:r>
          </w:p>
        </w:tc>
        <w:tc>
          <w:tcPr>
            <w:tcW w:w="5846"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5" w:hRule="atLeast"/>
          <w:tblCellSpacing w:w="0" w:type="dxa"/>
        </w:trPr>
        <w:tc>
          <w:tcPr>
            <w:tcW w:w="81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392"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投标报价</w:t>
            </w:r>
          </w:p>
        </w:tc>
        <w:tc>
          <w:tcPr>
            <w:tcW w:w="98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30分</w:t>
            </w:r>
          </w:p>
        </w:tc>
        <w:tc>
          <w:tcPr>
            <w:tcW w:w="5846" w:type="dxa"/>
            <w:tcBorders>
              <w:tl2br w:val="nil"/>
              <w:tr2bl w:val="nil"/>
            </w:tcBorders>
            <w:noWrap w:val="0"/>
            <w:vAlign w:val="center"/>
          </w:tcPr>
          <w:p>
            <w:pPr>
              <w:widowControl/>
              <w:spacing w:line="240" w:lineRule="auto"/>
              <w:jc w:val="left"/>
              <w:rPr>
                <w:rFonts w:hint="eastAsia" w:asciiTheme="minorEastAsia" w:hAnsiTheme="minorEastAsia" w:eastAsiaTheme="minorEastAsia" w:cstheme="minorEastAsia"/>
                <w:color w:val="000000"/>
                <w:szCs w:val="21"/>
                <w:highlight w:val="none"/>
                <w:lang w:bidi="ar-SA"/>
              </w:rPr>
            </w:pPr>
            <w:r>
              <w:rPr>
                <w:rFonts w:hint="eastAsia" w:asciiTheme="minorEastAsia" w:hAnsiTheme="minorEastAsia" w:eastAsiaTheme="minorEastAsia" w:cstheme="minorEastAsia"/>
                <w:color w:val="000000"/>
                <w:szCs w:val="21"/>
                <w:highlight w:val="none"/>
                <w:lang w:bidi="ar-SA"/>
              </w:rPr>
              <w:t>满足文件要求且最低价格为基准价，其价格分为满分，其他投标人的价格分按公式计算：报价得分＝（基准价／报价）x价格权值x100。【说明：给予小型、微型企业的价格给予6％-10％的扣除，用扣除后的价格参与评审，本项目具体扣除比例为6％。（小数点后保留二位小数，第三位四舍五入）。</w:t>
            </w:r>
          </w:p>
          <w:p>
            <w:pPr>
              <w:widowControl/>
              <w:spacing w:line="24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szCs w:val="21"/>
                <w:highlight w:val="none"/>
                <w:lang w:bidi="ar-SA"/>
              </w:rPr>
              <w:t>（投标总报价超过采购预算价的按废标处理。）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6" w:hRule="atLeast"/>
          <w:tblCellSpacing w:w="0" w:type="dxa"/>
        </w:trPr>
        <w:tc>
          <w:tcPr>
            <w:tcW w:w="815" w:type="dxa"/>
            <w:tcBorders>
              <w:tl2br w:val="nil"/>
              <w:tr2bl w:val="nil"/>
            </w:tcBorders>
            <w:noWrap w:val="0"/>
            <w:vAlign w:val="center"/>
          </w:tcPr>
          <w:p>
            <w:pPr>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392" w:type="dxa"/>
            <w:tcBorders>
              <w:tl2br w:val="nil"/>
              <w:tr2bl w:val="nil"/>
            </w:tcBorders>
            <w:noWrap w:val="0"/>
            <w:vAlign w:val="center"/>
          </w:tcPr>
          <w:p>
            <w:pPr>
              <w:rPr>
                <w:rFonts w:hint="eastAsia" w:asciiTheme="minorEastAsia" w:hAnsiTheme="minorEastAsia" w:eastAsiaTheme="minorEastAsia" w:cstheme="minorEastAsia"/>
                <w:color w:val="auto"/>
                <w:szCs w:val="21"/>
                <w:shd w:val="clear" w:color="auto" w:fill="auto"/>
                <w:lang w:eastAsia="zh-CN"/>
              </w:rPr>
            </w:pPr>
            <w:r>
              <w:rPr>
                <w:rFonts w:hint="eastAsia" w:asciiTheme="minorEastAsia" w:hAnsiTheme="minorEastAsia" w:eastAsiaTheme="minorEastAsia" w:cstheme="minorEastAsia"/>
                <w:color w:val="auto"/>
                <w:szCs w:val="21"/>
                <w:shd w:val="clear" w:color="auto" w:fill="auto"/>
                <w:lang w:eastAsia="zh-CN"/>
              </w:rPr>
              <w:t>产品性能技术参数及相关要求</w:t>
            </w:r>
          </w:p>
        </w:tc>
        <w:tc>
          <w:tcPr>
            <w:tcW w:w="985" w:type="dxa"/>
            <w:tcBorders>
              <w:tl2br w:val="nil"/>
              <w:tr2bl w:val="nil"/>
            </w:tcBorders>
            <w:noWrap w:val="0"/>
            <w:vAlign w:val="center"/>
          </w:tcPr>
          <w:p>
            <w:pPr>
              <w:widowControl/>
              <w:spacing w:line="240" w:lineRule="auto"/>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35分</w:t>
            </w:r>
          </w:p>
        </w:tc>
        <w:tc>
          <w:tcPr>
            <w:tcW w:w="5846" w:type="dxa"/>
            <w:tcBorders>
              <w:tl2br w:val="nil"/>
              <w:tr2bl w:val="nil"/>
            </w:tcBorders>
            <w:noWrap w:val="0"/>
            <w:vAlign w:val="center"/>
          </w:tcPr>
          <w:p>
            <w:pPr>
              <w:pStyle w:val="82"/>
              <w:numPr>
                <w:ilvl w:val="0"/>
                <w:numId w:val="0"/>
              </w:numPr>
              <w:tabs>
                <w:tab w:val="center" w:pos="2284"/>
              </w:tabs>
              <w:ind w:leftChars="0"/>
              <w:jc w:val="left"/>
              <w:rPr>
                <w:rFonts w:hint="eastAsia" w:asciiTheme="minorEastAsia" w:hAnsiTheme="minorEastAsia" w:eastAsiaTheme="minorEastAsia" w:cstheme="minorEastAsia"/>
                <w:kern w:val="0"/>
                <w:sz w:val="21"/>
                <w:szCs w:val="21"/>
                <w:lang w:val="en-US" w:eastAsia="zh-CN"/>
              </w:rPr>
            </w:pPr>
          </w:p>
          <w:p>
            <w:pPr>
              <w:pStyle w:val="82"/>
              <w:numPr>
                <w:ilvl w:val="0"/>
                <w:numId w:val="0"/>
              </w:numPr>
              <w:tabs>
                <w:tab w:val="center" w:pos="2284"/>
              </w:tabs>
              <w:ind w:leftChars="0"/>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1．技术指标、参数完全符合招标文件技术指标、参数要求的得25分.</w:t>
            </w:r>
          </w:p>
          <w:p>
            <w:pPr>
              <w:pStyle w:val="82"/>
              <w:numPr>
                <w:ilvl w:val="0"/>
                <w:numId w:val="0"/>
              </w:numPr>
              <w:tabs>
                <w:tab w:val="center" w:pos="2284"/>
              </w:tabs>
              <w:ind w:lef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2．投标人技术指标、参数高于招标文件规定的相应技术指标、参数的，每有一项加1分，共10分（并提供真实相关证明资料（加盖公章的检测报告），否则不计分值）</w:t>
            </w:r>
          </w:p>
          <w:p>
            <w:pPr>
              <w:pStyle w:val="82"/>
              <w:numPr>
                <w:ilvl w:val="0"/>
                <w:numId w:val="0"/>
              </w:numPr>
              <w:tabs>
                <w:tab w:val="center" w:pos="2284"/>
              </w:tabs>
              <w:ind w:leftChars="0"/>
              <w:jc w:val="left"/>
              <w:rPr>
                <w:rFonts w:hint="eastAsia" w:asciiTheme="minorEastAsia" w:hAnsiTheme="minorEastAsia" w:eastAsiaTheme="minorEastAsia" w:cstheme="min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blCellSpacing w:w="0" w:type="dxa"/>
        </w:trPr>
        <w:tc>
          <w:tcPr>
            <w:tcW w:w="815" w:type="dxa"/>
            <w:tcBorders>
              <w:tl2br w:val="nil"/>
              <w:tr2bl w:val="nil"/>
            </w:tcBorders>
            <w:noWrap w:val="0"/>
            <w:vAlign w:val="center"/>
          </w:tcPr>
          <w:p>
            <w:pPr>
              <w:widowControl/>
              <w:spacing w:line="240" w:lineRule="auto"/>
              <w:ind w:firstLine="106" w:firstLineChars="5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392" w:type="dxa"/>
            <w:tcBorders>
              <w:tl2br w:val="nil"/>
              <w:tr2bl w:val="nil"/>
            </w:tcBorders>
            <w:noWrap w:val="0"/>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实施方案</w:t>
            </w:r>
          </w:p>
        </w:tc>
        <w:tc>
          <w:tcPr>
            <w:tcW w:w="985" w:type="dxa"/>
            <w:tcBorders>
              <w:tl2br w:val="nil"/>
              <w:tr2bl w:val="nil"/>
            </w:tcBorders>
            <w:noWrap w:val="0"/>
            <w:vAlign w:val="center"/>
          </w:tcPr>
          <w:p>
            <w:pPr>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lang w:val="en-US" w:eastAsia="zh-CN"/>
              </w:rPr>
              <w:t>10分</w:t>
            </w:r>
          </w:p>
        </w:tc>
        <w:tc>
          <w:tcPr>
            <w:tcW w:w="5846" w:type="dxa"/>
            <w:tcBorders>
              <w:tl2br w:val="nil"/>
              <w:tr2bl w:val="nil"/>
            </w:tcBorders>
            <w:noWrap w:val="0"/>
            <w:vAlign w:val="center"/>
          </w:tcPr>
          <w:p>
            <w:pPr>
              <w:jc w:val="left"/>
              <w:rPr>
                <w:rFonts w:hint="eastAsia"/>
                <w:lang w:val="en-US" w:eastAsia="zh-CN"/>
              </w:rPr>
            </w:pPr>
          </w:p>
          <w:p>
            <w:pPr>
              <w:jc w:val="left"/>
              <w:rPr>
                <w:rFonts w:hint="eastAsia"/>
                <w:lang w:val="en-US" w:eastAsia="zh-CN"/>
              </w:rPr>
            </w:pPr>
            <w:r>
              <w:rPr>
                <w:rFonts w:hint="eastAsia"/>
                <w:lang w:val="en-US" w:eastAsia="zh-CN"/>
              </w:rPr>
              <w:t>1．投标单位有合理的、详细的、流程清晰的、切实可行的、完整的项目实施方案；进行评价打分，优得5分，一般得2分，</w:t>
            </w:r>
          </w:p>
          <w:p>
            <w:pPr>
              <w:jc w:val="left"/>
              <w:rPr>
                <w:rFonts w:hint="eastAsia"/>
                <w:lang w:val="en-US" w:eastAsia="zh-CN"/>
              </w:rPr>
            </w:pPr>
            <w:r>
              <w:rPr>
                <w:rFonts w:hint="eastAsia"/>
                <w:lang w:val="en-US" w:eastAsia="zh-CN"/>
              </w:rPr>
              <w:t>2．投标人在充分响应招标文件要求的前提下做出相关违约惩罚措施或服务承诺，措施或承诺可行、合理的，进行评价打分。（提供书面材料）优得5分，一般得2分。</w:t>
            </w:r>
          </w:p>
          <w:p>
            <w:pPr>
              <w:pStyle w:val="5"/>
              <w:numPr>
                <w:ilvl w:val="1"/>
                <w:numId w:val="0"/>
              </w:numPr>
              <w:rPr>
                <w:rFonts w:hint="eastAsia"/>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blCellSpacing w:w="0" w:type="dxa"/>
        </w:trPr>
        <w:tc>
          <w:tcPr>
            <w:tcW w:w="815" w:type="dxa"/>
            <w:vMerge w:val="restart"/>
            <w:tcBorders>
              <w:tl2br w:val="nil"/>
              <w:tr2bl w:val="nil"/>
            </w:tcBorders>
            <w:noWrap w:val="0"/>
            <w:vAlign w:val="center"/>
          </w:tcPr>
          <w:p>
            <w:pPr>
              <w:widowControl/>
              <w:spacing w:line="240" w:lineRule="auto"/>
              <w:ind w:firstLine="106" w:firstLineChars="5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1392" w:type="dxa"/>
            <w:vMerge w:val="restart"/>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质量保证及售后服务承诺</w:t>
            </w:r>
          </w:p>
        </w:tc>
        <w:tc>
          <w:tcPr>
            <w:tcW w:w="985" w:type="dxa"/>
            <w:vMerge w:val="restart"/>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20分</w:t>
            </w: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对投标人根据本项目所提供的售后服务方案进行分，售后方案内容详实，科学合理的得10分，售后方案内容简单、科学合理性一般的得5分。（共10分）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blCellSpacing w:w="0" w:type="dxa"/>
        </w:trPr>
        <w:tc>
          <w:tcPr>
            <w:tcW w:w="815" w:type="dxa"/>
            <w:vMerge w:val="continue"/>
            <w:tcBorders>
              <w:tl2br w:val="nil"/>
              <w:tr2bl w:val="nil"/>
            </w:tcBorders>
            <w:noWrap w:val="0"/>
            <w:vAlign w:val="center"/>
          </w:tcPr>
          <w:p>
            <w:pPr>
              <w:jc w:val="left"/>
            </w:pPr>
          </w:p>
        </w:tc>
        <w:tc>
          <w:tcPr>
            <w:tcW w:w="1392" w:type="dxa"/>
            <w:vMerge w:val="continue"/>
            <w:tcBorders>
              <w:tl2br w:val="nil"/>
              <w:tr2bl w:val="nil"/>
            </w:tcBorders>
            <w:noWrap w:val="0"/>
            <w:vAlign w:val="center"/>
          </w:tcPr>
          <w:p>
            <w:pPr>
              <w:jc w:val="left"/>
            </w:pPr>
          </w:p>
        </w:tc>
        <w:tc>
          <w:tcPr>
            <w:tcW w:w="985" w:type="dxa"/>
            <w:vMerge w:val="continue"/>
            <w:tcBorders>
              <w:tl2br w:val="nil"/>
              <w:tr2bl w:val="nil"/>
            </w:tcBorders>
            <w:noWrap w:val="0"/>
            <w:vAlign w:val="center"/>
          </w:tcPr>
          <w:p>
            <w:pPr>
              <w:jc w:val="left"/>
            </w:pP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质保期满足招标文件要求的得2分，每延长一年加1分，最多加2分。（共4分）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blCellSpacing w:w="0" w:type="dxa"/>
        </w:trPr>
        <w:tc>
          <w:tcPr>
            <w:tcW w:w="81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1392"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98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供应商要具备快速解决设备故障的服务能力，满足招标文件售后服务承诺响应时间并承诺出现产品质量问题和机械故障在4小时务承诺内排除故障的得2分。每提前1个小时派专业人员到达现场，加0.5分，最多加2分。（共4分）（提供加盖公章的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blCellSpacing w:w="0" w:type="dxa"/>
        </w:trPr>
        <w:tc>
          <w:tcPr>
            <w:tcW w:w="81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1392"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98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根据实际情况，提供实质性的优惠措施（备品备件，零部件等）价格最低且备件、零部件最全的为第一名得3分，第二名得2分，第三名得0.5分。（共2分）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blCellSpacing w:w="0" w:type="dxa"/>
        </w:trPr>
        <w:tc>
          <w:tcPr>
            <w:tcW w:w="815" w:type="dxa"/>
            <w:tcBorders>
              <w:tl2br w:val="nil"/>
              <w:tr2bl w:val="nil"/>
            </w:tcBorders>
            <w:noWrap w:val="0"/>
            <w:vAlign w:val="center"/>
          </w:tcPr>
          <w:p>
            <w:pPr>
              <w:widowControl/>
              <w:spacing w:line="240" w:lineRule="auto"/>
              <w:ind w:firstLine="106" w:firstLineChars="5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1392" w:type="dxa"/>
            <w:tcBorders>
              <w:tl2br w:val="nil"/>
              <w:tr2bl w:val="nil"/>
            </w:tcBorders>
            <w:noWrap w:val="0"/>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标书制作</w:t>
            </w:r>
          </w:p>
        </w:tc>
        <w:tc>
          <w:tcPr>
            <w:tcW w:w="985" w:type="dxa"/>
            <w:tcBorders>
              <w:tl2br w:val="nil"/>
              <w:tr2bl w:val="nil"/>
            </w:tcBorders>
            <w:noWrap w:val="0"/>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tc>
        <w:tc>
          <w:tcPr>
            <w:tcW w:w="5846" w:type="dxa"/>
            <w:tcBorders>
              <w:tl2br w:val="nil"/>
              <w:tr2bl w:val="nil"/>
            </w:tcBorders>
            <w:noWrap w:val="0"/>
            <w:vAlign w:val="top"/>
          </w:tcPr>
          <w:p>
            <w:pPr>
              <w:rPr>
                <w:rFonts w:hint="eastAsia"/>
                <w:lang w:val="en-US" w:eastAsia="zh-CN"/>
              </w:rPr>
            </w:pPr>
          </w:p>
          <w:p>
            <w:pPr>
              <w:rPr>
                <w:rFonts w:hint="eastAsia"/>
                <w:lang w:val="en-US" w:eastAsia="zh-CN"/>
              </w:rPr>
            </w:pPr>
            <w:r>
              <w:rPr>
                <w:rFonts w:hint="eastAsia"/>
                <w:lang w:val="en-US" w:eastAsia="zh-CN"/>
              </w:rPr>
              <w:t>投标文件按照招标文件要求的格式、内容及顺序填写（包括目录、页码、签字、总体编排等项目），整齐美观，优得5分，一般得2分。</w:t>
            </w:r>
          </w:p>
          <w:p>
            <w:pPr>
              <w:pStyle w:val="5"/>
              <w:numPr>
                <w:ilvl w:val="1"/>
                <w:numId w:val="0"/>
              </w:numPr>
              <w:rPr>
                <w:rFonts w:hint="eastAsia"/>
                <w:lang w:val="en-US" w:eastAsia="zh-CN"/>
              </w:rPr>
            </w:pPr>
          </w:p>
        </w:tc>
      </w:tr>
    </w:tbl>
    <w:p>
      <w:pPr>
        <w:rPr>
          <w:rFonts w:hint="eastAsia"/>
          <w:lang w:val="en-US" w:eastAsia="zh-CN"/>
        </w:rPr>
      </w:pP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3、与招标文件有重大偏离的投标文件将被拒绝。</w:t>
      </w:r>
    </w:p>
    <w:p>
      <w:pPr>
        <w:shd w:val="clear" w:color="auto" w:fill="auto"/>
        <w:snapToGrid w:val="0"/>
        <w:spacing w:line="400" w:lineRule="exact"/>
        <w:ind w:firstLine="426"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lang w:val="en-US" w:eastAsia="zh-CN"/>
        </w:rPr>
        <w:t>%×100</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p>
    <w:p>
      <w:pPr>
        <w:shd w:val="clear" w:color="auto" w:fill="auto"/>
        <w:spacing w:before="156" w:beforeLines="50" w:line="400" w:lineRule="exact"/>
        <w:jc w:val="center"/>
        <w:outlineLvl w:val="1"/>
        <w:rPr>
          <w:rFonts w:hint="eastAsia" w:ascii="宋体"/>
          <w:b w:val="0"/>
          <w:bCs/>
          <w:color w:val="auto"/>
          <w:sz w:val="24"/>
          <w:highlight w:val="none"/>
        </w:rPr>
      </w:pPr>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p>
    <w:p>
      <w:pPr>
        <w:shd w:val="clear" w:color="auto" w:fill="auto"/>
        <w:snapToGrid w:val="0"/>
        <w:spacing w:line="400" w:lineRule="exact"/>
        <w:ind w:firstLine="426"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pPr>
        <w:shd w:val="clear" w:color="auto" w:fill="auto"/>
        <w:spacing w:line="400" w:lineRule="exact"/>
        <w:ind w:firstLine="416"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6"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6"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(2)投标人为本项目提供招标代理服务的；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(3)投标人与在本项目代理机构存在相互任职或工作的；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(4)投标保证金未按规定要求缴纳的；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(6)投标人超出营业范围投标的；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(7)联合体投标未提交联合体协议的；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(8)被暂停营业的；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(9)被暂停或取消投标资格的；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(10)财产被接管或冻结的；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(11)投标人单位负责人为同一人或者存在控股、管理关系的不同单位的；</w:t>
      </w:r>
    </w:p>
    <w:p>
      <w:pPr>
        <w:shd w:val="clear" w:color="auto" w:fill="auto"/>
        <w:snapToGrid w:val="0"/>
        <w:spacing w:line="400" w:lineRule="exact"/>
        <w:ind w:firstLine="319"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（13）投标人使用相同的MAC地址进行报名的；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（14）其它情形，经评标委员会委提出按无效投标处理，并经公共资源交易监督部门核准的；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（15）投标人使用相同IP地址报名的，一经发现，监管部门将进一步核实，查实后按串通投标处理；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50"/>
      <w:bookmarkEnd w:id="51"/>
      <w:bookmarkEnd w:id="55"/>
      <w:bookmarkEnd w:id="56"/>
      <w:bookmarkStart w:id="57" w:name="OLE_LINK4"/>
    </w:p>
    <w:p>
      <w:pPr>
        <w:pStyle w:val="2"/>
        <w:rPr>
          <w:rFonts w:hint="eastAsia"/>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rPr>
          <w:rFonts w:hint="eastAsia"/>
          <w:lang w:val="en-US" w:eastAsia="zh-CN"/>
        </w:rPr>
      </w:pPr>
    </w:p>
    <w:p>
      <w:pPr>
        <w:numPr>
          <w:ilvl w:val="0"/>
          <w:numId w:val="10"/>
        </w:numPr>
        <w:jc w:val="center"/>
        <w:rPr>
          <w:rFonts w:hint="eastAsia" w:ascii="Times New Roman" w:hAnsi="Times New Roman" w:eastAsia="宋体" w:cs="Times New Roman"/>
          <w:b/>
          <w:bCs/>
          <w:sz w:val="32"/>
          <w:szCs w:val="40"/>
          <w:lang w:val="en-US" w:eastAsia="zh-CN"/>
        </w:rPr>
      </w:pPr>
      <w:r>
        <w:rPr>
          <w:rFonts w:hint="eastAsia" w:ascii="Times New Roman" w:hAnsi="Times New Roman" w:eastAsia="宋体" w:cs="Times New Roman"/>
          <w:b/>
          <w:bCs/>
          <w:sz w:val="32"/>
          <w:szCs w:val="40"/>
          <w:lang w:val="en-US" w:eastAsia="zh-CN"/>
        </w:rPr>
        <w:t>采购内容及技术要求</w:t>
      </w:r>
    </w:p>
    <w:p>
      <w:pPr>
        <w:jc w:val="center"/>
        <w:rPr>
          <w:rFonts w:hint="eastAsia"/>
          <w:sz w:val="18"/>
          <w:szCs w:val="21"/>
          <w:lang w:val="en-US" w:eastAsia="zh-CN"/>
        </w:rPr>
      </w:pPr>
      <w:r>
        <w:rPr>
          <w:rFonts w:hint="eastAsia"/>
          <w:b/>
          <w:bCs/>
          <w:sz w:val="32"/>
          <w:szCs w:val="40"/>
        </w:rPr>
        <w:t>信息技术</w:t>
      </w:r>
    </w:p>
    <w:tbl>
      <w:tblPr>
        <w:tblStyle w:val="29"/>
        <w:tblpPr w:leftFromText="180" w:rightFromText="180" w:vertAnchor="text" w:horzAnchor="page" w:tblpX="1160" w:tblpY="599"/>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144"/>
        <w:gridCol w:w="6310"/>
        <w:gridCol w:w="850"/>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53" w:type="dxa"/>
          </w:tcPr>
          <w:p>
            <w:pPr>
              <w:jc w:val="center"/>
              <w:rPr>
                <w:rFonts w:hint="eastAsia" w:eastAsiaTheme="minorEastAsia"/>
                <w:vertAlign w:val="baseline"/>
                <w:lang w:eastAsia="zh-CN"/>
              </w:rPr>
            </w:pPr>
            <w:r>
              <w:rPr>
                <w:rFonts w:hint="eastAsia"/>
                <w:vertAlign w:val="baseline"/>
                <w:lang w:eastAsia="zh-CN"/>
              </w:rPr>
              <w:t>序号</w:t>
            </w:r>
          </w:p>
        </w:tc>
        <w:tc>
          <w:tcPr>
            <w:tcW w:w="1144" w:type="dxa"/>
          </w:tcPr>
          <w:p>
            <w:pPr>
              <w:jc w:val="center"/>
              <w:rPr>
                <w:rFonts w:hint="eastAsia" w:eastAsiaTheme="minorEastAsia"/>
                <w:vertAlign w:val="baseline"/>
                <w:lang w:eastAsia="zh-CN"/>
              </w:rPr>
            </w:pPr>
            <w:r>
              <w:rPr>
                <w:rFonts w:hint="eastAsia"/>
                <w:vertAlign w:val="baseline"/>
                <w:lang w:eastAsia="zh-CN"/>
              </w:rPr>
              <w:t>名称</w:t>
            </w:r>
          </w:p>
        </w:tc>
        <w:tc>
          <w:tcPr>
            <w:tcW w:w="6310" w:type="dxa"/>
          </w:tcPr>
          <w:p>
            <w:pPr>
              <w:jc w:val="center"/>
              <w:rPr>
                <w:rFonts w:hint="eastAsia" w:eastAsiaTheme="minorEastAsia"/>
                <w:vertAlign w:val="baseline"/>
                <w:lang w:eastAsia="zh-CN"/>
              </w:rPr>
            </w:pPr>
            <w:r>
              <w:rPr>
                <w:rFonts w:hint="eastAsia"/>
                <w:vertAlign w:val="baseline"/>
                <w:lang w:eastAsia="zh-CN"/>
              </w:rPr>
              <w:t>参数</w:t>
            </w:r>
          </w:p>
        </w:tc>
        <w:tc>
          <w:tcPr>
            <w:tcW w:w="850" w:type="dxa"/>
          </w:tcPr>
          <w:p>
            <w:pPr>
              <w:jc w:val="center"/>
              <w:rPr>
                <w:rFonts w:hint="eastAsia" w:eastAsiaTheme="minorEastAsia"/>
                <w:vertAlign w:val="baseline"/>
                <w:lang w:eastAsia="zh-CN"/>
              </w:rPr>
            </w:pPr>
            <w:r>
              <w:rPr>
                <w:rFonts w:hint="eastAsia"/>
                <w:vertAlign w:val="baseline"/>
                <w:lang w:eastAsia="zh-CN"/>
              </w:rPr>
              <w:t>数量</w:t>
            </w:r>
          </w:p>
        </w:tc>
        <w:tc>
          <w:tcPr>
            <w:tcW w:w="958" w:type="dxa"/>
          </w:tcPr>
          <w:p>
            <w:pPr>
              <w:jc w:val="center"/>
              <w:rPr>
                <w:rFonts w:hint="eastAsia" w:eastAsiaTheme="minorEastAsia"/>
                <w:vertAlign w:val="baseline"/>
                <w:lang w:eastAsia="zh-CN"/>
              </w:rPr>
            </w:pPr>
            <w:r>
              <w:rPr>
                <w:rFonts w:hint="eastAsia"/>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4" w:hRule="atLeast"/>
        </w:trPr>
        <w:tc>
          <w:tcPr>
            <w:tcW w:w="653"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1</w:t>
            </w:r>
          </w:p>
        </w:tc>
        <w:tc>
          <w:tcPr>
            <w:tcW w:w="1144" w:type="dxa"/>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eastAsiaTheme="minorEastAsia"/>
                <w:vertAlign w:val="baseline"/>
                <w:lang w:eastAsia="zh-CN"/>
              </w:rPr>
            </w:pPr>
            <w:r>
              <w:rPr>
                <w:rFonts w:hint="eastAsia"/>
                <w:vertAlign w:val="baseline"/>
                <w:lang w:eastAsia="zh-CN"/>
              </w:rPr>
              <w:t>学生电脑</w:t>
            </w:r>
          </w:p>
        </w:tc>
        <w:tc>
          <w:tcPr>
            <w:tcW w:w="6310" w:type="dxa"/>
          </w:tcPr>
          <w:p>
            <w:pPr>
              <w:jc w:val="left"/>
              <w:rPr>
                <w:rFonts w:hint="eastAsia"/>
                <w:vertAlign w:val="baseline"/>
              </w:rPr>
            </w:pPr>
            <w:r>
              <w:rPr>
                <w:rFonts w:hint="eastAsia"/>
                <w:vertAlign w:val="baseline"/>
              </w:rPr>
              <w:t>处理器CPU系列 酷睿i7 10代系列</w:t>
            </w:r>
          </w:p>
          <w:p>
            <w:pPr>
              <w:jc w:val="left"/>
              <w:rPr>
                <w:rFonts w:hint="eastAsia"/>
                <w:vertAlign w:val="baseline"/>
              </w:rPr>
            </w:pPr>
            <w:r>
              <w:rPr>
                <w:rFonts w:hint="eastAsia"/>
                <w:vertAlign w:val="baseline"/>
              </w:rPr>
              <w:t>CPU频率 2.9GHz</w:t>
            </w:r>
          </w:p>
          <w:p>
            <w:pPr>
              <w:jc w:val="left"/>
              <w:rPr>
                <w:rFonts w:hint="eastAsia"/>
                <w:vertAlign w:val="baseline"/>
              </w:rPr>
            </w:pPr>
            <w:r>
              <w:rPr>
                <w:rFonts w:hint="eastAsia"/>
                <w:vertAlign w:val="baseline"/>
              </w:rPr>
              <w:t>缓存L3 16MB</w:t>
            </w:r>
          </w:p>
          <w:p>
            <w:pPr>
              <w:jc w:val="left"/>
              <w:rPr>
                <w:rFonts w:hint="eastAsia"/>
                <w:vertAlign w:val="baseline"/>
              </w:rPr>
            </w:pPr>
            <w:r>
              <w:rPr>
                <w:rFonts w:hint="eastAsia"/>
                <w:vertAlign w:val="baseline"/>
              </w:rPr>
              <w:t>内存容量 8GB</w:t>
            </w:r>
          </w:p>
          <w:p>
            <w:pPr>
              <w:jc w:val="left"/>
              <w:rPr>
                <w:rFonts w:hint="eastAsia"/>
                <w:vertAlign w:val="baseline"/>
              </w:rPr>
            </w:pPr>
            <w:r>
              <w:rPr>
                <w:rFonts w:hint="eastAsia"/>
                <w:vertAlign w:val="baseline"/>
              </w:rPr>
              <w:t>内存类型 DDR4</w:t>
            </w:r>
          </w:p>
          <w:p>
            <w:pPr>
              <w:jc w:val="left"/>
              <w:rPr>
                <w:rFonts w:hint="eastAsia"/>
                <w:vertAlign w:val="baseline"/>
              </w:rPr>
            </w:pPr>
            <w:r>
              <w:rPr>
                <w:rFonts w:hint="eastAsia"/>
                <w:vertAlign w:val="baseline"/>
              </w:rPr>
              <w:t>硬盘容量 256GB+1TB</w:t>
            </w:r>
          </w:p>
          <w:p>
            <w:pPr>
              <w:jc w:val="left"/>
              <w:rPr>
                <w:rFonts w:hint="eastAsia"/>
                <w:vertAlign w:val="baseline"/>
              </w:rPr>
            </w:pPr>
            <w:r>
              <w:rPr>
                <w:rFonts w:hint="eastAsia"/>
                <w:vertAlign w:val="baseline"/>
              </w:rPr>
              <w:t>显卡类型 独立显卡</w:t>
            </w:r>
          </w:p>
          <w:p>
            <w:pPr>
              <w:jc w:val="left"/>
              <w:rPr>
                <w:rFonts w:hint="eastAsia"/>
                <w:vertAlign w:val="baseline"/>
              </w:rPr>
            </w:pPr>
            <w:r>
              <w:rPr>
                <w:rFonts w:hint="eastAsia"/>
                <w:vertAlign w:val="baseline"/>
              </w:rPr>
              <w:t>显存容量 2GB</w:t>
            </w:r>
          </w:p>
          <w:p>
            <w:pPr>
              <w:jc w:val="left"/>
              <w:rPr>
                <w:rFonts w:hint="eastAsia"/>
                <w:vertAlign w:val="baseline"/>
              </w:rPr>
            </w:pPr>
            <w:r>
              <w:rPr>
                <w:rFonts w:hint="eastAsia"/>
                <w:vertAlign w:val="baseline"/>
              </w:rPr>
              <w:t>屏幕尺寸 ≥21.5英寸</w:t>
            </w:r>
          </w:p>
          <w:p>
            <w:pPr>
              <w:jc w:val="left"/>
              <w:rPr>
                <w:rFonts w:hint="eastAsia"/>
                <w:vertAlign w:val="baseline"/>
              </w:rPr>
            </w:pPr>
            <w:r>
              <w:rPr>
                <w:rFonts w:hint="eastAsia"/>
                <w:vertAlign w:val="baseline"/>
              </w:rPr>
              <w:t>屏幕分辨率 ≥1920x1080</w:t>
            </w:r>
          </w:p>
          <w:p>
            <w:pPr>
              <w:jc w:val="left"/>
              <w:rPr>
                <w:rFonts w:hint="eastAsia"/>
                <w:vertAlign w:val="baseline"/>
              </w:rPr>
            </w:pPr>
            <w:r>
              <w:rPr>
                <w:rFonts w:hint="eastAsia"/>
                <w:vertAlign w:val="baseline"/>
              </w:rPr>
              <w:t>屏幕描述 窄边框</w:t>
            </w:r>
          </w:p>
          <w:p>
            <w:pPr>
              <w:jc w:val="left"/>
              <w:rPr>
                <w:rFonts w:hint="eastAsia"/>
                <w:vertAlign w:val="baseline"/>
              </w:rPr>
            </w:pPr>
            <w:r>
              <w:rPr>
                <w:rFonts w:hint="eastAsia"/>
                <w:vertAlign w:val="baseline"/>
              </w:rPr>
              <w:t>摄像头 1080P高清摄像头（物理防窥）</w:t>
            </w:r>
          </w:p>
          <w:p>
            <w:pPr>
              <w:jc w:val="left"/>
              <w:rPr>
                <w:rFonts w:hint="eastAsia"/>
                <w:vertAlign w:val="baseline"/>
              </w:rPr>
            </w:pPr>
            <w:r>
              <w:rPr>
                <w:rFonts w:hint="eastAsia"/>
                <w:vertAlign w:val="baseline"/>
              </w:rPr>
              <w:t>麦克风 内置麦克风</w:t>
            </w:r>
          </w:p>
          <w:p>
            <w:pPr>
              <w:jc w:val="left"/>
              <w:rPr>
                <w:rFonts w:hint="eastAsia"/>
                <w:vertAlign w:val="baseline"/>
              </w:rPr>
            </w:pPr>
            <w:r>
              <w:rPr>
                <w:rFonts w:hint="eastAsia"/>
                <w:vertAlign w:val="baseline"/>
              </w:rPr>
              <w:t>音频系统 内置音箱</w:t>
            </w:r>
          </w:p>
          <w:p>
            <w:pPr>
              <w:jc w:val="left"/>
              <w:rPr>
                <w:rFonts w:hint="eastAsia"/>
                <w:vertAlign w:val="baseline"/>
              </w:rPr>
            </w:pPr>
            <w:r>
              <w:rPr>
                <w:rFonts w:hint="eastAsia"/>
                <w:vertAlign w:val="baseline"/>
              </w:rPr>
              <w:t>无线网卡 支持802.11ac无线协议，支持双频（2.4GHz+5GHz）</w:t>
            </w:r>
          </w:p>
          <w:p>
            <w:pPr>
              <w:jc w:val="left"/>
              <w:rPr>
                <w:rFonts w:hint="eastAsia"/>
                <w:vertAlign w:val="baseline"/>
              </w:rPr>
            </w:pPr>
            <w:r>
              <w:rPr>
                <w:rFonts w:hint="eastAsia"/>
                <w:vertAlign w:val="baseline"/>
              </w:rPr>
              <w:t>有线网卡 1000Mbps以太网卡</w:t>
            </w:r>
          </w:p>
          <w:p>
            <w:pPr>
              <w:jc w:val="left"/>
              <w:rPr>
                <w:rFonts w:hint="eastAsia"/>
                <w:vertAlign w:val="baseline"/>
              </w:rPr>
            </w:pPr>
            <w:r>
              <w:rPr>
                <w:rFonts w:hint="eastAsia"/>
                <w:vertAlign w:val="baseline"/>
              </w:rPr>
              <w:t>数据接口 4×USB2.0，1×USB3.0，1×USB3.1</w:t>
            </w:r>
          </w:p>
          <w:p>
            <w:pPr>
              <w:jc w:val="left"/>
              <w:rPr>
                <w:rFonts w:hint="eastAsia"/>
                <w:vertAlign w:val="baseline"/>
              </w:rPr>
            </w:pPr>
            <w:r>
              <w:rPr>
                <w:rFonts w:hint="eastAsia"/>
                <w:vertAlign w:val="baseline"/>
              </w:rPr>
              <w:t>音频接口 耳机/麦克风两用接口</w:t>
            </w:r>
          </w:p>
          <w:p>
            <w:pPr>
              <w:jc w:val="left"/>
              <w:rPr>
                <w:rFonts w:hint="eastAsia"/>
                <w:vertAlign w:val="baseline"/>
              </w:rPr>
            </w:pPr>
            <w:r>
              <w:rPr>
                <w:rFonts w:hint="eastAsia"/>
                <w:vertAlign w:val="baseline"/>
              </w:rPr>
              <w:t>视频接口 2×HDMI</w:t>
            </w:r>
          </w:p>
          <w:p>
            <w:pPr>
              <w:jc w:val="left"/>
              <w:rPr>
                <w:rFonts w:hint="eastAsia"/>
                <w:vertAlign w:val="baseline"/>
              </w:rPr>
            </w:pPr>
            <w:r>
              <w:rPr>
                <w:rFonts w:hint="eastAsia"/>
                <w:vertAlign w:val="baseline"/>
              </w:rPr>
              <w:t>网络接口 RJ45（网络接口）</w:t>
            </w:r>
          </w:p>
          <w:p>
            <w:pPr>
              <w:jc w:val="left"/>
              <w:rPr>
                <w:rFonts w:hint="eastAsia"/>
                <w:vertAlign w:val="baseline"/>
              </w:rPr>
            </w:pPr>
            <w:r>
              <w:rPr>
                <w:rFonts w:hint="eastAsia"/>
                <w:vertAlign w:val="baseline"/>
              </w:rPr>
              <w:t>其它接口 电源接口</w:t>
            </w:r>
          </w:p>
          <w:p>
            <w:pPr>
              <w:jc w:val="left"/>
              <w:rPr>
                <w:rFonts w:hint="eastAsia"/>
                <w:vertAlign w:val="baseline"/>
              </w:rPr>
            </w:pPr>
            <w:r>
              <w:rPr>
                <w:rFonts w:hint="eastAsia"/>
                <w:vertAlign w:val="baseline"/>
              </w:rPr>
              <w:t>注：  含耳麦、机房布线、稳压电源及一系列所需材料，确保机房正常运行：</w:t>
            </w:r>
          </w:p>
          <w:p>
            <w:pPr>
              <w:jc w:val="left"/>
              <w:rPr>
                <w:rFonts w:hint="eastAsia"/>
                <w:vertAlign w:val="baseline"/>
              </w:rPr>
            </w:pPr>
            <w:r>
              <w:rPr>
                <w:rFonts w:hint="eastAsia"/>
                <w:vertAlign w:val="baseline"/>
              </w:rPr>
              <w:t>注意：正版系统、同传软件；自带一键恢复系统；</w:t>
            </w:r>
          </w:p>
        </w:tc>
        <w:tc>
          <w:tcPr>
            <w:tcW w:w="850" w:type="dxa"/>
          </w:tcPr>
          <w:p>
            <w:pPr>
              <w:jc w:val="center"/>
              <w:rPr>
                <w:rFonts w:hint="default" w:eastAsiaTheme="minorEastAsia"/>
                <w:vertAlign w:val="baseline"/>
                <w:lang w:val="en-US" w:eastAsia="zh-CN"/>
              </w:rPr>
            </w:pPr>
            <w:r>
              <w:rPr>
                <w:rFonts w:hint="eastAsia"/>
                <w:vertAlign w:val="baseline"/>
                <w:lang w:val="en-US" w:eastAsia="zh-CN"/>
              </w:rPr>
              <w:t>25</w:t>
            </w:r>
          </w:p>
        </w:tc>
        <w:tc>
          <w:tcPr>
            <w:tcW w:w="958" w:type="dxa"/>
          </w:tcPr>
          <w:p>
            <w:pPr>
              <w:jc w:val="center"/>
              <w:rPr>
                <w:rFonts w:hint="eastAsia" w:eastAsiaTheme="minorEastAsia"/>
                <w:vertAlign w:val="baseline"/>
                <w:lang w:eastAsia="zh-CN"/>
              </w:rPr>
            </w:pPr>
            <w:r>
              <w:rPr>
                <w:rFonts w:hint="eastAsia"/>
                <w:vertAlign w:val="baseli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3"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2</w:t>
            </w:r>
          </w:p>
        </w:tc>
        <w:tc>
          <w:tcPr>
            <w:tcW w:w="1144" w:type="dxa"/>
          </w:tcPr>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r>
              <w:rPr>
                <w:rFonts w:hint="eastAsia"/>
                <w:vertAlign w:val="baseline"/>
              </w:rPr>
              <w:t>触控一体机（班班通）</w:t>
            </w:r>
          </w:p>
        </w:tc>
        <w:tc>
          <w:tcPr>
            <w:tcW w:w="6310" w:type="dxa"/>
          </w:tcPr>
          <w:p>
            <w:pPr>
              <w:jc w:val="left"/>
              <w:rPr>
                <w:rFonts w:hint="eastAsia"/>
                <w:vertAlign w:val="baseline"/>
              </w:rPr>
            </w:pPr>
            <w:r>
              <w:rPr>
                <w:rFonts w:hint="eastAsia"/>
                <w:vertAlign w:val="baseline"/>
              </w:rPr>
              <w:t>一：整体设计：</w:t>
            </w:r>
          </w:p>
          <w:p>
            <w:pPr>
              <w:jc w:val="left"/>
              <w:rPr>
                <w:rFonts w:hint="eastAsia"/>
                <w:vertAlign w:val="baseline"/>
              </w:rPr>
            </w:pPr>
            <w:r>
              <w:rPr>
                <w:rFonts w:hint="eastAsia"/>
                <w:vertAlign w:val="baseline"/>
              </w:rPr>
              <w:t>1.整机采用一体设计，外部无任何可见内部功能模块连接线。整机采用全金属外壳设计，边角采用弧形设计，表面无尖锐边缘或凸起。</w:t>
            </w:r>
          </w:p>
          <w:p>
            <w:pPr>
              <w:jc w:val="left"/>
              <w:rPr>
                <w:rFonts w:hint="eastAsia"/>
                <w:vertAlign w:val="baseline"/>
              </w:rPr>
            </w:pPr>
            <w:r>
              <w:rPr>
                <w:rFonts w:hint="eastAsia"/>
                <w:vertAlign w:val="baseline"/>
              </w:rPr>
              <w:t>2.整机屏幕采用≥75英寸液晶显示器。整机采用UHD超高清LED液晶屏，显示比例16:9，分辨率3840（L）×2160(h)、钢化玻璃表面硬度≥9H。色域覆盖率（NTSC）≥72%；灰度等级≥256级。</w:t>
            </w:r>
          </w:p>
          <w:p>
            <w:pPr>
              <w:jc w:val="left"/>
              <w:rPr>
                <w:rFonts w:hint="eastAsia"/>
                <w:vertAlign w:val="baseline"/>
              </w:rPr>
            </w:pPr>
            <w:r>
              <w:rPr>
                <w:rFonts w:hint="eastAsia"/>
                <w:vertAlign w:val="baseline"/>
              </w:rPr>
              <w:t>3.侧置输入接口具备2路HDMI、1路RS232、1路USB接口；侧置输出接口具备1路音频输出、1路触控USB输出；</w:t>
            </w:r>
          </w:p>
          <w:p>
            <w:pPr>
              <w:jc w:val="left"/>
              <w:rPr>
                <w:rFonts w:hint="eastAsia"/>
                <w:vertAlign w:val="baseline"/>
              </w:rPr>
            </w:pPr>
            <w:r>
              <w:rPr>
                <w:rFonts w:hint="eastAsia"/>
                <w:vertAlign w:val="baseline"/>
              </w:rPr>
              <w:t>4.前置输入接口3路USB接口（包含1路Type-C、2路USB）。</w:t>
            </w:r>
          </w:p>
          <w:p>
            <w:pPr>
              <w:jc w:val="left"/>
              <w:rPr>
                <w:rFonts w:hint="eastAsia"/>
                <w:vertAlign w:val="baseline"/>
              </w:rPr>
            </w:pPr>
            <w:r>
              <w:rPr>
                <w:rFonts w:hint="eastAsia"/>
                <w:vertAlign w:val="baseline"/>
              </w:rPr>
              <w:t>5.采用红外触控方式，支持Windows系统中进行20点或以上触控，支持Android系统中进行10点或以上触控。</w:t>
            </w:r>
          </w:p>
          <w:p>
            <w:pPr>
              <w:jc w:val="left"/>
              <w:rPr>
                <w:rFonts w:hint="eastAsia"/>
                <w:vertAlign w:val="baseline"/>
              </w:rPr>
            </w:pPr>
            <w:r>
              <w:rPr>
                <w:rFonts w:hint="eastAsia"/>
                <w:vertAlign w:val="baseline"/>
              </w:rPr>
              <w:t>6.整机内置2.2声道扬声器，前朝向10W高音扬声器2个，上朝向20W中低音扬声器2个，额定总功率60W。</w:t>
            </w:r>
          </w:p>
          <w:p>
            <w:pPr>
              <w:jc w:val="left"/>
              <w:rPr>
                <w:rFonts w:hint="eastAsia"/>
                <w:vertAlign w:val="baseline"/>
              </w:rPr>
            </w:pPr>
            <w:r>
              <w:rPr>
                <w:rFonts w:hint="eastAsia"/>
                <w:vertAlign w:val="baseline"/>
              </w:rPr>
              <w:t>7.整机支持高级音效设置，可以调节左右声道平衡；在中低频段125Hz～1KHz，高频段2KHz～16KHz分别有-12dB～12dB范围的调节功能。</w:t>
            </w:r>
          </w:p>
          <w:p>
            <w:pPr>
              <w:jc w:val="left"/>
              <w:rPr>
                <w:rFonts w:hint="eastAsia"/>
                <w:vertAlign w:val="baseline"/>
              </w:rPr>
            </w:pPr>
            <w:r>
              <w:rPr>
                <w:rFonts w:hint="eastAsia"/>
                <w:vertAlign w:val="baseline"/>
              </w:rPr>
              <w:t>8.整机内置非独立外扩展的4阵列麦克风，可用于对教室环境音频进行采集，拾音距离≥12m。整机内置扬声器采用缝隙发声技术，喇叭采用槽式开口设计，不大于5.8mm。</w:t>
            </w:r>
          </w:p>
          <w:p>
            <w:pPr>
              <w:jc w:val="left"/>
              <w:rPr>
                <w:rFonts w:hint="eastAsia"/>
                <w:vertAlign w:val="baseline"/>
              </w:rPr>
            </w:pPr>
            <w:r>
              <w:rPr>
                <w:rFonts w:hint="eastAsia"/>
                <w:vertAlign w:val="baseline"/>
              </w:rPr>
              <w:t>9.内置摄像头、麦克风无需外接线材连接，无任何可见外接线材及模块化拼接痕迹，未占用整机设备端口。</w:t>
            </w:r>
          </w:p>
          <w:p>
            <w:pPr>
              <w:jc w:val="left"/>
              <w:rPr>
                <w:rFonts w:hint="eastAsia"/>
                <w:vertAlign w:val="baseline"/>
              </w:rPr>
            </w:pPr>
            <w:r>
              <w:rPr>
                <w:rFonts w:hint="eastAsia"/>
                <w:vertAlign w:val="baseline"/>
              </w:rPr>
              <w:t>10.整机支持色彩空间可选，包含标准模式和sRGB模式，在sRGB模式下可做到高色准△E≤1.5。</w:t>
            </w:r>
          </w:p>
          <w:p>
            <w:pPr>
              <w:jc w:val="left"/>
              <w:rPr>
                <w:rFonts w:hint="eastAsia"/>
                <w:vertAlign w:val="baseline"/>
              </w:rPr>
            </w:pPr>
            <w:r>
              <w:rPr>
                <w:rFonts w:hint="eastAsia"/>
                <w:vertAlign w:val="baseline"/>
              </w:rPr>
              <w:t>主要功能：</w:t>
            </w:r>
          </w:p>
          <w:p>
            <w:pPr>
              <w:jc w:val="left"/>
              <w:rPr>
                <w:rFonts w:hint="eastAsia"/>
                <w:vertAlign w:val="baseline"/>
              </w:rPr>
            </w:pPr>
            <w:r>
              <w:rPr>
                <w:rFonts w:hint="eastAsia"/>
                <w:vertAlign w:val="baseline"/>
              </w:rPr>
              <w:t>11.整机摄像头支持环境色温判断，根据环境调节合适的显示图像效果。</w:t>
            </w:r>
          </w:p>
          <w:p>
            <w:pPr>
              <w:jc w:val="left"/>
              <w:rPr>
                <w:rFonts w:hint="eastAsia"/>
                <w:vertAlign w:val="baseline"/>
              </w:rPr>
            </w:pPr>
            <w:r>
              <w:rPr>
                <w:rFonts w:hint="eastAsia"/>
                <w:vertAlign w:val="baseline"/>
              </w:rPr>
              <w:t>12.支持可自定义图像设置，可对对比度、屏幕色温、图像亮度、亮度范围、色彩空间进行更进一步调节设置。</w:t>
            </w:r>
          </w:p>
          <w:p>
            <w:pPr>
              <w:jc w:val="left"/>
              <w:rPr>
                <w:rFonts w:hint="eastAsia"/>
                <w:vertAlign w:val="baseline"/>
              </w:rPr>
            </w:pPr>
            <w:r>
              <w:rPr>
                <w:rFonts w:hint="eastAsia"/>
                <w:vertAlign w:val="baseline"/>
              </w:rPr>
              <w:t>13.通过由中国标准化研究院制定的视觉舒适度（VICO）评价体系测试，并达到视觉舒适度A+级或以上标准。</w:t>
            </w:r>
          </w:p>
          <w:p>
            <w:pPr>
              <w:jc w:val="left"/>
              <w:rPr>
                <w:rFonts w:hint="eastAsia"/>
                <w:vertAlign w:val="baseline"/>
              </w:rPr>
            </w:pPr>
            <w:r>
              <w:rPr>
                <w:rFonts w:hint="eastAsia"/>
                <w:vertAlign w:val="baseline"/>
              </w:rPr>
              <w:t>14.整机视网膜蓝光危害（蓝光加权辐射亮度LB）满足IEC TR 62778:2014蓝光危害RG0级别，整机支持纸质护眼模式，可以在任意通道任意画面任意软件所有显示内容下实现画面纹理的实时调整；支持纸质纹理：牛皮纸、素描纸、宣纸、水彩纸、水纹纸；支持透明度调节；支持色温调节。</w:t>
            </w:r>
          </w:p>
          <w:p>
            <w:pPr>
              <w:jc w:val="left"/>
              <w:rPr>
                <w:rFonts w:hint="eastAsia"/>
                <w:vertAlign w:val="baseline"/>
              </w:rPr>
            </w:pPr>
            <w:r>
              <w:rPr>
                <w:rFonts w:hint="eastAsia"/>
                <w:vertAlign w:val="baseline"/>
              </w:rPr>
              <w:t>15.纸质护眼模式下，显示画面各像素点灰度不规则，减少背景干扰。</w:t>
            </w:r>
          </w:p>
          <w:p>
            <w:pPr>
              <w:jc w:val="left"/>
              <w:rPr>
                <w:rFonts w:hint="eastAsia"/>
                <w:vertAlign w:val="baseline"/>
              </w:rPr>
            </w:pPr>
            <w:r>
              <w:rPr>
                <w:rFonts w:hint="eastAsia"/>
                <w:vertAlign w:val="baseline"/>
              </w:rPr>
              <w:t>16.三合一电源按键，同一电源物理按键完成Android系统和Windows系统的开机、节能熄屏、关机操作；关机状态下按按键开机；开机状态下按按键实现节能熄屏/唤醒，长按按键实现关机。</w:t>
            </w:r>
          </w:p>
          <w:p>
            <w:pPr>
              <w:jc w:val="left"/>
              <w:rPr>
                <w:rFonts w:hint="eastAsia"/>
                <w:vertAlign w:val="baseline"/>
              </w:rPr>
            </w:pPr>
            <w:r>
              <w:rPr>
                <w:rFonts w:hint="eastAsia"/>
                <w:vertAlign w:val="baseline"/>
              </w:rPr>
              <w:t>17.整机具备至少6个前置按键，可实现老师开关机、调出中控菜单、音量+/-、护眼、录屏操作。</w:t>
            </w:r>
          </w:p>
          <w:p>
            <w:pPr>
              <w:jc w:val="left"/>
              <w:rPr>
                <w:rFonts w:hint="eastAsia"/>
                <w:vertAlign w:val="baseline"/>
              </w:rPr>
            </w:pPr>
            <w:r>
              <w:rPr>
                <w:rFonts w:hint="eastAsia"/>
                <w:vertAlign w:val="baseline"/>
              </w:rPr>
              <w:t>18.设备支持通过前置面板物理按键一键启动录屏功能，可将屏幕中显示的课件、音频内容与人声同时录制。</w:t>
            </w:r>
          </w:p>
          <w:p>
            <w:pPr>
              <w:jc w:val="left"/>
              <w:rPr>
                <w:rFonts w:hint="eastAsia"/>
                <w:vertAlign w:val="baseline"/>
              </w:rPr>
            </w:pPr>
            <w:r>
              <w:rPr>
                <w:rFonts w:hint="eastAsia"/>
                <w:vertAlign w:val="baseline"/>
              </w:rPr>
              <w:t>19.前置 USB 接口具备防撞挡板设计，防撞挡板采用转轴式翻转。</w:t>
            </w:r>
          </w:p>
          <w:p>
            <w:pPr>
              <w:jc w:val="left"/>
              <w:rPr>
                <w:rFonts w:hint="eastAsia"/>
                <w:vertAlign w:val="baseline"/>
              </w:rPr>
            </w:pPr>
            <w:r>
              <w:rPr>
                <w:rFonts w:hint="eastAsia"/>
                <w:vertAlign w:val="baseline"/>
              </w:rPr>
              <w:t>20.设备支持自定义前置“设置按键，可通过自定义设置实现前置面板功能按键一键启用任一全局小工具（批注、截屏、计时、降半屏、放大镜、倒数日、日历）、快捷开关（节能模式、纸质护眼模式、经典护眼模式、自动亮度模式）。</w:t>
            </w:r>
          </w:p>
          <w:p>
            <w:pPr>
              <w:jc w:val="left"/>
              <w:rPr>
                <w:rFonts w:hint="eastAsia"/>
                <w:vertAlign w:val="baseline"/>
              </w:rPr>
            </w:pPr>
            <w:r>
              <w:rPr>
                <w:rFonts w:hint="eastAsia"/>
                <w:vertAlign w:val="baseline"/>
              </w:rPr>
              <w:t>21.整机支持搭配具有NFC功能的手机、平板，通过接触整机设备上的NFC标签，即可实现手机、平板与大屏的连接并同步手机、平板的画面到设备上，无需其它操作设置，支持不少于4台手机、平板同时连接并显示。</w:t>
            </w:r>
          </w:p>
          <w:p>
            <w:pPr>
              <w:jc w:val="left"/>
              <w:rPr>
                <w:rFonts w:hint="eastAsia"/>
                <w:vertAlign w:val="baseline"/>
              </w:rPr>
            </w:pPr>
            <w:r>
              <w:rPr>
                <w:rFonts w:hint="eastAsia"/>
                <w:vertAlign w:val="baseline"/>
              </w:rPr>
              <w:t>22.整机支持蓝牙Bluetooth 5.2标准，固件版本号HCI11.20/LMP11.20。</w:t>
            </w:r>
          </w:p>
          <w:p>
            <w:pPr>
              <w:jc w:val="left"/>
              <w:rPr>
                <w:rFonts w:hint="eastAsia"/>
                <w:vertAlign w:val="baseline"/>
              </w:rPr>
            </w:pPr>
            <w:r>
              <w:rPr>
                <w:rFonts w:hint="eastAsia"/>
                <w:vertAlign w:val="baseline"/>
              </w:rPr>
              <w:t>23.整机支持主动发现蓝牙外设从而连接（无需整机进入发现模式），支持连接外部蓝牙音箱播放音频。</w:t>
            </w:r>
          </w:p>
          <w:p>
            <w:pPr>
              <w:jc w:val="left"/>
              <w:rPr>
                <w:rFonts w:hint="eastAsia"/>
                <w:vertAlign w:val="baseline"/>
              </w:rPr>
            </w:pPr>
            <w:r>
              <w:rPr>
                <w:rFonts w:hint="eastAsia"/>
                <w:vertAlign w:val="baseline"/>
              </w:rPr>
              <w:t>24.Wi-Fi及AP热点支持频段2.4GHz/5GHz ；Wi-Fi制式支持IEEE 802.11 a/b/g/n/ac/ax；支持版本Wi-Fi6。</w:t>
            </w:r>
          </w:p>
          <w:p>
            <w:pPr>
              <w:jc w:val="left"/>
              <w:rPr>
                <w:rFonts w:hint="eastAsia"/>
                <w:vertAlign w:val="baseline"/>
              </w:rPr>
            </w:pPr>
            <w:r>
              <w:rPr>
                <w:rFonts w:hint="eastAsia"/>
                <w:vertAlign w:val="baseline"/>
              </w:rPr>
              <w:t>25.整机内置摄像头（非外扩），PC通道下支持通过视频展台软件调用摄像头进行二维码扫码识别。具备摄像头工作指示灯，摄像头运行时，有指示灯提示。整机内置非独立摄像头，拍摄照片像素数≥1300万。摄像头视场角≥135度。</w:t>
            </w:r>
          </w:p>
          <w:p>
            <w:pPr>
              <w:jc w:val="left"/>
              <w:rPr>
                <w:rFonts w:hint="eastAsia"/>
                <w:vertAlign w:val="baseline"/>
              </w:rPr>
            </w:pPr>
            <w:r>
              <w:rPr>
                <w:rFonts w:hint="eastAsia"/>
                <w:vertAlign w:val="baseline"/>
              </w:rPr>
              <w:t>26.整机内置非独立的高清摄像头，可用于远程巡课，拍摄范围可以涵盖整机距离摄像头垂直法线左右水平距离各大于等于4米，左右最边缘深度大于等于2.3米范围内，并且可以AI识别人像。</w:t>
            </w:r>
          </w:p>
          <w:p>
            <w:pPr>
              <w:jc w:val="left"/>
              <w:rPr>
                <w:rFonts w:hint="eastAsia"/>
                <w:vertAlign w:val="baseline"/>
              </w:rPr>
            </w:pPr>
            <w:r>
              <w:rPr>
                <w:rFonts w:hint="eastAsia"/>
                <w:vertAlign w:val="baseline"/>
              </w:rPr>
              <w:t>27.整机摄像头支持大于等于10米距离时实现AI识别人像。整机摄像头支持人脸识别、快速点人数、随机抽人；识别所有学生，显示标记，然后随机抽选，同时显示标记不少于60人。</w:t>
            </w:r>
          </w:p>
          <w:p>
            <w:pPr>
              <w:jc w:val="left"/>
              <w:rPr>
                <w:rFonts w:hint="eastAsia"/>
                <w:vertAlign w:val="baseline"/>
              </w:rPr>
            </w:pPr>
            <w:r>
              <w:rPr>
                <w:rFonts w:hint="eastAsia"/>
                <w:vertAlign w:val="baseline"/>
              </w:rPr>
              <w:t>28.整机支持通过人脸识别进行解锁设备以及人脸识别进行登录账号。</w:t>
            </w:r>
          </w:p>
          <w:p>
            <w:pPr>
              <w:jc w:val="left"/>
              <w:rPr>
                <w:rFonts w:hint="eastAsia"/>
                <w:vertAlign w:val="baseline"/>
              </w:rPr>
            </w:pPr>
            <w:r>
              <w:rPr>
                <w:rFonts w:hint="eastAsia"/>
                <w:vertAlign w:val="baseline"/>
              </w:rPr>
              <w:t>29.支持Windows 7、Windows 8、Windows 10、Linux、Mac Os系统外置电脑操作系统接入时，无需安装触摸驱动。触摸分辨率32768×32768。触摸响应时间≤4ms。触摸最小识别物≤3mm。整机屏幕触摸有效识别高度不超过3.5mm,，即触摸物体距离玻璃外表面高度不超过3.5mm时，触摸屏识别为点击操作。</w:t>
            </w:r>
          </w:p>
          <w:p>
            <w:pPr>
              <w:jc w:val="left"/>
              <w:rPr>
                <w:rFonts w:hint="eastAsia"/>
                <w:vertAlign w:val="baseline"/>
              </w:rPr>
            </w:pPr>
            <w:r>
              <w:rPr>
                <w:rFonts w:hint="eastAsia"/>
                <w:vertAlign w:val="baseline"/>
              </w:rPr>
              <w:t>30.支持同一支红外笔笔头、笔尾书写不同的颜色，且颜色可自定义。</w:t>
            </w:r>
          </w:p>
          <w:p>
            <w:pPr>
              <w:jc w:val="left"/>
              <w:rPr>
                <w:rFonts w:hint="eastAsia"/>
                <w:vertAlign w:val="baseline"/>
              </w:rPr>
            </w:pPr>
            <w:r>
              <w:rPr>
                <w:rFonts w:hint="eastAsia"/>
                <w:vertAlign w:val="baseline"/>
              </w:rPr>
              <w:t>31.整机具备前置Type-C接口，通过Type-C接口实现音视频输入，外接电脑设备经双头Type-C线连接至整机，即可把外接电脑设备画面投到整机上，同时在整机上操作画面，可实现触摸电脑的操作，无需再连接触控USB线。</w:t>
            </w:r>
          </w:p>
          <w:p>
            <w:pPr>
              <w:jc w:val="left"/>
              <w:rPr>
                <w:rFonts w:hint="eastAsia"/>
                <w:vertAlign w:val="baseline"/>
              </w:rPr>
            </w:pPr>
            <w:r>
              <w:rPr>
                <w:rFonts w:hint="eastAsia"/>
                <w:vertAlign w:val="baseline"/>
              </w:rPr>
              <w:t>32.外接电脑设备经双头Type-C线连接至整机，可调用整机内置的摄像头、麦克风、扬声器，在外接电脑即可控制整机拍摄教室画面。前置Type-C接口，支持通过不带转换转置的外部线缆，实现外接电脑HDMI信号的接入显示。</w:t>
            </w:r>
          </w:p>
          <w:p>
            <w:pPr>
              <w:jc w:val="left"/>
              <w:rPr>
                <w:rFonts w:hint="eastAsia"/>
                <w:vertAlign w:val="baseline"/>
              </w:rPr>
            </w:pPr>
            <w:r>
              <w:rPr>
                <w:rFonts w:hint="eastAsia"/>
                <w:vertAlign w:val="baseline"/>
              </w:rPr>
              <w:t>33.嵌入式系统版本不低于Android 11，内存≥2GB，存储空间≥8GB。</w:t>
            </w:r>
          </w:p>
          <w:p>
            <w:pPr>
              <w:jc w:val="left"/>
              <w:rPr>
                <w:rFonts w:hint="eastAsia"/>
                <w:vertAlign w:val="baseline"/>
              </w:rPr>
            </w:pPr>
            <w:r>
              <w:rPr>
                <w:rFonts w:hint="eastAsia"/>
                <w:vertAlign w:val="baseline"/>
              </w:rPr>
              <w:t>34.整机内置专业硬件自检维护工具（非第三方工具），支持对触摸框和PC模块进行检测，并针对不同模块给出问题代码提示。当整机处于黑暗环境中并无人操作，一分钟后整机将可以自动进入熄屏模式。</w:t>
            </w:r>
          </w:p>
          <w:p>
            <w:pPr>
              <w:jc w:val="left"/>
              <w:rPr>
                <w:rFonts w:hint="eastAsia"/>
                <w:vertAlign w:val="baseline"/>
              </w:rPr>
            </w:pPr>
            <w:r>
              <w:rPr>
                <w:rFonts w:hint="eastAsia"/>
                <w:vertAlign w:val="baseline"/>
              </w:rPr>
              <w:t>35.整机电磁干扰ITE，满足教学环境多电子设备共用，无需采取任何电磁辐射防护措施。</w:t>
            </w:r>
          </w:p>
          <w:p>
            <w:pPr>
              <w:jc w:val="left"/>
              <w:rPr>
                <w:rFonts w:hint="eastAsia"/>
                <w:vertAlign w:val="baseline"/>
              </w:rPr>
            </w:pPr>
            <w:r>
              <w:rPr>
                <w:rFonts w:hint="eastAsia"/>
                <w:vertAlign w:val="baseline"/>
              </w:rPr>
              <w:t>36.采用全物理钢化玻璃，有效保护屏幕显示画面；整机采用防眩光玻璃，屏幕支持防眩光功能；机身具备防盐雾锈蚀特性，且满足GB4943.1-2011标准中的防火要求。整机具备抗振动、防跌落特性，保证整机运输或使用过程中不易受损。整机表面覆盖玻璃选用国标优等品，光学变形、点状缺陷、尺寸偏差、弯曲度、透射比等均符合GB11614-2009平板玻璃标准</w:t>
            </w:r>
          </w:p>
          <w:p>
            <w:pPr>
              <w:jc w:val="left"/>
              <w:rPr>
                <w:rFonts w:hint="eastAsia"/>
                <w:vertAlign w:val="baseline"/>
              </w:rPr>
            </w:pPr>
            <w:r>
              <w:rPr>
                <w:rFonts w:hint="eastAsia"/>
                <w:vertAlign w:val="baseline"/>
              </w:rPr>
              <w:t>37.整机书写面板采用防眩光全钢化防爆玻璃面板，面板的碎片状态、抗冲击性、霰弹袋冲击性能、耐热冲击性能均通过国家强制玻璃标准，表面应力≥100Mpa,适应学校复杂环境，保障教学安全。</w:t>
            </w:r>
          </w:p>
          <w:p>
            <w:pPr>
              <w:jc w:val="left"/>
              <w:rPr>
                <w:rFonts w:hint="eastAsia"/>
                <w:vertAlign w:val="baseline"/>
              </w:rPr>
            </w:pPr>
            <w:r>
              <w:rPr>
                <w:rFonts w:hint="eastAsia"/>
                <w:vertAlign w:val="baseline"/>
              </w:rPr>
              <w:t>38.整机在0℃- 40℃环境下可正常工作，在-20℃—60℃的环境下可正常贮存且贮存后功能无损。</w:t>
            </w:r>
          </w:p>
          <w:p>
            <w:pPr>
              <w:jc w:val="left"/>
              <w:rPr>
                <w:rFonts w:hint="eastAsia"/>
                <w:vertAlign w:val="baseline"/>
              </w:rPr>
            </w:pPr>
            <w:r>
              <w:rPr>
                <w:rFonts w:hint="eastAsia"/>
                <w:vertAlign w:val="baseline"/>
              </w:rPr>
              <w:t>39.整机具备供电保护模块，能够检测内置电脑是否插好在位，在内置电脑未在位的情况下，内置电脑无法上电工作。</w:t>
            </w:r>
          </w:p>
          <w:p>
            <w:pPr>
              <w:jc w:val="left"/>
              <w:rPr>
                <w:rFonts w:hint="eastAsia"/>
                <w:vertAlign w:val="baseline"/>
              </w:rPr>
            </w:pPr>
            <w:r>
              <w:rPr>
                <w:rFonts w:hint="eastAsia"/>
                <w:vertAlign w:val="baseline"/>
              </w:rPr>
              <w:t>40.整机内置全通道侧边栏快捷菜单，实时显示天气情况、日期、小工具、快捷设置、应用软件、亮度/音量调节、教室物联入口，在任意显示通道下均可通过侧边栏一键进入该触摸菜单。</w:t>
            </w:r>
          </w:p>
          <w:p>
            <w:pPr>
              <w:jc w:val="left"/>
              <w:rPr>
                <w:rFonts w:hint="eastAsia"/>
                <w:vertAlign w:val="baseline"/>
              </w:rPr>
            </w:pPr>
            <w:r>
              <w:rPr>
                <w:rFonts w:hint="eastAsia"/>
                <w:vertAlign w:val="baseline"/>
              </w:rPr>
              <w:t>41.提供专业的教师界面。整机设备教学桌面的教师登录账号后，可自动获取并在桌面显示最近使用的教学课件，点击任意课件可直接进入授课模式；并支持查看所有个人教学课件资源。</w:t>
            </w:r>
          </w:p>
          <w:p>
            <w:pPr>
              <w:jc w:val="left"/>
              <w:rPr>
                <w:rFonts w:hint="eastAsia"/>
                <w:vertAlign w:val="baseline"/>
              </w:rPr>
            </w:pPr>
            <w:r>
              <w:rPr>
                <w:rFonts w:hint="eastAsia"/>
                <w:vertAlign w:val="baseline"/>
              </w:rPr>
              <w:t>电脑模块：</w:t>
            </w:r>
          </w:p>
          <w:p>
            <w:pPr>
              <w:jc w:val="left"/>
              <w:rPr>
                <w:rFonts w:hint="eastAsia"/>
                <w:vertAlign w:val="baseline"/>
              </w:rPr>
            </w:pPr>
            <w:r>
              <w:rPr>
                <w:rFonts w:hint="eastAsia"/>
                <w:vertAlign w:val="baseline"/>
              </w:rPr>
              <w:t>42.PC模块可抽拉式插入整机，可实现无单独接线的插拔。采用按压式卡扣设计，无需工具即可快速拆卸PC模块。</w:t>
            </w:r>
          </w:p>
          <w:p>
            <w:pPr>
              <w:jc w:val="left"/>
              <w:rPr>
                <w:rFonts w:hint="eastAsia"/>
                <w:vertAlign w:val="baseline"/>
              </w:rPr>
            </w:pPr>
            <w:r>
              <w:rPr>
                <w:rFonts w:hint="eastAsia"/>
                <w:vertAlign w:val="baseline"/>
              </w:rPr>
              <w:t>43.和整机的连接采用≤80pin接口，传输速率≥10Gbps。</w:t>
            </w:r>
          </w:p>
          <w:p>
            <w:pPr>
              <w:jc w:val="left"/>
              <w:rPr>
                <w:rFonts w:hint="eastAsia"/>
                <w:vertAlign w:val="baseline"/>
              </w:rPr>
            </w:pPr>
            <w:r>
              <w:rPr>
                <w:rFonts w:hint="eastAsia"/>
                <w:vertAlign w:val="baseline"/>
              </w:rPr>
              <w:t>44.OPS插拔式电脑：intel标准接口，处理器:采用第十一代Intel CORE I5以上CPU， 内存不小于8G DDR4 ，硬盘≥256G SSD，内置双频无线和蓝牙接收器，千兆有线模块及相关接口。</w:t>
            </w:r>
          </w:p>
          <w:p>
            <w:pPr>
              <w:jc w:val="left"/>
              <w:rPr>
                <w:rFonts w:hint="eastAsia"/>
                <w:vertAlign w:val="baseline"/>
              </w:rPr>
            </w:pPr>
            <w:r>
              <w:rPr>
                <w:rFonts w:hint="eastAsia"/>
                <w:vertAlign w:val="baseline"/>
              </w:rPr>
              <w:t>教学软件：</w:t>
            </w:r>
          </w:p>
          <w:p>
            <w:pPr>
              <w:jc w:val="left"/>
              <w:rPr>
                <w:rFonts w:hint="eastAsia"/>
                <w:vertAlign w:val="baseline"/>
              </w:rPr>
            </w:pPr>
            <w:r>
              <w:rPr>
                <w:rFonts w:hint="eastAsia"/>
                <w:vertAlign w:val="baseline"/>
              </w:rPr>
              <w:t xml:space="preserve">45、能够为教师提供云存储空间，教师可在个人云空间中上传存储互动课件、云教案和其他教学资源。 </w:t>
            </w:r>
          </w:p>
          <w:p>
            <w:pPr>
              <w:jc w:val="left"/>
              <w:rPr>
                <w:rFonts w:hint="eastAsia"/>
                <w:vertAlign w:val="baseline"/>
              </w:rPr>
            </w:pPr>
            <w:r>
              <w:rPr>
                <w:rFonts w:hint="eastAsia"/>
                <w:vertAlign w:val="baseline"/>
              </w:rPr>
              <w:t>46、可以移动调整文件及文件夹的层级，能够对文件进行重命名、删除操作。互动课件与其他教学资源的云空间相互独立。教师可新建课件组或素材文件夹对教学资源进行个性化分类与标记。</w:t>
            </w:r>
          </w:p>
          <w:p>
            <w:pPr>
              <w:jc w:val="left"/>
              <w:rPr>
                <w:rFonts w:hint="eastAsia"/>
                <w:vertAlign w:val="baseline"/>
              </w:rPr>
            </w:pPr>
            <w:r>
              <w:rPr>
                <w:rFonts w:hint="eastAsia"/>
                <w:vertAlign w:val="baseline"/>
              </w:rPr>
              <w:t>47、具备AI智能备课助手：能按照教学环节筛选对应课件页一键插入课件中，可导入新课、作者简介。能按照元素类型思维导图、课堂活动选取需要的部分补充课件缺失的部分。 可以在查看部分课件的同时查看对应整份课件，了解作者整体教学思路。</w:t>
            </w:r>
          </w:p>
          <w:p>
            <w:pPr>
              <w:jc w:val="left"/>
              <w:rPr>
                <w:rFonts w:hint="eastAsia"/>
                <w:vertAlign w:val="baseline"/>
              </w:rPr>
            </w:pPr>
            <w:r>
              <w:rPr>
                <w:rFonts w:hint="eastAsia"/>
                <w:vertAlign w:val="baseline"/>
              </w:rPr>
              <w:t>48、支持PPT的原生解析，教师可将pptx课件转化为互动教学课件，支持单份导入和批量文件夹导入两种导入方式，保留pptx原文件中的文字、图片、表格等对象及动画的可编辑性，并可为课件增加互动教学元素。</w:t>
            </w:r>
          </w:p>
          <w:p>
            <w:pPr>
              <w:jc w:val="left"/>
              <w:rPr>
                <w:rFonts w:hint="eastAsia"/>
                <w:vertAlign w:val="baseline"/>
              </w:rPr>
            </w:pPr>
            <w:r>
              <w:rPr>
                <w:rFonts w:hint="eastAsia"/>
                <w:vertAlign w:val="baseline"/>
              </w:rPr>
              <w:t>49、AI智能纠错：软件内置的AI智能语义分析模块，可对输入的英文文本的拼写、句型、语法进行错误检查，并支持一键纠错。</w:t>
            </w:r>
          </w:p>
          <w:p>
            <w:pPr>
              <w:jc w:val="left"/>
              <w:rPr>
                <w:rFonts w:hint="eastAsia"/>
                <w:vertAlign w:val="baseline"/>
              </w:rPr>
            </w:pPr>
            <w:r>
              <w:rPr>
                <w:rFonts w:hint="eastAsia"/>
                <w:vertAlign w:val="baseline"/>
              </w:rPr>
              <w:t>50、AI音标助手：支持浏览和插入国际音标表，可直接点击发音，支持已整表和单个音标卡片插入。支持智能将字母、单词、句子转写为音标，并可一键插入到备课课件中形成文本。</w:t>
            </w:r>
          </w:p>
          <w:p>
            <w:pPr>
              <w:jc w:val="left"/>
              <w:rPr>
                <w:rFonts w:hint="eastAsia"/>
                <w:vertAlign w:val="baseline"/>
              </w:rPr>
            </w:pPr>
            <w:r>
              <w:rPr>
                <w:rFonts w:hint="eastAsia"/>
                <w:vertAlign w:val="baseline"/>
              </w:rPr>
              <w:t>二：集中控制管理平台</w:t>
            </w:r>
          </w:p>
          <w:p>
            <w:pPr>
              <w:jc w:val="left"/>
              <w:rPr>
                <w:rFonts w:hint="eastAsia"/>
                <w:vertAlign w:val="baseline"/>
              </w:rPr>
            </w:pPr>
            <w:r>
              <w:rPr>
                <w:rFonts w:hint="eastAsia"/>
                <w:vertAlign w:val="baseline"/>
              </w:rPr>
              <w:t>统一安全管理（LH)：</w:t>
            </w:r>
          </w:p>
          <w:p>
            <w:pPr>
              <w:jc w:val="left"/>
              <w:rPr>
                <w:rFonts w:hint="eastAsia"/>
                <w:vertAlign w:val="baseline"/>
              </w:rPr>
            </w:pPr>
            <w:r>
              <w:rPr>
                <w:rFonts w:hint="eastAsia"/>
                <w:vertAlign w:val="baseline"/>
              </w:rPr>
              <w:t>1. 采用一校一码的认证机制，为学校提供专属识别码，通过学校代码进行设备与管理平台之间的关联，保证管理的私密和安全。</w:t>
            </w:r>
          </w:p>
          <w:p>
            <w:pPr>
              <w:jc w:val="left"/>
              <w:rPr>
                <w:rFonts w:hint="eastAsia"/>
                <w:vertAlign w:val="baseline"/>
              </w:rPr>
            </w:pPr>
            <w:r>
              <w:rPr>
                <w:rFonts w:hint="eastAsia"/>
                <w:vertAlign w:val="baseline"/>
              </w:rPr>
              <w:t>2. 冰点还原：支持创设系统还原点，实现磁盘级的系统还原保护，可根据教学需要自由选择磁盘分区设立还原点、取消还原点。</w:t>
            </w:r>
          </w:p>
          <w:p>
            <w:pPr>
              <w:jc w:val="left"/>
              <w:rPr>
                <w:rFonts w:hint="eastAsia"/>
                <w:vertAlign w:val="baseline"/>
              </w:rPr>
            </w:pPr>
            <w:r>
              <w:rPr>
                <w:rFonts w:hint="eastAsia"/>
                <w:vertAlign w:val="baseline"/>
              </w:rPr>
              <w:t>3. 病毒查杀：支持对外接移动存储设备进行即时病毒检查，确保教学安全。</w:t>
            </w:r>
          </w:p>
          <w:p>
            <w:pPr>
              <w:jc w:val="left"/>
              <w:rPr>
                <w:rFonts w:hint="eastAsia"/>
                <w:vertAlign w:val="baseline"/>
              </w:rPr>
            </w:pPr>
            <w:r>
              <w:rPr>
                <w:rFonts w:hint="eastAsia"/>
                <w:vertAlign w:val="baseline"/>
              </w:rPr>
              <w:t>4. 弹窗拦截：支持对软件应用弹窗进行无差别拦截，可自定义自动拦截、手动点选拦截、超级拦截，保证教学过程中无干扰。</w:t>
            </w:r>
          </w:p>
          <w:p>
            <w:pPr>
              <w:jc w:val="left"/>
              <w:rPr>
                <w:rFonts w:hint="eastAsia"/>
                <w:vertAlign w:val="baseline"/>
              </w:rPr>
            </w:pPr>
            <w:r>
              <w:rPr>
                <w:rFonts w:hint="eastAsia"/>
                <w:vertAlign w:val="baseline"/>
              </w:rPr>
              <w:t>设备管理平台：</w:t>
            </w:r>
          </w:p>
          <w:p>
            <w:pPr>
              <w:jc w:val="left"/>
              <w:rPr>
                <w:rFonts w:hint="eastAsia"/>
                <w:vertAlign w:val="baseline"/>
              </w:rPr>
            </w:pPr>
            <w:r>
              <w:rPr>
                <w:rFonts w:hint="eastAsia"/>
                <w:vertAlign w:val="baseline"/>
              </w:rPr>
              <w:t>5. 系统采用B/S混合云架构设计，支持在Windows、Linux、Android、IOS等多种操作系统通过网页浏览器登录使用。</w:t>
            </w:r>
          </w:p>
          <w:p>
            <w:pPr>
              <w:jc w:val="left"/>
              <w:rPr>
                <w:rFonts w:hint="eastAsia"/>
                <w:vertAlign w:val="baseline"/>
              </w:rPr>
            </w:pPr>
            <w:r>
              <w:rPr>
                <w:rFonts w:hint="eastAsia"/>
                <w:vertAlign w:val="baseline"/>
              </w:rPr>
              <w:t>6. 系统支持对全校智慧教室的交互智能平板、交互智能录播、交互电子白板一体机设备进行集中运维管理和策略部署。</w:t>
            </w:r>
          </w:p>
          <w:p>
            <w:pPr>
              <w:jc w:val="left"/>
              <w:rPr>
                <w:rFonts w:hint="eastAsia"/>
                <w:vertAlign w:val="baseline"/>
              </w:rPr>
            </w:pPr>
            <w:r>
              <w:rPr>
                <w:rFonts w:hint="eastAsia"/>
                <w:vertAlign w:val="baseline"/>
              </w:rPr>
              <w:t>7. 支持根据实际使用场景按照产品类型、建筑物、班级、设备开关机状态分级管理，并可模糊搜索定位管理设备。</w:t>
            </w:r>
          </w:p>
          <w:p>
            <w:pPr>
              <w:jc w:val="left"/>
              <w:rPr>
                <w:rFonts w:hint="eastAsia"/>
                <w:vertAlign w:val="baseline"/>
              </w:rPr>
            </w:pPr>
            <w:r>
              <w:rPr>
                <w:rFonts w:hint="eastAsia"/>
                <w:vertAlign w:val="baseline"/>
              </w:rPr>
              <w:t>8. 支持实时查看指令执行状态，并且可监管指令发送日志，对发送失败的指令进行远程重发。</w:t>
            </w:r>
          </w:p>
          <w:p>
            <w:pPr>
              <w:jc w:val="left"/>
              <w:rPr>
                <w:rFonts w:hint="eastAsia"/>
                <w:vertAlign w:val="baseline"/>
              </w:rPr>
            </w:pPr>
            <w:r>
              <w:rPr>
                <w:rFonts w:hint="eastAsia"/>
                <w:vertAlign w:val="baseline"/>
              </w:rPr>
              <w:t>9. 支持实时展示所有设备的使用状态及设备运行画面，并可监控单台设备的开机情况、软件使用情况、硬盘使用、内存使用率、设备ID等数据，便于远程定位及维护设备。</w:t>
            </w:r>
          </w:p>
          <w:p>
            <w:pPr>
              <w:jc w:val="left"/>
              <w:rPr>
                <w:rFonts w:hint="eastAsia"/>
                <w:vertAlign w:val="baseline"/>
              </w:rPr>
            </w:pPr>
            <w:r>
              <w:rPr>
                <w:rFonts w:hint="eastAsia"/>
                <w:vertAlign w:val="baseline"/>
              </w:rPr>
              <w:t>10. 支持自定义循环周期设置锁屏周期指令，并支持一键下课锁屏、开机即锁屏、长时未使用自动锁屏等智能锁屏管理，以及可支持无网络激活码认证解锁、密码解锁，有网络场景下扫码快速解锁。</w:t>
            </w:r>
          </w:p>
          <w:p>
            <w:pPr>
              <w:jc w:val="left"/>
              <w:rPr>
                <w:rFonts w:hint="eastAsia"/>
                <w:vertAlign w:val="baseline"/>
              </w:rPr>
            </w:pPr>
            <w:r>
              <w:rPr>
                <w:rFonts w:hint="eastAsia"/>
                <w:vertAlign w:val="baseline"/>
              </w:rPr>
              <w:t>11. 支持远程发送消息通知、文件传输、静默安装软件、倒计时。</w:t>
            </w:r>
          </w:p>
          <w:p>
            <w:pPr>
              <w:jc w:val="left"/>
              <w:rPr>
                <w:rFonts w:hint="eastAsia"/>
                <w:vertAlign w:val="baseline"/>
              </w:rPr>
            </w:pPr>
            <w:r>
              <w:rPr>
                <w:rFonts w:hint="eastAsia"/>
                <w:vertAlign w:val="baseline"/>
              </w:rPr>
              <w:t>12. 支持远程实时控制设备，可监测设备当前运行界面，并远程操作设备界面，适用于远程维护和修复设备软件问题。</w:t>
            </w:r>
          </w:p>
          <w:p>
            <w:pPr>
              <w:jc w:val="left"/>
              <w:rPr>
                <w:rFonts w:hint="eastAsia"/>
                <w:vertAlign w:val="baseline"/>
              </w:rPr>
            </w:pPr>
            <w:r>
              <w:rPr>
                <w:rFonts w:hint="eastAsia"/>
                <w:vertAlign w:val="baseline"/>
              </w:rPr>
              <w:t>13. 支持教室的实时摄像头画面、设备屏幕画面；单台设备巡视时，发现有违规违纪行为时，可远程发消息、发语音直接干预，也可记录备注，事后教育。支持记录所有管理员的巡视记录，方便回溯。</w:t>
            </w:r>
          </w:p>
          <w:p>
            <w:pPr>
              <w:jc w:val="left"/>
              <w:rPr>
                <w:rFonts w:hint="eastAsia"/>
                <w:vertAlign w:val="baseline"/>
              </w:rPr>
            </w:pPr>
            <w:r>
              <w:rPr>
                <w:rFonts w:hint="eastAsia"/>
                <w:vertAlign w:val="baseline"/>
              </w:rPr>
              <w:t>14. 支持查看并导出设备使用数据、软件活跃数据、教学应用数据、健康度分析数据。</w:t>
            </w:r>
          </w:p>
          <w:p>
            <w:pPr>
              <w:jc w:val="left"/>
              <w:rPr>
                <w:rFonts w:hint="eastAsia"/>
                <w:vertAlign w:val="baseline"/>
              </w:rPr>
            </w:pPr>
            <w:r>
              <w:rPr>
                <w:rFonts w:hint="eastAsia"/>
                <w:vertAlign w:val="baseline"/>
              </w:rPr>
              <w:t>移动控制平台：</w:t>
            </w:r>
          </w:p>
          <w:p>
            <w:pPr>
              <w:jc w:val="left"/>
              <w:rPr>
                <w:rFonts w:hint="eastAsia"/>
                <w:vertAlign w:val="baseline"/>
              </w:rPr>
            </w:pPr>
            <w:r>
              <w:rPr>
                <w:rFonts w:hint="eastAsia"/>
                <w:vertAlign w:val="baseline"/>
              </w:rPr>
              <w:t>15. 移动系统采用Mini Program设计，无需下载单独安装APP即可使用；兼容Android、IOS等多种移动操作系统，便于远程管理及告警信息通知。</w:t>
            </w:r>
          </w:p>
          <w:p>
            <w:pPr>
              <w:jc w:val="left"/>
              <w:rPr>
                <w:rFonts w:hint="eastAsia"/>
                <w:vertAlign w:val="baseline"/>
              </w:rPr>
            </w:pPr>
            <w:r>
              <w:rPr>
                <w:rFonts w:hint="eastAsia"/>
                <w:vertAlign w:val="baseline"/>
              </w:rPr>
              <w:t>16. 支持查看不同类型设备的在线率、异常指令数、异常设备数及设备详情。</w:t>
            </w:r>
          </w:p>
          <w:p>
            <w:pPr>
              <w:jc w:val="left"/>
              <w:rPr>
                <w:rFonts w:hint="eastAsia"/>
                <w:vertAlign w:val="baseline"/>
              </w:rPr>
            </w:pPr>
            <w:r>
              <w:rPr>
                <w:rFonts w:hint="eastAsia"/>
                <w:vertAlign w:val="baseline"/>
              </w:rPr>
              <w:t>支持实时查看设备当前状态及实时画面，并可进行实时远程开机、关机、重启、锁屏、消息推送功能。</w:t>
            </w:r>
          </w:p>
        </w:tc>
        <w:tc>
          <w:tcPr>
            <w:tcW w:w="850" w:type="dxa"/>
            <w:vMerge w:val="restart"/>
          </w:tcPr>
          <w:p>
            <w:pPr>
              <w:jc w:val="center"/>
              <w:rPr>
                <w:rFonts w:hint="default" w:eastAsiaTheme="minorEastAsia"/>
                <w:vertAlign w:val="baseline"/>
                <w:lang w:val="en-US" w:eastAsia="zh-CN"/>
              </w:rPr>
            </w:pPr>
            <w:r>
              <w:rPr>
                <w:rFonts w:hint="eastAsia"/>
                <w:vertAlign w:val="baseline"/>
                <w:lang w:val="en-US" w:eastAsia="zh-CN"/>
              </w:rPr>
              <w:t>55</w:t>
            </w:r>
          </w:p>
        </w:tc>
        <w:tc>
          <w:tcPr>
            <w:tcW w:w="958" w:type="dxa"/>
            <w:vMerge w:val="restart"/>
          </w:tcPr>
          <w:p>
            <w:pPr>
              <w:jc w:val="center"/>
              <w:rPr>
                <w:rFonts w:hint="eastAsia" w:eastAsiaTheme="minorEastAsia"/>
                <w:vertAlign w:val="baseline"/>
                <w:lang w:eastAsia="zh-CN"/>
              </w:rPr>
            </w:pPr>
            <w:r>
              <w:rPr>
                <w:rFonts w:hint="eastAsia"/>
                <w:vertAlign w:val="baseli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653"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3</w:t>
            </w:r>
          </w:p>
        </w:tc>
        <w:tc>
          <w:tcPr>
            <w:tcW w:w="1144" w:type="dxa"/>
          </w:tcPr>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r>
              <w:rPr>
                <w:rFonts w:hint="eastAsia"/>
                <w:vertAlign w:val="baseline"/>
              </w:rPr>
              <w:t>推拉黑板</w:t>
            </w:r>
          </w:p>
        </w:tc>
        <w:tc>
          <w:tcPr>
            <w:tcW w:w="6310" w:type="dxa"/>
          </w:tcPr>
          <w:p>
            <w:pPr>
              <w:jc w:val="left"/>
              <w:rPr>
                <w:rFonts w:hint="eastAsia"/>
                <w:vertAlign w:val="baseline"/>
              </w:rPr>
            </w:pPr>
            <w:r>
              <w:rPr>
                <w:rFonts w:hint="eastAsia"/>
                <w:vertAlign w:val="baseline"/>
              </w:rPr>
              <w:t>整体外观尺寸：宽≥4200mm，高≥1243mm，厚≤149mm。书写板为左右推拉结构，由活动板、固定板、大框（轨道）、滑动系统构成，支持多媒体设备居中安装。书写板左右去竖框化设计，增加黑板整体美观性，也从根本上解决活动板与竖框的夹手问题。书写板分内外双层，内层为固定书写板，采用无固定件安装，与多媒体设备正面平齐；外层为滑动书写板，可左右推拉，两块活动板闭合后，无边框障碍，可连续书写。面板、背板四边折边，流水线作业，保证产品一致性，尺寸误差≤0.2mm，对角线误差≤0.3mm；活动板、固定板四边无铝合金边框，不仅更美观，且增加书写面积。大框（轨道）：采用银白色高档铝合金，表面经氧化、磨砂涂层处理，模具一次成型；双层铝合金管状结构，上框规格≤20mm×70mm，壁厚≥1.0mm；下框一体化设计，规格≤84*12mm，壁厚≥1.0mm。包角采用ABS工程塑料，模具注塑一次成型，银灰色，长≤150mm，不接受拼接，采用内插式设计，每块活动板上、下安装四个≥50mm增强改性尼龙滑块模组；上T型正向吊装，厚度≥5mm滑动设计；下滑块模组采用单轨限位设计，活动板晃动≤0.5mm、无噪音。粘接剂甲醛释放量符合国家规定。采用防潮吸音塑料蜂窝板，厚度≤10mm。黑板上框内隐形安装4块≥50*20*8mm硅胶缓冲块。采用黑色彩涂板，厚度≥0.25mm。</w:t>
            </w:r>
          </w:p>
          <w:p>
            <w:pPr>
              <w:jc w:val="left"/>
              <w:rPr>
                <w:rFonts w:hint="eastAsia"/>
                <w:vertAlign w:val="baseline"/>
              </w:rPr>
            </w:pPr>
            <w:r>
              <w:rPr>
                <w:rFonts w:hint="eastAsia"/>
                <w:vertAlign w:val="baseline"/>
              </w:rPr>
              <w:t>托架优质钢板一体冲压成型，尺寸≤130*45*80，有加强槽更牢固，整体镀锌防锈，数量≥7个。拉手ABS工程塑料注塑成型，尺寸≤100*18银白色拉手，流线型，美观。书写板颜色：墨绿色。面板采用优质烤漆钢板，基板厚度≥0.30mm，丙烯酸树脂漆，漆面细腻平整，整板无拼接。硬度：涂层硬度≥5H。光泽度：光泽度在7光泽单位以下，没有明显眩光。</w:t>
            </w:r>
          </w:p>
        </w:tc>
        <w:tc>
          <w:tcPr>
            <w:tcW w:w="850" w:type="dxa"/>
            <w:vMerge w:val="continue"/>
          </w:tcPr>
          <w:p>
            <w:pPr>
              <w:jc w:val="center"/>
              <w:rPr>
                <w:rFonts w:hint="eastAsia"/>
                <w:vertAlign w:val="baseline"/>
              </w:rPr>
            </w:pPr>
          </w:p>
        </w:tc>
        <w:tc>
          <w:tcPr>
            <w:tcW w:w="958" w:type="dxa"/>
            <w:vMerge w:val="continue"/>
          </w:tcPr>
          <w:p>
            <w:pPr>
              <w:jc w:val="center"/>
              <w:rPr>
                <w:rFonts w:hint="eastAsia"/>
                <w:vertAlign w:val="baseline"/>
              </w:rPr>
            </w:pPr>
          </w:p>
        </w:tc>
      </w:tr>
    </w:tbl>
    <w:tbl>
      <w:tblPr>
        <w:tblStyle w:val="28"/>
        <w:tblpPr w:leftFromText="180" w:rightFromText="180" w:vertAnchor="text" w:horzAnchor="page" w:tblpX="1166" w:tblpY="8237"/>
        <w:tblOverlap w:val="never"/>
        <w:tblW w:w="9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7"/>
        <w:gridCol w:w="1140"/>
        <w:gridCol w:w="6308"/>
        <w:gridCol w:w="855"/>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9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体育器材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6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规格、教学性能要求</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打气筒</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带储气罐/人工充气，适合给各种球类充气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电动充气泵</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用于篮球、排球、足球充气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布卷尺</w:t>
            </w:r>
          </w:p>
        </w:tc>
        <w:tc>
          <w:tcPr>
            <w:tcW w:w="6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10m，仿皮外壳，苎麻布卷尺，防水，防腐蚀；不锈钢卡扣和收放扣</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布卷尺</w:t>
            </w:r>
          </w:p>
        </w:tc>
        <w:tc>
          <w:tcPr>
            <w:tcW w:w="6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20m，仿皮外壳，苎麻布卷尺，防水，防腐蚀；不锈钢卡扣和收放扣</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布卷尺</w:t>
            </w:r>
          </w:p>
        </w:tc>
        <w:tc>
          <w:tcPr>
            <w:tcW w:w="6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50m，仿皮外壳，苎麻布卷尺，防水，防腐蚀；不锈钢卡扣和收放扣</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数字秒表</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分辨率：0.01s，10min测量精度≤0.2s</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体育器材架</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隔板厚度≥1 mm，立柱厚度≥1.2 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体育器材柜</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柜体板材厚度≥1 mm，隔板可调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9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篮球类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4号篮球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材质：PU材质；圆周长645mm～670mm；质量420g～480g</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篮球车</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参考尺寸：长1712mm×宽520 mm×高1172mm；重量约25kg，</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9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体操类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助跳板</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主要原材料采用木材或其它弹性材料，Ⅰ型长×宽×高为760mm×550mm×175mm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助跳板</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参考尺寸：Ⅱ型长900mm×宽500mm×高150mm。根据所配备的山羊和跳箱的实际需要选择合适的规格和数量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山羊</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山羊全高：680mm～1080mm；山羊头长：420mm～460mm；头宽：280mm±5mm；头高：180mm～220mm，立轴升降间距：50mm±3mm，山羊腿外直径≥30mm，山羊腿壁厚≥3mm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跳箱</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箱长900mm～1000mm，箱高900mm，其余符合国家标准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单杠</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杠面高度：1200mm～2000mm，两立柱支点中心距：2000mm～2400mm，横杠材料：钢管，立柱材料：钢管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双杠</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木制钢筋加固杠面或其他同等强度及性能的材料，杠高1000mm～1300mm，杠长2700mm～3000mm，两杠内侧距离320mm～520mm，纵向立轴中心距1800mm～2000mm，升降间距50mm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小跳垫</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采用泡沫塑料和泡沫乳胶，帆布或人造革外皮，长1200mm±5mm,宽600mm±5mm,厚≥50mm。在长度方向可对半折叠，两侧应各有提手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大跳垫</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采用泡沫塑料和泡沫乳胶，帆布或人造革外皮，长2000mm±5mm,宽1000mm±5mm,厚≥100mm。在长度方向可对半折叠，两侧应各有提手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体操棒</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采用木质或塑料。塑料采用硬质塑料，壁厚不小于5mm。长1000mm，截面直径25mm～30mm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体操凳</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参考尺寸：Ⅰ型：长（3000±10）mm，宽 250~300 mm± 5 mm ，高 300～400 mm，板面厚度 50～70 mm，按需选择规格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体操凳</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Ⅱ型：长2000mm±10mm,宽200mm±5mm,高300mm，板面厚度50mm～70mm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9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球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小学生用篮球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材质：PU材质；圆周长645mm～670mm；质量420g～480g</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小学用篮球架</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篮圈高（2050±8）mm（1～3 年级）。包装尺寸 1m*2m*1m，材质 铝合金,钢,玻璃钢,铸铁可根据实际需求及场地选择规格和数量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小学用篮球架</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篮圈高（2350±8）mm（4～6 年级）。包装尺寸 4416x1800x3950mm。材质 钢。可根据实际需求及场地选择规格和数量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篮球网</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篮网长 400～450 mm，网口直径 450 mm，网底直径 350 mm。可根据实际需求选择规格和数量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小学生用排球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圆周长600～620 mm，质量200～240 g</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软式排球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3号：圆周长560～580 mm，质量170～220 g可根据实际需要选择规格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软式排球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4号：圆周长600mm～620mm,质量200g～250g</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气排球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圆周长为610mm～630mm，质量150g～170g</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排球网柱</w:t>
            </w:r>
          </w:p>
        </w:tc>
        <w:tc>
          <w:tcPr>
            <w:tcW w:w="6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移动配重式，可调，网柱高度：1920mm±5mm，拉网中央高度1800mm±5mm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排球网</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排球网长度9500mm～10000mm，宽度700mm±25mm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儿童足球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3号足球，重量 290～310 g，圆周 535～555 mm；机缝工艺，使用环保耐磨TPU，优质缠纱内胆；充气6磅情况下从1.8米高处自由落到地面，回弹高度1000～1300 mm可根据实际需求选择规格和数量。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少年足球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4号，圆周长615mm～650mm；质量315g～405g</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软式足球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幼儿专用3号足球，重量300～320 g，圆周590～605 mm机缝工艺，使用环保耐磨 TPU，优质缠纱内胆，手持足球距离眼睛50cm平视需看不到缝线露出；低弹结构充气6 磅情况下，从1.8m 高处自由落到地面，回弹高度 550～650mm；其余未提及标准，均需符合国家 GB/ T22892-2008 标准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软式足球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4号足球，重量 360～380 g，圆周 640～660mm；机缝工艺，使用环保耐磨 TPU，优质缠纱内胆，手持足球距离眼睛 50 cm 平视需看不到缝线露出；低弹结构，充气8 磅情况下，从2m高处自由落到地面，回弹高度550～650 mm；其余未提及标准，均需符合国家 GB/T 22892-2008 标准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足球门</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号足球门：内口宽度（7320 ± 10）mm，高度（2440 ±10）mm，门柱及横梁直径≥120 mm。足球门应能承受的水平拉力 1000 N，足球门横梁应能承受 2700 N 的静负荷，可根据实际需要及场地选择规格和数量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足球门</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3号足球门：门内口宽度（3000±10）mm，高度（2000±10）mm，门柱及横梁直径≥76 mm。足球门应能承受的水平拉力 1000 N，足球门横梁应能承受 2700 N 的静负荷，可根据实际需要及场地选择规格和数量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足球网</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根据选定的球门，选择符合相应标准要求的足球网，可根据实际需要及场地选择规格和数量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直径40.4mm～43.4mm，质量2.20g～2.60g，弹跳220mm～250mm，圆度0.4mm，受冲击不小于700次无破裂</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乒乓球拍</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1、2块为1副，直握拍，正反双胶，鲜红色或黑色，拍面平整；2、拍柄、拍面、拍身边缘均应光滑无光泽，拍身边缘不得呈白色；3、胶粒分布均匀，高度应不低于0.5mm；4、胶合部位牢固，不开裂。</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室外乒乓球网架</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网架长度152.5mm±2mm，网架高度130mm±2mm，可夹厚度≥30mm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室外乒乓球台</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台面尺寸：2740mm×1525mm×760mm 台板厚度：15mm,台面采用SMC新型材料，背面加强筋,防晒、防水、弹性均匀.端边线宽度20mm，中线宽度10mm。台面与脚的连接点是10个,可以自由(微量)调节高度.结构特点：彩虹腿，螺栓连接牢固，台腿外边距两端台边不小于200mm,任何承挡离地面不小于300mm.台面采用SMC新型材料。桌腿采用新颖优质弧形金属脚架  管直径60的,厚2.0，表面进行打沙烤漆处理。各项指标需符合QB/T2700-2005的标准要求，球网框架采用20mm×15mm×2.5mm的优质不锈钢管焊接成型，球网采用菱形花网。知名品牌</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球口外径65mm～68mm，球头直径25mm～27mm，球头高度24mm～26mm，毛片插长63mm～64mm，质量4.50g～5.80g，毛片数量16片</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羽毛球拍</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1、产品整体铝合金制，（弦线除外）；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2、长度≤630mm，球拍宽度≤230mm，球拍弦面长度≤280mm；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3、整体重量：95-120g；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4、拍弦直径：0.9mm；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5、握柄直径：25mm；知名品牌</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羽毛球网柱</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（附羽毛球网），网柱高度为（1340±8）mm 拉网中央高度（1314±5）mm，数量根据实际需要定</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1号软性球，质量 46.0～53.0 g，直径 62～68.58 mm，弹性1100～1400 mm。根据学生实际情况选择球的规格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2号软性球，质量 32.0～46.9 g，直径 68～80 mm，弹性900～1200 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短式网球拍</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小学：长度530～580 mm，质量200～230 g，拍弦面长度 290～300 mm，拍弦面宽度220～230 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网球网柱</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网柱高度：（1070±5）mm，拉网中央高度（914±5）mm附网球网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网球网</w:t>
            </w:r>
          </w:p>
        </w:tc>
        <w:tc>
          <w:tcPr>
            <w:tcW w:w="6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网球网长度（12800±30）mm，宽度（1070±25）mm，数量根据实际需要定</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板羽球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1．又名毽球，三毛球。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2．三根禽类长翎毛。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3．羽毛长10～12厘米，高弹橡胶底座。</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板羽球拍</w:t>
            </w:r>
          </w:p>
        </w:tc>
        <w:tc>
          <w:tcPr>
            <w:tcW w:w="6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总长度≤580mm，宽度≤230mm，拍弦面长度≤280mm，质量≤80g,握柄直径23mm～25mm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垒球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圆周长195mm±10mm,质量80g±5g，1000mm高度自由落体落下，回弹高度应不小于300mm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乒乓球发球机</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可发任意旋球以及各种混合旋球，采用双轮驱动，速度旋转可调，也可发不转球；可上下调整出球俯仰角度 自动回收和供球系统，持续击打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毽球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键毛应采用 4 支鹅翎，羽毛宽 32～35 mm，成十字形插在毛管内，插毛管高22～24mm，毽垫直径38～40mm厚度15～20mm，球高130～135 mm，球重13～15g</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装球车</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不锈钢可四轮移动，可折叠；用于装篮球、排球、足球等球类物品，球车四角为圆角；尺寸为长 900 mm× 宽800 mm×高 800 mm。可根据学校场地及需要选择数量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9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体育活动类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跳绳</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短跳绳；绳长度2600～3000 mm，直径6～7 mm，质量60～ 80 g；柄（2 个）：长度140～170 mm，直径26～33 mm，质量70～90 g；可根据需要选择不同规格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跳绳</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长跳绳；绳长度 4000～6000 mm，直径 8～9 mm，质量140～235 g；柄（2个）：长度140～170 mm，直径26～33 mm，质量70～90 g；可根据需要选择不同规格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跳绳</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长跳绳；绳长度 9000～10000 mm，直径 8～9 mm，质量290～370 g；柄（2个）：长度140～170 mm，直径26～33 mm，质量70～90 g；可根据需要选择不同规格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竹节绳</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短竹节绳；手柄长度210 mm，后端椭圆设计，有后盖；有效绳长（不含手柄）约 2600 mm；绳为串珠设计，大珠直径7.8 mm，长25 mm；小珠直径5.6 mm，长20 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拔河绳 </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长30m,质量10kg左右,采用天然麻棕线绞制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花毽</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键毛应采用 8～10 支彩色鸡羽，扎成圆形，毽垫直径30～32 mm，厚度3～4 mm，球高130～180 mm，球重13～15 g；根据地域至少选择两项运动项目为基本配备</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塑料圈（呼啦圈）</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直径80cm，PVC管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小沙包</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帆布制作，质量约200g</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软式飞盘</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环保材质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蹦蹦球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环保材质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吸盘球</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环保材质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跳带</w:t>
            </w:r>
          </w:p>
        </w:tc>
        <w:tc>
          <w:tcPr>
            <w:tcW w:w="6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环保材质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bl>
    <w:p>
      <w:pPr>
        <w:spacing w:line="360" w:lineRule="auto"/>
        <w:rPr>
          <w:rFonts w:hint="eastAsia"/>
          <w:b/>
          <w:bCs/>
          <w:color w:val="auto"/>
          <w:sz w:val="22"/>
          <w:szCs w:val="28"/>
          <w:lang w:val="en-US" w:eastAsia="zh-CN"/>
        </w:rPr>
      </w:pPr>
    </w:p>
    <w:p>
      <w:pPr>
        <w:spacing w:line="240" w:lineRule="auto"/>
        <w:rPr>
          <w:rFonts w:hint="eastAsia"/>
          <w:b/>
          <w:bCs/>
          <w:color w:val="auto"/>
          <w:sz w:val="24"/>
          <w:szCs w:val="32"/>
          <w:lang w:val="en-US" w:eastAsia="zh-CN"/>
        </w:rPr>
      </w:pPr>
      <w:r>
        <w:rPr>
          <w:rFonts w:hint="eastAsia"/>
          <w:b/>
          <w:bCs/>
          <w:color w:val="auto"/>
          <w:sz w:val="24"/>
          <w:szCs w:val="32"/>
          <w:lang w:val="en-US" w:eastAsia="zh-CN"/>
        </w:rPr>
        <w:t>二、</w:t>
      </w:r>
      <w:bookmarkStart w:id="58" w:name="_Toc267320049"/>
      <w:bookmarkStart w:id="59" w:name="_Toc340225290"/>
      <w:r>
        <w:rPr>
          <w:rFonts w:hint="eastAsia"/>
          <w:b/>
          <w:bCs/>
          <w:color w:val="auto"/>
          <w:sz w:val="22"/>
          <w:szCs w:val="28"/>
          <w:lang w:val="en-US" w:eastAsia="zh-CN"/>
        </w:rPr>
        <w:t>项目验收、质保、售后服务等要求</w:t>
      </w:r>
    </w:p>
    <w:bookmarkEnd w:id="58"/>
    <w:bookmarkEnd w:id="59"/>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color w:val="auto"/>
          <w:szCs w:val="21"/>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cs="宋体"/>
          <w:b/>
          <w:color w:val="auto"/>
          <w:szCs w:val="21"/>
          <w:highlight w:val="none"/>
          <w:lang w:val="en-US" w:eastAsia="zh-CN"/>
        </w:rPr>
        <w:t xml:space="preserve"> 供货</w:t>
      </w:r>
      <w:r>
        <w:rPr>
          <w:rFonts w:hint="eastAsia" w:ascii="宋体" w:hAnsi="宋体" w:cs="宋体"/>
          <w:b/>
          <w:color w:val="auto"/>
          <w:szCs w:val="21"/>
          <w:highlight w:val="none"/>
        </w:rPr>
        <w:t>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6" w:firstLineChars="200"/>
        <w:textAlignment w:val="auto"/>
        <w:rPr>
          <w:rFonts w:hint="eastAsia" w:ascii="宋体" w:hAnsi="宋体" w:cs="宋体"/>
          <w:b/>
          <w:color w:val="auto"/>
          <w:szCs w:val="21"/>
          <w:highlight w:val="none"/>
        </w:rPr>
      </w:pPr>
      <w:r>
        <w:rPr>
          <w:rFonts w:hint="eastAsia" w:cs="Times New Roman"/>
          <w:b/>
          <w:bCs w:val="0"/>
          <w:color w:val="auto"/>
          <w:kern w:val="2"/>
          <w:sz w:val="21"/>
          <w:szCs w:val="21"/>
          <w:highlight w:val="none"/>
          <w:lang w:val="en-US" w:eastAsia="zh-CN" w:bidi="ar-SA"/>
        </w:rPr>
        <w:t>全部</w:t>
      </w:r>
      <w:r>
        <w:rPr>
          <w:rFonts w:hint="eastAsia" w:ascii="Times New Roman" w:hAnsi="Times New Roman" w:eastAsia="宋体" w:cs="Times New Roman"/>
          <w:b/>
          <w:bCs w:val="0"/>
          <w:color w:val="auto"/>
          <w:kern w:val="2"/>
          <w:sz w:val="21"/>
          <w:szCs w:val="21"/>
          <w:highlight w:val="none"/>
          <w:lang w:val="en-US" w:eastAsia="zh-CN" w:bidi="ar-SA"/>
        </w:rPr>
        <w:t>设备30日内到货安装并配合采购人完成验收工作，保证设备正常使用。</w:t>
      </w:r>
    </w:p>
    <w:p>
      <w:pPr>
        <w:keepNext w:val="0"/>
        <w:keepLines w:val="0"/>
        <w:pageBreakBefore w:val="0"/>
        <w:numPr>
          <w:ilvl w:val="0"/>
          <w:numId w:val="11"/>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供货</w:t>
      </w:r>
      <w:r>
        <w:rPr>
          <w:rFonts w:hint="eastAsia" w:ascii="宋体" w:hAnsi="宋体" w:cs="宋体"/>
          <w:b/>
          <w:color w:val="auto"/>
          <w:szCs w:val="21"/>
          <w:highlight w:val="none"/>
        </w:rPr>
        <w:t>地点</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宋体" w:hAnsi="宋体" w:cs="宋体"/>
          <w:b/>
          <w:color w:val="auto"/>
          <w:szCs w:val="21"/>
          <w:highlight w:val="none"/>
          <w:lang w:val="en-US" w:eastAsia="zh-CN"/>
        </w:rPr>
      </w:pPr>
      <w:r>
        <w:rPr>
          <w:rFonts w:hint="eastAsia" w:ascii="宋体" w:hAnsi="宋体" w:cs="宋体"/>
          <w:b w:val="0"/>
          <w:bCs/>
          <w:color w:val="auto"/>
          <w:szCs w:val="21"/>
          <w:highlight w:val="none"/>
          <w:lang w:val="en-US" w:eastAsia="zh-CN"/>
        </w:rPr>
        <w:t>甲方指定地点。</w:t>
      </w:r>
      <w:r>
        <w:rPr>
          <w:rFonts w:hint="eastAsia" w:ascii="宋体" w:hAnsi="宋体" w:cs="宋体"/>
          <w:b/>
          <w:color w:val="auto"/>
          <w:szCs w:val="21"/>
          <w:highlight w:val="none"/>
          <w:lang w:val="en-US" w:eastAsia="zh-CN"/>
        </w:rPr>
        <w:t xml:space="preserve"> </w:t>
      </w:r>
    </w:p>
    <w:p>
      <w:pPr>
        <w:spacing w:line="360" w:lineRule="auto"/>
        <w:rPr>
          <w:rFonts w:hint="eastAsia" w:ascii="宋体" w:hAnsi="宋体" w:cs="宋体"/>
          <w:b/>
          <w:color w:val="auto"/>
          <w:szCs w:val="21"/>
        </w:rPr>
      </w:pPr>
      <w:bookmarkStart w:id="60" w:name="_Toc340225291"/>
      <w:bookmarkStart w:id="61" w:name="_Toc267320050"/>
      <w:r>
        <w:rPr>
          <w:rFonts w:hint="eastAsia" w:ascii="宋体" w:hAnsi="宋体" w:cs="宋体"/>
          <w:b/>
          <w:color w:val="auto"/>
          <w:szCs w:val="21"/>
        </w:rPr>
        <w:t>（三）报价要求</w:t>
      </w:r>
      <w:bookmarkEnd w:id="60"/>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cs="宋体"/>
          <w:b/>
          <w:bCs w:val="0"/>
          <w:sz w:val="28"/>
          <w:szCs w:val="28"/>
          <w:highlight w:val="none"/>
          <w:lang w:val="en-US" w:eastAsia="zh-CN"/>
        </w:rPr>
      </w:pPr>
      <w:r>
        <w:rPr>
          <w:rFonts w:hint="eastAsia" w:ascii="宋体" w:hAnsi="宋体" w:eastAsia="宋体" w:cs="宋体"/>
          <w:bCs/>
          <w:color w:val="auto"/>
          <w:kern w:val="2"/>
          <w:sz w:val="21"/>
          <w:szCs w:val="21"/>
          <w:lang w:val="en-US" w:eastAsia="zh-CN" w:bidi="ar-SA"/>
        </w:rPr>
        <w:t>本次报价为人民币报价，</w:t>
      </w:r>
      <w:bookmarkEnd w:id="61"/>
      <w:r>
        <w:rPr>
          <w:rFonts w:hint="eastAsia" w:ascii="宋体" w:hAnsi="宋体" w:eastAsia="宋体" w:cs="宋体"/>
          <w:bCs/>
          <w:color w:val="auto"/>
          <w:kern w:val="2"/>
          <w:sz w:val="21"/>
          <w:szCs w:val="21"/>
          <w:lang w:val="en-US" w:eastAsia="zh-CN" w:bidi="ar-SA"/>
        </w:rPr>
        <w:t>投标报价应包括：货物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pPr>
        <w:widowControl/>
        <w:spacing w:line="360" w:lineRule="auto"/>
        <w:ind w:firstLine="480"/>
        <w:rPr>
          <w:rFonts w:hint="eastAsia" w:ascii="宋体" w:hAnsi="宋体" w:eastAsia="宋体" w:cs="宋体"/>
          <w:bCs/>
          <w:color w:val="auto"/>
          <w:kern w:val="2"/>
          <w:sz w:val="21"/>
          <w:szCs w:val="21"/>
          <w:lang w:val="en-US" w:eastAsia="zh-CN" w:bidi="ar-SA"/>
        </w:rPr>
      </w:pPr>
    </w:p>
    <w:p>
      <w:pPr>
        <w:widowControl/>
        <w:spacing w:line="360" w:lineRule="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val="en-US" w:eastAsia="zh-CN"/>
        </w:rPr>
        <w:t>质保要求</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1、自验收合格之日起计保修期，提供整机原厂</w:t>
      </w:r>
      <w:r>
        <w:rPr>
          <w:rFonts w:hint="eastAsia" w:ascii="宋体" w:hAnsi="宋体" w:cs="宋体"/>
          <w:b/>
          <w:bCs w:val="0"/>
          <w:color w:val="auto"/>
          <w:szCs w:val="21"/>
          <w:highlight w:val="none"/>
          <w:lang w:val="en-US" w:eastAsia="zh-CN"/>
        </w:rPr>
        <w:t>2</w:t>
      </w:r>
      <w:r>
        <w:rPr>
          <w:rFonts w:hint="eastAsia" w:ascii="宋体" w:hAnsi="宋体" w:eastAsia="宋体" w:cs="宋体"/>
          <w:b/>
          <w:bCs w:val="0"/>
          <w:color w:val="auto"/>
          <w:szCs w:val="21"/>
          <w:highlight w:val="none"/>
          <w:lang w:val="en-US" w:eastAsia="zh-CN"/>
        </w:rPr>
        <w:t>年保修服务。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2、质量保证期过后，供应商和制造商应同样提供免费电话咨询服务，并应承诺提供产品维护服务。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3、质量保证期过后，采购人需要继续由原供应商和制造商提供售后服务的，该供应商和制造商应以优惠价格提供售后服务。</w:t>
      </w:r>
    </w:p>
    <w:p>
      <w:pPr>
        <w:pStyle w:val="14"/>
        <w:rPr>
          <w:rFonts w:hint="eastAsia"/>
          <w:highlight w:val="none"/>
          <w:lang w:val="en-US" w:eastAsia="zh-CN"/>
        </w:rPr>
      </w:pPr>
    </w:p>
    <w:p>
      <w:pPr>
        <w:widowControl/>
        <w:spacing w:line="360" w:lineRule="auto"/>
        <w:rPr>
          <w:rFonts w:hint="eastAsia" w:ascii="宋体" w:hAnsi="宋体" w:cs="宋体"/>
          <w:b/>
          <w:bCs/>
          <w:color w:val="auto"/>
          <w:szCs w:val="21"/>
        </w:rPr>
      </w:pPr>
      <w:r>
        <w:rPr>
          <w:rFonts w:hint="eastAsia" w:ascii="宋体" w:hAnsi="宋体" w:cs="宋体"/>
          <w:b/>
          <w:bCs/>
          <w:color w:val="auto"/>
          <w:kern w:val="0"/>
          <w:szCs w:val="21"/>
        </w:rPr>
        <w:t>（</w:t>
      </w:r>
      <w:r>
        <w:rPr>
          <w:rFonts w:hint="eastAsia" w:ascii="宋体" w:hAnsi="宋体" w:cs="宋体"/>
          <w:b/>
          <w:bCs/>
          <w:color w:val="auto"/>
          <w:kern w:val="0"/>
          <w:szCs w:val="21"/>
          <w:lang w:eastAsia="zh-CN"/>
        </w:rPr>
        <w:t>五</w:t>
      </w:r>
      <w:r>
        <w:rPr>
          <w:rFonts w:hint="eastAsia" w:ascii="宋体" w:hAnsi="宋体" w:cs="宋体"/>
          <w:b/>
          <w:bCs/>
          <w:color w:val="auto"/>
          <w:kern w:val="0"/>
          <w:szCs w:val="21"/>
        </w:rPr>
        <w:t>）</w:t>
      </w:r>
      <w:r>
        <w:rPr>
          <w:rFonts w:hint="eastAsia" w:ascii="宋体" w:hAnsi="宋体" w:cs="宋体"/>
          <w:b/>
          <w:bCs/>
          <w:color w:val="auto"/>
          <w:szCs w:val="21"/>
        </w:rPr>
        <w:t>验收保证的承诺</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1、到货验收：设备到达甲方指定地点后，双方对设备的外包装、数量及裸露便于核对的相关信息予以现场验收。若在现场到货验收时发现设备数量、规格、品种、参数等外观要求不合规定，甲方有权拒收货物</w:t>
      </w:r>
      <w:r>
        <w:rPr>
          <w:rFonts w:hint="eastAsia" w:ascii="宋体" w:hAnsi="宋体" w:cs="宋体"/>
          <w:bCs/>
          <w:color w:val="auto"/>
          <w:kern w:val="2"/>
          <w:sz w:val="21"/>
          <w:szCs w:val="21"/>
          <w:lang w:val="en-US" w:eastAsia="zh-CN" w:bidi="ar-SA"/>
        </w:rPr>
        <w:t>，</w:t>
      </w:r>
      <w:r>
        <w:rPr>
          <w:rFonts w:hint="default" w:ascii="宋体" w:hAnsi="宋体" w:eastAsia="宋体" w:cs="宋体"/>
          <w:bCs/>
          <w:color w:val="auto"/>
          <w:kern w:val="2"/>
          <w:sz w:val="21"/>
          <w:szCs w:val="21"/>
          <w:lang w:val="en-US" w:eastAsia="zh-CN" w:bidi="ar-SA"/>
        </w:rPr>
        <w:t>因此产生的相关费用均由乙方负担。</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2、单证齐全：应有产品合格证（或质量证明）、使用说明、质保卡、发票和其他应具有的单证。同时由乙方提供该套设备的商检证，需计量鉴定的，还需提供初次计量鉴定证书，未提供初次计量鉴定证书的，可委托甲方送检，乙方承担鉴定费用。</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3、质量符合国家法律法规规定的标准、招标文件和投标文件的要求。</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4、设备到货验收合格后，乙方工程师须 2 天内负责对设备进行安装调试并通过初步验收。因乙方原因造成不能按时完成安装调试工作或未按时通过验收，乙方应承担违约责任。</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r>
        <w:rPr>
          <w:rFonts w:hint="default" w:ascii="宋体" w:hAnsi="宋体" w:eastAsia="宋体" w:cs="宋体"/>
          <w:bCs/>
          <w:color w:val="auto"/>
          <w:kern w:val="2"/>
          <w:sz w:val="21"/>
          <w:szCs w:val="21"/>
          <w:lang w:val="en-US" w:eastAsia="zh-CN" w:bidi="ar-SA"/>
        </w:rPr>
        <w:t>、培训验收：乙方派工程师至甲方的使用科室对科室相关人员进行操作方法培训，直到参加培训人员具备独立操作能力并能排除使用中的一般性障碍，且培训结果至甲方满意为止。如有必要，甲方派人至乙方指定地点进行免费培训，甲方派出培训人员所产生的培训费用（交通、住宿、差旅等）均由乙方承担，培训的结果必须至甲方满意为止。</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6</w:t>
      </w:r>
      <w:r>
        <w:rPr>
          <w:rFonts w:hint="default" w:ascii="宋体" w:hAnsi="宋体" w:eastAsia="宋体" w:cs="宋体"/>
          <w:bCs/>
          <w:color w:val="auto"/>
          <w:kern w:val="2"/>
          <w:sz w:val="21"/>
          <w:szCs w:val="21"/>
          <w:lang w:val="en-US" w:eastAsia="zh-CN" w:bidi="ar-SA"/>
        </w:rPr>
        <w:t>、通过到货验收、初步验收、培训验收后，甲乙双方进行最终验收，最终验收合格的，甲乙双方应签署最终验收报告。必要时甲方可引入第三方或者委托专业机构进行各项验收，验收费用由乙方全额承担，且甲乙双方对该验收结果予以认可。</w:t>
      </w:r>
    </w:p>
    <w:p>
      <w:pPr>
        <w:spacing w:line="360" w:lineRule="auto"/>
        <w:ind w:firstLine="426" w:firstLineChars="200"/>
        <w:rPr>
          <w:rFonts w:hint="default"/>
          <w:color w:val="auto"/>
          <w:lang w:val="en-US" w:eastAsia="zh-CN"/>
        </w:rPr>
      </w:pPr>
      <w:r>
        <w:rPr>
          <w:rFonts w:hint="eastAsia" w:ascii="宋体" w:hAnsi="宋体" w:cs="宋体"/>
          <w:bCs/>
          <w:color w:val="auto"/>
          <w:kern w:val="2"/>
          <w:sz w:val="21"/>
          <w:szCs w:val="21"/>
          <w:lang w:val="en-US" w:eastAsia="zh-CN" w:bidi="ar-SA"/>
        </w:rPr>
        <w:t>7</w:t>
      </w:r>
      <w:r>
        <w:rPr>
          <w:rFonts w:hint="eastAsia" w:ascii="宋体" w:hAnsi="宋体" w:eastAsia="宋体" w:cs="宋体"/>
          <w:bCs/>
          <w:color w:val="auto"/>
          <w:kern w:val="2"/>
          <w:sz w:val="21"/>
          <w:szCs w:val="21"/>
          <w:lang w:val="en-US" w:eastAsia="zh-CN" w:bidi="ar-SA"/>
        </w:rPr>
        <w:t>、中标单位提供的货物未达到招标文件规定要求，且对采购人造成损失的，由供应商承担一切责任，并赔偿所造成的损失。</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）付款方式</w:t>
      </w:r>
    </w:p>
    <w:p>
      <w:pPr>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具体按双方合同约定执行</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（七）售后</w:t>
      </w:r>
      <w:r>
        <w:rPr>
          <w:rFonts w:hint="eastAsia" w:ascii="宋体" w:hAnsi="宋体" w:eastAsia="宋体" w:cs="宋体"/>
          <w:b/>
          <w:color w:val="auto"/>
          <w:sz w:val="21"/>
          <w:szCs w:val="21"/>
          <w:highlight w:val="none"/>
          <w:lang w:eastAsia="zh-CN"/>
        </w:rPr>
        <w:t>服务</w:t>
      </w:r>
      <w:r>
        <w:rPr>
          <w:rFonts w:hint="eastAsia" w:ascii="宋体" w:hAnsi="宋体" w:eastAsia="宋体" w:cs="宋体"/>
          <w:b/>
          <w:color w:val="auto"/>
          <w:sz w:val="21"/>
          <w:szCs w:val="21"/>
          <w:highlight w:val="none"/>
        </w:rPr>
        <w:t>要求</w:t>
      </w:r>
    </w:p>
    <w:p>
      <w:pPr>
        <w:spacing w:line="360" w:lineRule="auto"/>
        <w:ind w:firstLine="426"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eastAsia="宋体" w:cs="Times New Roman"/>
          <w:bCs/>
          <w:color w:val="auto"/>
          <w:szCs w:val="21"/>
          <w:highlight w:val="none"/>
          <w:lang w:val="en-US" w:eastAsia="zh-CN"/>
        </w:rPr>
        <w:t>售后服务承诺</w:t>
      </w:r>
      <w:r>
        <w:rPr>
          <w:rFonts w:hint="eastAsia" w:ascii="宋体" w:hAnsi="宋体" w:cs="Times New Roman"/>
          <w:bCs/>
          <w:color w:val="auto"/>
          <w:szCs w:val="21"/>
          <w:highlight w:val="none"/>
          <w:lang w:val="en-US" w:eastAsia="zh-CN"/>
        </w:rPr>
        <w:t>：</w:t>
      </w:r>
      <w:r>
        <w:rPr>
          <w:rFonts w:hint="eastAsia" w:ascii="宋体" w:hAnsi="宋体" w:cs="宋体"/>
          <w:color w:val="auto"/>
          <w:kern w:val="0"/>
          <w:szCs w:val="21"/>
        </w:rPr>
        <w:t>供应商</w:t>
      </w:r>
      <w:r>
        <w:rPr>
          <w:rFonts w:hint="eastAsia" w:ascii="宋体" w:hAnsi="宋体" w:cs="宋体"/>
          <w:color w:val="auto"/>
          <w:kern w:val="0"/>
          <w:szCs w:val="21"/>
          <w:lang w:val="en-US" w:eastAsia="zh-CN"/>
        </w:rPr>
        <w:t>在规定的时间内供货后，应到招标人指定的供货现场免费安装、调试设备，进行操作试验，直至运行正常，为仪器操作人员提供免费的操作及维护培训。</w:t>
      </w:r>
    </w:p>
    <w:p>
      <w:pPr>
        <w:spacing w:line="360" w:lineRule="auto"/>
        <w:ind w:firstLine="426" w:firstLineChars="200"/>
        <w:rPr>
          <w:rFonts w:hint="eastAsia"/>
          <w:color w:val="auto"/>
        </w:rPr>
      </w:pPr>
      <w:r>
        <w:rPr>
          <w:rFonts w:hint="eastAsia" w:ascii="宋体" w:hAnsi="宋体" w:cs="宋体"/>
          <w:color w:val="auto"/>
          <w:kern w:val="0"/>
          <w:szCs w:val="21"/>
          <w:lang w:val="en-US" w:eastAsia="zh-CN"/>
        </w:rPr>
        <w:t>2、时间承诺：承诺</w:t>
      </w:r>
      <w:r>
        <w:rPr>
          <w:rFonts w:hint="eastAsia" w:ascii="宋体" w:hAnsi="宋体" w:eastAsia="宋体" w:cs="Times New Roman"/>
          <w:bCs/>
          <w:color w:val="auto"/>
          <w:szCs w:val="21"/>
          <w:highlight w:val="none"/>
          <w:lang w:val="en-US" w:eastAsia="zh-CN"/>
        </w:rPr>
        <w:t>提供7*24小时的服务与技术支持服务</w:t>
      </w:r>
      <w:r>
        <w:rPr>
          <w:rFonts w:hint="eastAsia" w:ascii="宋体" w:hAnsi="宋体" w:cs="Times New Roman"/>
          <w:bCs/>
          <w:color w:val="auto"/>
          <w:szCs w:val="21"/>
          <w:highlight w:val="none"/>
          <w:lang w:val="en-US" w:eastAsia="zh-CN"/>
        </w:rPr>
        <w:t>，</w:t>
      </w:r>
      <w:r>
        <w:rPr>
          <w:rFonts w:hint="eastAsia" w:ascii="宋体" w:hAnsi="宋体" w:cs="宋体"/>
          <w:color w:val="auto"/>
          <w:kern w:val="0"/>
          <w:szCs w:val="21"/>
          <w:lang w:val="en-US" w:eastAsia="zh-CN"/>
        </w:rPr>
        <w:t>在质保期内出现故障供应商在接到故障报修电话后</w:t>
      </w:r>
      <w:r>
        <w:rPr>
          <w:rFonts w:hint="eastAsia" w:ascii="Times New Roman" w:hAnsi="Times New Roman" w:eastAsia="宋体" w:cs="Times New Roman"/>
          <w:b/>
          <w:bCs w:val="0"/>
          <w:color w:val="auto"/>
          <w:kern w:val="2"/>
          <w:sz w:val="21"/>
          <w:szCs w:val="21"/>
          <w:lang w:val="en-US" w:eastAsia="zh-CN" w:bidi="ar-SA"/>
        </w:rPr>
        <w:t>，8小时内必须赶到现场解决故障，如当日无法修复，安装备品备件供甲方使用。</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、服务热线：投标人需提供服务热线及联系人</w:t>
      </w:r>
      <w:r>
        <w:rPr>
          <w:rFonts w:hint="eastAsia" w:ascii="宋体" w:hAnsi="宋体" w:cs="Times New Roman"/>
          <w:bCs/>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0"/>
        <w:jc w:val="left"/>
        <w:textAlignment w:val="auto"/>
        <w:rPr>
          <w:rFonts w:hint="default"/>
          <w:lang w:val="en-US" w:eastAsia="zh-CN"/>
        </w:rPr>
      </w:pP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lang w:val="en-US" w:eastAsia="zh-CN"/>
        </w:rPr>
        <w:t>、设备维护调试</w:t>
      </w:r>
      <w:r>
        <w:rPr>
          <w:rFonts w:hint="eastAsia" w:ascii="宋体" w:hAnsi="宋体" w:cs="Times New Roman"/>
          <w:bCs/>
          <w:color w:val="auto"/>
          <w:szCs w:val="21"/>
          <w:highlight w:val="none"/>
          <w:lang w:val="en-US" w:eastAsia="zh-CN"/>
        </w:rPr>
        <w:t>培训</w:t>
      </w:r>
      <w:r>
        <w:rPr>
          <w:rFonts w:hint="eastAsia" w:ascii="宋体" w:hAnsi="宋体" w:eastAsia="宋体" w:cs="Times New Roman"/>
          <w:bCs/>
          <w:color w:val="auto"/>
          <w:szCs w:val="21"/>
          <w:highlight w:val="none"/>
          <w:lang w:val="en-US" w:eastAsia="zh-CN"/>
        </w:rPr>
        <w:t>完成后，提供相关技术资料和操作手册。负责对采购单位工作人员进行培训并提供培训资料，培训内容主要包括供货设备及系统的工作原理、操作、运行及维护等方面的知识，直至对方能独立熟练操作、运行、维护。</w:t>
      </w:r>
    </w:p>
    <w:p>
      <w:pPr>
        <w:spacing w:line="360" w:lineRule="auto"/>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八</w:t>
      </w:r>
      <w:r>
        <w:rPr>
          <w:rFonts w:hint="eastAsia" w:ascii="宋体" w:hAnsi="宋体" w:cs="宋体"/>
          <w:b/>
          <w:color w:val="000000" w:themeColor="text1"/>
          <w:szCs w:val="21"/>
          <w14:textFill>
            <w14:solidFill>
              <w14:schemeClr w14:val="tx1"/>
            </w14:solidFill>
          </w14:textFill>
        </w:rPr>
        <w:t>）知识产权</w:t>
      </w:r>
    </w:p>
    <w:p>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九</w:t>
      </w:r>
      <w:r>
        <w:rPr>
          <w:rFonts w:hint="eastAsia" w:ascii="宋体" w:hAnsi="宋体" w:cs="宋体"/>
          <w:b/>
          <w:color w:val="000000" w:themeColor="text1"/>
          <w:szCs w:val="21"/>
          <w14:textFill>
            <w14:solidFill>
              <w14:schemeClr w14:val="tx1"/>
            </w14:solidFill>
          </w14:textFill>
        </w:rPr>
        <w:t>）其他</w:t>
      </w:r>
    </w:p>
    <w:p>
      <w:pPr>
        <w:spacing w:line="360" w:lineRule="auto"/>
        <w:ind w:firstLine="426"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1、投标人必须在投标文件中对以上条款和服务承诺明确列出，承诺内容必须达到本篇及招标文件其他条款的要求。</w:t>
      </w:r>
    </w:p>
    <w:p>
      <w:pPr>
        <w:spacing w:line="360" w:lineRule="auto"/>
        <w:ind w:firstLine="426"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2、其他未尽事宜由供需双方在采购合同中详细约定。</w:t>
      </w:r>
      <w:bookmarkEnd w:id="57"/>
      <w:bookmarkStart w:id="62" w:name="_Toc469495740"/>
    </w:p>
    <w:p>
      <w:pPr>
        <w:spacing w:line="360" w:lineRule="auto"/>
        <w:ind w:firstLine="426" w:firstLineChars="200"/>
        <w:rPr>
          <w:rFonts w:hint="eastAsia"/>
          <w:lang w:val="en-US" w:eastAsia="zh-CN"/>
        </w:rPr>
      </w:pPr>
      <w:r>
        <w:rPr>
          <w:rFonts w:hint="eastAsia" w:ascii="宋体" w:hAnsi="宋体" w:cs="宋体"/>
          <w:bCs/>
          <w:color w:val="000000" w:themeColor="text1"/>
          <w:szCs w:val="21"/>
          <w:lang w:val="en-US" w:eastAsia="zh-CN"/>
          <w14:textFill>
            <w14:solidFill>
              <w14:schemeClr w14:val="tx1"/>
            </w14:solidFill>
          </w14:textFill>
        </w:rPr>
        <w:t>3、投标人在服务期必须遵守安全生产事项、如：发生安全事故由投标人承担一切责任。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62"/>
      <w:bookmarkStart w:id="63"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63"/>
    </w:p>
    <w:p>
      <w:pPr>
        <w:widowControl/>
        <w:numPr>
          <w:ilvl w:val="0"/>
          <w:numId w:val="12"/>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64" w:name="_Toc469495741"/>
      <w:r>
        <w:rPr>
          <w:rFonts w:hint="eastAsia" w:ascii="宋体"/>
          <w:b/>
          <w:color w:val="auto"/>
          <w:sz w:val="28"/>
          <w:szCs w:val="28"/>
          <w:highlight w:val="none"/>
        </w:rPr>
        <w:t>合同协议书</w:t>
      </w:r>
      <w:bookmarkEnd w:id="64"/>
    </w:p>
    <w:p>
      <w:pPr>
        <w:shd w:val="clear" w:color="auto" w:fill="auto"/>
        <w:spacing w:line="360" w:lineRule="auto"/>
        <w:ind w:firstLine="486" w:firstLineChars="200"/>
        <w:jc w:val="both"/>
        <w:rPr>
          <w:rFonts w:hint="eastAsia"/>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pPr>
        <w:shd w:val="clear" w:color="auto" w:fill="auto"/>
        <w:spacing w:line="420" w:lineRule="exact"/>
        <w:ind w:firstLine="426" w:firstLineChars="200"/>
        <w:rPr>
          <w:rFonts w:hint="eastAsia" w:ascii="宋体" w:cs="宋体"/>
          <w:color w:val="auto"/>
          <w:szCs w:val="21"/>
          <w:highlight w:val="none"/>
        </w:rPr>
      </w:pPr>
      <w:bookmarkStart w:id="65" w:name="_Toc296602498"/>
      <w:bookmarkStart w:id="66" w:name="_Toc246996996"/>
      <w:bookmarkStart w:id="67" w:name="_Toc246996253"/>
      <w:bookmarkStart w:id="68" w:name="_Toc179632628"/>
      <w:bookmarkStart w:id="69" w:name="_Toc152042388"/>
      <w:bookmarkStart w:id="70" w:name="_Toc247085768"/>
      <w:bookmarkStart w:id="71" w:name="_Toc144974578"/>
      <w:bookmarkStart w:id="72" w:name="_Toc469495742"/>
      <w:bookmarkStart w:id="73" w:name="_Toc152045610"/>
      <w:r>
        <w:rPr>
          <w:rFonts w:hint="eastAsia" w:ascii="宋体" w:cs="宋体"/>
          <w:color w:val="auto"/>
          <w:szCs w:val="21"/>
          <w:highlight w:val="none"/>
        </w:rPr>
        <w:t>买    方：                                   卖    方：</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3、合同总价</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pPr>
        <w:shd w:val="clear" w:color="auto" w:fill="auto"/>
        <w:autoSpaceDN w:val="0"/>
        <w:spacing w:line="240" w:lineRule="atLeast"/>
        <w:ind w:firstLine="426"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pPr>
        <w:shd w:val="clear" w:color="auto" w:fill="auto"/>
        <w:spacing w:line="360" w:lineRule="auto"/>
        <w:ind w:firstLine="426"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6、验收要求及违约责任</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8、合同的生效</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pPr>
        <w:rPr>
          <w:rFonts w:hint="eastAsia"/>
        </w:rPr>
      </w:pPr>
    </w:p>
    <w:p>
      <w:pPr>
        <w:pStyle w:val="12"/>
        <w:shd w:val="clear" w:color="auto" w:fill="auto"/>
        <w:spacing w:after="0" w:line="420" w:lineRule="exact"/>
        <w:ind w:left="0" w:leftChars="0" w:firstLine="566" w:firstLineChars="200"/>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合同条款</w:t>
      </w:r>
      <w:bookmarkEnd w:id="65"/>
      <w:bookmarkEnd w:id="66"/>
      <w:bookmarkEnd w:id="67"/>
      <w:bookmarkEnd w:id="68"/>
      <w:bookmarkEnd w:id="69"/>
      <w:bookmarkEnd w:id="70"/>
      <w:bookmarkEnd w:id="71"/>
      <w:bookmarkEnd w:id="72"/>
      <w:bookmarkEnd w:id="73"/>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000000" w:themeColor="text1"/>
          <w:szCs w:val="21"/>
          <w:highlight w:val="none"/>
          <w14:textFill>
            <w14:solidFill>
              <w14:schemeClr w14:val="tx1"/>
            </w14:solidFill>
          </w14:textFill>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8"/>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8"/>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pacing w:line="560" w:lineRule="exact"/>
        <w:ind w:firstLine="426" w:firstLineChars="200"/>
        <w:outlineLvl w:val="0"/>
        <w:rPr>
          <w:rFonts w:hint="eastAsia" w:ascii="宋体" w:hAnsi="宋体" w:eastAsia="宋体" w:cs="宋体"/>
          <w:b/>
          <w:sz w:val="24"/>
        </w:rPr>
      </w:pPr>
      <w:r>
        <w:rPr>
          <w:rFonts w:hint="eastAsia" w:ascii="宋体" w:cs="宋体"/>
          <w:b/>
          <w:color w:val="000000" w:themeColor="text1"/>
          <w:szCs w:val="21"/>
          <w:highlight w:val="none"/>
          <w14:textFill>
            <w14:solidFill>
              <w14:schemeClr w14:val="tx1"/>
            </w14:solidFill>
          </w14:textFill>
        </w:rPr>
        <w:t xml:space="preserve">三. </w:t>
      </w:r>
      <w:r>
        <w:rPr>
          <w:rFonts w:hint="eastAsia" w:ascii="宋体" w:hAnsi="宋体" w:eastAsia="宋体" w:cs="宋体"/>
          <w:b/>
          <w:sz w:val="24"/>
        </w:rPr>
        <w:t xml:space="preserve"> 检验和验收</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pPr>
        <w:shd w:val="clear" w:color="auto" w:fill="auto"/>
        <w:spacing w:line="440" w:lineRule="exact"/>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 xml:space="preserve">、对标的物提出异议的时间和办法 </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8"/>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keepNext w:val="0"/>
        <w:keepLines w:val="0"/>
        <w:pageBreakBefore w:val="0"/>
        <w:kinsoku/>
        <w:wordWrap/>
        <w:overflowPunct/>
        <w:topLinePunct w:val="0"/>
        <w:bidi w:val="0"/>
        <w:spacing w:line="400" w:lineRule="exact"/>
        <w:ind w:firstLine="486" w:firstLineChars="200"/>
        <w:textAlignment w:val="auto"/>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、违约责任：</w:t>
      </w:r>
    </w:p>
    <w:p>
      <w:pPr>
        <w:keepNext w:val="0"/>
        <w:keepLines w:val="0"/>
        <w:pageBreakBefore w:val="0"/>
        <w:kinsoku/>
        <w:wordWrap/>
        <w:overflowPunct/>
        <w:topLinePunct w:val="0"/>
        <w:bidi w:val="0"/>
        <w:spacing w:line="400" w:lineRule="exact"/>
        <w:ind w:firstLine="426"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、索赔</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pPr>
        <w:shd w:val="clear" w:color="auto" w:fill="auto"/>
        <w:spacing w:line="440" w:lineRule="exact"/>
        <w:rPr>
          <w:rFonts w:hint="eastAsia" w:ascii="宋体" w:cs="宋体"/>
          <w:b/>
          <w:color w:val="auto"/>
          <w:szCs w:val="21"/>
          <w:highlight w:val="none"/>
        </w:rPr>
      </w:pP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、合同的解除</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、合同的转让</w:t>
      </w:r>
    </w:p>
    <w:p>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、合同的生效</w:t>
      </w:r>
    </w:p>
    <w:p>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、争议解决</w:t>
      </w:r>
    </w:p>
    <w:p>
      <w:pPr>
        <w:pStyle w:val="8"/>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8"/>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、未尽事宜</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pPr>
        <w:pStyle w:val="12"/>
        <w:shd w:val="clear" w:color="auto" w:fill="auto"/>
        <w:spacing w:after="0" w:line="400" w:lineRule="exact"/>
        <w:ind w:left="0" w:leftChars="0" w:firstLine="486" w:firstLineChars="200"/>
        <w:rPr>
          <w:rFonts w:hint="eastAsia"/>
          <w:color w:val="auto"/>
          <w:kern w:val="0"/>
          <w:sz w:val="24"/>
          <w:szCs w:val="20"/>
          <w:highlight w:val="none"/>
          <w:u w:val="none" w:color="000000"/>
        </w:rPr>
      </w:pPr>
    </w:p>
    <w:p>
      <w:pPr>
        <w:pageBreakBefore/>
        <w:shd w:val="clear" w:color="auto" w:fill="auto"/>
        <w:jc w:val="center"/>
        <w:outlineLvl w:val="0"/>
        <w:rPr>
          <w:rFonts w:hint="eastAsia" w:ascii="宋体"/>
          <w:b/>
          <w:color w:val="auto"/>
          <w:sz w:val="30"/>
          <w:szCs w:val="30"/>
          <w:highlight w:val="none"/>
        </w:rPr>
      </w:pPr>
      <w:bookmarkStart w:id="74" w:name="_Toc469495743"/>
      <w:r>
        <w:rPr>
          <w:rFonts w:hint="eastAsia" w:ascii="宋体"/>
          <w:b/>
          <w:color w:val="auto"/>
          <w:sz w:val="30"/>
          <w:szCs w:val="30"/>
          <w:highlight w:val="none"/>
        </w:rPr>
        <w:t>第六章  投标文件格式</w:t>
      </w:r>
      <w:bookmarkEnd w:id="74"/>
    </w:p>
    <w:p>
      <w:pPr>
        <w:shd w:val="clear" w:color="auto" w:fill="auto"/>
        <w:spacing w:line="240" w:lineRule="atLeast"/>
        <w:ind w:left="745" w:leftChars="350" w:firstLine="121" w:firstLineChars="50"/>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color w:val="auto"/>
          <w:sz w:val="24"/>
          <w:highlight w:val="none"/>
        </w:rPr>
      </w:pPr>
      <w:bookmarkStart w:id="75" w:name="_Toc515647803"/>
      <w:bookmarkStart w:id="76" w:name="_Toc18974"/>
      <w:bookmarkStart w:id="77" w:name="_Toc18694"/>
      <w:bookmarkStart w:id="78" w:name="_Toc8919"/>
      <w:r>
        <w:rPr>
          <w:rFonts w:hint="eastAsia" w:ascii="宋体" w:hAnsi="宋体" w:eastAsia="宋体" w:cs="宋体"/>
          <w:b/>
          <w:bCs/>
          <w:color w:val="auto"/>
          <w:sz w:val="24"/>
          <w:highlight w:val="none"/>
        </w:rPr>
        <w:t>第一部分 资格证明文件</w:t>
      </w:r>
      <w:bookmarkEnd w:id="75"/>
      <w:bookmarkEnd w:id="76"/>
      <w:bookmarkEnd w:id="77"/>
      <w:bookmarkEnd w:id="78"/>
    </w:p>
    <w:p>
      <w:pPr>
        <w:shd w:val="clear" w:color="auto" w:fill="auto"/>
        <w:spacing w:line="240" w:lineRule="atLeast"/>
        <w:ind w:left="708" w:hanging="716" w:hangingChars="295"/>
        <w:jc w:val="center"/>
        <w:rPr>
          <w:rFonts w:hint="eastAsia" w:ascii="宋体" w:hAnsi="宋体" w:eastAsia="宋体" w:cs="宋体"/>
          <w:color w:val="auto"/>
          <w:sz w:val="24"/>
          <w:highlight w:val="none"/>
        </w:rPr>
      </w:pP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5、投标企业须提供投标人（被授权人）投标截止时间前半年内任意1个月的社保证明；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投标企业需提供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6"/>
        <w:rPr>
          <w:rFonts w:hint="eastAsia" w:ascii="宋体" w:hAnsi="宋体" w:eastAsia="宋体" w:cs="宋体"/>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tabs>
          <w:tab w:val="left" w:pos="5580"/>
        </w:tabs>
        <w:spacing w:line="240" w:lineRule="atLeast"/>
        <w:rPr>
          <w:rFonts w:hint="eastAsia" w:ascii="宋体" w:hAnsi="宋体" w:eastAsia="宋体" w:cs="宋体"/>
          <w:color w:val="auto"/>
          <w:sz w:val="24"/>
          <w:highlight w:val="none"/>
        </w:rPr>
      </w:pPr>
    </w:p>
    <w:p>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79" w:name="_Toc515647805"/>
      <w:bookmarkStart w:id="80" w:name="_Toc29899"/>
      <w:bookmarkStart w:id="81" w:name="_Toc17577"/>
      <w:bookmarkStart w:id="82" w:name="_Toc4844"/>
      <w:bookmarkStart w:id="83" w:name="_Ref467988698"/>
      <w:bookmarkStart w:id="84" w:name="_Toc216582813"/>
      <w:bookmarkStart w:id="85" w:name="_Toc520356217"/>
      <w:bookmarkStart w:id="86" w:name="_Toc480942349"/>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79"/>
      <w:bookmarkStart w:id="87" w:name="_Toc515647806"/>
      <w:r>
        <w:rPr>
          <w:rFonts w:hint="eastAsia" w:ascii="宋体" w:hAnsi="宋体" w:eastAsia="宋体" w:cs="宋体"/>
          <w:b/>
          <w:bCs/>
          <w:color w:val="auto"/>
          <w:sz w:val="24"/>
          <w:highlight w:val="none"/>
        </w:rPr>
        <w:t>或自然人的身份证明</w:t>
      </w:r>
      <w:bookmarkEnd w:id="80"/>
      <w:bookmarkEnd w:id="81"/>
      <w:bookmarkEnd w:id="82"/>
      <w:bookmarkEnd w:id="87"/>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both"/>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bookmarkStart w:id="88" w:name="_Toc515647808"/>
      <w:bookmarkStart w:id="89" w:name="_Toc7039"/>
      <w:bookmarkStart w:id="90" w:name="_Toc32520"/>
    </w:p>
    <w:p>
      <w:pPr>
        <w:pStyle w:val="5"/>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91" w:name="_Toc22472"/>
      <w:bookmarkStart w:id="92" w:name="_Toc515647807"/>
      <w:bookmarkStart w:id="93" w:name="_Toc23503"/>
      <w:bookmarkStart w:id="94" w:name="_Toc1083"/>
    </w:p>
    <w:p>
      <w:pPr>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jc w:val="center"/>
        <w:rPr>
          <w:rFonts w:hint="eastAsia" w:ascii="宋体" w:hAnsi="宋体" w:eastAsia="宋体" w:cs="宋体"/>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bookmarkStart w:id="95" w:name="_Toc30244"/>
    </w:p>
    <w:p>
      <w:pPr>
        <w:pStyle w:val="5"/>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投标人（盖单位章）;</w:t>
      </w:r>
      <w:r>
        <w:rPr>
          <w:rFonts w:hint="eastAsia" w:hAnsi="宋体" w:cs="宋体"/>
          <w:color w:val="auto"/>
          <w:sz w:val="22"/>
          <w:szCs w:val="18"/>
          <w:highlight w:val="none"/>
          <w:u w:val="single" w:color="auto"/>
          <w:lang w:val="en-US" w:eastAsia="zh-CN"/>
        </w:rPr>
        <w:t xml:space="preserve">                                </w:t>
      </w:r>
      <w:r>
        <w:rPr>
          <w:rFonts w:hint="eastAsia" w:ascii="宋体" w:hAnsi="宋体" w:eastAsia="宋体" w:cs="宋体"/>
          <w:color w:val="auto"/>
          <w:sz w:val="22"/>
          <w:szCs w:val="18"/>
          <w:highlight w:val="non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hAnsi="宋体" w:cs="宋体"/>
          <w:color w:val="auto"/>
          <w:sz w:val="22"/>
          <w:szCs w:val="18"/>
          <w:highlight w:val="none"/>
          <w:u w:val="single" w:color="auto"/>
          <w:lang w:val="en-US" w:eastAsia="zh-CN"/>
        </w:rPr>
        <w:t xml:space="preserve">                         </w:t>
      </w:r>
      <w:r>
        <w:rPr>
          <w:rFonts w:hint="eastAsia" w:hAnsi="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w:t>
      </w:r>
    </w:p>
    <w:p>
      <w:pPr>
        <w:pStyle w:val="14"/>
        <w:shd w:val="clear" w:color="auto" w:fill="auto"/>
        <w:tabs>
          <w:tab w:val="left" w:pos="5580"/>
        </w:tabs>
        <w:spacing w:line="240" w:lineRule="atLeast"/>
        <w:ind w:firstLine="446" w:firstLineChars="200"/>
        <w:rPr>
          <w:rFonts w:hint="default" w:ascii="宋体" w:hAnsi="宋体" w:eastAsia="宋体" w:cs="宋体"/>
          <w:color w:val="auto"/>
          <w:sz w:val="22"/>
          <w:szCs w:val="18"/>
          <w:highlight w:val="none"/>
          <w:u w:val="single" w:color="auto"/>
          <w:lang w:val="en-US" w:eastAsia="zh-CN"/>
        </w:rPr>
      </w:pPr>
      <w:r>
        <w:rPr>
          <w:rFonts w:hint="eastAsia" w:ascii="宋体" w:hAnsi="宋体" w:eastAsia="宋体" w:cs="宋体"/>
          <w:color w:val="auto"/>
          <w:sz w:val="22"/>
          <w:szCs w:val="18"/>
          <w:highlight w:val="none"/>
          <w:lang w:val="en-US" w:eastAsia="zh-CN"/>
        </w:rPr>
        <w:t xml:space="preserve">年   月   日 </w:t>
      </w:r>
    </w:p>
    <w:p>
      <w:pPr>
        <w:spacing w:line="500" w:lineRule="exact"/>
        <w:jc w:val="center"/>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91"/>
      <w:bookmarkEnd w:id="92"/>
      <w:bookmarkEnd w:id="93"/>
      <w:bookmarkEnd w:id="94"/>
      <w:bookmarkEnd w:id="95"/>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4"/>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日签字生效,特此声明。</w:t>
      </w:r>
      <w:r>
        <w:rPr>
          <w:rFonts w:hint="eastAsia" w:ascii="宋体" w:hAnsi="宋体" w:eastAsia="宋体" w:cs="宋体"/>
          <w:color w:val="auto"/>
          <w:sz w:val="24"/>
          <w:highlight w:val="none"/>
        </w:rPr>
        <w:cr/>
      </w: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v:textbox>
              </v:shape>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v:textbox>
              </v:roundrect>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w:t>
      </w:r>
      <w:r>
        <w:rPr>
          <w:rFonts w:hint="eastAsia" w:ascii="宋体" w:hAnsi="宋体" w:eastAsia="宋体" w:cs="宋体"/>
          <w:color w:val="auto"/>
          <w:sz w:val="22"/>
          <w:szCs w:val="18"/>
          <w:highlight w:val="none"/>
          <w:u w:val="single"/>
        </w:rPr>
        <w:t xml:space="preserve">                                   </w:t>
      </w:r>
    </w:p>
    <w:p>
      <w:pPr>
        <w:shd w:val="clear" w:color="auto" w:fill="auto"/>
        <w:spacing w:line="360" w:lineRule="auto"/>
        <w:ind w:firstLine="446"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pPr>
        <w:pStyle w:val="5"/>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96" w:name="_Toc26357"/>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88"/>
      <w:bookmarkEnd w:id="89"/>
      <w:bookmarkEnd w:id="90"/>
      <w:bookmarkEnd w:id="96"/>
      <w:bookmarkStart w:id="97" w:name="_Toc515647809"/>
      <w:bookmarkStart w:id="98" w:name="_Toc11047"/>
      <w:bookmarkStart w:id="99" w:name="_Toc28445"/>
      <w:bookmarkStart w:id="100" w:name="_Toc4866"/>
      <w:r>
        <w:rPr>
          <w:rFonts w:hint="eastAsia" w:ascii="宋体" w:hAnsi="宋体" w:eastAsia="宋体" w:cs="宋体"/>
          <w:b/>
          <w:bCs/>
          <w:color w:val="auto"/>
          <w:sz w:val="24"/>
          <w:highlight w:val="none"/>
        </w:rPr>
        <w:t>投标保证金缴纳凭证或投标担保函</w:t>
      </w:r>
      <w:bookmarkEnd w:id="97"/>
      <w:bookmarkEnd w:id="98"/>
      <w:bookmarkEnd w:id="99"/>
      <w:bookmarkEnd w:id="100"/>
    </w:p>
    <w:p>
      <w:pPr>
        <w:shd w:val="clear" w:color="auto" w:fill="auto"/>
        <w:ind w:firstLine="426" w:firstLineChars="200"/>
        <w:rPr>
          <w:rFonts w:hint="eastAsia" w:ascii="宋体" w:hAnsi="宋体" w:eastAsia="宋体" w:cs="宋体"/>
          <w:color w:val="auto"/>
          <w:sz w:val="21"/>
          <w:szCs w:val="21"/>
          <w:highlight w:val="none"/>
        </w:rPr>
      </w:pPr>
      <w:bookmarkStart w:id="101" w:name="_Toc494296665"/>
      <w:bookmarkStart w:id="102" w:name="_Toc494296991"/>
    </w:p>
    <w:p>
      <w:pPr>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）,将原件装订在本部分正本中。</w:t>
      </w:r>
      <w:bookmarkEnd w:id="101"/>
      <w:bookmarkEnd w:id="102"/>
    </w:p>
    <w:p>
      <w:pPr>
        <w:pStyle w:val="8"/>
        <w:shd w:val="clear" w:color="auto" w:fill="auto"/>
        <w:spacing w:line="360" w:lineRule="auto"/>
        <w:rPr>
          <w:rFonts w:hint="eastAsia" w:ascii="宋体" w:hAnsi="宋体" w:eastAsia="宋体" w:cs="宋体"/>
          <w:color w:val="auto"/>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jc w:val="both"/>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投标保证金收据</w:t>
            </w:r>
          </w:p>
        </w:tc>
      </w:tr>
    </w:tbl>
    <w:p>
      <w:pPr>
        <w:pStyle w:val="8"/>
        <w:shd w:val="clear" w:color="auto" w:fill="auto"/>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打款凭证</w:t>
            </w: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tc>
      </w:tr>
    </w:tbl>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shd w:val="clear" w:color="auto" w:fill="auto"/>
        <w:jc w:val="both"/>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kern w:val="0"/>
          <w:sz w:val="24"/>
          <w:szCs w:val="20"/>
          <w:highlight w:val="none"/>
          <w:lang w:val="en-US" w:eastAsia="zh-CN" w:bidi="ar-SA"/>
        </w:rPr>
        <w:t>政府采购投标担保函 （项目用）</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保证人：（公章）</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highlight w:val="none"/>
        </w:rPr>
        <w:t>年     月      日</w:t>
      </w: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sectPr>
          <w:headerReference r:id="rId4" w:type="default"/>
          <w:footerReference r:id="rId5" w:type="default"/>
          <w:pgSz w:w="11905" w:h="16838"/>
          <w:pgMar w:top="1440" w:right="1797" w:bottom="1440" w:left="1797" w:header="850" w:footer="992" w:gutter="0"/>
          <w:pgNumType w:fmt="decimal"/>
          <w:cols w:space="720" w:num="1"/>
          <w:rtlGutter w:val="0"/>
          <w:docGrid w:type="linesAndChars" w:linePitch="325" w:charSpace="635"/>
        </w:sectPr>
      </w:pPr>
      <w:r>
        <w:rPr>
          <w:rFonts w:hint="eastAsia" w:cs="宋体"/>
          <w:b/>
          <w:bCs/>
          <w:color w:val="auto"/>
          <w:kern w:val="0"/>
          <w:sz w:val="24"/>
          <w:szCs w:val="20"/>
          <w:highlight w:val="none"/>
          <w:lang w:val="en-US" w:eastAsia="zh-CN" w:bidi="ar-SA"/>
        </w:rPr>
        <w:t>6</w:t>
      </w:r>
      <w:r>
        <w:rPr>
          <w:rFonts w:hint="eastAsia" w:ascii="宋体" w:hAnsi="宋体" w:eastAsia="宋体" w:cs="宋体"/>
          <w:b/>
          <w:bCs/>
          <w:color w:val="auto"/>
          <w:kern w:val="0"/>
          <w:sz w:val="24"/>
          <w:szCs w:val="20"/>
          <w:highlight w:val="none"/>
          <w:lang w:val="en-US" w:eastAsia="zh-CN" w:bidi="ar-SA"/>
        </w:rPr>
        <w:t>、投标企业须提供投标人（被授权人）投标截止时间前半年内任意1个月的社保证明；</w:t>
      </w:r>
    </w:p>
    <w:p>
      <w:pPr>
        <w:pStyle w:val="2"/>
        <w:rPr>
          <w:rFonts w:hint="eastAsia"/>
          <w:lang w:val="en-US" w:eastAsia="zh-CN"/>
        </w:rPr>
      </w:pPr>
    </w:p>
    <w:p>
      <w:pPr>
        <w:pStyle w:val="5"/>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bookmarkStart w:id="103" w:name="_Toc27021"/>
      <w:bookmarkStart w:id="104" w:name="_Toc515647810"/>
      <w:bookmarkStart w:id="105" w:name="_Toc18754"/>
      <w:bookmarkStart w:id="106" w:name="_Toc5710"/>
    </w:p>
    <w:p>
      <w:pPr>
        <w:pStyle w:val="5"/>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kern w:val="0"/>
          <w:sz w:val="24"/>
          <w:szCs w:val="20"/>
          <w:highlight w:val="none"/>
          <w:lang w:val="en-US" w:eastAsia="zh-CN" w:bidi="ar-SA"/>
        </w:rPr>
        <w:t>7</w:t>
      </w:r>
      <w:r>
        <w:rPr>
          <w:rFonts w:hint="eastAsia" w:ascii="宋体" w:hAnsi="宋体" w:eastAsia="宋体" w:cs="宋体"/>
          <w:b/>
          <w:bCs/>
          <w:color w:val="auto"/>
          <w:kern w:val="0"/>
          <w:sz w:val="24"/>
          <w:szCs w:val="20"/>
          <w:highlight w:val="none"/>
          <w:lang w:val="en-US" w:eastAsia="zh-CN" w:bidi="ar-SA"/>
        </w:rPr>
        <w:t>、</w:t>
      </w:r>
      <w:bookmarkEnd w:id="103"/>
      <w:bookmarkEnd w:id="104"/>
      <w:bookmarkEnd w:id="105"/>
      <w:bookmarkEnd w:id="106"/>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p>
    <w:p>
      <w:pPr>
        <w:pStyle w:val="14"/>
        <w:shd w:val="clear" w:color="auto" w:fill="auto"/>
        <w:tabs>
          <w:tab w:val="left" w:pos="5580"/>
        </w:tabs>
        <w:spacing w:line="360" w:lineRule="auto"/>
        <w:ind w:left="1087" w:leftChars="257" w:hanging="540"/>
        <w:jc w:val="center"/>
        <w:rPr>
          <w:rFonts w:hint="eastAsia" w:ascii="宋体" w:hAnsi="宋体" w:eastAsia="宋体" w:cs="宋体"/>
          <w:b/>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pStyle w:val="2"/>
        <w:rPr>
          <w:rFonts w:hint="eastAsia"/>
          <w:lang w:val="en-US" w:eastAsia="zh-CN"/>
        </w:rPr>
      </w:pPr>
    </w:p>
    <w:p>
      <w:pPr>
        <w:shd w:val="clear" w:color="auto" w:fill="auto"/>
        <w:spacing w:line="360"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5"/>
        <w:numPr>
          <w:ilvl w:val="0"/>
          <w:numId w:val="0"/>
        </w:numPr>
        <w:shd w:val="clear" w:color="auto" w:fill="auto"/>
        <w:spacing w:before="0" w:line="240" w:lineRule="atLeast"/>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p>
    <w:p>
      <w:pPr>
        <w:jc w:val="center"/>
        <w:rPr>
          <w:rFonts w:hint="eastAsia"/>
        </w:rPr>
      </w:pPr>
    </w:p>
    <w:p>
      <w:pPr>
        <w:shd w:val="clear" w:color="auto" w:fill="auto"/>
        <w:spacing w:line="44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9</w:t>
      </w:r>
      <w:r>
        <w:rPr>
          <w:rFonts w:hint="eastAsia" w:ascii="宋体" w:hAnsi="宋体" w:eastAsia="宋体" w:cs="宋体"/>
          <w:b/>
          <w:bCs/>
          <w:color w:val="auto"/>
          <w:kern w:val="2"/>
          <w:sz w:val="21"/>
          <w:szCs w:val="24"/>
          <w:highlight w:val="none"/>
          <w:lang w:val="en-US" w:eastAsia="zh-CN" w:bidi="ar-SA"/>
        </w:rPr>
        <w:t>、投标人须知资料表要求的其他资格证明文件;</w:t>
      </w:r>
    </w:p>
    <w:p>
      <w:pPr>
        <w:pStyle w:val="5"/>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bookmarkStart w:id="107" w:name="_Toc515647811"/>
      <w:bookmarkStart w:id="108" w:name="_Toc32670"/>
      <w:bookmarkStart w:id="109" w:name="_Toc4937"/>
      <w:bookmarkStart w:id="110" w:name="_Toc24428"/>
    </w:p>
    <w:p>
      <w:pPr>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p>
      <w:pPr>
        <w:pStyle w:val="2"/>
        <w:rPr>
          <w:rFonts w:hint="eastAsia"/>
          <w:lang w:val="en-US" w:eastAsia="zh-CN"/>
        </w:rPr>
      </w:pPr>
    </w:p>
    <w:bookmarkEnd w:id="107"/>
    <w:bookmarkEnd w:id="108"/>
    <w:bookmarkEnd w:id="109"/>
    <w:bookmarkEnd w:id="110"/>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111" w:name="_Toc22967"/>
      <w:bookmarkStart w:id="112" w:name="_Toc5695"/>
      <w:bookmarkStart w:id="113" w:name="_Toc515647816"/>
      <w:bookmarkStart w:id="114" w:name="_Toc11180"/>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1938" w:firstLineChars="600"/>
        <w:jc w:val="both"/>
        <w:textAlignment w:val="auto"/>
        <w:rPr>
          <w:rFonts w:hint="eastAsia"/>
          <w:color w:val="auto"/>
          <w:sz w:val="32"/>
          <w:szCs w:val="32"/>
          <w:highlight w:val="none"/>
        </w:rPr>
        <w:sectPr>
          <w:pgSz w:w="11905" w:h="16838"/>
          <w:pgMar w:top="1440" w:right="1797" w:bottom="1440" w:left="1797" w:header="850" w:footer="992" w:gutter="0"/>
          <w:pgNumType w:fmt="decimal"/>
          <w:cols w:space="720" w:num="1"/>
          <w:rtlGutter w:val="0"/>
          <w:docGrid w:type="linesAndChars" w:linePitch="325" w:charSpace="635"/>
        </w:sect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1938" w:firstLineChars="600"/>
        <w:jc w:val="both"/>
        <w:textAlignment w:val="auto"/>
        <w:rPr>
          <w:rFonts w:hint="eastAsia"/>
          <w:color w:val="auto"/>
          <w:sz w:val="32"/>
          <w:szCs w:val="32"/>
          <w:highlight w:val="none"/>
        </w:rPr>
      </w:pPr>
      <w:r>
        <w:rPr>
          <w:rFonts w:hint="eastAsia"/>
          <w:color w:val="auto"/>
          <w:sz w:val="32"/>
          <w:szCs w:val="32"/>
          <w:highlight w:val="none"/>
        </w:rPr>
        <w:t>第二部分  商务及技术文件</w:t>
      </w:r>
      <w:bookmarkEnd w:id="111"/>
      <w:bookmarkEnd w:id="112"/>
      <w:bookmarkEnd w:id="113"/>
      <w:bookmarkEnd w:id="114"/>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2、开标一览表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3、货物说明一览表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4、投标分项报价表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5、技术规格偏离表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6、商务条款偏离表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7、投标人基本情况表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8、近三年（2020年1月1日至今）类似项目业绩表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9、中小企业声明函(货物)</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10、《残疾人福利性单位声明函》</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11、评分标准和细则中技术部分证明材料</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12、评分标准和细则中</w:t>
      </w:r>
      <w:r>
        <w:rPr>
          <w:rFonts w:hint="eastAsia" w:ascii="宋体" w:hAnsi="宋体" w:cs="Times New Roman"/>
          <w:color w:val="000000"/>
          <w:szCs w:val="21"/>
          <w:highlight w:val="none"/>
          <w:lang w:val="en-US" w:eastAsia="zh-CN"/>
        </w:rPr>
        <w:t>商务</w:t>
      </w:r>
      <w:r>
        <w:rPr>
          <w:rFonts w:hint="eastAsia" w:ascii="宋体" w:hAnsi="宋体" w:eastAsia="宋体" w:cs="Times New Roman"/>
          <w:color w:val="000000"/>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000000"/>
          <w:szCs w:val="21"/>
          <w:highlight w:val="none"/>
          <w:lang w:val="en-US" w:eastAsia="zh-CN"/>
        </w:rPr>
        <w:t>13、投标人认为有必要提供的其他证明材料（格式自拟）</w:t>
      </w:r>
    </w:p>
    <w:bookmarkEnd w:id="83"/>
    <w:bookmarkEnd w:id="84"/>
    <w:bookmarkEnd w:id="85"/>
    <w:bookmarkEnd w:id="86"/>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bookmarkStart w:id="115" w:name="_Toc23473"/>
      <w:bookmarkStart w:id="116" w:name="_Toc1266"/>
      <w:bookmarkStart w:id="117" w:name="_Toc10107"/>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pPr>
        <w:pStyle w:val="2"/>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（一）按招标文件提供的全部货物与相关服务的投标总价详见《报价一览表》。</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）如我方被授予合同，我方承诺支付就本次招标应支付或将支付的中标服务费（详见按招标文件要求格式填写的《中标服务费支付承诺书》）。</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pPr>
        <w:pStyle w:val="5"/>
        <w:numPr>
          <w:ilvl w:val="0"/>
          <w:numId w:val="0"/>
        </w:numPr>
        <w:shd w:val="clear" w:color="auto" w:fill="auto"/>
        <w:spacing w:before="0" w:line="240" w:lineRule="atLeast"/>
        <w:ind w:left="431" w:leftChars="0"/>
        <w:rPr>
          <w:rFonts w:hint="eastAsia" w:ascii="宋体" w:hAnsi="宋体" w:eastAsia="宋体" w:cs="宋体"/>
          <w:color w:val="auto"/>
          <w:sz w:val="24"/>
          <w:highlight w:val="none"/>
        </w:rPr>
      </w:pPr>
    </w:p>
    <w:p>
      <w:pPr>
        <w:pStyle w:val="6"/>
        <w:rPr>
          <w:rFonts w:hint="eastAsia"/>
        </w:rPr>
      </w:pPr>
    </w:p>
    <w:p>
      <w:pPr>
        <w:pStyle w:val="8"/>
        <w:shd w:val="clear" w:color="auto" w:fill="auto"/>
        <w:tabs>
          <w:tab w:val="left" w:pos="5580"/>
        </w:tabs>
        <w:spacing w:line="240" w:lineRule="atLeast"/>
        <w:ind w:left="0" w:leftChars="0" w:firstLine="0" w:firstLineChars="0"/>
        <w:jc w:val="both"/>
        <w:rPr>
          <w:rFonts w:hint="eastAsia" w:ascii="宋体" w:hAnsi="宋体" w:eastAsia="宋体" w:cs="宋体"/>
          <w:b/>
          <w:color w:val="auto"/>
          <w:sz w:val="36"/>
          <w:szCs w:val="24"/>
          <w:highlight w:val="none"/>
        </w:rPr>
      </w:pPr>
      <w:bookmarkStart w:id="118" w:name="_Toc494296984"/>
    </w:p>
    <w:p>
      <w:pPr>
        <w:pStyle w:val="8"/>
        <w:numPr>
          <w:ilvl w:val="0"/>
          <w:numId w:val="13"/>
        </w:numPr>
        <w:shd w:val="clear" w:color="auto" w:fill="auto"/>
        <w:tabs>
          <w:tab w:val="left" w:pos="5580"/>
        </w:tabs>
        <w:spacing w:line="240" w:lineRule="atLeast"/>
        <w:ind w:left="0" w:leftChars="0" w:firstLine="0" w:firstLineChars="0"/>
        <w:jc w:val="center"/>
        <w:rPr>
          <w:rFonts w:hint="eastAsia" w:ascii="宋体" w:hAnsi="宋体" w:eastAsia="宋体" w:cs="宋体"/>
          <w:b/>
          <w:color w:val="auto"/>
          <w:sz w:val="28"/>
          <w:szCs w:val="21"/>
          <w:highlight w:val="none"/>
        </w:rPr>
        <w:sectPr>
          <w:pgSz w:w="11905" w:h="16838"/>
          <w:pgMar w:top="1440" w:right="1797" w:bottom="1440" w:left="1797" w:header="850" w:footer="992" w:gutter="0"/>
          <w:pgNumType w:fmt="decimal"/>
          <w:cols w:space="720" w:num="1"/>
          <w:rtlGutter w:val="0"/>
          <w:docGrid w:type="linesAndChars" w:linePitch="325" w:charSpace="635"/>
        </w:sectPr>
      </w:pPr>
    </w:p>
    <w:p>
      <w:pPr>
        <w:pStyle w:val="8"/>
        <w:numPr>
          <w:ilvl w:val="0"/>
          <w:numId w:val="13"/>
        </w:numPr>
        <w:shd w:val="clear" w:color="auto" w:fill="auto"/>
        <w:tabs>
          <w:tab w:val="left" w:pos="5580"/>
        </w:tabs>
        <w:spacing w:line="240" w:lineRule="atLeast"/>
        <w:ind w:left="0" w:leftChars="0" w:firstLine="0" w:firstLineChars="0"/>
        <w:jc w:val="center"/>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开标一览表</w:t>
      </w:r>
      <w:bookmarkEnd w:id="118"/>
    </w:p>
    <w:p>
      <w:pPr>
        <w:pStyle w:val="8"/>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8"/>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交货</w:t>
            </w:r>
            <w:r>
              <w:rPr>
                <w:rFonts w:hint="eastAsia" w:ascii="宋体" w:hAnsi="宋体" w:cs="宋体"/>
                <w:color w:val="auto"/>
                <w:szCs w:val="21"/>
                <w:highlight w:val="none"/>
                <w:lang w:val="en-US" w:eastAsia="zh-CN"/>
              </w:rPr>
              <w:t>时间</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供货地点</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
      <w:pPr>
        <w:pStyle w:val="5"/>
        <w:numPr>
          <w:ilvl w:val="0"/>
          <w:numId w:val="0"/>
        </w:numPr>
        <w:shd w:val="clear" w:color="auto" w:fill="auto"/>
        <w:spacing w:before="0" w:line="240" w:lineRule="atLeast"/>
        <w:jc w:val="both"/>
        <w:rPr>
          <w:rFonts w:hint="eastAsia" w:ascii="宋体" w:hAnsi="宋体" w:eastAsia="宋体" w:cs="宋体"/>
          <w:b/>
          <w:bCs/>
          <w:color w:val="auto"/>
          <w:sz w:val="24"/>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2 </w:t>
      </w:r>
      <w:r>
        <w:rPr>
          <w:rFonts w:hint="eastAsia" w:ascii="宋体" w:hAnsi="宋体" w:eastAsia="宋体" w:cs="宋体"/>
          <w:b/>
          <w:bCs/>
          <w:color w:val="auto"/>
          <w:sz w:val="24"/>
          <w:highlight w:val="none"/>
          <w:lang w:eastAsia="zh-CN"/>
        </w:rPr>
        <w:t>、</w:t>
      </w:r>
      <w:bookmarkEnd w:id="115"/>
      <w:bookmarkEnd w:id="116"/>
      <w:bookmarkEnd w:id="117"/>
      <w:bookmarkStart w:id="119" w:name="_Toc1881"/>
      <w:bookmarkStart w:id="120" w:name="_Toc20897"/>
      <w:bookmarkStart w:id="121" w:name="_Toc216582815"/>
      <w:bookmarkStart w:id="122" w:name="_Toc515647818"/>
      <w:bookmarkStart w:id="123" w:name="_Toc10313"/>
      <w:bookmarkStart w:id="124" w:name="_Toc22563"/>
      <w:bookmarkStart w:id="125" w:name="_Toc216582817"/>
      <w:bookmarkStart w:id="126" w:name="_Toc28959"/>
      <w:bookmarkStart w:id="127" w:name="_Toc515647820"/>
      <w:r>
        <w:rPr>
          <w:rFonts w:hint="eastAsia" w:ascii="宋体" w:hAnsi="宋体" w:eastAsia="宋体" w:cs="宋体"/>
          <w:b/>
          <w:bCs/>
          <w:color w:val="auto"/>
          <w:sz w:val="24"/>
          <w:highlight w:val="none"/>
        </w:rPr>
        <w:t>投标分项报价表</w:t>
      </w:r>
      <w:bookmarkEnd w:id="119"/>
      <w:bookmarkEnd w:id="120"/>
      <w:bookmarkEnd w:id="121"/>
      <w:bookmarkEnd w:id="122"/>
      <w:bookmarkEnd w:id="123"/>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包号: 　 </w:t>
      </w:r>
    </w:p>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8"/>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171"/>
        <w:gridCol w:w="1171"/>
        <w:gridCol w:w="1171"/>
        <w:gridCol w:w="847"/>
        <w:gridCol w:w="9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货物名称</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量及</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847"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960" w:type="dxa"/>
            <w:noWrap w:val="0"/>
            <w:vAlign w:val="center"/>
          </w:tcPr>
          <w:p>
            <w:pPr>
              <w:pStyle w:val="14"/>
              <w:shd w:val="clear" w:color="auto" w:fill="auto"/>
              <w:spacing w:line="240" w:lineRule="atLeast"/>
              <w:ind w:firstLine="213"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720"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30" w:type="dxa"/>
            <w:gridSpan w:val="8"/>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4"/>
        <w:shd w:val="clear" w:color="auto" w:fill="auto"/>
        <w:spacing w:line="240" w:lineRule="atLeast"/>
        <w:ind w:left="1089" w:leftChars="455" w:hanging="120"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yellow"/>
        </w:rPr>
        <w:br w:type="page"/>
      </w: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28" w:name="_Toc12170"/>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bookmarkEnd w:id="124"/>
      <w:bookmarkEnd w:id="125"/>
      <w:bookmarkEnd w:id="126"/>
      <w:bookmarkEnd w:id="127"/>
      <w:bookmarkEnd w:id="128"/>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tbl>
      <w:tblPr>
        <w:tblStyle w:val="28"/>
        <w:tblW w:w="7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7"/>
        <w:gridCol w:w="1297"/>
        <w:gridCol w:w="1194"/>
        <w:gridCol w:w="218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35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货物</w:t>
            </w:r>
            <w:r>
              <w:rPr>
                <w:rFonts w:hint="eastAsia" w:ascii="宋体" w:hAnsi="宋体" w:eastAsia="宋体" w:cs="宋体"/>
                <w:color w:val="auto"/>
                <w:sz w:val="24"/>
                <w:highlight w:val="none"/>
                <w:lang w:val="en-US" w:eastAsia="zh-CN"/>
              </w:rPr>
              <w:t>名称</w:t>
            </w:r>
          </w:p>
        </w:tc>
        <w:tc>
          <w:tcPr>
            <w:tcW w:w="129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19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18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669"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lang w:eastAsia="zh-CN"/>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yellow"/>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yellow"/>
          <w:u w:val="single"/>
        </w:rPr>
        <w:br w:type="page"/>
      </w: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29" w:name="_Toc216582818"/>
      <w:bookmarkStart w:id="130" w:name="_Toc1980"/>
      <w:bookmarkStart w:id="131" w:name="_Toc23"/>
      <w:bookmarkStart w:id="132" w:name="_Toc515647821"/>
      <w:bookmarkStart w:id="133" w:name="_Toc21391"/>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29"/>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30"/>
      <w:bookmarkEnd w:id="131"/>
      <w:bookmarkEnd w:id="132"/>
      <w:bookmarkEnd w:id="133"/>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34" w:name="_Toc21312"/>
      <w:bookmarkStart w:id="135" w:name="_Toc10725"/>
      <w:bookmarkStart w:id="136" w:name="_Toc515647823"/>
      <w:bookmarkStart w:id="137" w:name="_Toc2963"/>
      <w:bookmarkStart w:id="138" w:name="_Toc30795"/>
      <w:bookmarkStart w:id="139" w:name="_Toc28099"/>
      <w:bookmarkStart w:id="140" w:name="_Toc515647827"/>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p>
    <w:p>
      <w:pPr>
        <w:pStyle w:val="7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cs="宋体"/>
          <w:b/>
          <w:bCs/>
          <w:color w:val="auto"/>
          <w:spacing w:val="0"/>
          <w:w w:val="100"/>
          <w:position w:val="0"/>
          <w:sz w:val="24"/>
          <w:szCs w:val="24"/>
          <w:lang w:val="en-US" w:eastAsia="zh-CN"/>
        </w:rPr>
        <w:t>5</w:t>
      </w:r>
      <w:r>
        <w:rPr>
          <w:rFonts w:hint="eastAsia" w:ascii="宋体" w:hAnsi="宋体" w:eastAsia="宋体" w:cs="宋体"/>
          <w:b/>
          <w:bCs/>
          <w:color w:val="auto"/>
          <w:spacing w:val="0"/>
          <w:w w:val="100"/>
          <w:position w:val="0"/>
          <w:sz w:val="24"/>
          <w:szCs w:val="24"/>
          <w:lang w:val="en-US" w:eastAsia="zh-CN"/>
        </w:rPr>
        <w:t>、投标人基本情况表</w:t>
      </w:r>
    </w:p>
    <w:p>
      <w:pPr>
        <w:pStyle w:val="2"/>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8"/>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81"/>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6"/>
              <w:ind w:left="137"/>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4"/>
              <w:rPr>
                <w:rFonts w:hint="eastAsia" w:ascii="宋体" w:hAnsi="宋体" w:eastAsia="宋体" w:cs="宋体"/>
                <w:b/>
                <w:bCs/>
                <w:color w:val="auto"/>
                <w:sz w:val="21"/>
                <w:szCs w:val="21"/>
              </w:rPr>
            </w:pPr>
          </w:p>
          <w:p>
            <w:pPr>
              <w:pStyle w:val="54"/>
              <w:kinsoku w:val="0"/>
              <w:overflowPunct w:val="0"/>
              <w:ind w:left="366"/>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4"/>
              <w:rPr>
                <w:rFonts w:hint="eastAsia" w:ascii="宋体" w:hAnsi="宋体" w:eastAsia="宋体" w:cs="宋体"/>
                <w:b/>
                <w:bCs/>
                <w:color w:val="auto"/>
                <w:sz w:val="21"/>
                <w:szCs w:val="21"/>
              </w:rPr>
            </w:pPr>
          </w:p>
          <w:p>
            <w:pPr>
              <w:pStyle w:val="54"/>
              <w:kinsoku w:val="0"/>
              <w:overflowPunct w:val="0"/>
              <w:ind w:left="383"/>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4"/>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bl>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pPr>
        <w:pStyle w:val="2"/>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lang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lang w:val="en-US" w:eastAsia="zh-CN"/>
        </w:rPr>
        <w:t>、</w:t>
      </w:r>
      <w:r>
        <w:rPr>
          <w:rFonts w:hint="eastAsia" w:ascii="宋体" w:hAnsi="宋体" w:eastAsia="宋体" w:cs="宋体"/>
          <w:b/>
          <w:bCs/>
          <w:color w:val="auto"/>
          <w:w w:val="90"/>
          <w:sz w:val="24"/>
          <w:szCs w:val="24"/>
        </w:rPr>
        <w:t>近三年（20</w:t>
      </w:r>
      <w:r>
        <w:rPr>
          <w:rFonts w:hint="eastAsia" w:ascii="宋体" w:hAnsi="宋体" w:eastAsia="宋体" w:cs="宋体"/>
          <w:b/>
          <w:bCs/>
          <w:color w:val="auto"/>
          <w:w w:val="90"/>
          <w:sz w:val="24"/>
          <w:szCs w:val="24"/>
          <w:lang w:val="en-US" w:eastAsia="zh-CN"/>
        </w:rPr>
        <w:t>20</w:t>
      </w:r>
      <w:r>
        <w:rPr>
          <w:rFonts w:hint="eastAsia" w:ascii="宋体" w:hAnsi="宋体" w:eastAsia="宋体" w:cs="宋体"/>
          <w:b/>
          <w:bCs/>
          <w:color w:val="auto"/>
          <w:w w:val="90"/>
          <w:sz w:val="24"/>
          <w:szCs w:val="24"/>
        </w:rPr>
        <w:t>年1月1日至今）类似项目业绩</w:t>
      </w:r>
      <w:r>
        <w:rPr>
          <w:rFonts w:hint="eastAsia" w:ascii="宋体" w:hAnsi="宋体" w:eastAsia="宋体" w:cs="宋体"/>
          <w:b/>
          <w:bCs/>
          <w:color w:val="auto"/>
          <w:w w:val="90"/>
          <w:sz w:val="24"/>
          <w:szCs w:val="24"/>
          <w:lang w:eastAsia="zh-CN"/>
        </w:rPr>
        <w:t>表</w:t>
      </w:r>
    </w:p>
    <w:p>
      <w:pPr>
        <w:pStyle w:val="2"/>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8"/>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1"/>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bl>
    <w:p>
      <w:pPr>
        <w:rPr>
          <w:rFonts w:hint="eastAsia" w:ascii="仿宋" w:hAnsi="仿宋" w:eastAsia="仿宋" w:cs="仿宋"/>
          <w:color w:val="auto"/>
          <w:spacing w:val="-1"/>
          <w:kern w:val="0"/>
          <w:sz w:val="24"/>
        </w:rPr>
      </w:pPr>
    </w:p>
    <w:p>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pPr>
        <w:pStyle w:val="2"/>
        <w:numPr>
          <w:ilvl w:val="0"/>
          <w:numId w:val="0"/>
        </w:numPr>
        <w:tabs>
          <w:tab w:val="left" w:pos="5551"/>
          <w:tab w:val="left" w:pos="6511"/>
          <w:tab w:val="left" w:pos="7111"/>
          <w:tab w:val="left" w:pos="7711"/>
        </w:tabs>
        <w:kinsoku w:val="0"/>
        <w:overflowPunct w:val="0"/>
        <w:spacing w:before="46"/>
        <w:ind w:right="0" w:rightChars="0" w:firstLine="3834" w:firstLineChars="1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p>
    <w:p>
      <w:pPr>
        <w:pStyle w:val="6"/>
        <w:jc w:val="both"/>
        <w:rPr>
          <w:rFonts w:hint="eastAsia" w:ascii="宋体" w:hAnsi="宋体" w:eastAsia="宋体" w:cs="宋体"/>
          <w:b/>
          <w:bCs/>
          <w:color w:val="auto"/>
          <w:kern w:val="0"/>
          <w:sz w:val="24"/>
          <w:szCs w:val="20"/>
          <w:highlight w:val="none"/>
          <w:u w:val="none"/>
          <w:lang w:val="en-US" w:eastAsia="zh-CN" w:bidi="ar-SA"/>
        </w:rPr>
      </w:pPr>
    </w:p>
    <w:p>
      <w:pPr>
        <w:rPr>
          <w:rFonts w:hint="eastAsia" w:ascii="宋体" w:hAnsi="宋体" w:eastAsia="宋体" w:cs="宋体"/>
          <w:b/>
          <w:bCs/>
          <w:color w:val="auto"/>
          <w:kern w:val="0"/>
          <w:sz w:val="24"/>
          <w:szCs w:val="20"/>
          <w:highlight w:val="none"/>
          <w:u w:val="none"/>
          <w:lang w:val="en-US" w:eastAsia="zh-CN" w:bidi="ar-SA"/>
        </w:rPr>
      </w:pPr>
    </w:p>
    <w:p>
      <w:pPr>
        <w:pStyle w:val="2"/>
        <w:rPr>
          <w:rFonts w:hint="eastAsia" w:ascii="宋体" w:hAnsi="宋体" w:eastAsia="宋体" w:cs="宋体"/>
          <w:b/>
          <w:bCs/>
          <w:color w:val="auto"/>
          <w:kern w:val="0"/>
          <w:sz w:val="24"/>
          <w:szCs w:val="20"/>
          <w:highlight w:val="none"/>
          <w:u w:val="none"/>
          <w:lang w:val="en-US" w:eastAsia="zh-CN" w:bidi="ar-SA"/>
        </w:rPr>
      </w:pPr>
    </w:p>
    <w:p>
      <w:pPr>
        <w:pStyle w:val="3"/>
        <w:rPr>
          <w:rFonts w:hint="eastAsia"/>
          <w:lang w:val="en-US" w:eastAsia="zh-CN"/>
        </w:rPr>
      </w:pPr>
    </w:p>
    <w:p>
      <w:pPr>
        <w:pStyle w:val="6"/>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kern w:val="0"/>
          <w:sz w:val="24"/>
          <w:szCs w:val="20"/>
          <w:highlight w:val="none"/>
          <w:u w:val="none"/>
          <w:lang w:val="en-US" w:eastAsia="zh-CN" w:bidi="ar-SA"/>
        </w:rPr>
        <w:t>7</w:t>
      </w:r>
      <w:r>
        <w:rPr>
          <w:rFonts w:hint="eastAsia" w:ascii="宋体" w:hAnsi="宋体" w:eastAsia="宋体" w:cs="宋体"/>
          <w:b/>
          <w:bCs/>
          <w:color w:val="auto"/>
          <w:kern w:val="0"/>
          <w:sz w:val="24"/>
          <w:szCs w:val="20"/>
          <w:highlight w:val="none"/>
          <w:u w:val="none"/>
          <w:lang w:val="en-US" w:eastAsia="zh-CN" w:bidi="ar-SA"/>
        </w:rPr>
        <w:t>、中小企业声明函(货物)</w:t>
      </w:r>
    </w:p>
    <w:bookmarkEnd w:id="134"/>
    <w:bookmarkEnd w:id="135"/>
    <w:bookmarkEnd w:id="136"/>
    <w:bookmarkEnd w:id="137"/>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本公司郑重声明，根据《政府采购促进中小企业发展管理办法》（财库﹝2020﹞46 号）的规定，本公司参加（单位名称）的（项目名称）采购活动，提供的货物全部由符合政策要求的中小企业制造。相关企业 （含联合体中的中小企业、签订分包意向协议的中小企业） 的具体情况如下：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1. （标的名称） ，属于（采购文件中明确的所属行业） 行业；制造商为（企业名称），从业人员     人，营业收 入为   万元，资产总额为   万元，属于（中型企业、小 型企业、微型企业）；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2. （标的名称） ，属于（采购文件中明确的所属行业）行业；制造商为（企业名称），从业人员     人，营业收入为    万元，资产总额为员     万元，属于（中型企业、小型 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本企业对上述声明内容的真实性负责。如有虚假，将依法承担相应责任。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u w:val="single"/>
        </w:rPr>
      </w:pPr>
      <w:r>
        <w:rPr>
          <w:rFonts w:hint="eastAsia" w:ascii="宋体" w:hAnsi="宋体" w:eastAsia="宋体" w:cs="宋体"/>
          <w:color w:val="auto"/>
          <w:kern w:val="2"/>
          <w:sz w:val="21"/>
          <w:szCs w:val="21"/>
          <w:u w:val="none" w:color="000000"/>
          <w:lang w:val="en-US" w:eastAsia="zh-CN" w:bidi="ar-SA"/>
        </w:rPr>
        <w:t xml:space="preserve">日 期：    </w:t>
      </w:r>
      <w:r>
        <w:rPr>
          <w:rFonts w:hint="eastAsia" w:ascii="宋体" w:hAnsi="宋体" w:eastAsia="宋体" w:cs="宋体"/>
          <w:kern w:val="0"/>
          <w:sz w:val="24"/>
          <w:u w:val="single"/>
          <w:lang w:val="en-US" w:eastAsia="zh-CN"/>
        </w:rPr>
        <w:t xml:space="preserve"> </w:t>
      </w:r>
    </w:p>
    <w:p>
      <w:pPr>
        <w:widowControl/>
        <w:kinsoku/>
        <w:topLinePunct w:val="0"/>
        <w:bidi w:val="0"/>
        <w:spacing w:before="100" w:beforeAutospacing="1" w:after="100" w:afterAutospacing="1" w:line="380" w:lineRule="exact"/>
        <w:ind w:firstLine="3159" w:firstLineChars="1300"/>
        <w:jc w:val="left"/>
        <w:rPr>
          <w:rFonts w:hint="eastAsia" w:ascii="宋体" w:hAnsi="宋体" w:eastAsia="宋体" w:cs="宋体"/>
          <w:kern w:val="0"/>
          <w:sz w:val="24"/>
        </w:rPr>
      </w:pPr>
      <w:r>
        <w:rPr>
          <w:rFonts w:hint="eastAsia" w:ascii="宋体" w:hAnsi="宋体" w:eastAsia="宋体" w:cs="宋体"/>
          <w:kern w:val="0"/>
          <w:sz w:val="24"/>
        </w:rPr>
        <w:t xml:space="preserve">        </w:t>
      </w:r>
    </w:p>
    <w:p>
      <w:pPr>
        <w:pStyle w:val="49"/>
        <w:kinsoku/>
        <w:topLinePunct w:val="0"/>
        <w:bidi w:val="0"/>
        <w:spacing w:line="380" w:lineRule="exact"/>
        <w:rPr>
          <w:rFonts w:hint="eastAsia" w:ascii="宋体" w:hAnsi="宋体" w:eastAsia="宋体" w:cs="宋体"/>
          <w:kern w:val="0"/>
          <w:sz w:val="24"/>
        </w:rPr>
      </w:pPr>
    </w:p>
    <w:p>
      <w:pPr>
        <w:pStyle w:val="49"/>
        <w:kinsoku/>
        <w:topLinePunct w:val="0"/>
        <w:bidi w:val="0"/>
        <w:spacing w:line="380" w:lineRule="exact"/>
        <w:rPr>
          <w:rFonts w:hint="eastAsia" w:ascii="宋体" w:hAnsi="宋体" w:eastAsia="宋体" w:cs="宋体"/>
          <w:kern w:val="0"/>
          <w:sz w:val="24"/>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rPr>
      </w:pPr>
    </w:p>
    <w:p>
      <w:pPr>
        <w:kinsoku/>
        <w:topLinePunct w:val="0"/>
        <w:bidi w:val="0"/>
        <w:spacing w:line="380" w:lineRule="exact"/>
        <w:rPr>
          <w:rFonts w:hint="eastAsia" w:ascii="宋体" w:hAnsi="宋体" w:eastAsia="宋体" w:cs="宋体"/>
        </w:rPr>
      </w:pPr>
      <w:bookmarkStart w:id="141" w:name="_Toc10977"/>
      <w:bookmarkStart w:id="142" w:name="_Toc10877"/>
      <w:bookmarkStart w:id="143" w:name="_Toc11803"/>
      <w:bookmarkStart w:id="144" w:name="_Toc515647824"/>
    </w:p>
    <w:p>
      <w:pPr>
        <w:pStyle w:val="26"/>
        <w:kinsoku/>
        <w:topLinePunct w:val="0"/>
        <w:bidi w:val="0"/>
        <w:spacing w:line="380" w:lineRule="exact"/>
        <w:rPr>
          <w:rFonts w:hint="eastAsia" w:ascii="宋体" w:hAnsi="宋体" w:eastAsia="宋体" w:cs="宋体"/>
        </w:rPr>
      </w:pPr>
    </w:p>
    <w:p>
      <w:pPr>
        <w:kinsoku/>
        <w:topLinePunct w:val="0"/>
        <w:bidi w:val="0"/>
        <w:spacing w:line="380" w:lineRule="exact"/>
        <w:rPr>
          <w:rFonts w:hint="eastAsia" w:ascii="宋体" w:hAnsi="宋体" w:eastAsia="宋体" w:cs="宋体"/>
        </w:rPr>
      </w:pPr>
    </w:p>
    <w:p>
      <w:pPr>
        <w:pStyle w:val="5"/>
        <w:numPr>
          <w:ilvl w:val="0"/>
          <w:numId w:val="0"/>
        </w:numPr>
        <w:kinsoku/>
        <w:topLinePunct w:val="0"/>
        <w:bidi w:val="0"/>
        <w:spacing w:line="380" w:lineRule="exact"/>
        <w:jc w:val="both"/>
        <w:rPr>
          <w:rFonts w:hint="eastAsia" w:ascii="宋体" w:hAnsi="宋体" w:eastAsia="宋体" w:cs="宋体"/>
          <w:b/>
          <w:bCs/>
        </w:rPr>
      </w:pPr>
    </w:p>
    <w:p>
      <w:pPr>
        <w:rPr>
          <w:rFonts w:hint="eastAsia" w:ascii="宋体" w:hAnsi="宋体" w:eastAsia="宋体" w:cs="宋体"/>
          <w:b/>
          <w:bCs/>
        </w:rPr>
      </w:pPr>
    </w:p>
    <w:p>
      <w:pPr>
        <w:pStyle w:val="2"/>
        <w:rPr>
          <w:rFonts w:hint="eastAsia"/>
        </w:rPr>
      </w:pPr>
    </w:p>
    <w:bookmarkEnd w:id="141"/>
    <w:bookmarkEnd w:id="142"/>
    <w:bookmarkEnd w:id="143"/>
    <w:bookmarkEnd w:id="144"/>
    <w:p>
      <w:pPr>
        <w:pStyle w:val="26"/>
        <w:kinsoku/>
        <w:topLinePunct w:val="0"/>
        <w:bidi w:val="0"/>
        <w:spacing w:line="380" w:lineRule="exact"/>
        <w:rPr>
          <w:rFonts w:hint="eastAsia" w:ascii="宋体" w:hAnsi="宋体" w:eastAsia="宋体" w:cs="宋体"/>
          <w:lang w:val="en-US" w:eastAsia="zh-CN"/>
        </w:rPr>
      </w:pPr>
    </w:p>
    <w:p>
      <w:pPr>
        <w:pStyle w:val="5"/>
        <w:numPr>
          <w:ilvl w:val="0"/>
          <w:numId w:val="0"/>
        </w:numPr>
        <w:kinsoku/>
        <w:topLinePunct w:val="0"/>
        <w:bidi w:val="0"/>
        <w:spacing w:line="380" w:lineRule="exact"/>
        <w:jc w:val="center"/>
        <w:rPr>
          <w:rFonts w:hint="eastAsia" w:ascii="宋体" w:hAnsi="宋体" w:eastAsia="宋体" w:cs="宋体"/>
          <w:b/>
          <w:bCs/>
        </w:rPr>
      </w:pPr>
      <w:bookmarkStart w:id="145" w:name="_Toc8010"/>
      <w:bookmarkStart w:id="146" w:name="_Toc19284"/>
      <w:bookmarkStart w:id="147" w:name="_Toc515647825"/>
      <w:bookmarkStart w:id="148" w:name="_Toc23068"/>
      <w:bookmarkStart w:id="149" w:name="OLE_LINK13"/>
      <w:bookmarkStart w:id="150" w:name="OLE_LINK14"/>
      <w:r>
        <w:rPr>
          <w:rFonts w:hint="eastAsia" w:ascii="宋体" w:hAnsi="宋体" w:eastAsia="宋体" w:cs="宋体"/>
          <w:b/>
          <w:bCs/>
        </w:rPr>
        <w:t xml:space="preserve"> </w:t>
      </w:r>
      <w:r>
        <w:rPr>
          <w:rFonts w:hint="eastAsia" w:ascii="宋体" w:hAnsi="宋体" w:cs="宋体"/>
          <w:b/>
          <w:bCs/>
          <w:lang w:val="en-US" w:eastAsia="zh-CN"/>
        </w:rPr>
        <w:t>8</w:t>
      </w:r>
      <w:r>
        <w:rPr>
          <w:rFonts w:hint="eastAsia" w:ascii="宋体" w:hAnsi="宋体" w:eastAsia="宋体" w:cs="宋体"/>
          <w:b/>
          <w:bCs/>
          <w:lang w:val="en-US" w:eastAsia="zh-CN"/>
        </w:rPr>
        <w:t>、</w:t>
      </w:r>
      <w:r>
        <w:rPr>
          <w:rFonts w:hint="eastAsia" w:ascii="宋体" w:hAnsi="宋体" w:eastAsia="宋体" w:cs="宋体"/>
          <w:b/>
          <w:bCs/>
        </w:rPr>
        <w:t>残疾人福利性单位声明函</w:t>
      </w:r>
      <w:bookmarkEnd w:id="145"/>
      <w:bookmarkEnd w:id="146"/>
      <w:bookmarkEnd w:id="147"/>
      <w:bookmarkEnd w:id="148"/>
    </w:p>
    <w:bookmarkEnd w:id="149"/>
    <w:bookmarkEnd w:id="150"/>
    <w:p>
      <w:pPr>
        <w:kinsoku/>
        <w:topLinePunct w:val="0"/>
        <w:bidi w:val="0"/>
        <w:spacing w:line="380" w:lineRule="exact"/>
        <w:ind w:left="1087" w:leftChars="257" w:hanging="540"/>
        <w:jc w:val="center"/>
        <w:rPr>
          <w:rFonts w:hint="eastAsia" w:ascii="宋体" w:hAnsi="宋体" w:eastAsia="宋体" w:cs="宋体"/>
          <w:kern w:val="0"/>
          <w:sz w:val="24"/>
          <w:szCs w:val="20"/>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szCs w:val="20"/>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kern w:val="0"/>
          <w:sz w:val="24"/>
          <w:szCs w:val="20"/>
        </w:rPr>
        <w:t>_________________________</w:t>
      </w:r>
    </w:p>
    <w:p>
      <w:pPr>
        <w:kinsoku/>
        <w:topLinePunct w:val="0"/>
        <w:bidi w:val="0"/>
        <w:spacing w:line="380" w:lineRule="exact"/>
        <w:ind w:left="1087" w:leftChars="257" w:hanging="540"/>
        <w:jc w:val="center"/>
        <w:rPr>
          <w:rFonts w:hint="eastAsia" w:ascii="宋体" w:hAnsi="宋体" w:eastAsia="宋体" w:cs="宋体"/>
          <w:b/>
          <w:kern w:val="0"/>
          <w:sz w:val="24"/>
          <w:szCs w:val="20"/>
        </w:rPr>
      </w:pPr>
    </w:p>
    <w:p>
      <w:pPr>
        <w:kinsoku/>
        <w:topLinePunct w:val="0"/>
        <w:bidi w:val="0"/>
        <w:spacing w:line="380" w:lineRule="exact"/>
        <w:ind w:left="1087" w:leftChars="257" w:hanging="540"/>
        <w:jc w:val="center"/>
        <w:rPr>
          <w:rFonts w:hint="eastAsia" w:ascii="宋体" w:hAnsi="宋体" w:eastAsia="宋体" w:cs="宋体"/>
          <w:b/>
          <w:kern w:val="0"/>
          <w:sz w:val="24"/>
          <w:szCs w:val="20"/>
        </w:rPr>
      </w:pPr>
    </w:p>
    <w:p>
      <w:pPr>
        <w:pStyle w:val="5"/>
        <w:numPr>
          <w:ilvl w:val="0"/>
          <w:numId w:val="0"/>
        </w:numPr>
        <w:kinsoku/>
        <w:topLinePunct w:val="0"/>
        <w:bidi w:val="0"/>
        <w:spacing w:line="380" w:lineRule="exact"/>
        <w:ind w:left="547" w:leftChars="257"/>
        <w:rPr>
          <w:rFonts w:hint="eastAsia" w:ascii="宋体" w:hAnsi="宋体" w:eastAsia="宋体" w:cs="宋体"/>
        </w:rPr>
      </w:pPr>
    </w:p>
    <w:p>
      <w:pPr>
        <w:pStyle w:val="5"/>
        <w:numPr>
          <w:ilvl w:val="0"/>
          <w:numId w:val="0"/>
        </w:numPr>
        <w:kinsoku/>
        <w:topLinePunct w:val="0"/>
        <w:bidi w:val="0"/>
        <w:spacing w:line="380" w:lineRule="exact"/>
        <w:ind w:left="547" w:leftChars="257"/>
        <w:jc w:val="center"/>
        <w:rPr>
          <w:rFonts w:hint="eastAsia" w:ascii="宋体" w:hAnsi="宋体" w:eastAsia="宋体" w:cs="宋体"/>
        </w:rPr>
      </w:pPr>
    </w:p>
    <w:p>
      <w:pPr>
        <w:pStyle w:val="5"/>
        <w:numPr>
          <w:ilvl w:val="0"/>
          <w:numId w:val="0"/>
        </w:numPr>
        <w:kinsoku/>
        <w:topLinePunct w:val="0"/>
        <w:bidi w:val="0"/>
        <w:spacing w:line="380" w:lineRule="exact"/>
        <w:ind w:left="547" w:leftChars="257"/>
        <w:jc w:val="center"/>
        <w:rPr>
          <w:rFonts w:hint="eastAsia" w:ascii="宋体" w:hAnsi="宋体" w:eastAsia="宋体" w:cs="宋体"/>
        </w:rPr>
      </w:pPr>
    </w:p>
    <w:p>
      <w:pPr>
        <w:pStyle w:val="49"/>
        <w:kinsoku/>
        <w:topLinePunct w:val="0"/>
        <w:bidi w:val="0"/>
        <w:spacing w:line="380" w:lineRule="exact"/>
        <w:ind w:left="0" w:leftChars="0" w:firstLine="0" w:firstLineChars="0"/>
        <w:rPr>
          <w:rFonts w:hint="eastAsia" w:ascii="宋体" w:hAnsi="宋体" w:eastAsia="宋体" w:cs="宋体"/>
        </w:rPr>
      </w:pPr>
    </w:p>
    <w:p>
      <w:pPr>
        <w:pStyle w:val="49"/>
        <w:kinsoku/>
        <w:topLinePunct w:val="0"/>
        <w:bidi w:val="0"/>
        <w:spacing w:line="380" w:lineRule="exact"/>
        <w:rPr>
          <w:rFonts w:hint="eastAsia" w:ascii="宋体" w:hAnsi="宋体" w:eastAsia="宋体" w:cs="宋体"/>
        </w:rPr>
      </w:pPr>
    </w:p>
    <w:p>
      <w:pPr>
        <w:pStyle w:val="49"/>
        <w:shd w:val="clear" w:color="auto" w:fill="auto"/>
        <w:rPr>
          <w:rFonts w:hint="eastAsia" w:ascii="宋体" w:hAnsi="宋体" w:eastAsia="宋体" w:cs="宋体"/>
          <w:color w:val="auto"/>
          <w:sz w:val="24"/>
          <w:highlight w:val="none"/>
        </w:rPr>
      </w:pPr>
      <w:bookmarkStart w:id="151" w:name="_Toc6386"/>
    </w:p>
    <w:p>
      <w:pPr>
        <w:pStyle w:val="49"/>
        <w:shd w:val="clear" w:color="auto" w:fill="auto"/>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138"/>
      <w:bookmarkEnd w:id="139"/>
      <w:bookmarkEnd w:id="140"/>
      <w:bookmarkEnd w:id="151"/>
    </w:p>
    <w:p>
      <w:pPr>
        <w:pStyle w:val="8"/>
        <w:shd w:val="clear" w:color="auto" w:fill="auto"/>
        <w:jc w:val="center"/>
        <w:rPr>
          <w:rFonts w:hint="eastAsia" w:ascii="宋体" w:hAnsi="宋体" w:eastAsia="宋体" w:cs="宋体"/>
          <w:color w:val="auto"/>
          <w:highlight w:val="none"/>
        </w:rPr>
      </w:pPr>
    </w:p>
    <w:p>
      <w:pPr>
        <w:pStyle w:val="8"/>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8"/>
        <w:shd w:val="clear" w:color="auto" w:fill="auto"/>
        <w:ind w:firstLine="42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8"/>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8"/>
        <w:shd w:val="clear" w:color="auto" w:fill="auto"/>
        <w:ind w:firstLine="0"/>
        <w:rPr>
          <w:rFonts w:hint="eastAsia" w:ascii="宋体" w:hAnsi="宋体" w:eastAsia="宋体" w:cs="宋体"/>
          <w:color w:val="auto"/>
          <w:highlight w:val="none"/>
        </w:rPr>
      </w:pPr>
      <w:bookmarkStart w:id="152" w:name="_Toc515647828"/>
      <w:bookmarkStart w:id="153" w:name="_Toc17333"/>
      <w:bookmarkStart w:id="154" w:name="_Toc7414"/>
    </w:p>
    <w:bookmarkEnd w:id="152"/>
    <w:bookmarkEnd w:id="153"/>
    <w:bookmarkEnd w:id="154"/>
    <w:p>
      <w:pPr>
        <w:pStyle w:val="5"/>
        <w:numPr>
          <w:ilvl w:val="1"/>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rPr>
          <w:rFonts w:hint="eastAsia"/>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pPr>
        <w:pStyle w:val="14"/>
        <w:shd w:val="clear" w:color="auto" w:fill="auto"/>
        <w:tabs>
          <w:tab w:val="left" w:pos="5580"/>
        </w:tabs>
        <w:spacing w:line="360" w:lineRule="auto"/>
        <w:ind w:firstLine="1065"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240" w:lineRule="atLeast"/>
        <w:ind w:left="1270" w:leftChars="344" w:hanging="538"/>
        <w:rPr>
          <w:rFonts w:hint="eastAsia"/>
          <w:color w:val="auto"/>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sz w:val="24"/>
          <w:highlight w:val="none"/>
        </w:rPr>
        <w:t xml:space="preserve">   </w:t>
      </w:r>
    </w:p>
    <w:p>
      <w:pPr>
        <w:pStyle w:val="49"/>
        <w:shd w:val="clear" w:color="auto" w:fill="auto"/>
        <w:ind w:left="0" w:leftChars="0" w:firstLine="0" w:firstLineChars="0"/>
        <w:rPr>
          <w:rFonts w:hint="eastAsia"/>
          <w:color w:val="auto"/>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4"/>
        <w:shd w:val="clear" w:color="auto" w:fill="auto"/>
        <w:tabs>
          <w:tab w:val="left" w:pos="5580"/>
        </w:tabs>
        <w:spacing w:line="360" w:lineRule="auto"/>
        <w:ind w:left="1153"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5"/>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p>
    <w:p>
      <w:pPr>
        <w:shd w:val="clear" w:color="auto" w:fill="auto"/>
        <w:rPr>
          <w:rFonts w:hint="eastAsia" w:ascii="宋体" w:hAnsi="宋体" w:eastAsia="宋体" w:cs="宋体"/>
          <w:color w:val="auto"/>
          <w:highlight w:val="none"/>
        </w:rPr>
      </w:pPr>
    </w:p>
    <w:p>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说明：1.复印件上应加盖本单位章（自然人投标的无需盖章，需要签字）。</w:t>
      </w:r>
    </w:p>
    <w:p>
      <w:pPr>
        <w:pStyle w:val="14"/>
        <w:shd w:val="clear" w:color="auto" w:fill="auto"/>
        <w:tabs>
          <w:tab w:val="left" w:pos="5580"/>
        </w:tabs>
        <w:spacing w:line="240" w:lineRule="atLeast"/>
        <w:ind w:left="1214" w:leftChars="570" w:firstLine="0" w:firstLineChars="0"/>
        <w:rPr>
          <w:rFonts w:hint="eastAsia"/>
          <w:color w:val="auto"/>
          <w:highlight w:val="none"/>
        </w:rPr>
      </w:pPr>
      <w:r>
        <w:rPr>
          <w:rFonts w:hint="eastAsia" w:ascii="宋体" w:hAnsi="宋体" w:eastAsia="宋体" w:cs="宋体"/>
          <w:b w:val="0"/>
          <w:bCs w:val="0"/>
          <w:color w:val="auto"/>
          <w:kern w:val="2"/>
          <w:sz w:val="24"/>
          <w:szCs w:val="20"/>
          <w:highlight w:val="none"/>
          <w:u w:val="none" w:color="000000"/>
          <w:lang w:val="en-US" w:eastAsia="zh-CN" w:bidi="ar-SA"/>
        </w:rPr>
        <w:t>2.（本项目不接受联合体）如果是联合体投标，联合体各方需提供的满足</w:t>
      </w:r>
      <w:r>
        <w:rPr>
          <w:rFonts w:hint="eastAsia" w:hAnsi="宋体" w:cs="宋体"/>
          <w:b w:val="0"/>
          <w:bCs w:val="0"/>
          <w:color w:val="auto"/>
          <w:kern w:val="2"/>
          <w:sz w:val="24"/>
          <w:szCs w:val="20"/>
          <w:highlight w:val="none"/>
          <w:u w:val="none" w:color="000000"/>
          <w:lang w:val="en-US" w:eastAsia="zh-CN" w:bidi="ar-SA"/>
        </w:rPr>
        <w:t>招标</w:t>
      </w:r>
      <w:r>
        <w:rPr>
          <w:rFonts w:hint="eastAsia" w:hAnsi="宋体" w:eastAsia="宋体" w:cs="宋体"/>
          <w:b w:val="0"/>
          <w:bCs w:val="0"/>
          <w:color w:val="auto"/>
          <w:kern w:val="2"/>
          <w:sz w:val="24"/>
          <w:szCs w:val="20"/>
          <w:highlight w:val="none"/>
          <w:u w:val="none" w:color="000000"/>
          <w:lang w:val="en-US" w:eastAsia="zh-CN" w:bidi="ar-SA"/>
        </w:rPr>
        <w:t>文件</w:t>
      </w:r>
      <w:r>
        <w:rPr>
          <w:rFonts w:hint="eastAsia" w:ascii="宋体" w:hAnsi="宋体" w:eastAsia="宋体" w:cs="宋体"/>
          <w:b w:val="0"/>
          <w:bCs w:val="0"/>
          <w:color w:val="auto"/>
          <w:kern w:val="2"/>
          <w:sz w:val="24"/>
          <w:szCs w:val="20"/>
          <w:highlight w:val="none"/>
          <w:u w:val="none" w:color="000000"/>
          <w:lang w:val="en-US" w:eastAsia="zh-CN" w:bidi="ar-SA"/>
        </w:rPr>
        <w:t>要求的其他资格证明文件。</w:t>
      </w:r>
    </w:p>
    <w:sectPr>
      <w:pgSz w:w="11905" w:h="16838"/>
      <w:pgMar w:top="1440" w:right="1797" w:bottom="1440" w:left="1797" w:header="850" w:footer="992" w:gutter="0"/>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MS Mincho"/>
    <w:panose1 w:val="00000000000000000000"/>
    <w:charset w:val="80"/>
    <w:family w:val="auto"/>
    <w:pitch w:val="default"/>
    <w:sig w:usb0="00000000" w:usb1="00000000" w:usb2="00000012" w:usb3="00000000" w:csb0="0002000D" w:csb1="00000000"/>
  </w:font>
  <w:font w:name="MS Mincho">
    <w:panose1 w:val="02020609040205080304"/>
    <w:charset w:val="80"/>
    <w:family w:val="auto"/>
    <w:pitch w:val="default"/>
    <w:sig w:usb0="E00002FF" w:usb1="6AC7FDFB" w:usb2="00000012" w:usb3="00000000" w:csb0="4002009F" w:csb1="DFD7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rFonts w:hint="eastAsia"/>
        <w:color w:val="800000"/>
        <w:sz w:val="16"/>
        <w:szCs w:val="20"/>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7"/>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both"/>
      <w:rPr>
        <w:rFonts w:hint="eastAsia" w:ascii="宋体" w:hAnsi="宋体" w:eastAsia="宋体" w:cs="宋体"/>
        <w:b w:val="0"/>
        <w:bCs w:val="0"/>
        <w:sz w:val="21"/>
        <w:szCs w:val="21"/>
        <w:lang w:val="en-US" w:eastAsia="zh-CN"/>
      </w:rPr>
    </w:pPr>
    <w:r>
      <w:rPr>
        <w:rFonts w:hint="eastAsia" w:ascii="Times New Roman" w:hAnsi="Times New Roman" w:eastAsia="宋体" w:cs="Times New Roman"/>
        <w:sz w:val="22"/>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E8236"/>
    <w:multiLevelType w:val="singleLevel"/>
    <w:tmpl w:val="A2BE8236"/>
    <w:lvl w:ilvl="0" w:tentative="0">
      <w:start w:val="1"/>
      <w:numFmt w:val="decimal"/>
      <w:suff w:val="nothing"/>
      <w:lvlText w:val="%1、"/>
      <w:lvlJc w:val="left"/>
    </w:lvl>
  </w:abstractNum>
  <w:abstractNum w:abstractNumId="1">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2">
    <w:nsid w:val="B8A8889F"/>
    <w:multiLevelType w:val="singleLevel"/>
    <w:tmpl w:val="B8A8889F"/>
    <w:lvl w:ilvl="0" w:tentative="0">
      <w:start w:val="2"/>
      <w:numFmt w:val="chineseCounting"/>
      <w:suff w:val="space"/>
      <w:lvlText w:val="（%1）"/>
      <w:lvlJc w:val="left"/>
      <w:rPr>
        <w:rFonts w:hint="eastAsia"/>
      </w:rPr>
    </w:lvl>
  </w:abstractNum>
  <w:abstractNum w:abstractNumId="3">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6">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5"/>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6A676287"/>
    <w:multiLevelType w:val="singleLevel"/>
    <w:tmpl w:val="6A676287"/>
    <w:lvl w:ilvl="0" w:tentative="0">
      <w:start w:val="1"/>
      <w:numFmt w:val="decimal"/>
      <w:suff w:val="nothing"/>
      <w:lvlText w:val="（%1）"/>
      <w:lvlJc w:val="left"/>
    </w:lvl>
  </w:abstractNum>
  <w:abstractNum w:abstractNumId="10">
    <w:nsid w:val="6EC8727B"/>
    <w:multiLevelType w:val="singleLevel"/>
    <w:tmpl w:val="6EC8727B"/>
    <w:lvl w:ilvl="0" w:tentative="0">
      <w:start w:val="1"/>
      <w:numFmt w:val="decimal"/>
      <w:suff w:val="nothing"/>
      <w:lvlText w:val="%1、"/>
      <w:lvlJc w:val="left"/>
    </w:lvl>
  </w:abstractNum>
  <w:abstractNum w:abstractNumId="11">
    <w:nsid w:val="71FE02A4"/>
    <w:multiLevelType w:val="singleLevel"/>
    <w:tmpl w:val="71FE02A4"/>
    <w:lvl w:ilvl="0" w:tentative="0">
      <w:start w:val="4"/>
      <w:numFmt w:val="chineseCounting"/>
      <w:suff w:val="nothing"/>
      <w:lvlText w:val="第%1章、"/>
      <w:lvlJc w:val="left"/>
      <w:rPr>
        <w:rFonts w:hint="eastAsia"/>
      </w:rPr>
    </w:lvl>
  </w:abstractNum>
  <w:abstractNum w:abstractNumId="12">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6"/>
  </w:num>
  <w:num w:numId="2">
    <w:abstractNumId w:val="7"/>
  </w:num>
  <w:num w:numId="3">
    <w:abstractNumId w:val="1"/>
  </w:num>
  <w:num w:numId="4">
    <w:abstractNumId w:val="5"/>
  </w:num>
  <w:num w:numId="5">
    <w:abstractNumId w:val="10"/>
  </w:num>
  <w:num w:numId="6">
    <w:abstractNumId w:val="9"/>
  </w:num>
  <w:num w:numId="7">
    <w:abstractNumId w:val="8"/>
  </w:num>
  <w:num w:numId="8">
    <w:abstractNumId w:val="4"/>
  </w:num>
  <w:num w:numId="9">
    <w:abstractNumId w:val="12"/>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YTliN2Y3NjI2OTZmMzRkNDUzM2Y5YjM2Y2Q1ZTc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4F04E5"/>
    <w:rsid w:val="016F283F"/>
    <w:rsid w:val="01920401"/>
    <w:rsid w:val="0195644C"/>
    <w:rsid w:val="019E4202"/>
    <w:rsid w:val="01B87B26"/>
    <w:rsid w:val="01C072D1"/>
    <w:rsid w:val="01C62F65"/>
    <w:rsid w:val="0255198A"/>
    <w:rsid w:val="027423B3"/>
    <w:rsid w:val="028E7BDF"/>
    <w:rsid w:val="02B472A9"/>
    <w:rsid w:val="02C95469"/>
    <w:rsid w:val="02D34744"/>
    <w:rsid w:val="02D61B95"/>
    <w:rsid w:val="03101E00"/>
    <w:rsid w:val="03E11484"/>
    <w:rsid w:val="03F545DA"/>
    <w:rsid w:val="04552530"/>
    <w:rsid w:val="0465519A"/>
    <w:rsid w:val="04B05277"/>
    <w:rsid w:val="04B14A54"/>
    <w:rsid w:val="05087233"/>
    <w:rsid w:val="050D4295"/>
    <w:rsid w:val="05371AF0"/>
    <w:rsid w:val="0548574A"/>
    <w:rsid w:val="05544350"/>
    <w:rsid w:val="055B6051"/>
    <w:rsid w:val="05D02834"/>
    <w:rsid w:val="05E64C20"/>
    <w:rsid w:val="05ED6429"/>
    <w:rsid w:val="064A0705"/>
    <w:rsid w:val="06897EFF"/>
    <w:rsid w:val="06A04F45"/>
    <w:rsid w:val="06AF7AFE"/>
    <w:rsid w:val="06B04F83"/>
    <w:rsid w:val="06D500D3"/>
    <w:rsid w:val="074143D2"/>
    <w:rsid w:val="07443158"/>
    <w:rsid w:val="074E6108"/>
    <w:rsid w:val="07D41F0B"/>
    <w:rsid w:val="07EF451C"/>
    <w:rsid w:val="080A62FE"/>
    <w:rsid w:val="082779D0"/>
    <w:rsid w:val="08305869"/>
    <w:rsid w:val="088849B4"/>
    <w:rsid w:val="088F1F3E"/>
    <w:rsid w:val="089E6217"/>
    <w:rsid w:val="08BE09DC"/>
    <w:rsid w:val="08C96CD9"/>
    <w:rsid w:val="08D82CBE"/>
    <w:rsid w:val="08DF2475"/>
    <w:rsid w:val="08E421C5"/>
    <w:rsid w:val="08F63846"/>
    <w:rsid w:val="08F830FA"/>
    <w:rsid w:val="091F4B4B"/>
    <w:rsid w:val="092A4459"/>
    <w:rsid w:val="09F101AC"/>
    <w:rsid w:val="09F547F1"/>
    <w:rsid w:val="0A1641A0"/>
    <w:rsid w:val="0A374116"/>
    <w:rsid w:val="0A425D09"/>
    <w:rsid w:val="0A615213"/>
    <w:rsid w:val="0AD361DF"/>
    <w:rsid w:val="0AF139A7"/>
    <w:rsid w:val="0BAF7383"/>
    <w:rsid w:val="0BB97AC8"/>
    <w:rsid w:val="0BCA09F3"/>
    <w:rsid w:val="0BCE4606"/>
    <w:rsid w:val="0BCF5D24"/>
    <w:rsid w:val="0C174BC2"/>
    <w:rsid w:val="0C1A784C"/>
    <w:rsid w:val="0C7D722D"/>
    <w:rsid w:val="0CB97FA9"/>
    <w:rsid w:val="0CCB1770"/>
    <w:rsid w:val="0CCE5B94"/>
    <w:rsid w:val="0CEF39AD"/>
    <w:rsid w:val="0CFF1A4A"/>
    <w:rsid w:val="0D3F1B32"/>
    <w:rsid w:val="0D5F286E"/>
    <w:rsid w:val="0DEB14A0"/>
    <w:rsid w:val="0DEB54DD"/>
    <w:rsid w:val="0E096438"/>
    <w:rsid w:val="0E33119A"/>
    <w:rsid w:val="0E484B44"/>
    <w:rsid w:val="0EEF05BA"/>
    <w:rsid w:val="0F0F11BE"/>
    <w:rsid w:val="0F2203CF"/>
    <w:rsid w:val="0F272863"/>
    <w:rsid w:val="0F2C78B5"/>
    <w:rsid w:val="0F49256A"/>
    <w:rsid w:val="0F6256F4"/>
    <w:rsid w:val="0FAC2639"/>
    <w:rsid w:val="0FB2671F"/>
    <w:rsid w:val="0FBF4B97"/>
    <w:rsid w:val="10130368"/>
    <w:rsid w:val="102E514F"/>
    <w:rsid w:val="104C77C0"/>
    <w:rsid w:val="1061783B"/>
    <w:rsid w:val="107812BE"/>
    <w:rsid w:val="10BF71E9"/>
    <w:rsid w:val="10D241D0"/>
    <w:rsid w:val="11105DEF"/>
    <w:rsid w:val="111123A7"/>
    <w:rsid w:val="1132247A"/>
    <w:rsid w:val="11511AAD"/>
    <w:rsid w:val="11714438"/>
    <w:rsid w:val="117C475F"/>
    <w:rsid w:val="11D10160"/>
    <w:rsid w:val="1204469C"/>
    <w:rsid w:val="12135469"/>
    <w:rsid w:val="121E04E8"/>
    <w:rsid w:val="12200177"/>
    <w:rsid w:val="126E04C4"/>
    <w:rsid w:val="12900868"/>
    <w:rsid w:val="12C10A21"/>
    <w:rsid w:val="13441AE5"/>
    <w:rsid w:val="134C6DD6"/>
    <w:rsid w:val="136D666B"/>
    <w:rsid w:val="139F799A"/>
    <w:rsid w:val="13B17C71"/>
    <w:rsid w:val="13CE17D5"/>
    <w:rsid w:val="1405689D"/>
    <w:rsid w:val="1425441D"/>
    <w:rsid w:val="14301B0C"/>
    <w:rsid w:val="14711FFC"/>
    <w:rsid w:val="147C18B9"/>
    <w:rsid w:val="147E2158"/>
    <w:rsid w:val="14970D4A"/>
    <w:rsid w:val="14AD4DB8"/>
    <w:rsid w:val="14C4258A"/>
    <w:rsid w:val="15C13494"/>
    <w:rsid w:val="15EC220C"/>
    <w:rsid w:val="15F555B1"/>
    <w:rsid w:val="161E3404"/>
    <w:rsid w:val="169C77DB"/>
    <w:rsid w:val="16CD208A"/>
    <w:rsid w:val="170A6E3A"/>
    <w:rsid w:val="1720040C"/>
    <w:rsid w:val="172374C5"/>
    <w:rsid w:val="174E3C66"/>
    <w:rsid w:val="175005C5"/>
    <w:rsid w:val="17BA0860"/>
    <w:rsid w:val="17FF1CA5"/>
    <w:rsid w:val="186576DB"/>
    <w:rsid w:val="1870581D"/>
    <w:rsid w:val="18852DC4"/>
    <w:rsid w:val="18B43EE8"/>
    <w:rsid w:val="19940024"/>
    <w:rsid w:val="19B73F44"/>
    <w:rsid w:val="1A1C0075"/>
    <w:rsid w:val="1A2235E4"/>
    <w:rsid w:val="1A304E0A"/>
    <w:rsid w:val="1A943AF7"/>
    <w:rsid w:val="1ADC3C25"/>
    <w:rsid w:val="1B2C68C9"/>
    <w:rsid w:val="1B8A22F8"/>
    <w:rsid w:val="1BA809D0"/>
    <w:rsid w:val="1BAD4A8B"/>
    <w:rsid w:val="1BC8769B"/>
    <w:rsid w:val="1C041A94"/>
    <w:rsid w:val="1C456AEB"/>
    <w:rsid w:val="1C817B9F"/>
    <w:rsid w:val="1C8C41A9"/>
    <w:rsid w:val="1C913B90"/>
    <w:rsid w:val="1C982E58"/>
    <w:rsid w:val="1CAA2094"/>
    <w:rsid w:val="1CB338B2"/>
    <w:rsid w:val="1CF52D14"/>
    <w:rsid w:val="1D076741"/>
    <w:rsid w:val="1D0F3860"/>
    <w:rsid w:val="1D2A5E93"/>
    <w:rsid w:val="1D5C49B8"/>
    <w:rsid w:val="1D6227F8"/>
    <w:rsid w:val="1D644556"/>
    <w:rsid w:val="1DAB7C59"/>
    <w:rsid w:val="1DC96A0D"/>
    <w:rsid w:val="1DE1661E"/>
    <w:rsid w:val="1DFE291F"/>
    <w:rsid w:val="1E141822"/>
    <w:rsid w:val="1E385966"/>
    <w:rsid w:val="1E7D1FC4"/>
    <w:rsid w:val="1E990AA4"/>
    <w:rsid w:val="1EC41FC5"/>
    <w:rsid w:val="1EE42889"/>
    <w:rsid w:val="1F4C5B16"/>
    <w:rsid w:val="1F852551"/>
    <w:rsid w:val="1FA73631"/>
    <w:rsid w:val="1FBB64FE"/>
    <w:rsid w:val="1FC009DE"/>
    <w:rsid w:val="1FC35DD8"/>
    <w:rsid w:val="1FF90AD1"/>
    <w:rsid w:val="201448F3"/>
    <w:rsid w:val="2056004D"/>
    <w:rsid w:val="205F5715"/>
    <w:rsid w:val="206B2007"/>
    <w:rsid w:val="207B4905"/>
    <w:rsid w:val="20A04297"/>
    <w:rsid w:val="20C20C31"/>
    <w:rsid w:val="20C84D12"/>
    <w:rsid w:val="20C97592"/>
    <w:rsid w:val="210F6386"/>
    <w:rsid w:val="21543824"/>
    <w:rsid w:val="2197751D"/>
    <w:rsid w:val="21A6126D"/>
    <w:rsid w:val="21BA77C5"/>
    <w:rsid w:val="21CD2F3E"/>
    <w:rsid w:val="21E40288"/>
    <w:rsid w:val="220F1E76"/>
    <w:rsid w:val="223E3706"/>
    <w:rsid w:val="225D0766"/>
    <w:rsid w:val="227F3C44"/>
    <w:rsid w:val="22813E3B"/>
    <w:rsid w:val="22D14F53"/>
    <w:rsid w:val="22F4274D"/>
    <w:rsid w:val="23447230"/>
    <w:rsid w:val="23DB0465"/>
    <w:rsid w:val="23DE59BA"/>
    <w:rsid w:val="240E27FB"/>
    <w:rsid w:val="2460453E"/>
    <w:rsid w:val="24613453"/>
    <w:rsid w:val="24A43F77"/>
    <w:rsid w:val="24C82820"/>
    <w:rsid w:val="24D16C22"/>
    <w:rsid w:val="24D740D4"/>
    <w:rsid w:val="25011339"/>
    <w:rsid w:val="256E3D48"/>
    <w:rsid w:val="25F50CB6"/>
    <w:rsid w:val="260D24A3"/>
    <w:rsid w:val="26163EB5"/>
    <w:rsid w:val="26251D06"/>
    <w:rsid w:val="26321F0A"/>
    <w:rsid w:val="26C568DA"/>
    <w:rsid w:val="26D905D7"/>
    <w:rsid w:val="26EA6665"/>
    <w:rsid w:val="2746688A"/>
    <w:rsid w:val="276B6060"/>
    <w:rsid w:val="27822A1D"/>
    <w:rsid w:val="278F23C0"/>
    <w:rsid w:val="27B2145C"/>
    <w:rsid w:val="27FA7131"/>
    <w:rsid w:val="281A0EA7"/>
    <w:rsid w:val="28435545"/>
    <w:rsid w:val="287C121A"/>
    <w:rsid w:val="28962D82"/>
    <w:rsid w:val="28C22024"/>
    <w:rsid w:val="28DA4193"/>
    <w:rsid w:val="28E76FDC"/>
    <w:rsid w:val="28FB2A87"/>
    <w:rsid w:val="290129D3"/>
    <w:rsid w:val="298D5275"/>
    <w:rsid w:val="29F56D48"/>
    <w:rsid w:val="2A0D0CC4"/>
    <w:rsid w:val="2A1B2201"/>
    <w:rsid w:val="2A51735C"/>
    <w:rsid w:val="2A613DAE"/>
    <w:rsid w:val="2AC8240E"/>
    <w:rsid w:val="2AE474F4"/>
    <w:rsid w:val="2AE91610"/>
    <w:rsid w:val="2AF23A16"/>
    <w:rsid w:val="2B2D0EF2"/>
    <w:rsid w:val="2B69661F"/>
    <w:rsid w:val="2BA271EA"/>
    <w:rsid w:val="2BAE7D76"/>
    <w:rsid w:val="2BCD7395"/>
    <w:rsid w:val="2BCE4856"/>
    <w:rsid w:val="2BEC2B5B"/>
    <w:rsid w:val="2C0B1EB7"/>
    <w:rsid w:val="2C3708A1"/>
    <w:rsid w:val="2C740C6A"/>
    <w:rsid w:val="2C8F5842"/>
    <w:rsid w:val="2CBA5B43"/>
    <w:rsid w:val="2CFE750E"/>
    <w:rsid w:val="2D05394C"/>
    <w:rsid w:val="2D0F7889"/>
    <w:rsid w:val="2D874C30"/>
    <w:rsid w:val="2DF42E5B"/>
    <w:rsid w:val="2E0D4939"/>
    <w:rsid w:val="2E734E6D"/>
    <w:rsid w:val="2EA27501"/>
    <w:rsid w:val="2EE46E89"/>
    <w:rsid w:val="2F3C2100"/>
    <w:rsid w:val="2F3E7857"/>
    <w:rsid w:val="2F5E167A"/>
    <w:rsid w:val="2F624773"/>
    <w:rsid w:val="2F9060E8"/>
    <w:rsid w:val="2FC67558"/>
    <w:rsid w:val="2FE00F3D"/>
    <w:rsid w:val="2FEC4067"/>
    <w:rsid w:val="2FED1FB8"/>
    <w:rsid w:val="2FF02C24"/>
    <w:rsid w:val="2FF40230"/>
    <w:rsid w:val="30246A80"/>
    <w:rsid w:val="305C0CAD"/>
    <w:rsid w:val="307325D9"/>
    <w:rsid w:val="30B11ABF"/>
    <w:rsid w:val="30C51EF2"/>
    <w:rsid w:val="318750EF"/>
    <w:rsid w:val="318C73AC"/>
    <w:rsid w:val="31E71DFA"/>
    <w:rsid w:val="31F2015C"/>
    <w:rsid w:val="31F67EDC"/>
    <w:rsid w:val="325D5CAE"/>
    <w:rsid w:val="32E53E60"/>
    <w:rsid w:val="333E257D"/>
    <w:rsid w:val="337C0898"/>
    <w:rsid w:val="341774EA"/>
    <w:rsid w:val="343C6007"/>
    <w:rsid w:val="3474525E"/>
    <w:rsid w:val="348231C8"/>
    <w:rsid w:val="349756CD"/>
    <w:rsid w:val="34BB1D0D"/>
    <w:rsid w:val="34DB703E"/>
    <w:rsid w:val="352B6080"/>
    <w:rsid w:val="352E7A4E"/>
    <w:rsid w:val="355D1BDD"/>
    <w:rsid w:val="358E0B37"/>
    <w:rsid w:val="35F273D0"/>
    <w:rsid w:val="35FF1075"/>
    <w:rsid w:val="36312BA6"/>
    <w:rsid w:val="363E3E80"/>
    <w:rsid w:val="364147F8"/>
    <w:rsid w:val="36AB0D07"/>
    <w:rsid w:val="36CA51EA"/>
    <w:rsid w:val="36F44901"/>
    <w:rsid w:val="371216F3"/>
    <w:rsid w:val="371562DB"/>
    <w:rsid w:val="37256F21"/>
    <w:rsid w:val="37321D6A"/>
    <w:rsid w:val="37555A58"/>
    <w:rsid w:val="37B26BC7"/>
    <w:rsid w:val="37BA272F"/>
    <w:rsid w:val="37DF7667"/>
    <w:rsid w:val="3810197F"/>
    <w:rsid w:val="382F7F59"/>
    <w:rsid w:val="3898459D"/>
    <w:rsid w:val="38A243F2"/>
    <w:rsid w:val="38B4677D"/>
    <w:rsid w:val="38D65532"/>
    <w:rsid w:val="39585248"/>
    <w:rsid w:val="39682C9F"/>
    <w:rsid w:val="39C0030D"/>
    <w:rsid w:val="39E15BEA"/>
    <w:rsid w:val="3A271963"/>
    <w:rsid w:val="3AF96F3C"/>
    <w:rsid w:val="3AFF6407"/>
    <w:rsid w:val="3B4E1274"/>
    <w:rsid w:val="3B6A75F8"/>
    <w:rsid w:val="3B8A2759"/>
    <w:rsid w:val="3BA20BFD"/>
    <w:rsid w:val="3BA42B0A"/>
    <w:rsid w:val="3BC40B50"/>
    <w:rsid w:val="3BD01B51"/>
    <w:rsid w:val="3C003D8D"/>
    <w:rsid w:val="3C3917A1"/>
    <w:rsid w:val="3C5C2847"/>
    <w:rsid w:val="3C925059"/>
    <w:rsid w:val="3CB5559F"/>
    <w:rsid w:val="3CBB0751"/>
    <w:rsid w:val="3CBC2B52"/>
    <w:rsid w:val="3CE753A4"/>
    <w:rsid w:val="3D094553"/>
    <w:rsid w:val="3D1F312E"/>
    <w:rsid w:val="3D6A7724"/>
    <w:rsid w:val="3DDC1163"/>
    <w:rsid w:val="3E3711E2"/>
    <w:rsid w:val="3E421533"/>
    <w:rsid w:val="3E4E44C1"/>
    <w:rsid w:val="3E8D5E6B"/>
    <w:rsid w:val="3ED01430"/>
    <w:rsid w:val="3EDC25BB"/>
    <w:rsid w:val="3F66594E"/>
    <w:rsid w:val="3F796D91"/>
    <w:rsid w:val="3F9733C2"/>
    <w:rsid w:val="3FA30497"/>
    <w:rsid w:val="3FD247CD"/>
    <w:rsid w:val="3FD414E4"/>
    <w:rsid w:val="40D45C40"/>
    <w:rsid w:val="40DB5220"/>
    <w:rsid w:val="40E81C84"/>
    <w:rsid w:val="40F94293"/>
    <w:rsid w:val="40FD34E0"/>
    <w:rsid w:val="4157061F"/>
    <w:rsid w:val="41662610"/>
    <w:rsid w:val="41921B27"/>
    <w:rsid w:val="41D75722"/>
    <w:rsid w:val="429E34F1"/>
    <w:rsid w:val="42AA6865"/>
    <w:rsid w:val="42C57F36"/>
    <w:rsid w:val="42D27F5D"/>
    <w:rsid w:val="42EA6221"/>
    <w:rsid w:val="434A46EC"/>
    <w:rsid w:val="435C7A89"/>
    <w:rsid w:val="43941B2C"/>
    <w:rsid w:val="43CB2F74"/>
    <w:rsid w:val="43E44935"/>
    <w:rsid w:val="444A568D"/>
    <w:rsid w:val="444C4C47"/>
    <w:rsid w:val="44590819"/>
    <w:rsid w:val="445B488C"/>
    <w:rsid w:val="446E48E9"/>
    <w:rsid w:val="44784B34"/>
    <w:rsid w:val="447B1C4D"/>
    <w:rsid w:val="450F3328"/>
    <w:rsid w:val="453252CE"/>
    <w:rsid w:val="453A4CCF"/>
    <w:rsid w:val="45597105"/>
    <w:rsid w:val="455E0086"/>
    <w:rsid w:val="45640302"/>
    <w:rsid w:val="456C63D5"/>
    <w:rsid w:val="45763405"/>
    <w:rsid w:val="46293689"/>
    <w:rsid w:val="465A35BD"/>
    <w:rsid w:val="465D0485"/>
    <w:rsid w:val="465F0134"/>
    <w:rsid w:val="46D93AEF"/>
    <w:rsid w:val="47113641"/>
    <w:rsid w:val="4742292E"/>
    <w:rsid w:val="475E2568"/>
    <w:rsid w:val="47842674"/>
    <w:rsid w:val="4795427E"/>
    <w:rsid w:val="479F32A6"/>
    <w:rsid w:val="47B9126E"/>
    <w:rsid w:val="48322A33"/>
    <w:rsid w:val="4866371A"/>
    <w:rsid w:val="48A95C04"/>
    <w:rsid w:val="48CE652C"/>
    <w:rsid w:val="48D91605"/>
    <w:rsid w:val="48F97216"/>
    <w:rsid w:val="492275A4"/>
    <w:rsid w:val="49446E29"/>
    <w:rsid w:val="49C9699B"/>
    <w:rsid w:val="49DD50AA"/>
    <w:rsid w:val="4A496086"/>
    <w:rsid w:val="4A6C513B"/>
    <w:rsid w:val="4A74295D"/>
    <w:rsid w:val="4AC11C68"/>
    <w:rsid w:val="4ACE1952"/>
    <w:rsid w:val="4AEF15D8"/>
    <w:rsid w:val="4B005883"/>
    <w:rsid w:val="4B036369"/>
    <w:rsid w:val="4B61791F"/>
    <w:rsid w:val="4B7A0F54"/>
    <w:rsid w:val="4BE40D01"/>
    <w:rsid w:val="4C4C09CF"/>
    <w:rsid w:val="4C4D6CFC"/>
    <w:rsid w:val="4CA02851"/>
    <w:rsid w:val="4D141FE0"/>
    <w:rsid w:val="4D646B23"/>
    <w:rsid w:val="4DAC05E6"/>
    <w:rsid w:val="4DC236BE"/>
    <w:rsid w:val="4E0524B6"/>
    <w:rsid w:val="4E0E5897"/>
    <w:rsid w:val="4E4242CC"/>
    <w:rsid w:val="4E5F5F0E"/>
    <w:rsid w:val="4E677615"/>
    <w:rsid w:val="4ED079B5"/>
    <w:rsid w:val="4ED127FF"/>
    <w:rsid w:val="4ED96A7E"/>
    <w:rsid w:val="4F540514"/>
    <w:rsid w:val="4F6666E3"/>
    <w:rsid w:val="4F9C22EA"/>
    <w:rsid w:val="4FA72771"/>
    <w:rsid w:val="4FB22195"/>
    <w:rsid w:val="4FFE3062"/>
    <w:rsid w:val="500372D1"/>
    <w:rsid w:val="50C01628"/>
    <w:rsid w:val="50C65FDD"/>
    <w:rsid w:val="50C77758"/>
    <w:rsid w:val="50E028B4"/>
    <w:rsid w:val="5119769F"/>
    <w:rsid w:val="51271000"/>
    <w:rsid w:val="517D674F"/>
    <w:rsid w:val="51B11960"/>
    <w:rsid w:val="5200468D"/>
    <w:rsid w:val="520B596A"/>
    <w:rsid w:val="5226253D"/>
    <w:rsid w:val="522D7877"/>
    <w:rsid w:val="526D37FE"/>
    <w:rsid w:val="52C728C5"/>
    <w:rsid w:val="52E57E15"/>
    <w:rsid w:val="52EB0BC7"/>
    <w:rsid w:val="52FD43C9"/>
    <w:rsid w:val="531B187C"/>
    <w:rsid w:val="533C110A"/>
    <w:rsid w:val="536A3A27"/>
    <w:rsid w:val="53737AE7"/>
    <w:rsid w:val="53DE35D5"/>
    <w:rsid w:val="5403105C"/>
    <w:rsid w:val="543E122D"/>
    <w:rsid w:val="544544DB"/>
    <w:rsid w:val="54454A38"/>
    <w:rsid w:val="54603722"/>
    <w:rsid w:val="5460414F"/>
    <w:rsid w:val="546E385E"/>
    <w:rsid w:val="546E6143"/>
    <w:rsid w:val="54994D7E"/>
    <w:rsid w:val="54B76D9A"/>
    <w:rsid w:val="54C44B46"/>
    <w:rsid w:val="54D34337"/>
    <w:rsid w:val="54DA5D8D"/>
    <w:rsid w:val="54ED35AA"/>
    <w:rsid w:val="551D40DC"/>
    <w:rsid w:val="55B921AE"/>
    <w:rsid w:val="55C217A6"/>
    <w:rsid w:val="55F964C0"/>
    <w:rsid w:val="565A665B"/>
    <w:rsid w:val="566B44F9"/>
    <w:rsid w:val="568000FE"/>
    <w:rsid w:val="56CE1E48"/>
    <w:rsid w:val="57441971"/>
    <w:rsid w:val="5753390A"/>
    <w:rsid w:val="577949F3"/>
    <w:rsid w:val="5781344E"/>
    <w:rsid w:val="578923D3"/>
    <w:rsid w:val="57C837F3"/>
    <w:rsid w:val="57D27E9C"/>
    <w:rsid w:val="58002426"/>
    <w:rsid w:val="584E6149"/>
    <w:rsid w:val="585A65D3"/>
    <w:rsid w:val="587873A1"/>
    <w:rsid w:val="587C29ED"/>
    <w:rsid w:val="587D598D"/>
    <w:rsid w:val="587F30BF"/>
    <w:rsid w:val="589F3852"/>
    <w:rsid w:val="58BB798B"/>
    <w:rsid w:val="58E77E9A"/>
    <w:rsid w:val="59154646"/>
    <w:rsid w:val="5935428B"/>
    <w:rsid w:val="59537423"/>
    <w:rsid w:val="59695434"/>
    <w:rsid w:val="59CA7788"/>
    <w:rsid w:val="59D06384"/>
    <w:rsid w:val="59EB363D"/>
    <w:rsid w:val="59F359C5"/>
    <w:rsid w:val="5A6E2A15"/>
    <w:rsid w:val="5AF54CD9"/>
    <w:rsid w:val="5B105132"/>
    <w:rsid w:val="5B314FB8"/>
    <w:rsid w:val="5B395408"/>
    <w:rsid w:val="5B4B7040"/>
    <w:rsid w:val="5B5136E8"/>
    <w:rsid w:val="5B8542BD"/>
    <w:rsid w:val="5BB22788"/>
    <w:rsid w:val="5BEF0AD5"/>
    <w:rsid w:val="5C0E64BD"/>
    <w:rsid w:val="5C0F3B78"/>
    <w:rsid w:val="5C36729C"/>
    <w:rsid w:val="5C520E7C"/>
    <w:rsid w:val="5C5611D3"/>
    <w:rsid w:val="5C6E5A67"/>
    <w:rsid w:val="5CC055C4"/>
    <w:rsid w:val="5CC07DD9"/>
    <w:rsid w:val="5D0D35F8"/>
    <w:rsid w:val="5D123E93"/>
    <w:rsid w:val="5D1C654D"/>
    <w:rsid w:val="5D2017FC"/>
    <w:rsid w:val="5DB449D7"/>
    <w:rsid w:val="5DC23869"/>
    <w:rsid w:val="5E6D4E5F"/>
    <w:rsid w:val="5E8343A9"/>
    <w:rsid w:val="5ECF7C24"/>
    <w:rsid w:val="5EFA2F5D"/>
    <w:rsid w:val="5F0E6877"/>
    <w:rsid w:val="5F1405A9"/>
    <w:rsid w:val="5F4E2C09"/>
    <w:rsid w:val="5F7C47FC"/>
    <w:rsid w:val="5FB4164A"/>
    <w:rsid w:val="5FF41E65"/>
    <w:rsid w:val="60675D31"/>
    <w:rsid w:val="606E61E9"/>
    <w:rsid w:val="60D17C50"/>
    <w:rsid w:val="61152866"/>
    <w:rsid w:val="61CE7FA1"/>
    <w:rsid w:val="621A0BDC"/>
    <w:rsid w:val="622017F1"/>
    <w:rsid w:val="62DD1EB5"/>
    <w:rsid w:val="63154001"/>
    <w:rsid w:val="633D39F4"/>
    <w:rsid w:val="634467FD"/>
    <w:rsid w:val="63937429"/>
    <w:rsid w:val="63D0339F"/>
    <w:rsid w:val="6413263F"/>
    <w:rsid w:val="64944B56"/>
    <w:rsid w:val="64B27796"/>
    <w:rsid w:val="64CA1A25"/>
    <w:rsid w:val="64E83DE8"/>
    <w:rsid w:val="64EC3D37"/>
    <w:rsid w:val="64EE1A97"/>
    <w:rsid w:val="65810E59"/>
    <w:rsid w:val="65817895"/>
    <w:rsid w:val="658E039D"/>
    <w:rsid w:val="65924CA9"/>
    <w:rsid w:val="65B46B2F"/>
    <w:rsid w:val="65C26A8E"/>
    <w:rsid w:val="65D200F0"/>
    <w:rsid w:val="65E51C8D"/>
    <w:rsid w:val="65FF6E40"/>
    <w:rsid w:val="660D2ED6"/>
    <w:rsid w:val="660E0C4E"/>
    <w:rsid w:val="6612135A"/>
    <w:rsid w:val="6659207B"/>
    <w:rsid w:val="66AE7DC2"/>
    <w:rsid w:val="66D6776C"/>
    <w:rsid w:val="672A3F5C"/>
    <w:rsid w:val="672C66EE"/>
    <w:rsid w:val="674D4335"/>
    <w:rsid w:val="67726657"/>
    <w:rsid w:val="678A4ED6"/>
    <w:rsid w:val="67BB05DB"/>
    <w:rsid w:val="67BD26DA"/>
    <w:rsid w:val="68120612"/>
    <w:rsid w:val="68744C4B"/>
    <w:rsid w:val="688A35DC"/>
    <w:rsid w:val="6896352A"/>
    <w:rsid w:val="68D51FF8"/>
    <w:rsid w:val="68F41093"/>
    <w:rsid w:val="69232A11"/>
    <w:rsid w:val="694F6758"/>
    <w:rsid w:val="695E2B47"/>
    <w:rsid w:val="69721525"/>
    <w:rsid w:val="69874162"/>
    <w:rsid w:val="69886D18"/>
    <w:rsid w:val="699C0B46"/>
    <w:rsid w:val="699E6EDB"/>
    <w:rsid w:val="6A0C5CC5"/>
    <w:rsid w:val="6A0D4726"/>
    <w:rsid w:val="6A1011E7"/>
    <w:rsid w:val="6A5C61DA"/>
    <w:rsid w:val="6A600A8C"/>
    <w:rsid w:val="6A7D7D3F"/>
    <w:rsid w:val="6A9C5931"/>
    <w:rsid w:val="6AD14FD7"/>
    <w:rsid w:val="6B327947"/>
    <w:rsid w:val="6BC92D5B"/>
    <w:rsid w:val="6BD20370"/>
    <w:rsid w:val="6BDC2A11"/>
    <w:rsid w:val="6BE85984"/>
    <w:rsid w:val="6C4179F9"/>
    <w:rsid w:val="6D2356D5"/>
    <w:rsid w:val="6D374CDD"/>
    <w:rsid w:val="6D4603CA"/>
    <w:rsid w:val="6D7A376E"/>
    <w:rsid w:val="6D924ED4"/>
    <w:rsid w:val="6D993497"/>
    <w:rsid w:val="6E1F559C"/>
    <w:rsid w:val="6E74415F"/>
    <w:rsid w:val="6E9A3775"/>
    <w:rsid w:val="6EC425A0"/>
    <w:rsid w:val="6F155591"/>
    <w:rsid w:val="6F564781"/>
    <w:rsid w:val="6F944336"/>
    <w:rsid w:val="6FA110A6"/>
    <w:rsid w:val="6FAD4F96"/>
    <w:rsid w:val="6FC64B3E"/>
    <w:rsid w:val="6FD5610C"/>
    <w:rsid w:val="700A0487"/>
    <w:rsid w:val="70393F60"/>
    <w:rsid w:val="706E6C67"/>
    <w:rsid w:val="70A408DB"/>
    <w:rsid w:val="70A52F39"/>
    <w:rsid w:val="70D34E08"/>
    <w:rsid w:val="70EF5AB4"/>
    <w:rsid w:val="71411CC9"/>
    <w:rsid w:val="71502811"/>
    <w:rsid w:val="71C10F2E"/>
    <w:rsid w:val="71C87C41"/>
    <w:rsid w:val="71C93E5C"/>
    <w:rsid w:val="722453CB"/>
    <w:rsid w:val="72365B57"/>
    <w:rsid w:val="725532CF"/>
    <w:rsid w:val="72611287"/>
    <w:rsid w:val="72BB5F8B"/>
    <w:rsid w:val="72BB6655"/>
    <w:rsid w:val="72C712E1"/>
    <w:rsid w:val="72FA1A10"/>
    <w:rsid w:val="73322ECF"/>
    <w:rsid w:val="73662167"/>
    <w:rsid w:val="73952CB3"/>
    <w:rsid w:val="73C55FFA"/>
    <w:rsid w:val="744A0A36"/>
    <w:rsid w:val="7501589A"/>
    <w:rsid w:val="75092F11"/>
    <w:rsid w:val="751C6001"/>
    <w:rsid w:val="752C54C6"/>
    <w:rsid w:val="75686957"/>
    <w:rsid w:val="761A4816"/>
    <w:rsid w:val="76772852"/>
    <w:rsid w:val="767C4B99"/>
    <w:rsid w:val="769D3F76"/>
    <w:rsid w:val="76C46426"/>
    <w:rsid w:val="76D36956"/>
    <w:rsid w:val="771D3195"/>
    <w:rsid w:val="7758241F"/>
    <w:rsid w:val="77644F04"/>
    <w:rsid w:val="77CE2B0A"/>
    <w:rsid w:val="77F838AE"/>
    <w:rsid w:val="780E7E28"/>
    <w:rsid w:val="781B0555"/>
    <w:rsid w:val="784E07A8"/>
    <w:rsid w:val="78533409"/>
    <w:rsid w:val="78705799"/>
    <w:rsid w:val="78774B27"/>
    <w:rsid w:val="787765F1"/>
    <w:rsid w:val="78D26A7E"/>
    <w:rsid w:val="78F9553C"/>
    <w:rsid w:val="79940026"/>
    <w:rsid w:val="7A162C99"/>
    <w:rsid w:val="7A173ECC"/>
    <w:rsid w:val="7A1C5986"/>
    <w:rsid w:val="7A72753A"/>
    <w:rsid w:val="7A8377B3"/>
    <w:rsid w:val="7AF47429"/>
    <w:rsid w:val="7B0862D8"/>
    <w:rsid w:val="7B130B37"/>
    <w:rsid w:val="7B406A51"/>
    <w:rsid w:val="7B6B4CD9"/>
    <w:rsid w:val="7B9B00FB"/>
    <w:rsid w:val="7BF7374C"/>
    <w:rsid w:val="7C01654E"/>
    <w:rsid w:val="7C09018C"/>
    <w:rsid w:val="7C3A2988"/>
    <w:rsid w:val="7C420122"/>
    <w:rsid w:val="7C541224"/>
    <w:rsid w:val="7C675C0A"/>
    <w:rsid w:val="7C727ADF"/>
    <w:rsid w:val="7CF02627"/>
    <w:rsid w:val="7D114D01"/>
    <w:rsid w:val="7D741635"/>
    <w:rsid w:val="7DDC6E34"/>
    <w:rsid w:val="7E205AED"/>
    <w:rsid w:val="7E23216E"/>
    <w:rsid w:val="7E751182"/>
    <w:rsid w:val="7E8E57B1"/>
    <w:rsid w:val="7EA41695"/>
    <w:rsid w:val="7EAC1347"/>
    <w:rsid w:val="7EC02801"/>
    <w:rsid w:val="7ED96E19"/>
    <w:rsid w:val="7F1F491B"/>
    <w:rsid w:val="7F245858"/>
    <w:rsid w:val="7F9A1827"/>
    <w:rsid w:val="7FA22F78"/>
    <w:rsid w:val="7FA27CF2"/>
    <w:rsid w:val="7FAF4BA7"/>
    <w:rsid w:val="7FB201B2"/>
    <w:rsid w:val="7FB3011B"/>
    <w:rsid w:val="7FBA3291"/>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6">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7">
    <w:name w:val="heading 4"/>
    <w:basedOn w:val="1"/>
    <w:next w:val="1"/>
    <w:qFormat/>
    <w:uiPriority w:val="1"/>
    <w:pPr>
      <w:ind w:left="652"/>
      <w:outlineLvl w:val="3"/>
    </w:pPr>
    <w:rPr>
      <w:b/>
      <w:bCs/>
      <w:sz w:val="30"/>
      <w:szCs w:val="30"/>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w:basedOn w:val="1"/>
    <w:next w:val="3"/>
    <w:link w:val="43"/>
    <w:qFormat/>
    <w:uiPriority w:val="0"/>
    <w:pPr>
      <w:spacing w:after="120"/>
    </w:pPr>
  </w:style>
  <w:style w:type="paragraph" w:customStyle="1" w:styleId="3">
    <w:name w:val="_Style 2"/>
    <w:basedOn w:val="1"/>
    <w:next w:val="1"/>
    <w:qFormat/>
    <w:uiPriority w:val="0"/>
    <w:pPr>
      <w:ind w:firstLine="200" w:firstLineChars="200"/>
    </w:pPr>
    <w:rPr>
      <w:rFonts w:ascii="Calibri" w:hAnsi="Calibri"/>
      <w:sz w:val="28"/>
      <w:szCs w:val="22"/>
    </w:rPr>
  </w:style>
  <w:style w:type="paragraph" w:styleId="8">
    <w:name w:val="Normal Indent"/>
    <w:basedOn w:val="1"/>
    <w:next w:val="1"/>
    <w:qFormat/>
    <w:uiPriority w:val="0"/>
    <w:pPr>
      <w:adjustRightInd w:val="0"/>
      <w:spacing w:line="360" w:lineRule="atLeast"/>
      <w:ind w:firstLine="482"/>
      <w:textAlignment w:val="baseline"/>
    </w:pPr>
    <w:rPr>
      <w:kern w:val="0"/>
      <w:sz w:val="24"/>
      <w:szCs w:val="20"/>
    </w:rPr>
  </w:style>
  <w:style w:type="paragraph" w:styleId="9">
    <w:name w:val="toa heading"/>
    <w:basedOn w:val="1"/>
    <w:next w:val="1"/>
    <w:unhideWhenUsed/>
    <w:qFormat/>
    <w:uiPriority w:val="99"/>
    <w:pPr>
      <w:spacing w:before="120"/>
    </w:pPr>
    <w:rPr>
      <w:rFonts w:ascii="Cambria" w:hAnsi="Cambria"/>
      <w:sz w:val="24"/>
    </w:rPr>
  </w:style>
  <w:style w:type="paragraph" w:styleId="10">
    <w:name w:val="annotation text"/>
    <w:basedOn w:val="1"/>
    <w:qFormat/>
    <w:uiPriority w:val="0"/>
    <w:pPr>
      <w:jc w:val="left"/>
    </w:pPr>
  </w:style>
  <w:style w:type="paragraph" w:styleId="11">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2">
    <w:name w:val="Body Text Indent"/>
    <w:basedOn w:val="1"/>
    <w:next w:val="1"/>
    <w:qFormat/>
    <w:uiPriority w:val="0"/>
    <w:pPr>
      <w:spacing w:after="120"/>
      <w:ind w:left="200" w:leftChars="200"/>
    </w:pPr>
  </w:style>
  <w:style w:type="paragraph" w:styleId="13">
    <w:name w:val="toc 3"/>
    <w:basedOn w:val="1"/>
    <w:next w:val="1"/>
    <w:qFormat/>
    <w:uiPriority w:val="39"/>
    <w:pPr>
      <w:tabs>
        <w:tab w:val="right" w:leader="dot" w:pos="9288"/>
      </w:tabs>
      <w:ind w:left="400" w:leftChars="400"/>
    </w:pPr>
    <w:rPr>
      <w:rFonts w:ascii="宋体"/>
    </w:rPr>
  </w:style>
  <w:style w:type="paragraph" w:styleId="14">
    <w:name w:val="Plain Text"/>
    <w:basedOn w:val="1"/>
    <w:next w:val="15"/>
    <w:link w:val="44"/>
    <w:qFormat/>
    <w:uiPriority w:val="0"/>
    <w:rPr>
      <w:rFonts w:ascii="宋体"/>
      <w:color w:val="000000"/>
      <w:szCs w:val="20"/>
      <w:u w:val="none" w:color="000000"/>
    </w:rPr>
  </w:style>
  <w:style w:type="paragraph" w:styleId="15">
    <w:name w:val="index 7"/>
    <w:basedOn w:val="1"/>
    <w:next w:val="1"/>
    <w:qFormat/>
    <w:uiPriority w:val="0"/>
    <w:pPr>
      <w:autoSpaceDE/>
      <w:autoSpaceDN/>
      <w:adjustRightInd/>
      <w:ind w:left="1200" w:leftChars="1200"/>
    </w:pPr>
    <w:rPr>
      <w:color w:val="auto"/>
      <w:kern w:val="2"/>
      <w:szCs w:val="24"/>
    </w:rPr>
  </w:style>
  <w:style w:type="paragraph" w:styleId="16">
    <w:name w:val="Date"/>
    <w:basedOn w:val="1"/>
    <w:next w:val="1"/>
    <w:link w:val="45"/>
    <w:qFormat/>
    <w:uiPriority w:val="0"/>
    <w:rPr>
      <w:rFonts w:ascii="Arial" w:hAnsi="Arial" w:eastAsia="仿宋_GB2312"/>
      <w:color w:val="000000"/>
      <w:sz w:val="32"/>
      <w:szCs w:val="20"/>
      <w:u w:val="none" w:color="000000"/>
    </w:rPr>
  </w:style>
  <w:style w:type="paragraph" w:styleId="17">
    <w:name w:val="footer"/>
    <w:basedOn w:val="1"/>
    <w:link w:val="46"/>
    <w:qFormat/>
    <w:uiPriority w:val="0"/>
    <w:pPr>
      <w:tabs>
        <w:tab w:val="center" w:pos="4153"/>
        <w:tab w:val="right" w:pos="8306"/>
      </w:tabs>
      <w:snapToGrid w:val="0"/>
      <w:jc w:val="left"/>
    </w:pPr>
    <w:rPr>
      <w:sz w:val="18"/>
      <w:szCs w:val="18"/>
    </w:rPr>
  </w:style>
  <w:style w:type="paragraph" w:styleId="18">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next w:val="2"/>
    <w:qFormat/>
    <w:uiPriority w:val="0"/>
    <w:pPr>
      <w:snapToGrid w:val="0"/>
      <w:jc w:val="left"/>
    </w:pPr>
    <w:rPr>
      <w:rFonts w:ascii="Times New Roman" w:hAnsi="Times New Roman" w:eastAsia="宋体" w:cs="Times New Roman"/>
      <w:sz w:val="18"/>
    </w:rPr>
  </w:style>
  <w:style w:type="paragraph" w:styleId="22">
    <w:name w:val="toc 2"/>
    <w:basedOn w:val="1"/>
    <w:next w:val="1"/>
    <w:qFormat/>
    <w:uiPriority w:val="39"/>
    <w:pPr>
      <w:ind w:left="200" w:leftChars="200"/>
    </w:pPr>
  </w:style>
  <w:style w:type="paragraph" w:styleId="23">
    <w:name w:val="Body Text 2"/>
    <w:basedOn w:val="1"/>
    <w:qFormat/>
    <w:uiPriority w:val="0"/>
    <w:pPr>
      <w:tabs>
        <w:tab w:val="left" w:pos="0"/>
      </w:tabs>
      <w:spacing w:line="400" w:lineRule="atLeast"/>
    </w:pPr>
    <w:rPr>
      <w:rFonts w:ascii="Arial" w:hAnsi="Arial"/>
      <w:color w:val="00000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link w:val="77"/>
    <w:qFormat/>
    <w:uiPriority w:val="0"/>
    <w:pPr>
      <w:spacing w:before="240" w:after="60"/>
      <w:ind w:left="425" w:hanging="425"/>
      <w:jc w:val="center"/>
      <w:outlineLvl w:val="0"/>
    </w:pPr>
    <w:rPr>
      <w:rFonts w:ascii="Arial" w:hAnsi="Arial" w:cs="Arial"/>
      <w:b/>
      <w:bCs/>
      <w:sz w:val="32"/>
      <w:szCs w:val="32"/>
    </w:rPr>
  </w:style>
  <w:style w:type="paragraph" w:styleId="26">
    <w:name w:val="Body Text First Indent"/>
    <w:basedOn w:val="2"/>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7">
    <w:name w:val="Body Text First Indent 2"/>
    <w:basedOn w:val="12"/>
    <w:unhideWhenUsed/>
    <w:qFormat/>
    <w:uiPriority w:val="99"/>
    <w:pPr>
      <w:spacing w:after="120" w:line="240" w:lineRule="auto"/>
      <w:ind w:left="420" w:leftChars="200" w:firstLine="420"/>
    </w:pPr>
    <w:rPr>
      <w:rFonts w:cs="宋体"/>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qFormat/>
    <w:uiPriority w:val="0"/>
    <w:rPr>
      <w:color w:val="333333"/>
      <w:u w:val="none"/>
    </w:rPr>
  </w:style>
  <w:style w:type="character" w:styleId="34">
    <w:name w:val="HTML Definition"/>
    <w:basedOn w:val="30"/>
    <w:qFormat/>
    <w:uiPriority w:val="0"/>
  </w:style>
  <w:style w:type="character" w:styleId="35">
    <w:name w:val="HTML Typewriter"/>
    <w:basedOn w:val="30"/>
    <w:qFormat/>
    <w:uiPriority w:val="0"/>
    <w:rPr>
      <w:rFonts w:ascii="monospace" w:hAnsi="monospace" w:eastAsia="monospace" w:cs="monospace"/>
      <w:sz w:val="20"/>
    </w:rPr>
  </w:style>
  <w:style w:type="character" w:styleId="36">
    <w:name w:val="HTML Acronym"/>
    <w:basedOn w:val="30"/>
    <w:qFormat/>
    <w:uiPriority w:val="0"/>
  </w:style>
  <w:style w:type="character" w:styleId="37">
    <w:name w:val="HTML Variable"/>
    <w:basedOn w:val="30"/>
    <w:qFormat/>
    <w:uiPriority w:val="0"/>
  </w:style>
  <w:style w:type="character" w:styleId="38">
    <w:name w:val="Hyperlink"/>
    <w:qFormat/>
    <w:uiPriority w:val="99"/>
    <w:rPr>
      <w:color w:val="0000FF"/>
      <w:u w:val="single"/>
    </w:rPr>
  </w:style>
  <w:style w:type="character" w:styleId="39">
    <w:name w:val="HTML Code"/>
    <w:basedOn w:val="30"/>
    <w:qFormat/>
    <w:uiPriority w:val="0"/>
    <w:rPr>
      <w:rFonts w:hint="default" w:ascii="monospace" w:hAnsi="monospace" w:eastAsia="monospace" w:cs="monospace"/>
      <w:sz w:val="20"/>
    </w:rPr>
  </w:style>
  <w:style w:type="character" w:styleId="40">
    <w:name w:val="HTML Cite"/>
    <w:basedOn w:val="30"/>
    <w:qFormat/>
    <w:uiPriority w:val="0"/>
  </w:style>
  <w:style w:type="character" w:styleId="41">
    <w:name w:val="HTML Keyboard"/>
    <w:basedOn w:val="30"/>
    <w:qFormat/>
    <w:uiPriority w:val="0"/>
    <w:rPr>
      <w:rFonts w:hint="default" w:ascii="monospace" w:hAnsi="monospace" w:eastAsia="monospace" w:cs="monospace"/>
      <w:sz w:val="20"/>
    </w:rPr>
  </w:style>
  <w:style w:type="character" w:styleId="42">
    <w:name w:val="HTML Sample"/>
    <w:basedOn w:val="30"/>
    <w:qFormat/>
    <w:uiPriority w:val="0"/>
    <w:rPr>
      <w:rFonts w:hint="default" w:ascii="monospace" w:hAnsi="monospace" w:eastAsia="monospace" w:cs="monospace"/>
    </w:rPr>
  </w:style>
  <w:style w:type="character" w:customStyle="1" w:styleId="43">
    <w:name w:val="正文文本 Char"/>
    <w:link w:val="2"/>
    <w:semiHidden/>
    <w:qFormat/>
    <w:locked/>
    <w:uiPriority w:val="0"/>
    <w:rPr>
      <w:rFonts w:eastAsia="宋体"/>
      <w:kern w:val="2"/>
      <w:sz w:val="21"/>
      <w:szCs w:val="24"/>
      <w:lang w:val="en-US" w:eastAsia="zh-CN" w:bidi="ar-SA"/>
    </w:rPr>
  </w:style>
  <w:style w:type="character" w:customStyle="1" w:styleId="44">
    <w:name w:val="纯文本 Char"/>
    <w:link w:val="14"/>
    <w:qFormat/>
    <w:uiPriority w:val="0"/>
    <w:rPr>
      <w:rFonts w:ascii="宋体"/>
      <w:color w:val="000000"/>
      <w:kern w:val="2"/>
      <w:sz w:val="21"/>
      <w:u w:val="none" w:color="000000"/>
    </w:rPr>
  </w:style>
  <w:style w:type="character" w:customStyle="1" w:styleId="45">
    <w:name w:val="日期 Char"/>
    <w:link w:val="16"/>
    <w:qFormat/>
    <w:uiPriority w:val="0"/>
    <w:rPr>
      <w:rFonts w:ascii="Arial" w:hAnsi="Arial" w:eastAsia="仿宋_GB2312"/>
      <w:color w:val="000000"/>
      <w:kern w:val="2"/>
      <w:sz w:val="32"/>
      <w:u w:val="none" w:color="000000"/>
      <w:lang w:val="en-US" w:eastAsia="zh-CN" w:bidi="ar-SA"/>
    </w:rPr>
  </w:style>
  <w:style w:type="character" w:customStyle="1" w:styleId="46">
    <w:name w:val="页脚 Char"/>
    <w:link w:val="17"/>
    <w:qFormat/>
    <w:locked/>
    <w:uiPriority w:val="0"/>
    <w:rPr>
      <w:rFonts w:eastAsia="宋体"/>
      <w:kern w:val="2"/>
      <w:sz w:val="18"/>
      <w:szCs w:val="18"/>
      <w:lang w:val="en-US" w:eastAsia="zh-CN" w:bidi="ar-SA"/>
    </w:rPr>
  </w:style>
  <w:style w:type="character" w:customStyle="1" w:styleId="47">
    <w:name w:val="页眉 Char"/>
    <w:link w:val="18"/>
    <w:qFormat/>
    <w:locked/>
    <w:uiPriority w:val="0"/>
    <w:rPr>
      <w:rFonts w:eastAsia="宋体"/>
      <w:kern w:val="2"/>
      <w:sz w:val="18"/>
      <w:szCs w:val="18"/>
      <w:lang w:val="en-US" w:eastAsia="zh-CN" w:bidi="ar-SA"/>
    </w:rPr>
  </w:style>
  <w:style w:type="paragraph" w:customStyle="1" w:styleId="48">
    <w:name w:val="正文缩进1"/>
    <w:basedOn w:val="1"/>
    <w:qFormat/>
    <w:uiPriority w:val="0"/>
    <w:pPr>
      <w:ind w:firstLine="420" w:firstLineChars="200"/>
    </w:pPr>
  </w:style>
  <w:style w:type="paragraph" w:customStyle="1" w:styleId="49">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0">
    <w:name w:val="font01"/>
    <w:basedOn w:val="30"/>
    <w:qFormat/>
    <w:uiPriority w:val="0"/>
    <w:rPr>
      <w:rFonts w:hint="eastAsia" w:ascii="宋体" w:hAnsi="宋体" w:eastAsia="宋体" w:cs="宋体"/>
      <w:color w:val="000000"/>
      <w:sz w:val="22"/>
      <w:szCs w:val="22"/>
      <w:u w:val="none"/>
    </w:rPr>
  </w:style>
  <w:style w:type="character" w:customStyle="1" w:styleId="51">
    <w:name w:val="font111"/>
    <w:basedOn w:val="30"/>
    <w:qFormat/>
    <w:uiPriority w:val="0"/>
    <w:rPr>
      <w:rFonts w:ascii="Arial" w:hAnsi="Arial" w:cs="Arial"/>
      <w:color w:val="000000"/>
      <w:sz w:val="18"/>
      <w:szCs w:val="18"/>
      <w:u w:val="none"/>
    </w:rPr>
  </w:style>
  <w:style w:type="character" w:customStyle="1" w:styleId="52">
    <w:name w:val="Body Text Char"/>
    <w:qFormat/>
    <w:locked/>
    <w:uiPriority w:val="0"/>
    <w:rPr>
      <w:rFonts w:ascii="宋体" w:hAnsi="Arial"/>
      <w:sz w:val="28"/>
    </w:rPr>
  </w:style>
  <w:style w:type="paragraph" w:customStyle="1" w:styleId="53">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4">
    <w:name w:val="Table Paragraph"/>
    <w:basedOn w:val="1"/>
    <w:qFormat/>
    <w:uiPriority w:val="1"/>
  </w:style>
  <w:style w:type="paragraph" w:customStyle="1" w:styleId="55">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7">
    <w:name w:val="Char"/>
    <w:basedOn w:val="1"/>
    <w:next w:val="1"/>
    <w:qFormat/>
    <w:uiPriority w:val="0"/>
    <w:pPr>
      <w:widowControl/>
      <w:spacing w:line="360" w:lineRule="auto"/>
      <w:jc w:val="left"/>
    </w:pPr>
    <w:rPr>
      <w:kern w:val="0"/>
      <w:szCs w:val="20"/>
      <w:lang w:eastAsia="en-US"/>
    </w:rPr>
  </w:style>
  <w:style w:type="paragraph" w:customStyle="1" w:styleId="58">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59">
    <w:name w:val="p0"/>
    <w:basedOn w:val="1"/>
    <w:qFormat/>
    <w:uiPriority w:val="0"/>
    <w:pPr>
      <w:widowControl/>
      <w:jc w:val="left"/>
    </w:pPr>
    <w:rPr>
      <w:rFonts w:ascii="宋体" w:hAnsi="宋体" w:cs="宋体"/>
      <w:kern w:val="0"/>
      <w:sz w:val="18"/>
      <w:szCs w:val="18"/>
    </w:rPr>
  </w:style>
  <w:style w:type="paragraph" w:customStyle="1" w:styleId="60">
    <w:name w:val="WPS Plain"/>
    <w:qFormat/>
    <w:uiPriority w:val="0"/>
    <w:rPr>
      <w:rFonts w:ascii="Times New Roman" w:hAnsi="Times New Roman" w:eastAsia="宋体" w:cs="Times New Roman"/>
      <w:lang w:val="en-US" w:eastAsia="zh-CN" w:bidi="ar-SA"/>
    </w:rPr>
  </w:style>
  <w:style w:type="paragraph" w:customStyle="1" w:styleId="61">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2">
    <w:name w:val="List Paragraph"/>
    <w:basedOn w:val="1"/>
    <w:qFormat/>
    <w:uiPriority w:val="0"/>
    <w:pPr>
      <w:spacing w:line="360" w:lineRule="auto"/>
      <w:ind w:firstLine="420" w:firstLineChars="200"/>
    </w:pPr>
    <w:rPr>
      <w:rFonts w:ascii="宋体" w:hAnsi="宋体" w:cs="宋体"/>
      <w:sz w:val="24"/>
    </w:rPr>
  </w:style>
  <w:style w:type="paragraph" w:customStyle="1" w:styleId="63">
    <w:name w:val="样式 左侧:  0 厘米 悬挂缩进: 2.5 字符"/>
    <w:basedOn w:val="1"/>
    <w:qFormat/>
    <w:uiPriority w:val="0"/>
    <w:pPr>
      <w:ind w:left="525" w:hanging="525" w:hangingChars="250"/>
    </w:pPr>
    <w:rPr>
      <w:szCs w:val="20"/>
    </w:rPr>
  </w:style>
  <w:style w:type="paragraph" w:customStyle="1" w:styleId="64">
    <w:name w:val="标题 5（有编号）（绿盟科技）"/>
    <w:basedOn w:val="1"/>
    <w:next w:val="56"/>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图例"/>
    <w:basedOn w:val="1"/>
    <w:qFormat/>
    <w:uiPriority w:val="0"/>
    <w:pPr>
      <w:spacing w:before="120" w:beforeLines="0" w:after="120" w:afterLines="0" w:line="360" w:lineRule="auto"/>
      <w:jc w:val="center"/>
    </w:pPr>
    <w:rPr>
      <w:rFonts w:eastAsia="仿宋_GB2312"/>
      <w:b/>
      <w:sz w:val="24"/>
    </w:rPr>
  </w:style>
  <w:style w:type="character" w:customStyle="1" w:styleId="67">
    <w:name w:val="font71"/>
    <w:basedOn w:val="30"/>
    <w:qFormat/>
    <w:uiPriority w:val="0"/>
    <w:rPr>
      <w:rFonts w:hint="default" w:ascii="Calibri" w:hAnsi="Calibri" w:cs="Calibri"/>
      <w:b/>
      <w:bCs/>
      <w:color w:val="000000"/>
      <w:sz w:val="21"/>
      <w:szCs w:val="21"/>
      <w:u w:val="none"/>
    </w:rPr>
  </w:style>
  <w:style w:type="character" w:customStyle="1" w:styleId="68">
    <w:name w:val="font61"/>
    <w:basedOn w:val="30"/>
    <w:qFormat/>
    <w:uiPriority w:val="0"/>
    <w:rPr>
      <w:rFonts w:hint="eastAsia" w:ascii="华文仿宋" w:hAnsi="华文仿宋" w:eastAsia="华文仿宋" w:cs="华文仿宋"/>
      <w:color w:val="000000"/>
      <w:sz w:val="21"/>
      <w:szCs w:val="21"/>
      <w:u w:val="none"/>
    </w:rPr>
  </w:style>
  <w:style w:type="character" w:customStyle="1" w:styleId="69">
    <w:name w:val="font91"/>
    <w:basedOn w:val="30"/>
    <w:qFormat/>
    <w:uiPriority w:val="0"/>
    <w:rPr>
      <w:rFonts w:hint="default" w:ascii="Calibri" w:hAnsi="Calibri" w:cs="Calibri"/>
      <w:b/>
      <w:bCs/>
      <w:color w:val="FF0000"/>
      <w:sz w:val="21"/>
      <w:szCs w:val="21"/>
      <w:u w:val="none"/>
    </w:rPr>
  </w:style>
  <w:style w:type="character" w:customStyle="1" w:styleId="70">
    <w:name w:val="font101"/>
    <w:basedOn w:val="30"/>
    <w:qFormat/>
    <w:uiPriority w:val="0"/>
    <w:rPr>
      <w:rFonts w:hint="eastAsia" w:ascii="宋体" w:hAnsi="宋体" w:eastAsia="宋体" w:cs="宋体"/>
      <w:color w:val="000000"/>
      <w:sz w:val="21"/>
      <w:szCs w:val="21"/>
      <w:u w:val="none"/>
    </w:rPr>
  </w:style>
  <w:style w:type="character" w:customStyle="1" w:styleId="71">
    <w:name w:val="font81"/>
    <w:basedOn w:val="30"/>
    <w:qFormat/>
    <w:uiPriority w:val="0"/>
    <w:rPr>
      <w:rFonts w:hint="default" w:ascii="Calibri" w:hAnsi="Calibri" w:cs="Calibri"/>
      <w:color w:val="000000"/>
      <w:sz w:val="21"/>
      <w:szCs w:val="21"/>
      <w:u w:val="none"/>
    </w:rPr>
  </w:style>
  <w:style w:type="character" w:customStyle="1" w:styleId="72">
    <w:name w:val="first-child"/>
    <w:basedOn w:val="30"/>
    <w:qFormat/>
    <w:uiPriority w:val="0"/>
  </w:style>
  <w:style w:type="character" w:customStyle="1" w:styleId="73">
    <w:name w:val="layui-layer-tabnow"/>
    <w:basedOn w:val="30"/>
    <w:qFormat/>
    <w:uiPriority w:val="0"/>
    <w:rPr>
      <w:bdr w:val="single" w:color="CCCCCC" w:sz="6" w:space="0"/>
      <w:shd w:val="clear" w:fill="FFFFFF"/>
    </w:rPr>
  </w:style>
  <w:style w:type="paragraph" w:customStyle="1" w:styleId="7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5">
    <w:name w:val="答复表头"/>
    <w:basedOn w:val="76"/>
    <w:next w:val="1"/>
    <w:qFormat/>
    <w:uiPriority w:val="0"/>
    <w:pPr>
      <w:tabs>
        <w:tab w:val="left" w:pos="480"/>
      </w:tabs>
    </w:pPr>
    <w:rPr>
      <w:b/>
    </w:rPr>
  </w:style>
  <w:style w:type="paragraph" w:customStyle="1" w:styleId="7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77">
    <w:name w:val="标题 字符"/>
    <w:link w:val="25"/>
    <w:qFormat/>
    <w:uiPriority w:val="0"/>
    <w:rPr>
      <w:rFonts w:ascii="Arial" w:hAnsi="Arial" w:cs="Arial"/>
      <w:b/>
      <w:bCs/>
      <w:sz w:val="32"/>
      <w:szCs w:val="32"/>
    </w:rPr>
  </w:style>
  <w:style w:type="character" w:customStyle="1" w:styleId="78">
    <w:name w:val="NormalCharacter"/>
    <w:semiHidden/>
    <w:qFormat/>
    <w:uiPriority w:val="0"/>
  </w:style>
  <w:style w:type="paragraph" w:customStyle="1" w:styleId="79">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0">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1">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87</Pages>
  <Words>46842</Words>
  <Characters>50333</Characters>
  <Lines>310</Lines>
  <Paragraphs>87</Paragraphs>
  <TotalTime>0</TotalTime>
  <ScaleCrop>false</ScaleCrop>
  <LinksUpToDate>false</LinksUpToDate>
  <CharactersWithSpaces>53657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Administrator</cp:lastModifiedBy>
  <cp:lastPrinted>2023-03-09T03:48:00Z</cp:lastPrinted>
  <dcterms:modified xsi:type="dcterms:W3CDTF">2023-05-26T10:25:03Z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C5226FD990DA432B9C00A95E23232FEE</vt:lpwstr>
  </property>
</Properties>
</file>