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仿宋" w:hAnsi="仿宋" w:eastAsia="仿宋" w:cs="仿宋"/>
          <w:b/>
          <w:bCs/>
          <w:color w:val="000000" w:themeColor="text1"/>
          <w:sz w:val="56"/>
          <w:szCs w:val="56"/>
          <w:lang w:eastAsia="zh-CN"/>
        </w:rPr>
      </w:pPr>
      <w:r>
        <w:rPr>
          <w:rFonts w:hint="eastAsia" w:ascii="仿宋" w:hAnsi="仿宋" w:eastAsia="仿宋" w:cs="仿宋"/>
          <w:b/>
          <w:bCs/>
          <w:color w:val="000000" w:themeColor="text1"/>
          <w:sz w:val="56"/>
          <w:szCs w:val="56"/>
          <w:lang w:eastAsia="zh-CN"/>
        </w:rPr>
        <w:t>阿图什市人民医院升级更换信息</w:t>
      </w:r>
    </w:p>
    <w:p>
      <w:pPr>
        <w:spacing w:line="760" w:lineRule="exact"/>
        <w:jc w:val="center"/>
        <w:rPr>
          <w:rFonts w:hint="eastAsia" w:ascii="仿宋" w:hAnsi="仿宋" w:eastAsia="仿宋" w:cs="仿宋"/>
          <w:b/>
          <w:bCs/>
          <w:color w:val="000000" w:themeColor="text1"/>
          <w:sz w:val="44"/>
          <w:szCs w:val="44"/>
          <w:lang w:eastAsia="zh-CN"/>
        </w:rPr>
      </w:pPr>
      <w:r>
        <w:rPr>
          <w:rFonts w:hint="eastAsia" w:ascii="仿宋" w:hAnsi="仿宋" w:eastAsia="仿宋" w:cs="仿宋"/>
          <w:b/>
          <w:bCs/>
          <w:color w:val="000000" w:themeColor="text1"/>
          <w:sz w:val="56"/>
          <w:szCs w:val="56"/>
          <w:lang w:eastAsia="zh-CN"/>
        </w:rPr>
        <w:t>系统项目</w:t>
      </w:r>
    </w:p>
    <w:p>
      <w:pPr>
        <w:spacing w:line="760" w:lineRule="exact"/>
        <w:jc w:val="center"/>
        <w:rPr>
          <w:rFonts w:hint="eastAsia" w:ascii="仿宋" w:hAnsi="仿宋" w:eastAsia="仿宋" w:cs="仿宋"/>
          <w:b/>
          <w:bCs/>
          <w:color w:val="000000" w:themeColor="text1"/>
          <w:sz w:val="40"/>
          <w:szCs w:val="40"/>
          <w:lang w:eastAsia="zh-CN"/>
        </w:rPr>
      </w:pPr>
    </w:p>
    <w:p>
      <w:pPr>
        <w:spacing w:line="760" w:lineRule="exact"/>
        <w:jc w:val="center"/>
        <w:rPr>
          <w:rFonts w:hint="default" w:ascii="仿宋" w:hAnsi="仿宋" w:eastAsia="仿宋" w:cs="仿宋"/>
          <w:b/>
          <w:bCs/>
          <w:color w:val="000000" w:themeColor="text1"/>
          <w:sz w:val="40"/>
          <w:szCs w:val="40"/>
          <w:lang w:val="en-US" w:eastAsia="zh-CN"/>
        </w:rPr>
      </w:pPr>
      <w:r>
        <w:rPr>
          <w:rFonts w:hint="eastAsia" w:ascii="仿宋" w:hAnsi="仿宋" w:eastAsia="仿宋" w:cs="仿宋"/>
          <w:b/>
          <w:bCs/>
          <w:color w:val="000000" w:themeColor="text1"/>
          <w:sz w:val="40"/>
          <w:szCs w:val="40"/>
          <w:lang w:eastAsia="zh-CN"/>
        </w:rPr>
        <w:t>项目编号：ATSCG-</w:t>
      </w:r>
      <w:r>
        <w:rPr>
          <w:rFonts w:hint="eastAsia" w:ascii="仿宋" w:hAnsi="仿宋" w:eastAsia="仿宋" w:cs="仿宋"/>
          <w:b/>
          <w:bCs/>
          <w:color w:val="auto"/>
          <w:sz w:val="40"/>
          <w:szCs w:val="40"/>
          <w:lang w:eastAsia="zh-CN"/>
        </w:rPr>
        <w:t>202</w:t>
      </w:r>
      <w:r>
        <w:rPr>
          <w:rFonts w:hint="eastAsia" w:ascii="仿宋" w:hAnsi="仿宋" w:eastAsia="仿宋" w:cs="仿宋"/>
          <w:b/>
          <w:bCs/>
          <w:color w:val="auto"/>
          <w:sz w:val="40"/>
          <w:szCs w:val="40"/>
          <w:lang w:val="en-US" w:eastAsia="zh-CN"/>
        </w:rPr>
        <w:t>4022</w:t>
      </w:r>
    </w:p>
    <w:p>
      <w:pPr>
        <w:pStyle w:val="35"/>
        <w:rPr>
          <w:rFonts w:ascii="仿宋" w:hAnsi="仿宋" w:eastAsia="仿宋" w:cs="仿宋"/>
          <w:color w:val="000000" w:themeColor="text1"/>
        </w:rPr>
      </w:pPr>
    </w:p>
    <w:p>
      <w:pPr>
        <w:pStyle w:val="35"/>
        <w:rPr>
          <w:rFonts w:ascii="仿宋" w:hAnsi="仿宋" w:eastAsia="仿宋" w:cs="仿宋"/>
          <w:color w:val="000000" w:themeColor="text1"/>
        </w:rPr>
      </w:pPr>
    </w:p>
    <w:p>
      <w:pPr>
        <w:pStyle w:val="35"/>
        <w:rPr>
          <w:rFonts w:ascii="仿宋" w:hAnsi="仿宋" w:eastAsia="仿宋" w:cs="仿宋"/>
          <w:color w:val="000000" w:themeColor="text1"/>
        </w:rPr>
      </w:pPr>
    </w:p>
    <w:p>
      <w:pPr>
        <w:pStyle w:val="35"/>
        <w:jc w:val="center"/>
        <w:rPr>
          <w:rFonts w:ascii="仿宋" w:hAnsi="仿宋" w:eastAsia="仿宋" w:cs="仿宋"/>
          <w:b/>
          <w:color w:val="000000" w:themeColor="text1"/>
          <w:sz w:val="96"/>
          <w:szCs w:val="96"/>
        </w:rPr>
      </w:pPr>
      <w:r>
        <w:rPr>
          <w:rFonts w:hint="eastAsia" w:ascii="仿宋" w:hAnsi="仿宋" w:eastAsia="仿宋" w:cs="仿宋"/>
          <w:b/>
          <w:color w:val="000000" w:themeColor="text1"/>
          <w:sz w:val="96"/>
          <w:szCs w:val="96"/>
        </w:rPr>
        <w:t>招</w:t>
      </w:r>
    </w:p>
    <w:p>
      <w:pPr>
        <w:pStyle w:val="35"/>
        <w:jc w:val="center"/>
        <w:rPr>
          <w:rFonts w:ascii="仿宋" w:hAnsi="仿宋" w:eastAsia="仿宋" w:cs="仿宋"/>
          <w:b/>
          <w:bCs/>
          <w:color w:val="000000" w:themeColor="text1"/>
          <w:sz w:val="96"/>
          <w:szCs w:val="96"/>
        </w:rPr>
      </w:pPr>
      <w:r>
        <w:rPr>
          <w:rFonts w:hint="eastAsia" w:ascii="仿宋" w:hAnsi="仿宋" w:eastAsia="仿宋" w:cs="仿宋"/>
          <w:b/>
          <w:color w:val="000000" w:themeColor="text1"/>
          <w:sz w:val="96"/>
          <w:szCs w:val="96"/>
        </w:rPr>
        <w:t>标</w:t>
      </w:r>
    </w:p>
    <w:p>
      <w:pPr>
        <w:pStyle w:val="35"/>
        <w:jc w:val="center"/>
        <w:rPr>
          <w:rFonts w:ascii="仿宋" w:hAnsi="仿宋" w:eastAsia="仿宋" w:cs="仿宋"/>
          <w:b/>
          <w:bCs/>
          <w:color w:val="000000" w:themeColor="text1"/>
          <w:sz w:val="96"/>
          <w:szCs w:val="96"/>
        </w:rPr>
      </w:pPr>
      <w:r>
        <w:rPr>
          <w:rFonts w:hint="eastAsia" w:ascii="仿宋" w:hAnsi="仿宋" w:eastAsia="仿宋" w:cs="仿宋"/>
          <w:b/>
          <w:bCs/>
          <w:color w:val="000000" w:themeColor="text1"/>
          <w:sz w:val="96"/>
          <w:szCs w:val="96"/>
        </w:rPr>
        <w:t>文</w:t>
      </w:r>
    </w:p>
    <w:p>
      <w:pPr>
        <w:pStyle w:val="35"/>
        <w:jc w:val="center"/>
        <w:rPr>
          <w:rFonts w:hint="eastAsia" w:ascii="仿宋" w:hAnsi="仿宋" w:eastAsia="仿宋" w:cs="仿宋"/>
          <w:color w:val="000000" w:themeColor="text1"/>
          <w:sz w:val="32"/>
          <w:szCs w:val="32"/>
          <w:lang w:eastAsia="zh-CN"/>
        </w:rPr>
      </w:pPr>
      <w:r>
        <w:rPr>
          <w:rFonts w:hint="eastAsia" w:ascii="仿宋" w:hAnsi="仿宋" w:eastAsia="仿宋" w:cs="仿宋"/>
          <w:b/>
          <w:bCs/>
          <w:color w:val="000000" w:themeColor="text1"/>
          <w:sz w:val="96"/>
          <w:szCs w:val="96"/>
        </w:rPr>
        <w:t>件</w:t>
      </w:r>
    </w:p>
    <w:p>
      <w:pPr>
        <w:spacing w:line="700" w:lineRule="exact"/>
        <w:rPr>
          <w:rFonts w:hint="eastAsia" w:ascii="仿宋" w:hAnsi="仿宋" w:eastAsia="仿宋" w:cs="仿宋"/>
          <w:color w:val="000000" w:themeColor="text1"/>
          <w:sz w:val="40"/>
          <w:szCs w:val="40"/>
          <w:lang w:eastAsia="zh-CN"/>
        </w:rPr>
      </w:pPr>
    </w:p>
    <w:p>
      <w:pPr>
        <w:spacing w:line="700" w:lineRule="exact"/>
        <w:rPr>
          <w:rFonts w:hint="eastAsia" w:ascii="仿宋" w:hAnsi="仿宋" w:eastAsia="仿宋" w:cs="仿宋"/>
          <w:color w:val="000000" w:themeColor="text1"/>
          <w:sz w:val="40"/>
          <w:szCs w:val="40"/>
          <w:lang w:val="en-US" w:eastAsia="zh-CN"/>
        </w:rPr>
      </w:pPr>
      <w:r>
        <w:rPr>
          <w:rFonts w:hint="eastAsia" w:ascii="仿宋" w:hAnsi="仿宋" w:eastAsia="仿宋" w:cs="仿宋"/>
          <w:color w:val="000000" w:themeColor="text1"/>
          <w:sz w:val="40"/>
          <w:szCs w:val="40"/>
          <w:lang w:eastAsia="zh-CN"/>
        </w:rPr>
        <w:t>采购单位：</w:t>
      </w:r>
      <w:r>
        <w:rPr>
          <w:rFonts w:hint="eastAsia" w:ascii="仿宋" w:hAnsi="仿宋" w:eastAsia="仿宋" w:cs="仿宋"/>
          <w:color w:val="000000" w:themeColor="text1"/>
          <w:sz w:val="40"/>
          <w:szCs w:val="40"/>
          <w:lang w:val="en-US" w:eastAsia="zh-CN"/>
        </w:rPr>
        <w:t>阿图什市人民医院</w:t>
      </w:r>
    </w:p>
    <w:p>
      <w:pPr>
        <w:spacing w:line="700" w:lineRule="exact"/>
        <w:rPr>
          <w:rFonts w:hint="default" w:ascii="仿宋" w:hAnsi="仿宋" w:eastAsia="仿宋" w:cs="仿宋"/>
          <w:color w:val="auto"/>
          <w:sz w:val="40"/>
          <w:szCs w:val="40"/>
          <w:lang w:val="en-US" w:eastAsia="zh-CN"/>
        </w:rPr>
      </w:pPr>
      <w:r>
        <w:rPr>
          <w:rFonts w:hint="eastAsia" w:ascii="仿宋" w:hAnsi="仿宋" w:eastAsia="仿宋" w:cs="仿宋"/>
          <w:color w:val="000000" w:themeColor="text1"/>
          <w:sz w:val="40"/>
          <w:szCs w:val="40"/>
          <w:lang w:eastAsia="zh-CN"/>
        </w:rPr>
        <w:t xml:space="preserve">联 系 人: </w:t>
      </w:r>
      <w:r>
        <w:rPr>
          <w:rFonts w:hint="eastAsia" w:ascii="仿宋" w:hAnsi="仿宋" w:eastAsia="仿宋" w:cs="仿宋"/>
          <w:color w:val="auto"/>
          <w:sz w:val="40"/>
          <w:szCs w:val="40"/>
          <w:lang w:val="en-US" w:eastAsia="zh-CN"/>
        </w:rPr>
        <w:t>张先生</w:t>
      </w:r>
      <w:r>
        <w:rPr>
          <w:rFonts w:hint="eastAsia" w:ascii="仿宋" w:hAnsi="仿宋" w:eastAsia="仿宋" w:cs="仿宋"/>
          <w:color w:val="auto"/>
          <w:sz w:val="40"/>
          <w:szCs w:val="40"/>
          <w:lang w:eastAsia="zh-CN"/>
        </w:rPr>
        <w:t xml:space="preserve"> </w:t>
      </w:r>
      <w:r>
        <w:rPr>
          <w:rFonts w:hint="eastAsia" w:ascii="仿宋" w:hAnsi="仿宋" w:eastAsia="仿宋" w:cs="仿宋"/>
          <w:color w:val="auto"/>
          <w:sz w:val="40"/>
          <w:szCs w:val="40"/>
          <w:lang w:val="en-US" w:eastAsia="zh-CN"/>
        </w:rPr>
        <w:t xml:space="preserve">    </w:t>
      </w:r>
      <w:r>
        <w:rPr>
          <w:rFonts w:hint="eastAsia" w:ascii="仿宋" w:hAnsi="仿宋" w:eastAsia="仿宋" w:cs="仿宋"/>
          <w:color w:val="auto"/>
          <w:sz w:val="40"/>
          <w:szCs w:val="40"/>
          <w:lang w:eastAsia="zh-CN"/>
        </w:rPr>
        <w:t>联系电话：</w:t>
      </w:r>
      <w:r>
        <w:rPr>
          <w:rFonts w:hint="eastAsia" w:ascii="仿宋" w:hAnsi="仿宋" w:eastAsia="仿宋" w:cs="仿宋"/>
          <w:color w:val="auto"/>
          <w:sz w:val="40"/>
          <w:szCs w:val="40"/>
          <w:lang w:val="en-US" w:eastAsia="zh-CN"/>
        </w:rPr>
        <w:t>18609081160</w:t>
      </w:r>
    </w:p>
    <w:p>
      <w:pPr>
        <w:spacing w:line="700" w:lineRule="exact"/>
        <w:rPr>
          <w:rFonts w:hint="eastAsia" w:ascii="仿宋" w:hAnsi="仿宋" w:eastAsia="仿宋" w:cs="仿宋"/>
          <w:color w:val="000000" w:themeColor="text1"/>
          <w:sz w:val="40"/>
          <w:szCs w:val="40"/>
          <w:lang w:val="en-US" w:eastAsia="zh-CN"/>
        </w:rPr>
      </w:pPr>
      <w:r>
        <w:rPr>
          <w:rFonts w:hint="eastAsia" w:ascii="仿宋" w:hAnsi="仿宋" w:eastAsia="仿宋" w:cs="仿宋"/>
          <w:color w:val="000000" w:themeColor="text1"/>
          <w:sz w:val="40"/>
          <w:szCs w:val="40"/>
          <w:lang w:eastAsia="zh-CN"/>
        </w:rPr>
        <w:t>代理机构：</w:t>
      </w:r>
      <w:r>
        <w:rPr>
          <w:rFonts w:hint="eastAsia" w:ascii="仿宋" w:hAnsi="仿宋" w:eastAsia="仿宋" w:cs="仿宋"/>
          <w:color w:val="000000" w:themeColor="text1"/>
          <w:sz w:val="40"/>
          <w:szCs w:val="40"/>
          <w:lang w:val="en-US" w:eastAsia="zh-CN"/>
        </w:rPr>
        <w:t>新疆鑫润华工程项目管理有限公司</w:t>
      </w:r>
    </w:p>
    <w:p>
      <w:pPr>
        <w:spacing w:line="700" w:lineRule="exact"/>
        <w:rPr>
          <w:rFonts w:hint="default" w:ascii="仿宋" w:hAnsi="仿宋" w:eastAsia="仿宋" w:cs="仿宋"/>
          <w:b/>
          <w:color w:val="000000" w:themeColor="text1"/>
          <w:sz w:val="40"/>
          <w:szCs w:val="40"/>
          <w:lang w:val="en-US" w:eastAsia="zh-CN"/>
        </w:rPr>
      </w:pPr>
      <w:r>
        <w:rPr>
          <w:rFonts w:hint="eastAsia" w:ascii="仿宋" w:hAnsi="仿宋" w:eastAsia="仿宋" w:cs="仿宋"/>
          <w:color w:val="000000" w:themeColor="text1"/>
          <w:sz w:val="40"/>
          <w:szCs w:val="40"/>
          <w:lang w:eastAsia="zh-CN"/>
        </w:rPr>
        <w:t>联 系 人：</w:t>
      </w:r>
      <w:r>
        <w:rPr>
          <w:rFonts w:hint="eastAsia" w:ascii="仿宋" w:hAnsi="仿宋" w:eastAsia="仿宋" w:cs="仿宋"/>
          <w:color w:val="000000" w:themeColor="text1"/>
          <w:sz w:val="40"/>
          <w:szCs w:val="40"/>
          <w:lang w:val="en-US" w:eastAsia="zh-CN"/>
        </w:rPr>
        <w:t xml:space="preserve">魏女士     </w:t>
      </w:r>
      <w:r>
        <w:rPr>
          <w:rFonts w:hint="eastAsia" w:ascii="仿宋" w:hAnsi="仿宋" w:eastAsia="仿宋" w:cs="仿宋"/>
          <w:color w:val="000000" w:themeColor="text1"/>
          <w:sz w:val="40"/>
          <w:szCs w:val="40"/>
          <w:lang w:eastAsia="zh-CN"/>
        </w:rPr>
        <w:t xml:space="preserve">联系电话: </w:t>
      </w:r>
      <w:r>
        <w:rPr>
          <w:rFonts w:hint="eastAsia" w:ascii="仿宋" w:hAnsi="仿宋" w:eastAsia="仿宋" w:cs="仿宋"/>
          <w:color w:val="000000" w:themeColor="text1"/>
          <w:sz w:val="40"/>
          <w:szCs w:val="40"/>
          <w:lang w:val="en-US" w:eastAsia="zh-CN"/>
        </w:rPr>
        <w:t>17799081359</w:t>
      </w:r>
    </w:p>
    <w:p>
      <w:pPr>
        <w:jc w:val="both"/>
        <w:rPr>
          <w:rFonts w:hint="eastAsia" w:ascii="仿宋" w:hAnsi="仿宋" w:eastAsia="仿宋" w:cs="仿宋"/>
          <w:b w:val="0"/>
          <w:bCs/>
          <w:color w:val="000000" w:themeColor="text1"/>
          <w:sz w:val="36"/>
          <w:szCs w:val="36"/>
          <w:lang w:val="en-US" w:eastAsia="zh-CN"/>
        </w:rPr>
      </w:pPr>
    </w:p>
    <w:p>
      <w:pPr>
        <w:jc w:val="center"/>
        <w:rPr>
          <w:rFonts w:hint="default" w:ascii="仿宋" w:hAnsi="仿宋" w:eastAsia="仿宋" w:cs="仿宋"/>
          <w:b w:val="0"/>
          <w:bCs/>
          <w:color w:val="000000" w:themeColor="text1"/>
          <w:sz w:val="36"/>
          <w:szCs w:val="36"/>
          <w:lang w:val="en-US" w:eastAsia="zh-CN"/>
        </w:rPr>
      </w:pPr>
      <w:r>
        <w:rPr>
          <w:rFonts w:hint="eastAsia" w:ascii="仿宋" w:hAnsi="仿宋" w:eastAsia="仿宋" w:cs="仿宋"/>
          <w:b w:val="0"/>
          <w:bCs/>
          <w:color w:val="000000" w:themeColor="text1"/>
          <w:sz w:val="36"/>
          <w:szCs w:val="36"/>
          <w:lang w:val="en-US" w:eastAsia="zh-CN"/>
        </w:rPr>
        <w:t>2024年4月</w:t>
      </w:r>
    </w:p>
    <w:p>
      <w:pPr>
        <w:jc w:val="center"/>
        <w:rPr>
          <w:rFonts w:hint="eastAsia" w:ascii="仿宋" w:hAnsi="仿宋" w:eastAsia="仿宋" w:cs="仿宋"/>
          <w:b/>
          <w:color w:val="000000" w:themeColor="text1"/>
          <w:sz w:val="36"/>
          <w:szCs w:val="36"/>
          <w:lang w:eastAsia="zh-CN"/>
        </w:rPr>
        <w:sectPr>
          <w:headerReference r:id="rId3" w:type="default"/>
          <w:footerReference r:id="rId4" w:type="default"/>
          <w:pgSz w:w="11906" w:h="16838"/>
          <w:pgMar w:top="1440" w:right="1519" w:bottom="1440" w:left="1519" w:header="851" w:footer="992" w:gutter="0"/>
          <w:pgNumType w:fmt="decimal" w:start="1"/>
          <w:cols w:space="720" w:num="1"/>
          <w:docGrid w:type="linesAndChars" w:linePitch="312" w:charSpace="0"/>
        </w:sectPr>
      </w:pPr>
    </w:p>
    <w:p>
      <w:pPr>
        <w:pStyle w:val="12"/>
        <w:rPr>
          <w:rFonts w:hint="eastAsia"/>
          <w:lang w:eastAsia="zh-CN"/>
        </w:rPr>
      </w:pPr>
    </w:p>
    <w:p>
      <w:pPr>
        <w:jc w:val="center"/>
        <w:rPr>
          <w:rFonts w:ascii="仿宋" w:hAnsi="仿宋" w:eastAsia="仿宋" w:cs="仿宋"/>
          <w:b/>
          <w:color w:val="000000" w:themeColor="text1"/>
          <w:sz w:val="36"/>
          <w:szCs w:val="36"/>
          <w:lang w:eastAsia="zh-CN"/>
        </w:rPr>
      </w:pPr>
      <w:r>
        <w:rPr>
          <w:rFonts w:hint="eastAsia" w:ascii="仿宋" w:hAnsi="仿宋" w:eastAsia="仿宋" w:cs="仿宋"/>
          <w:b/>
          <w:color w:val="000000" w:themeColor="text1"/>
          <w:sz w:val="36"/>
          <w:szCs w:val="36"/>
          <w:lang w:eastAsia="zh-CN"/>
        </w:rPr>
        <w:t>招投标监督管理机构备案登记栏</w:t>
      </w:r>
    </w:p>
    <w:tbl>
      <w:tblPr>
        <w:tblStyle w:val="25"/>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55" w:hRule="atLeast"/>
          <w:jc w:val="center"/>
        </w:trPr>
        <w:tc>
          <w:tcPr>
            <w:tcW w:w="9388" w:type="dxa"/>
          </w:tcPr>
          <w:p>
            <w:pPr>
              <w:spacing w:line="500" w:lineRule="exact"/>
              <w:jc w:val="both"/>
              <w:rPr>
                <w:rFonts w:ascii="仿宋" w:hAnsi="仿宋" w:eastAsia="仿宋" w:cs="仿宋"/>
                <w:color w:val="000000" w:themeColor="text1"/>
                <w:lang w:eastAsia="zh-CN"/>
              </w:rPr>
            </w:pP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w w:val="95"/>
                <w:sz w:val="32"/>
                <w:szCs w:val="32"/>
                <w:lang w:eastAsia="zh-CN"/>
              </w:rPr>
            </w:pPr>
            <w:r>
              <w:rPr>
                <w:rFonts w:hint="eastAsia" w:ascii="仿宋" w:hAnsi="仿宋" w:eastAsia="仿宋" w:cs="仿宋"/>
                <w:color w:val="000000" w:themeColor="text1"/>
                <w:sz w:val="32"/>
                <w:szCs w:val="32"/>
                <w:lang w:eastAsia="zh-CN"/>
              </w:rPr>
              <w:t>采购单位：</w:t>
            </w:r>
            <w:r>
              <w:rPr>
                <w:rFonts w:hint="eastAsia" w:ascii="仿宋" w:hAnsi="仿宋" w:eastAsia="仿宋" w:cs="仿宋"/>
                <w:color w:val="000000" w:themeColor="text1"/>
                <w:sz w:val="32"/>
                <w:szCs w:val="32"/>
                <w:lang w:val="en-US" w:eastAsia="zh-CN"/>
              </w:rPr>
              <w:t>阿图什市人民医院</w:t>
            </w:r>
            <w:r>
              <w:rPr>
                <w:rFonts w:hint="eastAsia" w:ascii="仿宋" w:hAnsi="仿宋" w:eastAsia="仿宋" w:cs="仿宋"/>
                <w:color w:val="000000" w:themeColor="text1"/>
                <w:w w:val="95"/>
                <w:sz w:val="32"/>
                <w:szCs w:val="32"/>
                <w:lang w:eastAsia="zh-CN"/>
              </w:rPr>
              <w:t>（盖章）</w:t>
            </w:r>
          </w:p>
          <w:p>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p>
          <w:p>
            <w:pPr>
              <w:spacing w:line="500" w:lineRule="exact"/>
              <w:ind w:left="3520" w:hanging="3520" w:hangingChars="1100"/>
              <w:jc w:val="both"/>
              <w:rPr>
                <w:rFonts w:ascii="仿宋" w:hAnsi="仿宋" w:eastAsia="仿宋" w:cs="仿宋"/>
                <w:color w:val="000000" w:themeColor="text1"/>
                <w:sz w:val="32"/>
                <w:szCs w:val="32"/>
                <w:lang w:eastAsia="zh-CN"/>
              </w:rPr>
            </w:pPr>
          </w:p>
          <w:p>
            <w:pPr>
              <w:spacing w:line="500" w:lineRule="exact"/>
              <w:ind w:left="3520" w:hanging="3520" w:hangingChars="1100"/>
              <w:jc w:val="left"/>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t>采购项目名称：阿图什市人民医院升级更换信息系统项目</w:t>
            </w: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p>
          <w:p>
            <w:pPr>
              <w:pStyle w:val="32"/>
              <w:jc w:val="both"/>
              <w:rPr>
                <w:rFonts w:ascii="仿宋" w:hAnsi="仿宋" w:eastAsia="仿宋" w:cs="仿宋"/>
                <w:color w:val="000000" w:themeColor="text1"/>
                <w:sz w:val="32"/>
                <w:szCs w:val="32"/>
                <w:lang w:eastAsia="zh-CN"/>
              </w:rPr>
            </w:pPr>
          </w:p>
          <w:p>
            <w:pPr>
              <w:pStyle w:val="32"/>
              <w:jc w:val="both"/>
              <w:rPr>
                <w:rFonts w:ascii="仿宋" w:hAnsi="仿宋" w:eastAsia="仿宋" w:cs="仿宋"/>
                <w:color w:val="000000" w:themeColor="text1"/>
                <w:sz w:val="32"/>
                <w:szCs w:val="32"/>
                <w:lang w:eastAsia="zh-CN"/>
              </w:rPr>
            </w:pPr>
          </w:p>
          <w:p>
            <w:pPr>
              <w:pStyle w:val="32"/>
              <w:jc w:val="both"/>
              <w:rPr>
                <w:rFonts w:ascii="仿宋" w:hAnsi="仿宋" w:eastAsia="仿宋" w:cs="仿宋"/>
                <w:color w:val="000000" w:themeColor="text1"/>
                <w:sz w:val="32"/>
                <w:szCs w:val="32"/>
                <w:lang w:eastAsia="zh-CN"/>
              </w:rPr>
            </w:pPr>
          </w:p>
          <w:p>
            <w:pPr>
              <w:pStyle w:val="32"/>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代理机构：</w:t>
            </w:r>
            <w:r>
              <w:rPr>
                <w:rFonts w:hint="eastAsia" w:ascii="仿宋" w:hAnsi="仿宋" w:eastAsia="仿宋" w:cs="仿宋"/>
                <w:color w:val="000000" w:themeColor="text1"/>
                <w:sz w:val="32"/>
                <w:szCs w:val="32"/>
                <w:lang w:val="en-US" w:eastAsia="zh-CN"/>
              </w:rPr>
              <w:t>新疆鑫润华工程项目管理有限公司</w:t>
            </w:r>
            <w:r>
              <w:rPr>
                <w:rFonts w:hint="eastAsia" w:ascii="仿宋" w:hAnsi="仿宋" w:eastAsia="仿宋" w:cs="仿宋"/>
                <w:color w:val="000000" w:themeColor="text1"/>
                <w:sz w:val="32"/>
                <w:szCs w:val="32"/>
                <w:lang w:eastAsia="zh-CN"/>
              </w:rPr>
              <w:t>（盖章）</w:t>
            </w:r>
          </w:p>
          <w:p>
            <w:pPr>
              <w:pStyle w:val="5"/>
              <w:jc w:val="both"/>
              <w:outlineLvl w:val="2"/>
              <w:rPr>
                <w:rFonts w:ascii="仿宋" w:hAnsi="仿宋" w:eastAsia="仿宋" w:cs="仿宋"/>
                <w:color w:val="000000" w:themeColor="text1"/>
                <w:lang w:eastAsia="zh-CN"/>
              </w:rPr>
            </w:pPr>
          </w:p>
          <w:p>
            <w:pPr>
              <w:jc w:val="both"/>
              <w:rPr>
                <w:rFonts w:ascii="仿宋" w:hAnsi="仿宋" w:eastAsia="仿宋" w:cs="仿宋"/>
                <w:color w:val="000000" w:themeColor="text1"/>
                <w:lang w:eastAsia="zh-CN"/>
              </w:rPr>
            </w:pPr>
          </w:p>
          <w:p>
            <w:pPr>
              <w:pStyle w:val="5"/>
              <w:jc w:val="center"/>
              <w:outlineLvl w:val="2"/>
              <w:rPr>
                <w:rFonts w:ascii="仿宋" w:hAnsi="仿宋" w:eastAsia="仿宋" w:cs="仿宋"/>
                <w:color w:val="000000" w:themeColor="text1"/>
              </w:rPr>
            </w:pPr>
            <w:r>
              <w:rPr>
                <w:rFonts w:hint="eastAsia" w:ascii="仿宋" w:hAnsi="仿宋" w:eastAsia="仿宋" w:cs="仿宋"/>
                <w:color w:val="000000" w:themeColor="text1"/>
              </w:rPr>
              <w:t>日  期：20</w:t>
            </w: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rPr>
              <w:t>年</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rPr>
              <w:t>月</w:t>
            </w:r>
          </w:p>
          <w:p>
            <w:pPr>
              <w:pStyle w:val="5"/>
              <w:jc w:val="both"/>
              <w:outlineLvl w:val="2"/>
              <w:rPr>
                <w:rFonts w:ascii="仿宋" w:hAnsi="仿宋" w:eastAsia="仿宋" w:cs="仿宋"/>
                <w:color w:val="000000" w:themeColor="text1"/>
              </w:rPr>
            </w:pPr>
          </w:p>
        </w:tc>
      </w:tr>
    </w:tbl>
    <w:p>
      <w:pPr>
        <w:pStyle w:val="6"/>
        <w:bidi w:val="0"/>
        <w:rPr>
          <w:lang w:eastAsia="zh-CN"/>
        </w:rPr>
        <w:sectPr>
          <w:footerReference r:id="rId5" w:type="default"/>
          <w:pgSz w:w="11906" w:h="16838"/>
          <w:pgMar w:top="1440" w:right="1519" w:bottom="1440" w:left="1519" w:header="851" w:footer="992" w:gutter="0"/>
          <w:pgNumType w:fmt="decimal"/>
          <w:cols w:space="720" w:num="1"/>
          <w:docGrid w:type="linesAndChars" w:linePitch="312" w:charSpace="0"/>
        </w:sectPr>
      </w:pPr>
    </w:p>
    <w:p>
      <w:pPr>
        <w:pStyle w:val="31"/>
        <w:spacing w:before="0" w:line="360" w:lineRule="auto"/>
        <w:jc w:val="both"/>
        <w:rPr>
          <w:rFonts w:ascii="仿宋" w:hAnsi="仿宋" w:eastAsia="仿宋" w:cs="仿宋"/>
          <w:color w:val="000000" w:themeColor="text1"/>
          <w:sz w:val="44"/>
          <w:szCs w:val="44"/>
          <w:lang w:val="zh-CN"/>
        </w:rPr>
      </w:pPr>
    </w:p>
    <w:p>
      <w:pPr>
        <w:pStyle w:val="31"/>
        <w:spacing w:before="0" w:line="360" w:lineRule="auto"/>
        <w:jc w:val="center"/>
        <w:rPr>
          <w:rFonts w:ascii="仿宋" w:hAnsi="仿宋" w:eastAsia="仿宋" w:cs="仿宋"/>
          <w:color w:val="000000" w:themeColor="text1"/>
          <w:sz w:val="30"/>
          <w:szCs w:val="30"/>
        </w:rPr>
      </w:pPr>
      <w:r>
        <w:rPr>
          <w:rFonts w:hint="eastAsia" w:ascii="仿宋" w:hAnsi="仿宋" w:eastAsia="仿宋" w:cs="仿宋"/>
          <w:color w:val="000000" w:themeColor="text1"/>
          <w:sz w:val="44"/>
          <w:szCs w:val="44"/>
          <w:lang w:val="zh-CN"/>
        </w:rPr>
        <w:t>目    录</w:t>
      </w:r>
    </w:p>
    <w:p>
      <w:pPr>
        <w:widowControl/>
        <w:rPr>
          <w:rFonts w:ascii="仿宋" w:hAnsi="仿宋" w:eastAsia="仿宋" w:cs="仿宋"/>
          <w:color w:val="000000" w:themeColor="text1"/>
          <w:sz w:val="30"/>
          <w:szCs w:val="30"/>
        </w:rPr>
      </w:pPr>
    </w:p>
    <w:p>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第一部分  招标公告…………………………………………1</w:t>
      </w:r>
    </w:p>
    <w:p>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第二部分  供应商须知………………………………………</w:t>
      </w:r>
      <w:r>
        <w:rPr>
          <w:rFonts w:hint="eastAsia" w:ascii="仿宋" w:hAnsi="仿宋" w:eastAsia="仿宋" w:cs="仿宋"/>
          <w:b/>
          <w:color w:val="000000" w:themeColor="text1"/>
          <w:sz w:val="30"/>
          <w:szCs w:val="30"/>
          <w:lang w:val="en-US" w:eastAsia="zh-CN"/>
        </w:rPr>
        <w:t>4</w:t>
      </w:r>
    </w:p>
    <w:p>
      <w:pPr>
        <w:spacing w:line="600" w:lineRule="auto"/>
        <w:ind w:firstLine="1050" w:firstLineChars="350"/>
        <w:jc w:val="both"/>
        <w:rPr>
          <w:rFonts w:hint="default"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第三部分  评标办法…………………………………………</w:t>
      </w:r>
      <w:r>
        <w:rPr>
          <w:rFonts w:hint="eastAsia" w:ascii="仿宋" w:hAnsi="仿宋" w:eastAsia="仿宋" w:cs="仿宋"/>
          <w:b/>
          <w:color w:val="000000" w:themeColor="text1"/>
          <w:sz w:val="30"/>
          <w:szCs w:val="30"/>
          <w:lang w:val="en-US" w:eastAsia="zh-CN"/>
        </w:rPr>
        <w:t>39</w:t>
      </w:r>
    </w:p>
    <w:p>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 xml:space="preserve">第四部分  </w:t>
      </w:r>
      <w:r>
        <w:rPr>
          <w:rFonts w:hint="eastAsia" w:ascii="仿宋" w:hAnsi="仿宋" w:eastAsia="仿宋" w:cs="仿宋"/>
          <w:b/>
          <w:color w:val="000000" w:themeColor="text1"/>
          <w:sz w:val="30"/>
          <w:szCs w:val="30"/>
          <w:lang w:val="en-US" w:eastAsia="zh-CN"/>
        </w:rPr>
        <w:t>采购</w:t>
      </w:r>
      <w:r>
        <w:rPr>
          <w:rFonts w:hint="eastAsia" w:ascii="仿宋" w:hAnsi="仿宋" w:eastAsia="仿宋" w:cs="仿宋"/>
          <w:b/>
          <w:color w:val="000000" w:themeColor="text1"/>
          <w:sz w:val="30"/>
          <w:szCs w:val="30"/>
          <w:lang w:eastAsia="zh-CN"/>
        </w:rPr>
        <w:t>需求…………………………………………48</w:t>
      </w:r>
    </w:p>
    <w:p>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第五部分  合同（参考）……………………………………</w:t>
      </w:r>
      <w:r>
        <w:rPr>
          <w:rFonts w:hint="eastAsia" w:ascii="仿宋" w:hAnsi="仿宋" w:eastAsia="仿宋" w:cs="仿宋"/>
          <w:b/>
          <w:color w:val="000000" w:themeColor="text1"/>
          <w:sz w:val="30"/>
          <w:szCs w:val="30"/>
          <w:lang w:val="en-US" w:eastAsia="zh-CN"/>
        </w:rPr>
        <w:t>51</w:t>
      </w:r>
    </w:p>
    <w:p>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第六部分  投标文件格式……………………………………</w:t>
      </w:r>
      <w:r>
        <w:rPr>
          <w:rFonts w:hint="eastAsia" w:ascii="仿宋" w:hAnsi="仿宋" w:eastAsia="仿宋" w:cs="仿宋"/>
          <w:b/>
          <w:color w:val="000000" w:themeColor="text1"/>
          <w:sz w:val="30"/>
          <w:szCs w:val="30"/>
          <w:lang w:val="en-US" w:eastAsia="zh-CN"/>
        </w:rPr>
        <w:t>57</w:t>
      </w:r>
    </w:p>
    <w:p>
      <w:pPr>
        <w:pStyle w:val="10"/>
        <w:numPr>
          <w:ilvl w:val="0"/>
          <w:numId w:val="0"/>
        </w:numPr>
        <w:tabs>
          <w:tab w:val="clear" w:pos="780"/>
        </w:tabs>
        <w:spacing w:line="480" w:lineRule="auto"/>
        <w:rPr>
          <w:rFonts w:ascii="仿宋" w:hAnsi="仿宋" w:eastAsia="仿宋" w:cs="仿宋"/>
          <w:color w:val="000000" w:themeColor="text1"/>
          <w:lang w:eastAsia="zh-CN"/>
        </w:rPr>
      </w:pPr>
    </w:p>
    <w:p>
      <w:pPr>
        <w:spacing w:line="480" w:lineRule="auto"/>
        <w:rPr>
          <w:rFonts w:ascii="仿宋" w:hAnsi="仿宋" w:eastAsia="仿宋" w:cs="仿宋"/>
          <w:color w:val="000000" w:themeColor="text1"/>
          <w:lang w:eastAsia="zh-CN"/>
        </w:rPr>
      </w:pPr>
    </w:p>
    <w:p>
      <w:pPr>
        <w:pStyle w:val="5"/>
        <w:rPr>
          <w:rFonts w:ascii="仿宋" w:hAnsi="仿宋" w:eastAsia="仿宋" w:cs="仿宋"/>
          <w:color w:val="000000" w:themeColor="text1"/>
          <w:lang w:eastAsia="zh-CN"/>
        </w:rPr>
      </w:pPr>
    </w:p>
    <w:p>
      <w:pPr>
        <w:rPr>
          <w:rFonts w:ascii="仿宋" w:hAnsi="仿宋" w:eastAsia="仿宋" w:cs="仿宋"/>
          <w:color w:val="000000" w:themeColor="text1"/>
          <w:lang w:eastAsia="zh-CN"/>
        </w:rPr>
      </w:pPr>
    </w:p>
    <w:p>
      <w:pPr>
        <w:pStyle w:val="5"/>
        <w:rPr>
          <w:rFonts w:ascii="仿宋" w:hAnsi="仿宋" w:eastAsia="仿宋" w:cs="仿宋"/>
          <w:color w:val="000000" w:themeColor="text1"/>
          <w:lang w:eastAsia="zh-CN"/>
        </w:rPr>
      </w:pPr>
    </w:p>
    <w:p>
      <w:pPr>
        <w:rPr>
          <w:rFonts w:ascii="仿宋" w:hAnsi="仿宋" w:eastAsia="仿宋" w:cs="仿宋"/>
          <w:color w:val="000000" w:themeColor="text1"/>
          <w:lang w:eastAsia="zh-CN"/>
        </w:rPr>
      </w:pPr>
    </w:p>
    <w:p>
      <w:pPr>
        <w:pStyle w:val="5"/>
        <w:rPr>
          <w:rFonts w:ascii="仿宋" w:hAnsi="仿宋" w:eastAsia="仿宋" w:cs="仿宋"/>
          <w:color w:val="000000" w:themeColor="text1"/>
          <w:lang w:eastAsia="zh-CN"/>
        </w:rPr>
      </w:pPr>
    </w:p>
    <w:p>
      <w:pPr>
        <w:rPr>
          <w:rFonts w:ascii="仿宋" w:hAnsi="仿宋" w:eastAsia="仿宋" w:cs="仿宋"/>
          <w:color w:val="000000" w:themeColor="text1"/>
          <w:lang w:eastAsia="zh-CN"/>
        </w:rPr>
      </w:pPr>
    </w:p>
    <w:p>
      <w:pPr>
        <w:pStyle w:val="36"/>
        <w:keepNext/>
        <w:keepLines/>
        <w:spacing w:before="120" w:after="300"/>
        <w:jc w:val="both"/>
        <w:rPr>
          <w:rFonts w:ascii="仿宋" w:hAnsi="仿宋" w:eastAsia="仿宋" w:cs="仿宋"/>
          <w:b/>
          <w:bCs/>
          <w:color w:val="000000" w:themeColor="text1"/>
        </w:rPr>
        <w:sectPr>
          <w:footerReference r:id="rId6" w:type="default"/>
          <w:pgSz w:w="11906" w:h="16838"/>
          <w:pgMar w:top="1440" w:right="1134" w:bottom="1440" w:left="1134" w:header="851" w:footer="992" w:gutter="0"/>
          <w:pgNumType w:fmt="decimal" w:start="3"/>
          <w:cols w:space="720" w:num="1"/>
          <w:docGrid w:type="linesAndChars" w:linePitch="312" w:charSpace="0"/>
        </w:sectPr>
      </w:pPr>
    </w:p>
    <w:p>
      <w:pPr>
        <w:pStyle w:val="36"/>
        <w:keepNext/>
        <w:keepLines/>
        <w:numPr>
          <w:ilvl w:val="0"/>
          <w:numId w:val="0"/>
        </w:numPr>
        <w:spacing w:before="120" w:after="300"/>
        <w:ind w:firstLine="3240" w:firstLineChars="900"/>
        <w:jc w:val="both"/>
        <w:rPr>
          <w:rFonts w:hint="eastAsia" w:ascii="宋体" w:hAnsi="宋体" w:cs="宋体"/>
          <w:b/>
          <w:color w:val="auto"/>
          <w:sz w:val="28"/>
          <w:szCs w:val="28"/>
          <w:highlight w:val="none"/>
          <w:shd w:val="clear" w:color="auto" w:fill="FFFFFF"/>
        </w:rPr>
      </w:pPr>
      <w:r>
        <w:rPr>
          <w:rFonts w:hint="eastAsia" w:ascii="仿宋" w:hAnsi="仿宋" w:eastAsia="仿宋" w:cs="仿宋"/>
          <w:b/>
          <w:bCs/>
          <w:color w:val="000000" w:themeColor="text1"/>
          <w:lang w:val="en-US" w:eastAsia="zh-CN"/>
        </w:rPr>
        <w:t xml:space="preserve">第一部分  </w:t>
      </w:r>
      <w:r>
        <w:rPr>
          <w:rFonts w:hint="eastAsia" w:ascii="仿宋" w:hAnsi="仿宋" w:eastAsia="仿宋" w:cs="仿宋"/>
          <w:b/>
          <w:bCs/>
          <w:color w:val="000000" w:themeColor="text1"/>
          <w:lang w:eastAsia="zh-CN"/>
        </w:rPr>
        <w:t>招标公告</w:t>
      </w:r>
      <w:bookmarkStart w:id="0" w:name="_Toc28359001"/>
      <w:bookmarkStart w:id="1" w:name="_Toc35393789"/>
    </w:p>
    <w:bookmarkEnd w:id="0"/>
    <w:bookmarkEnd w:id="1"/>
    <w:p>
      <w:pPr>
        <w:shd w:val="clear" w:color="auto" w:fill="auto"/>
        <w:adjustRightInd w:val="0"/>
        <w:spacing w:line="600" w:lineRule="exact"/>
        <w:jc w:val="center"/>
        <w:rPr>
          <w:rFonts w:hint="eastAsia"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lang w:val="en-US" w:eastAsia="zh-CN"/>
        </w:rPr>
        <w:t>新疆鑫润华工程项目管理有限公司关于阿图什市人民医院升级更换信息系统项目的</w:t>
      </w:r>
      <w:r>
        <w:rPr>
          <w:rFonts w:hint="eastAsia" w:ascii="仿宋" w:hAnsi="仿宋" w:eastAsia="仿宋" w:cs="仿宋"/>
          <w:b/>
          <w:color w:val="auto"/>
          <w:sz w:val="32"/>
          <w:szCs w:val="32"/>
          <w:highlight w:val="none"/>
          <w:shd w:val="clear" w:color="auto" w:fill="FFFFFF"/>
        </w:rPr>
        <w:t>公开招标公告</w:t>
      </w:r>
    </w:p>
    <w:p>
      <w:pPr>
        <w:pStyle w:val="32"/>
        <w:shd w:val="clear" w:color="auto" w:fill="auto"/>
        <w:spacing w:line="360" w:lineRule="auto"/>
        <w:rPr>
          <w:color w:val="auto"/>
          <w:highlight w:val="none"/>
        </w:rPr>
      </w:pPr>
    </w:p>
    <w:p>
      <w:pPr>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line="360" w:lineRule="auto"/>
        <w:textAlignment w:val="auto"/>
        <w:rPr>
          <w:rFonts w:ascii="仿宋" w:hAnsi="仿宋" w:eastAsia="仿宋"/>
          <w:color w:val="auto"/>
          <w:sz w:val="22"/>
          <w:szCs w:val="22"/>
          <w:highlight w:val="none"/>
        </w:rPr>
      </w:pPr>
      <w:r>
        <w:rPr>
          <w:rFonts w:hint="eastAsia" w:ascii="仿宋" w:hAnsi="仿宋" w:eastAsia="仿宋"/>
          <w:color w:val="auto"/>
          <w:sz w:val="22"/>
          <w:szCs w:val="22"/>
          <w:highlight w:val="none"/>
        </w:rPr>
        <w:t>项目概况</w:t>
      </w:r>
    </w:p>
    <w:p>
      <w:pPr>
        <w:pStyle w:val="20"/>
        <w:keepNext w:val="0"/>
        <w:keepLines w:val="0"/>
        <w:pageBreakBefore w:val="0"/>
        <w:widowControl/>
        <w:suppressLineNumbers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olor w:val="000000"/>
          <w:sz w:val="22"/>
          <w:szCs w:val="22"/>
          <w:highlight w:val="none"/>
          <w:lang w:eastAsia="zh-CN"/>
        </w:rPr>
      </w:pPr>
      <w:r>
        <w:rPr>
          <w:rFonts w:hint="default" w:ascii="仿宋" w:hAnsi="仿宋" w:eastAsia="仿宋"/>
          <w:color w:val="auto"/>
          <w:sz w:val="22"/>
          <w:szCs w:val="22"/>
          <w:highlight w:val="none"/>
          <w:lang w:eastAsia="zh-CN"/>
        </w:rPr>
        <w:t>阿图什市人民医院升级更换信息系统项目的潜在投标人应在供应商登陆政采云平台http://www.zcygov.cn/，在线获取</w:t>
      </w:r>
      <w:r>
        <w:rPr>
          <w:rFonts w:hint="eastAsia" w:ascii="仿宋" w:hAnsi="仿宋" w:eastAsia="仿宋"/>
          <w:color w:val="auto"/>
          <w:sz w:val="22"/>
          <w:szCs w:val="22"/>
          <w:highlight w:val="none"/>
          <w:lang w:eastAsia="zh-CN"/>
        </w:rPr>
        <w:t>招标</w:t>
      </w:r>
      <w:r>
        <w:rPr>
          <w:rFonts w:hint="default" w:ascii="仿宋" w:hAnsi="仿宋" w:eastAsia="仿宋"/>
          <w:color w:val="auto"/>
          <w:sz w:val="22"/>
          <w:szCs w:val="22"/>
          <w:highlight w:val="none"/>
          <w:lang w:eastAsia="zh-CN"/>
        </w:rPr>
        <w:t>文件（登录政府采购云平台 → 项目采购 → 获取</w:t>
      </w:r>
      <w:r>
        <w:rPr>
          <w:rFonts w:hint="eastAsia" w:ascii="仿宋" w:hAnsi="仿宋" w:eastAsia="仿宋"/>
          <w:color w:val="auto"/>
          <w:sz w:val="22"/>
          <w:szCs w:val="22"/>
          <w:highlight w:val="none"/>
          <w:lang w:eastAsia="zh-CN"/>
        </w:rPr>
        <w:t>招标</w:t>
      </w:r>
      <w:r>
        <w:rPr>
          <w:rFonts w:hint="default" w:ascii="仿宋" w:hAnsi="仿宋" w:eastAsia="仿宋"/>
          <w:color w:val="auto"/>
          <w:sz w:val="22"/>
          <w:szCs w:val="22"/>
          <w:highlight w:val="none"/>
          <w:lang w:eastAsia="zh-CN"/>
        </w:rPr>
        <w:t>文件</w:t>
      </w:r>
      <w:r>
        <w:rPr>
          <w:rFonts w:hint="eastAsia" w:ascii="仿宋" w:hAnsi="仿宋" w:eastAsia="仿宋"/>
          <w:color w:val="auto"/>
          <w:sz w:val="22"/>
          <w:szCs w:val="22"/>
          <w:highlight w:val="none"/>
          <w:lang w:eastAsia="zh-CN"/>
        </w:rPr>
        <w:t>，</w:t>
      </w:r>
      <w:r>
        <w:rPr>
          <w:rFonts w:hint="eastAsia" w:ascii="仿宋" w:hAnsi="仿宋" w:eastAsia="仿宋" w:cs="仿宋"/>
          <w:color w:val="auto"/>
          <w:sz w:val="22"/>
          <w:szCs w:val="22"/>
          <w:highlight w:val="none"/>
          <w:u w:val="none"/>
        </w:rPr>
        <w:t>如有操作性问题，可与政采云在线客服进行咨询，咨询电话：</w:t>
      </w:r>
      <w:r>
        <w:rPr>
          <w:rFonts w:hint="eastAsia" w:ascii="仿宋" w:hAnsi="仿宋" w:eastAsia="仿宋" w:cs="仿宋"/>
          <w:color w:val="auto"/>
          <w:sz w:val="22"/>
          <w:szCs w:val="22"/>
          <w:highlight w:val="none"/>
          <w:u w:val="none"/>
          <w:lang w:val="en-US" w:eastAsia="zh-CN"/>
        </w:rPr>
        <w:t>95763</w:t>
      </w:r>
      <w:r>
        <w:rPr>
          <w:rFonts w:hint="eastAsia" w:ascii="仿宋" w:hAnsi="仿宋" w:eastAsia="仿宋" w:cs="仿宋"/>
          <w:color w:val="auto"/>
          <w:sz w:val="22"/>
          <w:szCs w:val="22"/>
          <w:highlight w:val="none"/>
          <w:u w:val="none"/>
        </w:rPr>
        <w:t>）获取招标文件，并</w:t>
      </w:r>
      <w:r>
        <w:rPr>
          <w:rFonts w:hint="eastAsia" w:ascii="仿宋" w:hAnsi="仿宋" w:eastAsia="仿宋" w:cs="仿宋"/>
          <w:color w:val="000000"/>
          <w:sz w:val="22"/>
          <w:szCs w:val="22"/>
          <w:highlight w:val="none"/>
          <w:u w:val="none"/>
        </w:rPr>
        <w:t>于</w:t>
      </w:r>
      <w:r>
        <w:rPr>
          <w:rFonts w:hint="eastAsia" w:ascii="仿宋" w:hAnsi="仿宋" w:eastAsia="仿宋" w:cs="仿宋"/>
          <w:color w:val="auto"/>
          <w:sz w:val="22"/>
          <w:szCs w:val="22"/>
          <w:highlight w:val="none"/>
          <w:u w:val="none"/>
        </w:rPr>
        <w:t>202</w:t>
      </w:r>
      <w:r>
        <w:rPr>
          <w:rFonts w:hint="eastAsia" w:ascii="仿宋" w:hAnsi="仿宋" w:eastAsia="仿宋" w:cs="仿宋"/>
          <w:b w:val="0"/>
          <w:bCs w:val="0"/>
          <w:color w:val="auto"/>
          <w:sz w:val="22"/>
          <w:szCs w:val="22"/>
          <w:highlight w:val="none"/>
          <w:u w:val="none"/>
          <w:lang w:val="en-US" w:eastAsia="zh-CN"/>
        </w:rPr>
        <w:t>4</w:t>
      </w:r>
      <w:r>
        <w:rPr>
          <w:rFonts w:hint="eastAsia" w:ascii="仿宋" w:hAnsi="仿宋" w:eastAsia="仿宋" w:cs="仿宋"/>
          <w:b w:val="0"/>
          <w:bCs w:val="0"/>
          <w:color w:val="auto"/>
          <w:sz w:val="22"/>
          <w:szCs w:val="22"/>
          <w:highlight w:val="none"/>
          <w:u w:val="none"/>
        </w:rPr>
        <w:t>年</w:t>
      </w:r>
      <w:r>
        <w:rPr>
          <w:rFonts w:hint="eastAsia" w:ascii="仿宋" w:hAnsi="仿宋" w:eastAsia="仿宋" w:cs="仿宋"/>
          <w:b w:val="0"/>
          <w:bCs w:val="0"/>
          <w:color w:val="auto"/>
          <w:sz w:val="22"/>
          <w:szCs w:val="22"/>
          <w:highlight w:val="none"/>
          <w:u w:val="none"/>
          <w:lang w:val="en-US" w:eastAsia="zh-CN"/>
        </w:rPr>
        <w:t>5</w:t>
      </w:r>
      <w:r>
        <w:rPr>
          <w:rFonts w:hint="eastAsia" w:ascii="仿宋" w:hAnsi="仿宋" w:eastAsia="仿宋" w:cs="仿宋"/>
          <w:b w:val="0"/>
          <w:bCs w:val="0"/>
          <w:color w:val="auto"/>
          <w:sz w:val="22"/>
          <w:szCs w:val="22"/>
          <w:highlight w:val="none"/>
          <w:u w:val="none"/>
        </w:rPr>
        <w:t>月</w:t>
      </w:r>
      <w:r>
        <w:rPr>
          <w:rFonts w:hint="eastAsia" w:ascii="仿宋" w:hAnsi="仿宋" w:eastAsia="仿宋" w:cs="仿宋"/>
          <w:b w:val="0"/>
          <w:bCs w:val="0"/>
          <w:color w:val="auto"/>
          <w:sz w:val="22"/>
          <w:szCs w:val="22"/>
          <w:highlight w:val="none"/>
          <w:u w:val="none"/>
          <w:lang w:val="en-US" w:eastAsia="zh-CN"/>
        </w:rPr>
        <w:t>7</w:t>
      </w:r>
      <w:r>
        <w:rPr>
          <w:rFonts w:hint="eastAsia" w:ascii="仿宋" w:hAnsi="仿宋" w:eastAsia="仿宋" w:cs="仿宋"/>
          <w:b w:val="0"/>
          <w:bCs w:val="0"/>
          <w:color w:val="auto"/>
          <w:sz w:val="22"/>
          <w:szCs w:val="22"/>
          <w:highlight w:val="none"/>
          <w:u w:val="none"/>
        </w:rPr>
        <w:t>日</w:t>
      </w:r>
      <w:r>
        <w:rPr>
          <w:rFonts w:hint="eastAsia" w:ascii="仿宋" w:hAnsi="仿宋" w:eastAsia="仿宋" w:cs="仿宋"/>
          <w:color w:val="000000"/>
          <w:sz w:val="22"/>
          <w:szCs w:val="22"/>
          <w:highlight w:val="none"/>
          <w:u w:val="none"/>
        </w:rPr>
        <w:t xml:space="preserve"> 1</w:t>
      </w:r>
      <w:r>
        <w:rPr>
          <w:rFonts w:hint="eastAsia" w:ascii="仿宋" w:hAnsi="仿宋" w:eastAsia="仿宋" w:cs="仿宋"/>
          <w:color w:val="000000"/>
          <w:sz w:val="22"/>
          <w:szCs w:val="22"/>
          <w:highlight w:val="none"/>
          <w:u w:val="none"/>
          <w:lang w:val="en-US" w:eastAsia="zh-CN"/>
        </w:rPr>
        <w:t>0</w:t>
      </w:r>
      <w:r>
        <w:rPr>
          <w:rFonts w:hint="eastAsia" w:ascii="仿宋" w:hAnsi="仿宋" w:eastAsia="仿宋" w:cs="仿宋"/>
          <w:color w:val="000000"/>
          <w:sz w:val="22"/>
          <w:szCs w:val="22"/>
          <w:highlight w:val="none"/>
          <w:u w:val="none"/>
        </w:rPr>
        <w:t>:</w:t>
      </w:r>
      <w:r>
        <w:rPr>
          <w:rFonts w:hint="eastAsia" w:ascii="仿宋" w:hAnsi="仿宋" w:eastAsia="仿宋" w:cs="仿宋"/>
          <w:color w:val="000000"/>
          <w:sz w:val="22"/>
          <w:szCs w:val="22"/>
          <w:highlight w:val="none"/>
          <w:u w:val="none"/>
          <w:lang w:val="en-US" w:eastAsia="zh-CN"/>
        </w:rPr>
        <w:t>3</w:t>
      </w:r>
      <w:r>
        <w:rPr>
          <w:rFonts w:hint="eastAsia" w:ascii="仿宋" w:hAnsi="仿宋" w:eastAsia="仿宋" w:cs="仿宋"/>
          <w:color w:val="000000"/>
          <w:sz w:val="22"/>
          <w:szCs w:val="22"/>
          <w:highlight w:val="none"/>
          <w:u w:val="none"/>
        </w:rPr>
        <w:t>0（北京时间）前递交投标文件。</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2"/>
          <w:szCs w:val="22"/>
        </w:rPr>
      </w:pPr>
      <w:r>
        <w:rPr>
          <w:rFonts w:hint="eastAsia" w:ascii="仿宋" w:hAnsi="仿宋" w:eastAsia="仿宋" w:cs="仿宋"/>
          <w:b/>
          <w:bCs/>
          <w:sz w:val="22"/>
          <w:szCs w:val="22"/>
        </w:rPr>
        <w:t>一、项目基本情况</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2"/>
          <w:szCs w:val="22"/>
          <w:lang w:val="en-US" w:eastAsia="zh-CN"/>
        </w:rPr>
      </w:pPr>
      <w:r>
        <w:rPr>
          <w:rFonts w:hint="eastAsia" w:ascii="仿宋" w:hAnsi="仿宋" w:eastAsia="仿宋" w:cs="仿宋"/>
          <w:sz w:val="22"/>
          <w:szCs w:val="22"/>
        </w:rPr>
        <w:t>项目编号：ATSCG-20</w:t>
      </w:r>
      <w:r>
        <w:rPr>
          <w:rFonts w:hint="eastAsia" w:ascii="仿宋" w:hAnsi="仿宋" w:eastAsia="仿宋" w:cs="仿宋"/>
          <w:sz w:val="22"/>
          <w:szCs w:val="22"/>
          <w:lang w:val="en-US" w:eastAsia="zh-CN"/>
        </w:rPr>
        <w:t>24022</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olor w:val="auto"/>
          <w:sz w:val="22"/>
          <w:szCs w:val="22"/>
          <w:highlight w:val="none"/>
          <w:lang w:eastAsia="zh-CN"/>
        </w:rPr>
      </w:pPr>
      <w:r>
        <w:rPr>
          <w:rFonts w:hint="eastAsia" w:ascii="仿宋" w:hAnsi="仿宋" w:eastAsia="仿宋" w:cs="仿宋"/>
          <w:sz w:val="22"/>
          <w:szCs w:val="22"/>
        </w:rPr>
        <w:t>项目名称：</w:t>
      </w:r>
      <w:r>
        <w:rPr>
          <w:rFonts w:hint="default" w:ascii="仿宋" w:hAnsi="仿宋" w:eastAsia="仿宋"/>
          <w:color w:val="auto"/>
          <w:sz w:val="22"/>
          <w:szCs w:val="22"/>
          <w:highlight w:val="none"/>
          <w:lang w:eastAsia="zh-CN"/>
        </w:rPr>
        <w:t>阿图什市人民医院升级更换信息系统项目</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采购方式：</w:t>
      </w:r>
      <w:r>
        <w:rPr>
          <w:rFonts w:hint="eastAsia" w:ascii="仿宋" w:hAnsi="仿宋" w:eastAsia="仿宋" w:cs="仿宋"/>
          <w:sz w:val="22"/>
          <w:szCs w:val="22"/>
          <w:lang w:eastAsia="zh-CN"/>
        </w:rPr>
        <w:t>公开招标</w:t>
      </w:r>
      <w:r>
        <w:rPr>
          <w:rFonts w:hint="eastAsia" w:ascii="仿宋" w:hAnsi="仿宋" w:eastAsia="仿宋" w:cs="仿宋"/>
          <w:sz w:val="22"/>
          <w:szCs w:val="22"/>
          <w:lang w:val="en-US" w:eastAsia="zh-CN"/>
        </w:rPr>
        <w:t xml:space="preserve">  </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2"/>
          <w:szCs w:val="22"/>
          <w:lang w:val="en-US" w:eastAsia="zh-CN"/>
        </w:rPr>
      </w:pPr>
      <w:r>
        <w:rPr>
          <w:rFonts w:hint="eastAsia" w:ascii="仿宋" w:hAnsi="仿宋" w:eastAsia="仿宋" w:cs="仿宋"/>
          <w:sz w:val="22"/>
          <w:szCs w:val="22"/>
        </w:rPr>
        <w:t>预算金额（元）：</w:t>
      </w:r>
      <w:r>
        <w:rPr>
          <w:rFonts w:hint="eastAsia" w:ascii="仿宋" w:hAnsi="仿宋" w:eastAsia="仿宋" w:cs="仿宋"/>
          <w:sz w:val="22"/>
          <w:szCs w:val="22"/>
          <w:lang w:val="en-US" w:eastAsia="zh-CN"/>
        </w:rPr>
        <w:t>1500000.00</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2"/>
          <w:szCs w:val="22"/>
          <w:lang w:val="en-US" w:eastAsia="zh-CN"/>
        </w:rPr>
      </w:pPr>
      <w:r>
        <w:rPr>
          <w:rFonts w:hint="eastAsia" w:ascii="仿宋" w:hAnsi="仿宋" w:eastAsia="仿宋" w:cs="仿宋"/>
          <w:b w:val="0"/>
          <w:bCs w:val="0"/>
          <w:color w:val="auto"/>
          <w:sz w:val="22"/>
          <w:szCs w:val="22"/>
        </w:rPr>
        <w:t>最高限价（元）：</w:t>
      </w:r>
      <w:r>
        <w:rPr>
          <w:rFonts w:hint="eastAsia" w:ascii="仿宋" w:hAnsi="仿宋" w:eastAsia="仿宋" w:cs="仿宋"/>
          <w:sz w:val="22"/>
          <w:szCs w:val="22"/>
          <w:lang w:val="en-US" w:eastAsia="zh-CN"/>
        </w:rPr>
        <w:t>1500000.00</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采购需求：</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仿宋"/>
          <w:spacing w:val="-11"/>
          <w:sz w:val="22"/>
          <w:szCs w:val="22"/>
          <w:lang w:val="en-US" w:eastAsia="zh-CN"/>
        </w:rPr>
      </w:pPr>
      <w:r>
        <w:rPr>
          <w:rFonts w:hint="eastAsia" w:ascii="仿宋" w:hAnsi="仿宋" w:eastAsia="仿宋" w:cs="仿宋"/>
          <w:sz w:val="22"/>
          <w:szCs w:val="22"/>
          <w:lang w:val="en-US" w:eastAsia="zh-CN"/>
        </w:rPr>
        <w:t>标项名称:</w:t>
      </w:r>
      <w:r>
        <w:rPr>
          <w:rFonts w:hint="default" w:ascii="仿宋" w:hAnsi="仿宋" w:eastAsia="仿宋"/>
          <w:color w:val="auto"/>
          <w:sz w:val="22"/>
          <w:szCs w:val="22"/>
          <w:highlight w:val="none"/>
          <w:lang w:eastAsia="zh-CN"/>
        </w:rPr>
        <w:t>阿图什市人民医院升级更换信息系统项目</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数量:1批</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预算金额（元）:1500000.00</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简要规格描述或项目基本概况介绍、用途：升级更换信息系统1批</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备注：具体详见招标文件</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FF"/>
          <w:sz w:val="22"/>
          <w:szCs w:val="22"/>
        </w:rPr>
      </w:pPr>
      <w:r>
        <w:rPr>
          <w:rFonts w:hint="eastAsia" w:ascii="仿宋" w:hAnsi="仿宋" w:eastAsia="仿宋" w:cs="仿宋"/>
          <w:sz w:val="22"/>
          <w:szCs w:val="22"/>
        </w:rPr>
        <w:t>合同履约期限：</w:t>
      </w:r>
      <w:r>
        <w:rPr>
          <w:rFonts w:hint="eastAsia" w:ascii="仿宋" w:hAnsi="仿宋" w:eastAsia="仿宋" w:cs="仿宋"/>
          <w:sz w:val="21"/>
          <w:szCs w:val="21"/>
        </w:rPr>
        <w:t>以签订合同</w:t>
      </w:r>
      <w:r>
        <w:rPr>
          <w:rFonts w:hint="eastAsia" w:ascii="仿宋" w:hAnsi="仿宋" w:eastAsia="仿宋" w:cs="仿宋"/>
          <w:sz w:val="21"/>
          <w:szCs w:val="21"/>
          <w:lang w:val="en-US" w:eastAsia="zh-CN"/>
        </w:rPr>
        <w:t>后30日内完成供货</w:t>
      </w:r>
      <w:r>
        <w:rPr>
          <w:rFonts w:hint="eastAsia" w:ascii="仿宋" w:hAnsi="仿宋" w:eastAsia="仿宋" w:cs="仿宋"/>
          <w:sz w:val="21"/>
          <w:szCs w:val="21"/>
        </w:rPr>
        <w:t>。</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2"/>
          <w:szCs w:val="22"/>
        </w:rPr>
      </w:pPr>
      <w:r>
        <w:rPr>
          <w:rFonts w:hint="eastAsia" w:ascii="仿宋" w:hAnsi="仿宋" w:eastAsia="仿宋" w:cs="仿宋"/>
          <w:sz w:val="22"/>
          <w:szCs w:val="22"/>
        </w:rPr>
        <w:t>本项目（</w:t>
      </w:r>
      <w:r>
        <w:rPr>
          <w:rFonts w:hint="eastAsia" w:ascii="仿宋" w:hAnsi="仿宋" w:eastAsia="仿宋" w:cs="仿宋"/>
          <w:sz w:val="22"/>
          <w:szCs w:val="22"/>
          <w:lang w:eastAsia="zh-CN"/>
        </w:rPr>
        <w:t>否</w:t>
      </w:r>
      <w:r>
        <w:rPr>
          <w:rFonts w:hint="eastAsia" w:ascii="仿宋" w:hAnsi="仿宋" w:eastAsia="仿宋" w:cs="仿宋"/>
          <w:sz w:val="22"/>
          <w:szCs w:val="22"/>
        </w:rPr>
        <w:t>）接受联合体投标。</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Style w:val="27"/>
          <w:rFonts w:hint="eastAsia" w:ascii="仿宋" w:hAnsi="仿宋" w:eastAsia="仿宋" w:cs="仿宋"/>
          <w:sz w:val="22"/>
          <w:szCs w:val="22"/>
        </w:rPr>
        <w:t>二、申请人的资格要求：</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1.满足《中华人民共和国政府采购法》第二十二条规定；</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2.落实政府采购政策需满足的资格要求：本项目为非专门面向中小企业，根据《政府采购促进中小企业发展管理办法》（财库【2020】46号）及（财库[2022]19号）的规定，评标时将给予此类企业进行价格扣除10%的优惠，用优惠后的价格参与评审。</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3.本项目的特定资格要求：</w:t>
      </w:r>
      <w:r>
        <w:rPr>
          <w:rFonts w:hint="eastAsia" w:ascii="仿宋" w:hAnsi="仿宋" w:eastAsia="仿宋" w:cs="仿宋"/>
          <w:sz w:val="22"/>
          <w:szCs w:val="22"/>
          <w:lang w:val="en-US" w:eastAsia="zh-CN"/>
        </w:rPr>
        <w:t>无</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Style w:val="27"/>
          <w:rFonts w:hint="eastAsia" w:ascii="仿宋" w:hAnsi="仿宋" w:eastAsia="仿宋" w:cs="仿宋"/>
          <w:sz w:val="22"/>
          <w:szCs w:val="22"/>
        </w:rPr>
        <w:sectPr>
          <w:footerReference r:id="rId7" w:type="default"/>
          <w:pgSz w:w="11906" w:h="16838"/>
          <w:pgMar w:top="1134" w:right="1080" w:bottom="1440" w:left="1080" w:header="851" w:footer="992" w:gutter="0"/>
          <w:pgNumType w:fmt="decimal"/>
          <w:cols w:space="720" w:num="1"/>
          <w:docGrid w:type="linesAndChars" w:linePitch="312" w:charSpace="0"/>
        </w:sectPr>
      </w:pPr>
    </w:p>
    <w:p>
      <w:pPr>
        <w:pStyle w:val="20"/>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pacing w:val="-6"/>
          <w:sz w:val="22"/>
          <w:szCs w:val="22"/>
        </w:rPr>
      </w:pPr>
      <w:r>
        <w:rPr>
          <w:rStyle w:val="27"/>
          <w:rFonts w:hint="eastAsia" w:ascii="仿宋" w:hAnsi="仿宋" w:eastAsia="仿宋" w:cs="仿宋"/>
          <w:sz w:val="22"/>
          <w:szCs w:val="22"/>
        </w:rPr>
        <w:t>三、获取招标文件</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pacing w:val="-6"/>
          <w:sz w:val="22"/>
          <w:szCs w:val="22"/>
          <w:lang w:eastAsia="zh-CN"/>
        </w:rPr>
      </w:pPr>
      <w:r>
        <w:rPr>
          <w:rFonts w:hint="eastAsia" w:ascii="仿宋" w:hAnsi="仿宋" w:eastAsia="仿宋" w:cs="仿宋"/>
          <w:spacing w:val="-6"/>
          <w:sz w:val="22"/>
          <w:szCs w:val="22"/>
        </w:rPr>
        <w:t>时间</w:t>
      </w:r>
      <w:r>
        <w:rPr>
          <w:rFonts w:hint="eastAsia" w:ascii="仿宋" w:hAnsi="仿宋" w:eastAsia="仿宋" w:cs="仿宋"/>
          <w:color w:val="auto"/>
          <w:spacing w:val="-6"/>
          <w:sz w:val="22"/>
          <w:szCs w:val="22"/>
        </w:rPr>
        <w:t>：202</w:t>
      </w:r>
      <w:r>
        <w:rPr>
          <w:rFonts w:hint="eastAsia" w:ascii="仿宋" w:hAnsi="仿宋" w:eastAsia="仿宋" w:cs="仿宋"/>
          <w:color w:val="auto"/>
          <w:spacing w:val="-6"/>
          <w:sz w:val="22"/>
          <w:szCs w:val="22"/>
          <w:lang w:val="en-US" w:eastAsia="zh-CN"/>
        </w:rPr>
        <w:t>4</w:t>
      </w:r>
      <w:r>
        <w:rPr>
          <w:rFonts w:hint="eastAsia" w:ascii="仿宋" w:hAnsi="仿宋" w:eastAsia="仿宋" w:cs="仿宋"/>
          <w:color w:val="auto"/>
          <w:spacing w:val="-6"/>
          <w:sz w:val="22"/>
          <w:szCs w:val="22"/>
        </w:rPr>
        <w:t>年</w:t>
      </w:r>
      <w:r>
        <w:rPr>
          <w:rFonts w:hint="eastAsia" w:ascii="仿宋" w:hAnsi="仿宋" w:eastAsia="仿宋" w:cs="仿宋"/>
          <w:color w:val="auto"/>
          <w:spacing w:val="-6"/>
          <w:sz w:val="22"/>
          <w:szCs w:val="22"/>
          <w:lang w:val="en-US" w:eastAsia="zh-CN"/>
        </w:rPr>
        <w:t xml:space="preserve">4 </w:t>
      </w:r>
      <w:r>
        <w:rPr>
          <w:rFonts w:hint="eastAsia" w:ascii="仿宋" w:hAnsi="仿宋" w:eastAsia="仿宋" w:cs="仿宋"/>
          <w:color w:val="auto"/>
          <w:spacing w:val="-6"/>
          <w:sz w:val="22"/>
          <w:szCs w:val="22"/>
        </w:rPr>
        <w:t>月</w:t>
      </w:r>
      <w:r>
        <w:rPr>
          <w:rFonts w:hint="eastAsia" w:ascii="仿宋" w:hAnsi="仿宋" w:eastAsia="仿宋" w:cs="仿宋"/>
          <w:color w:val="auto"/>
          <w:spacing w:val="-6"/>
          <w:sz w:val="22"/>
          <w:szCs w:val="22"/>
          <w:lang w:val="en-US" w:eastAsia="zh-CN"/>
        </w:rPr>
        <w:t>16</w:t>
      </w:r>
      <w:r>
        <w:rPr>
          <w:rFonts w:hint="eastAsia" w:ascii="仿宋" w:hAnsi="仿宋" w:eastAsia="仿宋" w:cs="仿宋"/>
          <w:color w:val="auto"/>
          <w:spacing w:val="-6"/>
          <w:sz w:val="22"/>
          <w:szCs w:val="22"/>
        </w:rPr>
        <w:t>日至202</w:t>
      </w:r>
      <w:r>
        <w:rPr>
          <w:rFonts w:hint="eastAsia" w:ascii="仿宋" w:hAnsi="仿宋" w:eastAsia="仿宋" w:cs="仿宋"/>
          <w:color w:val="auto"/>
          <w:spacing w:val="-6"/>
          <w:sz w:val="22"/>
          <w:szCs w:val="22"/>
          <w:lang w:val="en-US" w:eastAsia="zh-CN"/>
        </w:rPr>
        <w:t>4</w:t>
      </w:r>
      <w:r>
        <w:rPr>
          <w:rFonts w:hint="eastAsia" w:ascii="仿宋" w:hAnsi="仿宋" w:eastAsia="仿宋" w:cs="仿宋"/>
          <w:color w:val="auto"/>
          <w:spacing w:val="-6"/>
          <w:sz w:val="22"/>
          <w:szCs w:val="22"/>
        </w:rPr>
        <w:t>年</w:t>
      </w:r>
      <w:r>
        <w:rPr>
          <w:rFonts w:hint="eastAsia" w:ascii="仿宋" w:hAnsi="仿宋" w:eastAsia="仿宋" w:cs="仿宋"/>
          <w:color w:val="auto"/>
          <w:spacing w:val="-6"/>
          <w:sz w:val="22"/>
          <w:szCs w:val="22"/>
          <w:lang w:val="en-US" w:eastAsia="zh-CN"/>
        </w:rPr>
        <w:t>4</w:t>
      </w:r>
      <w:r>
        <w:rPr>
          <w:rFonts w:hint="eastAsia" w:ascii="仿宋" w:hAnsi="仿宋" w:eastAsia="仿宋" w:cs="仿宋"/>
          <w:color w:val="auto"/>
          <w:spacing w:val="-6"/>
          <w:sz w:val="22"/>
          <w:szCs w:val="22"/>
        </w:rPr>
        <w:t>月</w:t>
      </w:r>
      <w:r>
        <w:rPr>
          <w:rFonts w:hint="eastAsia" w:ascii="仿宋" w:hAnsi="仿宋" w:eastAsia="仿宋" w:cs="仿宋"/>
          <w:color w:val="auto"/>
          <w:spacing w:val="-6"/>
          <w:sz w:val="22"/>
          <w:szCs w:val="22"/>
          <w:lang w:val="en-US" w:eastAsia="zh-CN"/>
        </w:rPr>
        <w:t xml:space="preserve">24 </w:t>
      </w:r>
      <w:r>
        <w:rPr>
          <w:rFonts w:hint="eastAsia" w:ascii="仿宋" w:hAnsi="仿宋" w:eastAsia="仿宋" w:cs="仿宋"/>
          <w:color w:val="auto"/>
          <w:spacing w:val="-6"/>
          <w:sz w:val="22"/>
          <w:szCs w:val="22"/>
        </w:rPr>
        <w:t>日，每天上午10:00至</w:t>
      </w:r>
      <w:r>
        <w:rPr>
          <w:rFonts w:hint="eastAsia" w:ascii="仿宋" w:hAnsi="仿宋" w:eastAsia="仿宋" w:cs="仿宋"/>
          <w:color w:val="auto"/>
          <w:spacing w:val="-6"/>
          <w:sz w:val="22"/>
          <w:szCs w:val="22"/>
          <w:lang w:val="en-US" w:eastAsia="zh-CN"/>
        </w:rPr>
        <w:t>14：0</w:t>
      </w:r>
      <w:r>
        <w:rPr>
          <w:rFonts w:hint="eastAsia" w:ascii="仿宋" w:hAnsi="仿宋" w:eastAsia="仿宋" w:cs="仿宋"/>
          <w:color w:val="auto"/>
          <w:spacing w:val="-6"/>
          <w:sz w:val="22"/>
          <w:szCs w:val="22"/>
        </w:rPr>
        <w:t>0，下午16:</w:t>
      </w:r>
      <w:r>
        <w:rPr>
          <w:rFonts w:hint="eastAsia" w:ascii="仿宋" w:hAnsi="仿宋" w:eastAsia="仿宋" w:cs="仿宋"/>
          <w:color w:val="auto"/>
          <w:spacing w:val="-6"/>
          <w:sz w:val="22"/>
          <w:szCs w:val="22"/>
          <w:lang w:val="en-US" w:eastAsia="zh-CN"/>
        </w:rPr>
        <w:t>0</w:t>
      </w:r>
      <w:r>
        <w:rPr>
          <w:rFonts w:hint="eastAsia" w:ascii="仿宋" w:hAnsi="仿宋" w:eastAsia="仿宋" w:cs="仿宋"/>
          <w:color w:val="auto"/>
          <w:spacing w:val="-6"/>
          <w:sz w:val="22"/>
          <w:szCs w:val="22"/>
        </w:rPr>
        <w:t>0至</w:t>
      </w:r>
      <w:r>
        <w:rPr>
          <w:rFonts w:hint="eastAsia" w:ascii="仿宋" w:hAnsi="仿宋" w:eastAsia="仿宋" w:cs="仿宋"/>
          <w:color w:val="auto"/>
          <w:spacing w:val="-6"/>
          <w:sz w:val="22"/>
          <w:szCs w:val="22"/>
          <w:lang w:val="en-US" w:eastAsia="zh-CN"/>
        </w:rPr>
        <w:t>19：30</w:t>
      </w:r>
      <w:r>
        <w:rPr>
          <w:rFonts w:hint="eastAsia" w:ascii="仿宋" w:hAnsi="仿宋" w:eastAsia="仿宋" w:cs="仿宋"/>
          <w:color w:val="auto"/>
          <w:spacing w:val="-6"/>
          <w:sz w:val="22"/>
          <w:szCs w:val="22"/>
        </w:rPr>
        <w:t>（北京时间，法定节假日除外）</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2"/>
          <w:szCs w:val="22"/>
          <w:lang w:eastAsia="zh-CN"/>
        </w:rPr>
      </w:pPr>
      <w:r>
        <w:rPr>
          <w:rFonts w:hint="eastAsia" w:ascii="仿宋" w:hAnsi="仿宋" w:eastAsia="仿宋" w:cs="仿宋"/>
          <w:spacing w:val="-6"/>
          <w:sz w:val="22"/>
          <w:szCs w:val="22"/>
        </w:rPr>
        <w:t>地点：供应商登陆政采云平台http://www.zcygov.cn/，在线获取招标文件（登录政府采购云平台 → 项目采购 → 获取招标文件，如有操作性问题，可与政采云在线客服进行咨询，咨询电话：</w:t>
      </w:r>
      <w:r>
        <w:rPr>
          <w:rFonts w:hint="eastAsia" w:ascii="仿宋" w:hAnsi="仿宋" w:eastAsia="仿宋" w:cs="仿宋"/>
          <w:spacing w:val="-6"/>
          <w:sz w:val="22"/>
          <w:szCs w:val="22"/>
          <w:lang w:val="en-US" w:eastAsia="zh-CN"/>
        </w:rPr>
        <w:t>95763</w:t>
      </w:r>
      <w:r>
        <w:rPr>
          <w:rFonts w:hint="eastAsia" w:ascii="仿宋" w:hAnsi="仿宋" w:eastAsia="仿宋" w:cs="仿宋"/>
          <w:spacing w:val="-6"/>
          <w:sz w:val="22"/>
          <w:szCs w:val="22"/>
        </w:rPr>
        <w:t>）</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2"/>
          <w:szCs w:val="22"/>
        </w:rPr>
      </w:pPr>
      <w:r>
        <w:rPr>
          <w:rFonts w:hint="eastAsia" w:ascii="仿宋" w:hAnsi="仿宋" w:eastAsia="仿宋" w:cs="仿宋"/>
          <w:spacing w:val="-6"/>
          <w:sz w:val="22"/>
          <w:szCs w:val="22"/>
        </w:rPr>
        <w:t>方式：</w:t>
      </w:r>
      <w:r>
        <w:rPr>
          <w:rFonts w:hint="eastAsia" w:ascii="仿宋" w:hAnsi="仿宋" w:eastAsia="仿宋" w:cs="仿宋"/>
          <w:spacing w:val="-6"/>
          <w:sz w:val="22"/>
          <w:szCs w:val="22"/>
          <w:lang w:eastAsia="zh-CN"/>
        </w:rPr>
        <w:t>（</w:t>
      </w:r>
      <w:r>
        <w:rPr>
          <w:rFonts w:hint="eastAsia" w:ascii="仿宋" w:hAnsi="仿宋" w:eastAsia="仿宋" w:cs="仿宋"/>
          <w:spacing w:val="-6"/>
          <w:sz w:val="22"/>
          <w:szCs w:val="22"/>
        </w:rPr>
        <w:t>1）线上获取供应商登录政采云平台https://www.zcygov.cn/在线申请获取采购文件（进入“项目采购”应用，在获取采购文件菜单中选择项目，申请获取采购文件）</w:t>
      </w:r>
      <w:r>
        <w:rPr>
          <w:rFonts w:hint="eastAsia" w:ascii="仿宋" w:hAnsi="仿宋" w:eastAsia="仿宋" w:cs="仿宋"/>
          <w:spacing w:val="-6"/>
          <w:sz w:val="22"/>
          <w:szCs w:val="22"/>
          <w:lang w:eastAsia="zh-CN"/>
        </w:rPr>
        <w:t>，</w:t>
      </w:r>
      <w:r>
        <w:rPr>
          <w:rFonts w:hint="eastAsia" w:ascii="仿宋" w:hAnsi="仿宋" w:eastAsia="仿宋" w:cs="仿宋"/>
          <w:spacing w:val="-6"/>
          <w:sz w:val="22"/>
          <w:szCs w:val="22"/>
        </w:rPr>
        <w:t>（2）供应商获取招标文件前应注册成为政府采购云平台正式供应商。</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2"/>
          <w:szCs w:val="22"/>
        </w:rPr>
      </w:pPr>
      <w:r>
        <w:rPr>
          <w:rFonts w:hint="eastAsia" w:ascii="仿宋" w:hAnsi="仿宋" w:eastAsia="仿宋" w:cs="仿宋"/>
          <w:spacing w:val="-6"/>
          <w:sz w:val="22"/>
          <w:szCs w:val="22"/>
        </w:rPr>
        <w:t>售价（元）：0</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pacing w:val="-6"/>
          <w:sz w:val="22"/>
          <w:szCs w:val="22"/>
        </w:rPr>
      </w:pPr>
      <w:r>
        <w:rPr>
          <w:rStyle w:val="27"/>
          <w:rFonts w:hint="eastAsia" w:ascii="仿宋" w:hAnsi="仿宋" w:eastAsia="仿宋" w:cs="仿宋"/>
          <w:spacing w:val="-6"/>
          <w:sz w:val="22"/>
          <w:szCs w:val="22"/>
        </w:rPr>
        <w:t>四、提交投标文件截止时间、开标时间和地点</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pacing w:val="-6"/>
          <w:sz w:val="22"/>
          <w:szCs w:val="22"/>
        </w:rPr>
      </w:pPr>
      <w:r>
        <w:rPr>
          <w:rFonts w:hint="eastAsia" w:ascii="仿宋" w:hAnsi="仿宋" w:eastAsia="仿宋" w:cs="仿宋"/>
          <w:spacing w:val="-6"/>
          <w:sz w:val="22"/>
          <w:szCs w:val="22"/>
        </w:rPr>
        <w:t>提交投标文件截止时间：</w:t>
      </w:r>
      <w:r>
        <w:rPr>
          <w:rFonts w:hint="eastAsia" w:ascii="仿宋" w:hAnsi="仿宋" w:eastAsia="仿宋" w:cs="仿宋"/>
          <w:color w:val="auto"/>
          <w:spacing w:val="-6"/>
          <w:sz w:val="22"/>
          <w:szCs w:val="22"/>
        </w:rPr>
        <w:t>202</w:t>
      </w:r>
      <w:r>
        <w:rPr>
          <w:rFonts w:hint="eastAsia" w:ascii="仿宋" w:hAnsi="仿宋" w:eastAsia="仿宋" w:cs="仿宋"/>
          <w:color w:val="auto"/>
          <w:spacing w:val="-6"/>
          <w:sz w:val="22"/>
          <w:szCs w:val="22"/>
          <w:lang w:val="en-US" w:eastAsia="zh-CN"/>
        </w:rPr>
        <w:t>4</w:t>
      </w:r>
      <w:r>
        <w:rPr>
          <w:rFonts w:hint="eastAsia" w:ascii="仿宋" w:hAnsi="仿宋" w:eastAsia="仿宋" w:cs="仿宋"/>
          <w:color w:val="auto"/>
          <w:spacing w:val="-6"/>
          <w:sz w:val="22"/>
          <w:szCs w:val="22"/>
        </w:rPr>
        <w:t>年</w:t>
      </w:r>
      <w:r>
        <w:rPr>
          <w:rFonts w:hint="eastAsia" w:ascii="仿宋" w:hAnsi="仿宋" w:eastAsia="仿宋" w:cs="仿宋"/>
          <w:color w:val="auto"/>
          <w:spacing w:val="-6"/>
          <w:sz w:val="22"/>
          <w:szCs w:val="22"/>
          <w:lang w:val="en-US" w:eastAsia="zh-CN"/>
        </w:rPr>
        <w:t xml:space="preserve"> 5</w:t>
      </w:r>
      <w:r>
        <w:rPr>
          <w:rFonts w:hint="eastAsia" w:ascii="仿宋" w:hAnsi="仿宋" w:eastAsia="仿宋" w:cs="仿宋"/>
          <w:color w:val="auto"/>
          <w:spacing w:val="-6"/>
          <w:sz w:val="22"/>
          <w:szCs w:val="22"/>
        </w:rPr>
        <w:t>月</w:t>
      </w:r>
      <w:r>
        <w:rPr>
          <w:rFonts w:hint="eastAsia" w:ascii="仿宋" w:hAnsi="仿宋" w:eastAsia="仿宋" w:cs="仿宋"/>
          <w:color w:val="auto"/>
          <w:spacing w:val="-6"/>
          <w:sz w:val="22"/>
          <w:szCs w:val="22"/>
          <w:lang w:val="en-US" w:eastAsia="zh-CN"/>
        </w:rPr>
        <w:t>7</w:t>
      </w:r>
      <w:r>
        <w:rPr>
          <w:rFonts w:hint="eastAsia" w:ascii="仿宋" w:hAnsi="仿宋" w:eastAsia="仿宋" w:cs="仿宋"/>
          <w:color w:val="auto"/>
          <w:spacing w:val="-6"/>
          <w:sz w:val="22"/>
          <w:szCs w:val="22"/>
        </w:rPr>
        <w:t>日 1</w:t>
      </w:r>
      <w:r>
        <w:rPr>
          <w:rFonts w:hint="eastAsia" w:ascii="仿宋" w:hAnsi="仿宋" w:eastAsia="仿宋" w:cs="仿宋"/>
          <w:color w:val="auto"/>
          <w:spacing w:val="-6"/>
          <w:sz w:val="22"/>
          <w:szCs w:val="22"/>
          <w:lang w:val="en-US" w:eastAsia="zh-CN"/>
        </w:rPr>
        <w:t>0</w:t>
      </w:r>
      <w:r>
        <w:rPr>
          <w:rFonts w:hint="eastAsia" w:ascii="仿宋" w:hAnsi="仿宋" w:eastAsia="仿宋" w:cs="仿宋"/>
          <w:color w:val="auto"/>
          <w:spacing w:val="-6"/>
          <w:sz w:val="22"/>
          <w:szCs w:val="22"/>
        </w:rPr>
        <w:t>:</w:t>
      </w:r>
      <w:r>
        <w:rPr>
          <w:rFonts w:hint="eastAsia" w:ascii="仿宋" w:hAnsi="仿宋" w:eastAsia="仿宋" w:cs="仿宋"/>
          <w:color w:val="auto"/>
          <w:spacing w:val="-6"/>
          <w:sz w:val="22"/>
          <w:szCs w:val="22"/>
          <w:lang w:val="en-US" w:eastAsia="zh-CN"/>
        </w:rPr>
        <w:t>30</w:t>
      </w:r>
      <w:r>
        <w:rPr>
          <w:rFonts w:hint="eastAsia" w:ascii="仿宋" w:hAnsi="仿宋" w:eastAsia="仿宋" w:cs="仿宋"/>
          <w:color w:val="auto"/>
          <w:spacing w:val="-6"/>
          <w:sz w:val="22"/>
          <w:szCs w:val="22"/>
        </w:rPr>
        <w:t>（北京时间）</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pacing w:val="-6"/>
          <w:sz w:val="22"/>
          <w:szCs w:val="22"/>
        </w:rPr>
      </w:pPr>
      <w:r>
        <w:rPr>
          <w:rFonts w:hint="eastAsia" w:ascii="仿宋" w:hAnsi="仿宋" w:eastAsia="仿宋" w:cs="仿宋"/>
          <w:color w:val="auto"/>
          <w:spacing w:val="-6"/>
          <w:sz w:val="22"/>
          <w:szCs w:val="22"/>
        </w:rPr>
        <w:t>投标地点：政采云平台https://www.zcygov.cn/</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pacing w:val="-6"/>
          <w:sz w:val="22"/>
          <w:szCs w:val="22"/>
        </w:rPr>
      </w:pPr>
      <w:r>
        <w:rPr>
          <w:rFonts w:hint="eastAsia" w:ascii="仿宋" w:hAnsi="仿宋" w:eastAsia="仿宋" w:cs="仿宋"/>
          <w:color w:val="auto"/>
          <w:spacing w:val="-6"/>
          <w:sz w:val="22"/>
          <w:szCs w:val="22"/>
        </w:rPr>
        <w:t>开标时间：202</w:t>
      </w:r>
      <w:r>
        <w:rPr>
          <w:rFonts w:hint="eastAsia" w:ascii="仿宋" w:hAnsi="仿宋" w:eastAsia="仿宋" w:cs="仿宋"/>
          <w:color w:val="auto"/>
          <w:spacing w:val="-6"/>
          <w:sz w:val="22"/>
          <w:szCs w:val="22"/>
          <w:lang w:val="en-US" w:eastAsia="zh-CN"/>
        </w:rPr>
        <w:t>4</w:t>
      </w:r>
      <w:r>
        <w:rPr>
          <w:rFonts w:hint="eastAsia" w:ascii="仿宋" w:hAnsi="仿宋" w:eastAsia="仿宋" w:cs="仿宋"/>
          <w:color w:val="auto"/>
          <w:spacing w:val="-6"/>
          <w:sz w:val="22"/>
          <w:szCs w:val="22"/>
        </w:rPr>
        <w:t>年</w:t>
      </w:r>
      <w:r>
        <w:rPr>
          <w:rFonts w:hint="eastAsia" w:ascii="仿宋" w:hAnsi="仿宋" w:eastAsia="仿宋" w:cs="仿宋"/>
          <w:color w:val="auto"/>
          <w:spacing w:val="-6"/>
          <w:sz w:val="22"/>
          <w:szCs w:val="22"/>
          <w:lang w:val="en-US" w:eastAsia="zh-CN"/>
        </w:rPr>
        <w:t xml:space="preserve"> 5 </w:t>
      </w:r>
      <w:r>
        <w:rPr>
          <w:rFonts w:hint="eastAsia" w:ascii="仿宋" w:hAnsi="仿宋" w:eastAsia="仿宋" w:cs="仿宋"/>
          <w:color w:val="auto"/>
          <w:spacing w:val="-6"/>
          <w:sz w:val="22"/>
          <w:szCs w:val="22"/>
        </w:rPr>
        <w:t>月</w:t>
      </w:r>
      <w:r>
        <w:rPr>
          <w:rFonts w:hint="eastAsia" w:ascii="仿宋" w:hAnsi="仿宋" w:eastAsia="仿宋" w:cs="仿宋"/>
          <w:color w:val="auto"/>
          <w:spacing w:val="-6"/>
          <w:sz w:val="22"/>
          <w:szCs w:val="22"/>
          <w:lang w:val="en-US" w:eastAsia="zh-CN"/>
        </w:rPr>
        <w:t xml:space="preserve"> 7 </w:t>
      </w:r>
      <w:r>
        <w:rPr>
          <w:rFonts w:hint="eastAsia" w:ascii="仿宋" w:hAnsi="仿宋" w:eastAsia="仿宋" w:cs="仿宋"/>
          <w:color w:val="auto"/>
          <w:spacing w:val="-6"/>
          <w:sz w:val="22"/>
          <w:szCs w:val="22"/>
        </w:rPr>
        <w:t>日 1</w:t>
      </w:r>
      <w:r>
        <w:rPr>
          <w:rFonts w:hint="eastAsia" w:ascii="仿宋" w:hAnsi="仿宋" w:eastAsia="仿宋" w:cs="仿宋"/>
          <w:color w:val="auto"/>
          <w:spacing w:val="-6"/>
          <w:sz w:val="22"/>
          <w:szCs w:val="22"/>
          <w:lang w:val="en-US" w:eastAsia="zh-CN"/>
        </w:rPr>
        <w:t>0</w:t>
      </w:r>
      <w:r>
        <w:rPr>
          <w:rFonts w:hint="eastAsia" w:ascii="仿宋" w:hAnsi="仿宋" w:eastAsia="仿宋" w:cs="仿宋"/>
          <w:color w:val="auto"/>
          <w:spacing w:val="-6"/>
          <w:sz w:val="22"/>
          <w:szCs w:val="22"/>
        </w:rPr>
        <w:t>:</w:t>
      </w:r>
      <w:r>
        <w:rPr>
          <w:rFonts w:hint="eastAsia" w:ascii="仿宋" w:hAnsi="仿宋" w:eastAsia="仿宋" w:cs="仿宋"/>
          <w:color w:val="auto"/>
          <w:spacing w:val="-6"/>
          <w:sz w:val="22"/>
          <w:szCs w:val="22"/>
          <w:lang w:val="en-US" w:eastAsia="zh-CN"/>
        </w:rPr>
        <w:t>30</w:t>
      </w:r>
      <w:r>
        <w:rPr>
          <w:rFonts w:hint="eastAsia" w:ascii="仿宋" w:hAnsi="仿宋" w:eastAsia="仿宋" w:cs="仿宋"/>
          <w:color w:val="auto"/>
          <w:spacing w:val="-6"/>
          <w:sz w:val="22"/>
          <w:szCs w:val="22"/>
        </w:rPr>
        <w:t>（北京时间）</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pacing w:val="-6"/>
          <w:sz w:val="22"/>
          <w:szCs w:val="22"/>
        </w:rPr>
      </w:pPr>
      <w:r>
        <w:rPr>
          <w:rFonts w:hint="eastAsia" w:ascii="仿宋" w:hAnsi="仿宋" w:eastAsia="仿宋" w:cs="仿宋"/>
          <w:color w:val="auto"/>
          <w:spacing w:val="-6"/>
          <w:sz w:val="22"/>
          <w:szCs w:val="22"/>
        </w:rPr>
        <w:t>开标地点：政采云平台https://www.zcygov.cn/</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pacing w:val="-6"/>
          <w:sz w:val="22"/>
          <w:szCs w:val="22"/>
        </w:rPr>
      </w:pPr>
      <w:r>
        <w:rPr>
          <w:rStyle w:val="27"/>
          <w:rFonts w:hint="eastAsia" w:ascii="仿宋" w:hAnsi="仿宋" w:eastAsia="仿宋" w:cs="仿宋"/>
          <w:spacing w:val="-6"/>
          <w:sz w:val="22"/>
          <w:szCs w:val="22"/>
        </w:rPr>
        <w:t>五、公告期限</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2"/>
          <w:szCs w:val="22"/>
        </w:rPr>
      </w:pPr>
      <w:r>
        <w:rPr>
          <w:rFonts w:hint="eastAsia" w:ascii="仿宋" w:hAnsi="仿宋" w:eastAsia="仿宋" w:cs="仿宋"/>
          <w:spacing w:val="-6"/>
          <w:sz w:val="22"/>
          <w:szCs w:val="22"/>
        </w:rPr>
        <w:t>自本公告发布之日起5个工作日。</w:t>
      </w:r>
    </w:p>
    <w:p>
      <w:pPr>
        <w:pStyle w:val="20"/>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textAlignment w:val="auto"/>
        <w:rPr>
          <w:rStyle w:val="27"/>
          <w:rFonts w:hint="eastAsia" w:ascii="仿宋" w:hAnsi="仿宋" w:eastAsia="仿宋" w:cs="仿宋"/>
          <w:spacing w:val="-6"/>
          <w:sz w:val="22"/>
          <w:szCs w:val="22"/>
        </w:rPr>
      </w:pPr>
      <w:r>
        <w:rPr>
          <w:rStyle w:val="27"/>
          <w:rFonts w:hint="eastAsia" w:ascii="仿宋" w:hAnsi="仿宋" w:eastAsia="仿宋" w:cs="仿宋"/>
          <w:spacing w:val="-6"/>
          <w:sz w:val="22"/>
          <w:szCs w:val="22"/>
        </w:rPr>
        <w:t>其他补充事宜</w:t>
      </w:r>
    </w:p>
    <w:p>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16" w:firstLineChars="200"/>
        <w:textAlignment w:val="auto"/>
        <w:rPr>
          <w:rFonts w:hint="eastAsia" w:ascii="仿宋" w:hAnsi="仿宋" w:eastAsia="仿宋" w:cs="仿宋"/>
          <w:sz w:val="22"/>
          <w:szCs w:val="22"/>
        </w:rPr>
      </w:pPr>
      <w:r>
        <w:rPr>
          <w:rStyle w:val="27"/>
          <w:rFonts w:hint="eastAsia" w:ascii="仿宋" w:hAnsi="仿宋" w:eastAsia="仿宋" w:cs="仿宋"/>
          <w:spacing w:val="-6"/>
          <w:sz w:val="22"/>
          <w:szCs w:val="22"/>
          <w:lang w:val="en-US" w:eastAsia="zh-CN"/>
        </w:rPr>
        <w:t>无</w:t>
      </w:r>
    </w:p>
    <w:p>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Style w:val="27"/>
          <w:rFonts w:hint="eastAsia" w:ascii="仿宋" w:hAnsi="仿宋" w:eastAsia="仿宋" w:cs="仿宋"/>
          <w:b w:val="0"/>
          <w:bCs w:val="0"/>
          <w:sz w:val="22"/>
          <w:szCs w:val="22"/>
        </w:rPr>
      </w:pPr>
      <w:r>
        <w:rPr>
          <w:rFonts w:hint="eastAsia" w:ascii="仿宋" w:hAnsi="仿宋" w:eastAsia="仿宋" w:cs="仿宋"/>
          <w:sz w:val="22"/>
          <w:szCs w:val="22"/>
        </w:rPr>
        <w:t>特别提示：</w:t>
      </w:r>
    </w:p>
    <w:p>
      <w:pPr>
        <w:pStyle w:val="20"/>
        <w:keepNext w:val="0"/>
        <w:keepLines w:val="0"/>
        <w:widowControl/>
        <w:suppressLineNumbers w:val="0"/>
        <w:spacing w:line="360" w:lineRule="auto"/>
        <w:rPr>
          <w:rStyle w:val="27"/>
          <w:rFonts w:hint="eastAsia" w:ascii="仿宋" w:hAnsi="仿宋" w:eastAsia="仿宋" w:cs="仿宋"/>
          <w:b w:val="0"/>
          <w:bCs w:val="0"/>
          <w:sz w:val="22"/>
          <w:szCs w:val="22"/>
        </w:rPr>
      </w:pPr>
      <w:r>
        <w:rPr>
          <w:rStyle w:val="27"/>
          <w:rFonts w:hint="eastAsia" w:ascii="仿宋" w:hAnsi="仿宋" w:eastAsia="仿宋" w:cs="仿宋"/>
          <w:b w:val="0"/>
          <w:bCs w:val="0"/>
          <w:sz w:val="22"/>
          <w:szCs w:val="22"/>
        </w:rPr>
        <w:t>1、超过200万元的货物和服务采购项目、超过400万元的工程采购项目中适宜由中小企业提供的，预留该部分采购项目预算总额的30%以上专门面向中小企业采购，其中预留给小微企业的比例不低于60%。</w:t>
      </w:r>
    </w:p>
    <w:p>
      <w:pPr>
        <w:pStyle w:val="20"/>
        <w:keepNext w:val="0"/>
        <w:keepLines w:val="0"/>
        <w:widowControl/>
        <w:suppressLineNumbers w:val="0"/>
        <w:spacing w:line="360" w:lineRule="auto"/>
        <w:rPr>
          <w:rStyle w:val="27"/>
          <w:rFonts w:hint="eastAsia" w:ascii="仿宋" w:hAnsi="仿宋" w:eastAsia="仿宋" w:cs="仿宋"/>
          <w:b w:val="0"/>
          <w:bCs w:val="0"/>
          <w:sz w:val="22"/>
          <w:szCs w:val="22"/>
        </w:rPr>
      </w:pPr>
      <w:r>
        <w:rPr>
          <w:rStyle w:val="27"/>
          <w:rFonts w:hint="eastAsia" w:ascii="仿宋" w:hAnsi="仿宋" w:eastAsia="仿宋" w:cs="仿宋"/>
          <w:b w:val="0"/>
          <w:bCs w:val="0"/>
          <w:sz w:val="22"/>
          <w:szCs w:val="22"/>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0"/>
        <w:keepNext w:val="0"/>
        <w:keepLines w:val="0"/>
        <w:widowControl/>
        <w:suppressLineNumbers w:val="0"/>
        <w:spacing w:line="360" w:lineRule="auto"/>
        <w:rPr>
          <w:rStyle w:val="27"/>
          <w:rFonts w:hint="eastAsia" w:ascii="仿宋" w:hAnsi="仿宋" w:eastAsia="仿宋" w:cs="仿宋"/>
          <w:b w:val="0"/>
          <w:bCs w:val="0"/>
          <w:sz w:val="22"/>
          <w:szCs w:val="22"/>
        </w:rPr>
        <w:sectPr>
          <w:footerReference r:id="rId8" w:type="default"/>
          <w:pgSz w:w="11906" w:h="16838"/>
          <w:pgMar w:top="1134" w:right="1080" w:bottom="1440" w:left="1080" w:header="851" w:footer="992" w:gutter="0"/>
          <w:pgNumType w:fmt="decimal"/>
          <w:cols w:space="720" w:num="1"/>
          <w:docGrid w:type="linesAndChars" w:linePitch="312" w:charSpace="0"/>
        </w:sectPr>
      </w:pPr>
      <w:r>
        <w:rPr>
          <w:rStyle w:val="27"/>
          <w:rFonts w:hint="eastAsia" w:ascii="仿宋" w:hAnsi="仿宋" w:eastAsia="仿宋" w:cs="仿宋"/>
          <w:b w:val="0"/>
          <w:bCs w:val="0"/>
          <w:sz w:val="22"/>
          <w:szCs w:val="22"/>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w:t>
      </w:r>
    </w:p>
    <w:p>
      <w:pPr>
        <w:pStyle w:val="20"/>
        <w:keepNext w:val="0"/>
        <w:keepLines w:val="0"/>
        <w:widowControl/>
        <w:suppressLineNumbers w:val="0"/>
        <w:spacing w:line="360" w:lineRule="auto"/>
        <w:rPr>
          <w:rStyle w:val="27"/>
          <w:rFonts w:hint="eastAsia" w:ascii="仿宋" w:hAnsi="仿宋" w:eastAsia="仿宋" w:cs="仿宋"/>
          <w:b/>
          <w:bCs/>
          <w:sz w:val="22"/>
          <w:szCs w:val="22"/>
        </w:rPr>
      </w:pPr>
      <w:r>
        <w:rPr>
          <w:rStyle w:val="27"/>
          <w:rFonts w:hint="eastAsia" w:ascii="仿宋" w:hAnsi="仿宋" w:eastAsia="仿宋" w:cs="仿宋"/>
          <w:b w:val="0"/>
          <w:bCs w:val="0"/>
          <w:sz w:val="22"/>
          <w:szCs w:val="22"/>
        </w:rPr>
        <w:t>后的价格参加评审。适用招标投标法的政府采购工程建设项目，采用综合评估法但未采用低价优先法计算价格分的，评标时应当在采用原报价进行评分的基础上增加其价格得分的1%~2%作为其价格分。</w:t>
      </w:r>
    </w:p>
    <w:p>
      <w:pPr>
        <w:pStyle w:val="20"/>
        <w:keepNext w:val="0"/>
        <w:keepLines w:val="0"/>
        <w:widowControl/>
        <w:suppressLineNumbers w:val="0"/>
        <w:spacing w:line="360" w:lineRule="auto"/>
        <w:rPr>
          <w:rFonts w:hint="eastAsia" w:ascii="仿宋" w:hAnsi="仿宋" w:eastAsia="仿宋" w:cs="仿宋"/>
          <w:b/>
          <w:bCs/>
          <w:sz w:val="22"/>
          <w:szCs w:val="22"/>
        </w:rPr>
      </w:pPr>
      <w:r>
        <w:rPr>
          <w:rStyle w:val="27"/>
          <w:rFonts w:hint="eastAsia" w:ascii="仿宋" w:hAnsi="仿宋" w:eastAsia="仿宋" w:cs="仿宋"/>
          <w:b/>
          <w:bCs/>
          <w:sz w:val="22"/>
          <w:szCs w:val="22"/>
        </w:rPr>
        <w:t>七、对本次采购提出询问，请按以下方式联系</w:t>
      </w:r>
    </w:p>
    <w:p>
      <w:pPr>
        <w:pStyle w:val="20"/>
        <w:keepNext w:val="0"/>
        <w:keepLines w:val="0"/>
        <w:widowControl/>
        <w:suppressLineNumbers w:val="0"/>
        <w:spacing w:line="360" w:lineRule="auto"/>
        <w:ind w:left="0" w:firstLine="420"/>
        <w:rPr>
          <w:rFonts w:hint="eastAsia" w:ascii="仿宋" w:hAnsi="仿宋" w:eastAsia="仿宋" w:cs="仿宋"/>
          <w:b w:val="0"/>
          <w:bCs w:val="0"/>
          <w:sz w:val="22"/>
          <w:szCs w:val="22"/>
        </w:rPr>
      </w:pPr>
      <w:r>
        <w:rPr>
          <w:rFonts w:hint="eastAsia" w:ascii="仿宋" w:hAnsi="仿宋" w:eastAsia="仿宋" w:cs="仿宋"/>
          <w:b w:val="0"/>
          <w:bCs w:val="0"/>
          <w:sz w:val="22"/>
          <w:szCs w:val="22"/>
        </w:rPr>
        <w:t>1.采购人信息</w:t>
      </w:r>
    </w:p>
    <w:p>
      <w:pPr>
        <w:pStyle w:val="20"/>
        <w:keepNext w:val="0"/>
        <w:keepLines w:val="0"/>
        <w:widowControl/>
        <w:suppressLineNumbers w:val="0"/>
        <w:spacing w:line="360" w:lineRule="auto"/>
        <w:ind w:left="0" w:firstLine="420"/>
        <w:rPr>
          <w:rFonts w:hint="eastAsia" w:ascii="仿宋" w:hAnsi="仿宋" w:eastAsia="仿宋" w:cs="仿宋"/>
          <w:sz w:val="22"/>
          <w:szCs w:val="22"/>
          <w:lang w:val="en-US" w:eastAsia="zh-CN"/>
        </w:rPr>
      </w:pPr>
      <w:r>
        <w:rPr>
          <w:rFonts w:hint="eastAsia" w:ascii="仿宋" w:hAnsi="仿宋" w:eastAsia="仿宋" w:cs="仿宋"/>
          <w:sz w:val="22"/>
          <w:szCs w:val="22"/>
        </w:rPr>
        <w:t>名 称：</w:t>
      </w:r>
      <w:r>
        <w:rPr>
          <w:rFonts w:hint="eastAsia" w:ascii="仿宋" w:hAnsi="仿宋" w:eastAsia="仿宋" w:cs="仿宋"/>
          <w:sz w:val="22"/>
          <w:szCs w:val="22"/>
          <w:lang w:val="en-US" w:eastAsia="zh-CN"/>
        </w:rPr>
        <w:t>阿图什市人民医院</w:t>
      </w:r>
    </w:p>
    <w:p>
      <w:pPr>
        <w:pStyle w:val="20"/>
        <w:keepNext w:val="0"/>
        <w:keepLines w:val="0"/>
        <w:widowControl/>
        <w:suppressLineNumbers w:val="0"/>
        <w:spacing w:line="360" w:lineRule="auto"/>
        <w:ind w:left="0" w:firstLine="420"/>
        <w:rPr>
          <w:rFonts w:hint="eastAsia" w:ascii="仿宋" w:hAnsi="仿宋" w:eastAsia="仿宋" w:cs="仿宋"/>
          <w:sz w:val="22"/>
          <w:szCs w:val="22"/>
          <w:lang w:val="en-US" w:eastAsia="zh-CN"/>
        </w:rPr>
      </w:pPr>
      <w:r>
        <w:rPr>
          <w:rFonts w:hint="eastAsia" w:ascii="仿宋" w:hAnsi="仿宋" w:eastAsia="仿宋" w:cs="仿宋"/>
          <w:sz w:val="22"/>
          <w:szCs w:val="22"/>
        </w:rPr>
        <w:t>地 址：阿图什市</w:t>
      </w:r>
    </w:p>
    <w:p>
      <w:pPr>
        <w:pStyle w:val="20"/>
        <w:keepNext w:val="0"/>
        <w:keepLines w:val="0"/>
        <w:widowControl/>
        <w:suppressLineNumbers w:val="0"/>
        <w:spacing w:line="360" w:lineRule="auto"/>
        <w:ind w:left="0" w:firstLine="420"/>
        <w:rPr>
          <w:rFonts w:hint="default" w:ascii="仿宋" w:hAnsi="仿宋" w:eastAsia="仿宋" w:cs="仿宋"/>
          <w:sz w:val="22"/>
          <w:szCs w:val="22"/>
          <w:lang w:val="en-US" w:eastAsia="zh-CN"/>
        </w:rPr>
      </w:pPr>
      <w:r>
        <w:rPr>
          <w:rFonts w:hint="eastAsia" w:ascii="仿宋" w:hAnsi="仿宋" w:eastAsia="仿宋" w:cs="仿宋"/>
          <w:sz w:val="22"/>
          <w:szCs w:val="22"/>
        </w:rPr>
        <w:t>联系方式：</w:t>
      </w:r>
      <w:r>
        <w:rPr>
          <w:rFonts w:hint="eastAsia" w:ascii="仿宋" w:hAnsi="仿宋" w:eastAsia="仿宋" w:cs="仿宋"/>
          <w:sz w:val="22"/>
          <w:szCs w:val="22"/>
          <w:lang w:val="en-US" w:eastAsia="zh-CN"/>
        </w:rPr>
        <w:t>18609081160</w:t>
      </w:r>
    </w:p>
    <w:p>
      <w:pPr>
        <w:pStyle w:val="20"/>
        <w:keepNext w:val="0"/>
        <w:keepLines w:val="0"/>
        <w:widowControl/>
        <w:suppressLineNumbers w:val="0"/>
        <w:spacing w:line="360" w:lineRule="auto"/>
        <w:ind w:left="0" w:firstLine="420"/>
        <w:rPr>
          <w:rFonts w:hint="eastAsia" w:ascii="仿宋" w:hAnsi="仿宋" w:eastAsia="仿宋" w:cs="仿宋"/>
          <w:sz w:val="22"/>
          <w:szCs w:val="22"/>
        </w:rPr>
      </w:pPr>
      <w:r>
        <w:rPr>
          <w:rFonts w:hint="eastAsia" w:ascii="仿宋" w:hAnsi="仿宋" w:eastAsia="仿宋" w:cs="仿宋"/>
          <w:sz w:val="22"/>
          <w:szCs w:val="22"/>
        </w:rPr>
        <w:t>2.采购代理机构信息</w:t>
      </w:r>
    </w:p>
    <w:p>
      <w:pPr>
        <w:pStyle w:val="20"/>
        <w:keepNext w:val="0"/>
        <w:keepLines w:val="0"/>
        <w:widowControl/>
        <w:suppressLineNumbers w:val="0"/>
        <w:spacing w:line="360" w:lineRule="auto"/>
        <w:ind w:left="0" w:firstLine="420"/>
        <w:rPr>
          <w:rFonts w:hint="eastAsia" w:ascii="仿宋" w:hAnsi="仿宋" w:eastAsia="仿宋" w:cs="仿宋"/>
          <w:sz w:val="22"/>
          <w:szCs w:val="22"/>
        </w:rPr>
      </w:pPr>
      <w:r>
        <w:rPr>
          <w:rFonts w:hint="eastAsia" w:ascii="仿宋" w:hAnsi="仿宋" w:eastAsia="仿宋" w:cs="仿宋"/>
          <w:sz w:val="22"/>
          <w:szCs w:val="22"/>
        </w:rPr>
        <w:t>名 称：新疆鑫润华工程项目管理有限公司</w:t>
      </w:r>
    </w:p>
    <w:p>
      <w:pPr>
        <w:pStyle w:val="20"/>
        <w:keepNext w:val="0"/>
        <w:keepLines w:val="0"/>
        <w:widowControl/>
        <w:suppressLineNumbers w:val="0"/>
        <w:spacing w:line="360" w:lineRule="auto"/>
        <w:ind w:left="0" w:firstLine="420"/>
        <w:rPr>
          <w:rFonts w:hint="default" w:ascii="仿宋" w:hAnsi="仿宋" w:eastAsia="仿宋" w:cs="仿宋"/>
          <w:sz w:val="22"/>
          <w:szCs w:val="22"/>
          <w:lang w:val="en-US" w:eastAsia="zh-CN"/>
        </w:rPr>
      </w:pPr>
      <w:r>
        <w:rPr>
          <w:rFonts w:hint="eastAsia" w:ascii="仿宋" w:hAnsi="仿宋" w:eastAsia="仿宋" w:cs="仿宋"/>
          <w:sz w:val="22"/>
          <w:szCs w:val="22"/>
        </w:rPr>
        <w:t>地 址：</w:t>
      </w:r>
      <w:r>
        <w:rPr>
          <w:rFonts w:hint="eastAsia" w:ascii="仿宋" w:hAnsi="仿宋" w:eastAsia="仿宋" w:cs="仿宋"/>
          <w:sz w:val="22"/>
          <w:szCs w:val="22"/>
          <w:lang w:eastAsia="zh-CN"/>
        </w:rPr>
        <w:t>新疆克州阿图什市园丁小区</w:t>
      </w:r>
      <w:r>
        <w:rPr>
          <w:rFonts w:hint="eastAsia" w:ascii="仿宋" w:hAnsi="仿宋" w:eastAsia="仿宋" w:cs="仿宋"/>
          <w:sz w:val="22"/>
          <w:szCs w:val="22"/>
          <w:lang w:val="en-US" w:eastAsia="zh-CN"/>
        </w:rPr>
        <w:t>2号楼603室</w:t>
      </w:r>
    </w:p>
    <w:p>
      <w:pPr>
        <w:pStyle w:val="20"/>
        <w:keepNext w:val="0"/>
        <w:keepLines w:val="0"/>
        <w:widowControl/>
        <w:suppressLineNumbers w:val="0"/>
        <w:spacing w:line="360" w:lineRule="auto"/>
        <w:ind w:left="0" w:firstLine="420"/>
        <w:rPr>
          <w:rFonts w:hint="default" w:ascii="仿宋" w:hAnsi="仿宋" w:eastAsia="仿宋" w:cs="仿宋"/>
          <w:sz w:val="22"/>
          <w:szCs w:val="22"/>
          <w:lang w:val="en-US" w:eastAsia="zh-CN"/>
        </w:rPr>
      </w:pPr>
      <w:r>
        <w:rPr>
          <w:rFonts w:hint="eastAsia" w:ascii="仿宋" w:hAnsi="仿宋" w:eastAsia="仿宋" w:cs="仿宋"/>
          <w:sz w:val="22"/>
          <w:szCs w:val="22"/>
        </w:rPr>
        <w:t>联系方式：</w:t>
      </w:r>
      <w:r>
        <w:rPr>
          <w:rFonts w:hint="eastAsia" w:ascii="仿宋" w:hAnsi="仿宋" w:eastAsia="仿宋" w:cs="仿宋"/>
          <w:sz w:val="22"/>
          <w:szCs w:val="22"/>
          <w:lang w:val="en-US" w:eastAsia="zh-CN"/>
        </w:rPr>
        <w:t>17799081359</w:t>
      </w:r>
    </w:p>
    <w:p>
      <w:pPr>
        <w:pStyle w:val="20"/>
        <w:keepNext w:val="0"/>
        <w:keepLines w:val="0"/>
        <w:widowControl/>
        <w:suppressLineNumbers w:val="0"/>
        <w:spacing w:line="360" w:lineRule="auto"/>
        <w:ind w:left="0" w:firstLine="420"/>
        <w:rPr>
          <w:rFonts w:hint="eastAsia" w:ascii="仿宋" w:hAnsi="仿宋" w:eastAsia="仿宋" w:cs="仿宋"/>
          <w:sz w:val="22"/>
          <w:szCs w:val="22"/>
        </w:rPr>
      </w:pPr>
      <w:r>
        <w:rPr>
          <w:rFonts w:hint="eastAsia" w:ascii="仿宋" w:hAnsi="仿宋" w:eastAsia="仿宋" w:cs="仿宋"/>
          <w:sz w:val="22"/>
          <w:szCs w:val="22"/>
        </w:rPr>
        <w:t>3.项目联系方式</w:t>
      </w:r>
    </w:p>
    <w:p>
      <w:pPr>
        <w:pStyle w:val="20"/>
        <w:keepNext w:val="0"/>
        <w:keepLines w:val="0"/>
        <w:widowControl/>
        <w:suppressLineNumbers w:val="0"/>
        <w:spacing w:line="360" w:lineRule="auto"/>
        <w:ind w:left="0" w:firstLine="420"/>
        <w:rPr>
          <w:rFonts w:hint="eastAsia" w:ascii="仿宋" w:hAnsi="仿宋" w:eastAsia="仿宋" w:cs="仿宋"/>
          <w:sz w:val="22"/>
          <w:szCs w:val="22"/>
        </w:rPr>
      </w:pPr>
      <w:r>
        <w:rPr>
          <w:rFonts w:hint="eastAsia" w:ascii="仿宋" w:hAnsi="仿宋" w:eastAsia="仿宋" w:cs="仿宋"/>
          <w:sz w:val="22"/>
          <w:szCs w:val="22"/>
        </w:rPr>
        <w:t>项目联系人：</w:t>
      </w:r>
      <w:r>
        <w:rPr>
          <w:rFonts w:hint="eastAsia" w:ascii="仿宋" w:hAnsi="仿宋" w:eastAsia="仿宋" w:cs="仿宋"/>
          <w:sz w:val="22"/>
          <w:szCs w:val="22"/>
          <w:lang w:eastAsia="zh-CN"/>
        </w:rPr>
        <w:t>魏女士</w:t>
      </w:r>
    </w:p>
    <w:p>
      <w:pPr>
        <w:pStyle w:val="20"/>
        <w:keepNext w:val="0"/>
        <w:keepLines w:val="0"/>
        <w:widowControl/>
        <w:suppressLineNumbers w:val="0"/>
        <w:spacing w:line="360" w:lineRule="auto"/>
        <w:ind w:left="0" w:firstLine="420"/>
        <w:rPr>
          <w:rFonts w:hint="default" w:ascii="仿宋" w:hAnsi="仿宋" w:eastAsia="仿宋" w:cs="仿宋"/>
          <w:sz w:val="22"/>
          <w:szCs w:val="22"/>
          <w:lang w:val="en-US" w:eastAsia="zh-CN"/>
        </w:rPr>
      </w:pPr>
      <w:r>
        <w:rPr>
          <w:rFonts w:hint="eastAsia" w:ascii="仿宋" w:hAnsi="仿宋" w:eastAsia="仿宋" w:cs="仿宋"/>
          <w:sz w:val="22"/>
          <w:szCs w:val="22"/>
        </w:rPr>
        <w:t>电 话：</w:t>
      </w:r>
      <w:r>
        <w:rPr>
          <w:rStyle w:val="30"/>
          <w:rFonts w:hint="eastAsia" w:ascii="仿宋" w:hAnsi="仿宋" w:eastAsia="仿宋" w:cs="仿宋"/>
          <w:sz w:val="22"/>
          <w:szCs w:val="22"/>
          <w:lang w:val="en-US" w:eastAsia="zh-CN"/>
        </w:rPr>
        <w:t>17799081359</w:t>
      </w:r>
    </w:p>
    <w:p/>
    <w:p>
      <w:pPr>
        <w:bidi w:val="0"/>
        <w:rPr>
          <w:rFonts w:ascii="Times New Roman" w:hAnsi="Times New Roman" w:eastAsia="宋体" w:cs="Times New Roman"/>
          <w:kern w:val="2"/>
          <w:sz w:val="22"/>
          <w:szCs w:val="28"/>
          <w:lang w:val="en-US" w:eastAsia="zh-CN" w:bidi="ar-SA"/>
        </w:rPr>
      </w:pPr>
    </w:p>
    <w:p>
      <w:pPr>
        <w:bidi w:val="0"/>
        <w:rPr>
          <w:lang w:val="en-US" w:eastAsia="zh-CN"/>
        </w:rPr>
      </w:pPr>
    </w:p>
    <w:p>
      <w:pPr>
        <w:bidi w:val="0"/>
        <w:jc w:val="center"/>
        <w:rPr>
          <w:lang w:val="en-US" w:eastAsia="zh-CN"/>
        </w:rPr>
      </w:pPr>
    </w:p>
    <w:p>
      <w:pPr>
        <w:spacing w:line="360" w:lineRule="auto"/>
        <w:jc w:val="center"/>
        <w:rPr>
          <w:rFonts w:hint="eastAsia" w:ascii="仿宋" w:hAnsi="仿宋" w:eastAsia="仿宋" w:cs="仿宋"/>
          <w:b/>
          <w:bCs/>
          <w:color w:val="000000" w:themeColor="text1"/>
          <w:sz w:val="36"/>
          <w:szCs w:val="36"/>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spacing w:line="360" w:lineRule="auto"/>
        <w:jc w:val="center"/>
        <w:rPr>
          <w:rFonts w:hint="eastAsia" w:ascii="仿宋" w:hAnsi="仿宋" w:eastAsia="仿宋" w:cs="仿宋"/>
          <w:b/>
          <w:bCs/>
          <w:color w:val="000000" w:themeColor="text1"/>
          <w:sz w:val="36"/>
          <w:szCs w:val="36"/>
        </w:rPr>
      </w:pPr>
    </w:p>
    <w:p>
      <w:pPr>
        <w:pStyle w:val="12"/>
        <w:rPr>
          <w:rFonts w:hint="eastAsia" w:ascii="仿宋" w:hAnsi="仿宋" w:eastAsia="仿宋" w:cs="仿宋"/>
          <w:b/>
          <w:bCs/>
          <w:color w:val="000000" w:themeColor="text1"/>
          <w:sz w:val="36"/>
          <w:szCs w:val="36"/>
        </w:rPr>
      </w:pPr>
    </w:p>
    <w:p>
      <w:pPr>
        <w:pStyle w:val="13"/>
        <w:rPr>
          <w:rFonts w:hint="eastAsia" w:ascii="仿宋" w:hAnsi="仿宋" w:eastAsia="仿宋" w:cs="仿宋"/>
          <w:b/>
          <w:bCs/>
          <w:color w:val="000000" w:themeColor="text1"/>
          <w:sz w:val="36"/>
          <w:szCs w:val="36"/>
        </w:rPr>
      </w:pPr>
    </w:p>
    <w:p>
      <w:pPr>
        <w:pStyle w:val="12"/>
        <w:rPr>
          <w:rFonts w:hint="eastAsia"/>
        </w:rPr>
      </w:pPr>
    </w:p>
    <w:p>
      <w:pPr>
        <w:pStyle w:val="13"/>
        <w:rPr>
          <w:rFonts w:hint="eastAsia"/>
        </w:rPr>
      </w:pPr>
    </w:p>
    <w:p>
      <w:pPr>
        <w:pStyle w:val="13"/>
        <w:rPr>
          <w:rFonts w:hint="eastAsia"/>
        </w:rPr>
      </w:pPr>
    </w:p>
    <w:p>
      <w:pPr>
        <w:spacing w:line="360" w:lineRule="auto"/>
        <w:jc w:val="center"/>
        <w:rPr>
          <w:rFonts w:ascii="仿宋" w:hAnsi="仿宋" w:eastAsia="仿宋" w:cs="仿宋"/>
          <w:b/>
          <w:bCs/>
          <w:color w:val="000000" w:themeColor="text1"/>
          <w:sz w:val="36"/>
          <w:szCs w:val="36"/>
        </w:rPr>
      </w:pPr>
      <w:r>
        <w:rPr>
          <w:rFonts w:hint="eastAsia" w:ascii="仿宋" w:hAnsi="仿宋" w:eastAsia="仿宋" w:cs="仿宋"/>
          <w:b/>
          <w:bCs/>
          <w:color w:val="000000" w:themeColor="text1"/>
          <w:sz w:val="36"/>
          <w:szCs w:val="36"/>
        </w:rPr>
        <w:t>第二部分</w:t>
      </w:r>
      <w:r>
        <w:rPr>
          <w:rFonts w:hint="eastAsia" w:ascii="仿宋" w:hAnsi="仿宋" w:eastAsia="仿宋" w:cs="仿宋"/>
          <w:b/>
          <w:bCs/>
          <w:color w:val="000000" w:themeColor="text1"/>
          <w:sz w:val="36"/>
          <w:szCs w:val="36"/>
          <w:lang w:eastAsia="zh-CN"/>
        </w:rPr>
        <w:t xml:space="preserve"> </w:t>
      </w:r>
      <w:r>
        <w:rPr>
          <w:rFonts w:hint="eastAsia" w:ascii="仿宋" w:hAnsi="仿宋" w:eastAsia="仿宋" w:cs="仿宋"/>
          <w:b/>
          <w:bCs/>
          <w:color w:val="000000" w:themeColor="text1"/>
          <w:sz w:val="36"/>
          <w:szCs w:val="36"/>
        </w:rPr>
        <w:t>供应商须知</w:t>
      </w:r>
    </w:p>
    <w:p>
      <w:pPr>
        <w:spacing w:line="400" w:lineRule="exact"/>
        <w:ind w:firstLine="560" w:firstLineChars="200"/>
        <w:jc w:val="center"/>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lang w:eastAsia="zh-CN"/>
        </w:rPr>
        <w:t>供应商</w:t>
      </w:r>
      <w:r>
        <w:rPr>
          <w:rFonts w:hint="eastAsia" w:ascii="仿宋" w:hAnsi="仿宋" w:eastAsia="仿宋" w:cs="仿宋"/>
          <w:b/>
          <w:bCs/>
          <w:color w:val="000000" w:themeColor="text1"/>
          <w:sz w:val="28"/>
          <w:szCs w:val="28"/>
        </w:rPr>
        <w:t>须知前附表</w:t>
      </w:r>
    </w:p>
    <w:tbl>
      <w:tblPr>
        <w:tblStyle w:val="24"/>
        <w:tblW w:w="9945" w:type="dxa"/>
        <w:jc w:val="center"/>
        <w:tblLayout w:type="fixed"/>
        <w:tblCellMar>
          <w:top w:w="0" w:type="dxa"/>
          <w:left w:w="108" w:type="dxa"/>
          <w:bottom w:w="0" w:type="dxa"/>
          <w:right w:w="108" w:type="dxa"/>
        </w:tblCellMar>
      </w:tblPr>
      <w:tblGrid>
        <w:gridCol w:w="638"/>
        <w:gridCol w:w="1485"/>
        <w:gridCol w:w="7822"/>
      </w:tblGrid>
      <w:tr>
        <w:tblPrEx>
          <w:tblCellMar>
            <w:top w:w="0" w:type="dxa"/>
            <w:left w:w="108" w:type="dxa"/>
            <w:bottom w:w="0" w:type="dxa"/>
            <w:right w:w="108" w:type="dxa"/>
          </w:tblCellMar>
        </w:tblPrEx>
        <w:trPr>
          <w:trHeight w:val="56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序 号</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名  称</w:t>
            </w:r>
          </w:p>
        </w:tc>
        <w:tc>
          <w:tcPr>
            <w:tcW w:w="7822"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编  列  内  容</w:t>
            </w:r>
          </w:p>
        </w:tc>
      </w:tr>
      <w:tr>
        <w:tblPrEx>
          <w:tblCellMar>
            <w:top w:w="0" w:type="dxa"/>
            <w:left w:w="108" w:type="dxa"/>
            <w:bottom w:w="0" w:type="dxa"/>
            <w:right w:w="108" w:type="dxa"/>
          </w:tblCellMar>
        </w:tblPrEx>
        <w:trPr>
          <w:trHeight w:val="181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w:t>
            </w:r>
          </w:p>
        </w:tc>
        <w:tc>
          <w:tcPr>
            <w:tcW w:w="1485"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项目名称：</w:t>
            </w:r>
          </w:p>
          <w:p>
            <w:pPr>
              <w:pStyle w:val="32"/>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项目编号：</w:t>
            </w:r>
          </w:p>
          <w:p>
            <w:pPr>
              <w:pStyle w:val="32"/>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采购内容：</w:t>
            </w:r>
          </w:p>
          <w:p>
            <w:pPr>
              <w:pStyle w:val="32"/>
              <w:keepNext w:val="0"/>
              <w:keepLines w:val="0"/>
              <w:pageBreakBefore w:val="0"/>
              <w:kinsoku/>
              <w:wordWrap/>
              <w:overflowPunct/>
              <w:topLinePunct w:val="0"/>
              <w:autoSpaceDE/>
              <w:autoSpaceDN/>
              <w:bidi w:val="0"/>
              <w:spacing w:line="312" w:lineRule="auto"/>
              <w:ind w:firstLine="0"/>
              <w:jc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质保</w:t>
            </w:r>
            <w:r>
              <w:rPr>
                <w:rFonts w:hint="eastAsia" w:ascii="仿宋" w:hAnsi="仿宋" w:eastAsia="仿宋" w:cs="仿宋"/>
                <w:color w:val="000000" w:themeColor="text1"/>
                <w:lang w:eastAsia="zh-CN"/>
              </w:rPr>
              <w:t>期：</w:t>
            </w:r>
          </w:p>
          <w:p>
            <w:pPr>
              <w:pStyle w:val="32"/>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000000" w:themeColor="text1"/>
                <w:lang w:val="en-US"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项目名称：阿图什市人民医院升级更换信息系统项目  </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项目编号：</w:t>
            </w:r>
            <w:r>
              <w:rPr>
                <w:rFonts w:hint="eastAsia" w:ascii="仿宋" w:hAnsi="仿宋" w:eastAsia="仿宋" w:cs="仿宋"/>
                <w:b/>
                <w:bCs/>
                <w:color w:val="0000FF"/>
                <w:lang w:eastAsia="zh-CN"/>
              </w:rPr>
              <w:t>ATSCG-202</w:t>
            </w:r>
            <w:r>
              <w:rPr>
                <w:rFonts w:hint="eastAsia" w:ascii="仿宋" w:hAnsi="仿宋" w:eastAsia="仿宋" w:cs="仿宋"/>
                <w:b/>
                <w:bCs/>
                <w:color w:val="0000FF"/>
                <w:lang w:val="en-US" w:eastAsia="zh-CN"/>
              </w:rPr>
              <w:t>4022</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采购内容：</w:t>
            </w:r>
            <w:r>
              <w:rPr>
                <w:rFonts w:hint="eastAsia" w:ascii="仿宋" w:hAnsi="仿宋" w:eastAsia="仿宋" w:cs="仿宋"/>
                <w:sz w:val="22"/>
                <w:szCs w:val="22"/>
                <w:lang w:val="en-US" w:eastAsia="zh-CN"/>
              </w:rPr>
              <w:t>升级更换信息系统1批。</w:t>
            </w:r>
            <w:r>
              <w:rPr>
                <w:rFonts w:hint="eastAsia" w:ascii="仿宋" w:hAnsi="仿宋" w:eastAsia="仿宋" w:cs="仿宋"/>
                <w:color w:val="000000" w:themeColor="text1"/>
                <w:lang w:eastAsia="zh-CN"/>
              </w:rPr>
              <w:t>（具体详见服务需求)</w:t>
            </w:r>
            <w:r>
              <w:rPr>
                <w:rFonts w:hint="eastAsia" w:ascii="仿宋" w:hAnsi="仿宋" w:eastAsia="仿宋" w:cs="仿宋"/>
                <w:color w:val="000000" w:themeColor="text1"/>
                <w:lang w:val="en-US" w:eastAsia="zh-CN"/>
              </w:rPr>
              <w:t>.</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0000FF"/>
                <w:lang w:val="en-US" w:eastAsia="zh-CN"/>
              </w:rPr>
              <w:t>质保</w:t>
            </w:r>
            <w:r>
              <w:rPr>
                <w:rFonts w:hint="eastAsia" w:ascii="仿宋" w:hAnsi="仿宋" w:eastAsia="仿宋" w:cs="仿宋"/>
                <w:b/>
                <w:bCs/>
                <w:color w:val="0000FF"/>
                <w:lang w:eastAsia="zh-CN"/>
              </w:rPr>
              <w:t>期：</w:t>
            </w:r>
            <w:r>
              <w:rPr>
                <w:rFonts w:hint="eastAsia" w:ascii="仿宋" w:hAnsi="仿宋" w:eastAsia="仿宋" w:cs="仿宋"/>
                <w:b/>
                <w:bCs/>
                <w:color w:val="0000FF"/>
                <w:lang w:val="en-US" w:eastAsia="zh-CN"/>
              </w:rPr>
              <w:t>3</w:t>
            </w:r>
            <w:r>
              <w:rPr>
                <w:rFonts w:hint="eastAsia" w:ascii="仿宋" w:hAnsi="仿宋" w:eastAsia="仿宋" w:cs="仿宋"/>
                <w:b/>
                <w:bCs/>
                <w:color w:val="0000FF"/>
                <w:lang w:eastAsia="zh-CN"/>
              </w:rPr>
              <w:t>年(起止时间</w:t>
            </w:r>
            <w:r>
              <w:rPr>
                <w:rFonts w:hint="eastAsia" w:ascii="仿宋" w:hAnsi="仿宋" w:eastAsia="仿宋" w:cs="仿宋"/>
                <w:b/>
                <w:bCs/>
                <w:color w:val="0000FF"/>
                <w:lang w:val="en-US" w:eastAsia="zh-CN"/>
              </w:rPr>
              <w:t>以</w:t>
            </w:r>
            <w:r>
              <w:rPr>
                <w:rFonts w:hint="eastAsia" w:ascii="仿宋" w:hAnsi="仿宋" w:eastAsia="仿宋" w:cs="仿宋"/>
                <w:b/>
                <w:bCs/>
                <w:color w:val="0000FF"/>
                <w:lang w:eastAsia="zh-CN"/>
              </w:rPr>
              <w:t>甲乙双方</w:t>
            </w:r>
            <w:r>
              <w:rPr>
                <w:rFonts w:hint="eastAsia" w:ascii="仿宋" w:hAnsi="仿宋" w:eastAsia="仿宋" w:cs="仿宋"/>
                <w:b/>
                <w:bCs/>
                <w:color w:val="0000FF"/>
                <w:lang w:val="en-US" w:eastAsia="zh-CN"/>
              </w:rPr>
              <w:t>签订的合同</w:t>
            </w:r>
            <w:r>
              <w:rPr>
                <w:rFonts w:hint="eastAsia" w:ascii="仿宋" w:hAnsi="仿宋" w:eastAsia="仿宋" w:cs="仿宋"/>
                <w:b/>
                <w:bCs/>
                <w:color w:val="0000FF"/>
                <w:lang w:eastAsia="zh-CN"/>
              </w:rPr>
              <w:t>约定</w:t>
            </w:r>
            <w:r>
              <w:rPr>
                <w:rFonts w:hint="eastAsia" w:ascii="仿宋" w:hAnsi="仿宋" w:eastAsia="仿宋" w:cs="仿宋"/>
                <w:b/>
                <w:bCs/>
                <w:color w:val="0000FF"/>
                <w:lang w:val="en-US" w:eastAsia="zh-CN"/>
              </w:rPr>
              <w:t>为准</w:t>
            </w:r>
            <w:r>
              <w:rPr>
                <w:rFonts w:hint="eastAsia" w:ascii="仿宋" w:hAnsi="仿宋" w:eastAsia="仿宋" w:cs="仿宋"/>
                <w:b/>
                <w:bCs/>
                <w:color w:val="0000FF"/>
                <w:lang w:eastAsia="zh-CN"/>
              </w:rPr>
              <w:t>)</w:t>
            </w:r>
          </w:p>
        </w:tc>
      </w:tr>
      <w:tr>
        <w:tblPrEx>
          <w:tblCellMar>
            <w:top w:w="0" w:type="dxa"/>
            <w:left w:w="108" w:type="dxa"/>
            <w:bottom w:w="0" w:type="dxa"/>
            <w:right w:w="108" w:type="dxa"/>
          </w:tblCellMar>
        </w:tblPrEx>
        <w:trPr>
          <w:trHeight w:val="85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名  称：阿图什市</w:t>
            </w:r>
            <w:r>
              <w:rPr>
                <w:rFonts w:hint="eastAsia" w:ascii="仿宋" w:hAnsi="仿宋" w:eastAsia="仿宋" w:cs="仿宋"/>
                <w:color w:val="000000" w:themeColor="text1"/>
                <w:lang w:val="en-US" w:eastAsia="zh-CN"/>
              </w:rPr>
              <w:t>人民医院</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lang w:val="en-US" w:eastAsia="zh-CN"/>
              </w:rPr>
              <w:t>张先生</w:t>
            </w:r>
            <w:r>
              <w:rPr>
                <w:rFonts w:hint="eastAsia" w:ascii="仿宋" w:hAnsi="仿宋" w:eastAsia="仿宋" w:cs="仿宋"/>
                <w:color w:val="000000" w:themeColor="text1"/>
                <w:lang w:eastAsia="zh-CN"/>
              </w:rPr>
              <w:t xml:space="preserve">     </w:t>
            </w:r>
            <w:r>
              <w:rPr>
                <w:rFonts w:hint="eastAsia" w:ascii="仿宋" w:hAnsi="仿宋" w:eastAsia="仿宋" w:cs="仿宋"/>
                <w:color w:val="000000" w:themeColor="text1"/>
                <w:lang w:val="en-US" w:eastAsia="zh-CN"/>
              </w:rPr>
              <w:t xml:space="preserve">  </w:t>
            </w:r>
            <w:r>
              <w:rPr>
                <w:rFonts w:hint="eastAsia" w:ascii="仿宋" w:hAnsi="仿宋" w:eastAsia="仿宋" w:cs="仿宋"/>
                <w:color w:val="000000" w:themeColor="text1"/>
                <w:lang w:eastAsia="zh-CN"/>
              </w:rPr>
              <w:t>电  话：</w:t>
            </w:r>
            <w:r>
              <w:rPr>
                <w:rFonts w:hint="eastAsia" w:ascii="仿宋" w:hAnsi="仿宋" w:eastAsia="仿宋" w:cs="仿宋"/>
                <w:color w:val="000000" w:themeColor="text1"/>
                <w:lang w:val="en-US" w:eastAsia="zh-CN"/>
              </w:rPr>
              <w:t>18609081160</w:t>
            </w:r>
          </w:p>
        </w:tc>
      </w:tr>
      <w:tr>
        <w:tblPrEx>
          <w:tblCellMar>
            <w:top w:w="0" w:type="dxa"/>
            <w:left w:w="108" w:type="dxa"/>
            <w:bottom w:w="0" w:type="dxa"/>
            <w:right w:w="108" w:type="dxa"/>
          </w:tblCellMar>
        </w:tblPrEx>
        <w:trPr>
          <w:trHeight w:val="112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采购代理机构</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名  称：</w:t>
            </w:r>
            <w:r>
              <w:rPr>
                <w:rFonts w:hint="eastAsia" w:ascii="仿宋" w:hAnsi="仿宋" w:eastAsia="仿宋" w:cs="仿宋"/>
                <w:color w:val="000000" w:themeColor="text1"/>
                <w:lang w:val="en-US" w:eastAsia="zh-CN"/>
              </w:rPr>
              <w:t>新疆鑫润华工程项目管理有限公司</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lang w:val="en-US" w:eastAsia="zh-CN"/>
              </w:rPr>
              <w:t>阿图什市园丁小区2号楼603室</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lang w:val="en-US" w:eastAsia="zh-CN"/>
              </w:rPr>
              <w:t>魏女士</w:t>
            </w:r>
            <w:r>
              <w:rPr>
                <w:rFonts w:hint="eastAsia" w:ascii="仿宋" w:hAnsi="仿宋" w:eastAsia="仿宋" w:cs="仿宋"/>
                <w:color w:val="000000" w:themeColor="text1"/>
                <w:lang w:eastAsia="zh-CN"/>
              </w:rPr>
              <w:t xml:space="preserve">       电  话：</w:t>
            </w:r>
            <w:r>
              <w:rPr>
                <w:rFonts w:hint="eastAsia" w:ascii="仿宋" w:hAnsi="仿宋" w:eastAsia="仿宋" w:cs="仿宋"/>
                <w:color w:val="000000" w:themeColor="text1"/>
                <w:lang w:val="en-US" w:eastAsia="zh-CN"/>
              </w:rPr>
              <w:t>17799081359</w:t>
            </w:r>
          </w:p>
        </w:tc>
      </w:tr>
      <w:tr>
        <w:tblPrEx>
          <w:tblCellMar>
            <w:top w:w="0" w:type="dxa"/>
            <w:left w:w="108" w:type="dxa"/>
            <w:bottom w:w="0" w:type="dxa"/>
            <w:right w:w="108" w:type="dxa"/>
          </w:tblCellMar>
        </w:tblPrEx>
        <w:trPr>
          <w:trHeight w:val="61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交货</w:t>
            </w:r>
            <w:r>
              <w:rPr>
                <w:rFonts w:hint="eastAsia" w:ascii="仿宋" w:hAnsi="仿宋" w:eastAsia="仿宋" w:cs="仿宋"/>
                <w:color w:val="000000" w:themeColor="text1"/>
                <w:lang w:eastAsia="zh-CN"/>
              </w:rPr>
              <w:t>地点</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bCs/>
                <w:color w:val="auto"/>
                <w:lang w:val="en-US" w:eastAsia="zh-CN"/>
              </w:rPr>
              <w:t>甲方指定的任何地点</w:t>
            </w:r>
          </w:p>
        </w:tc>
      </w:tr>
      <w:tr>
        <w:tblPrEx>
          <w:tblCellMar>
            <w:top w:w="0" w:type="dxa"/>
            <w:left w:w="108" w:type="dxa"/>
            <w:bottom w:w="0" w:type="dxa"/>
            <w:right w:w="108" w:type="dxa"/>
          </w:tblCellMar>
        </w:tblPrEx>
        <w:trPr>
          <w:trHeight w:val="66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资格要求</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1.满足《中华人民共和国政府采购法》第二十二条规定；</w:t>
            </w:r>
          </w:p>
          <w:p>
            <w:pPr>
              <w:keepNext w:val="0"/>
              <w:keepLines w:val="0"/>
              <w:pageBreakBefore w:val="0"/>
              <w:kinsoku/>
              <w:wordWrap/>
              <w:overflowPunct/>
              <w:topLinePunct w:val="0"/>
              <w:autoSpaceDE/>
              <w:autoSpaceDN/>
              <w:bidi w:val="0"/>
              <w:spacing w:line="312" w:lineRule="auto"/>
              <w:rPr>
                <w:rFonts w:hint="default" w:ascii="仿宋" w:hAnsi="仿宋" w:eastAsia="仿宋" w:cs="仿宋"/>
                <w:b/>
                <w:bCs/>
                <w:color w:val="000000" w:themeColor="text1"/>
                <w:lang w:val="en-US" w:eastAsia="zh-CN"/>
              </w:rPr>
            </w:pPr>
            <w:r>
              <w:rPr>
                <w:rFonts w:hint="eastAsia" w:ascii="仿宋" w:hAnsi="仿宋" w:eastAsia="仿宋" w:cs="仿宋"/>
                <w:color w:val="000000" w:themeColor="text1"/>
                <w:lang w:eastAsia="zh-CN"/>
              </w:rPr>
              <w:t>2.落实政府采购政策需满足的资格要求：</w:t>
            </w:r>
            <w:r>
              <w:rPr>
                <w:rFonts w:hint="eastAsia" w:ascii="仿宋" w:hAnsi="仿宋" w:eastAsia="仿宋" w:cs="仿宋"/>
                <w:b/>
                <w:bCs/>
                <w:color w:val="000000" w:themeColor="text1"/>
                <w:lang w:eastAsia="zh-CN"/>
              </w:rPr>
              <w:t>本项目为非专门面向中小企业，根据《政府采购促进中小企业发展管理办法》（财库【2020】46号）及（财库[2022]19号）的规定，评标时将给予此类企业进行价格扣除10%的优惠，用优惠后的价格参与评审。</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3.本项目的资格要求：</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（1）具备合格的（三证合一）营业执照副本；</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（2）法定代表人投标时须提供法定代表人资格证明书，被委托代理人投标时须提供法定代表人授权委托书及被委托人身份证明；</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（3）投标企业须提供投标人（被授权在职人员）近</w:t>
            </w:r>
            <w:r>
              <w:rPr>
                <w:rFonts w:hint="eastAsia" w:ascii="仿宋" w:hAnsi="仿宋" w:eastAsia="仿宋" w:cs="仿宋"/>
                <w:color w:val="000000" w:themeColor="text1"/>
                <w:lang w:val="en-US" w:eastAsia="zh-CN"/>
              </w:rPr>
              <w:t>期</w:t>
            </w:r>
            <w:r>
              <w:rPr>
                <w:rFonts w:hint="eastAsia" w:ascii="仿宋" w:hAnsi="仿宋" w:eastAsia="仿宋" w:cs="仿宋"/>
                <w:color w:val="000000" w:themeColor="text1"/>
                <w:lang w:eastAsia="zh-CN"/>
              </w:rPr>
              <w:t>有效的社保证明；</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lang w:eastAsia="zh-CN"/>
              </w:rPr>
              <w:t>）未被“信用中国”（www.creditchina.gov.cn）、中国政府采购网（www.ccgp.gov.cn）列入失信被执行人、重大税收违法案件当事人名单、政府采购严重违法失信行为记录名单。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4.本项目不接受联合体投标；</w:t>
            </w:r>
          </w:p>
        </w:tc>
      </w:tr>
      <w:tr>
        <w:tblPrEx>
          <w:tblCellMar>
            <w:top w:w="0" w:type="dxa"/>
            <w:left w:w="108" w:type="dxa"/>
            <w:bottom w:w="0" w:type="dxa"/>
            <w:right w:w="108" w:type="dxa"/>
          </w:tblCellMar>
        </w:tblPrEx>
        <w:trPr>
          <w:trHeight w:val="4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b w:val="0"/>
                <w:bCs w:val="0"/>
                <w:color w:val="auto"/>
                <w:lang w:eastAsia="zh-CN"/>
              </w:rPr>
            </w:pPr>
            <w:r>
              <w:rPr>
                <w:rFonts w:hint="eastAsia" w:ascii="仿宋" w:hAnsi="仿宋" w:eastAsia="仿宋" w:cs="仿宋"/>
                <w:b w:val="0"/>
                <w:bCs w:val="0"/>
                <w:color w:val="auto"/>
                <w:lang w:eastAsia="zh-CN"/>
              </w:rPr>
              <w:t>资金来源</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中央直达资金</w:t>
            </w:r>
          </w:p>
        </w:tc>
      </w:tr>
      <w:tr>
        <w:tblPrEx>
          <w:tblCellMar>
            <w:top w:w="0" w:type="dxa"/>
            <w:left w:w="108" w:type="dxa"/>
            <w:bottom w:w="0" w:type="dxa"/>
            <w:right w:w="108" w:type="dxa"/>
          </w:tblCellMar>
        </w:tblPrEx>
        <w:trPr>
          <w:trHeight w:val="46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招标方式</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公开招标(本项目采用网上电子招投标)  </w:t>
            </w:r>
          </w:p>
        </w:tc>
      </w:tr>
      <w:tr>
        <w:tblPrEx>
          <w:tblCellMar>
            <w:top w:w="0" w:type="dxa"/>
            <w:left w:w="108" w:type="dxa"/>
            <w:bottom w:w="0" w:type="dxa"/>
            <w:right w:w="108" w:type="dxa"/>
          </w:tblCellMar>
        </w:tblPrEx>
        <w:trPr>
          <w:trHeight w:val="401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8</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供应商信用查询</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1、查询渠道：信用中国（网址：http://www.creditchina.gov.cn）、中国政府采购网(网址：http://www.ccgp.gov.cn）。</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2、截止时点：开标后评标前。</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3、信用信息查询记录和证据留存的具体方式：由采购组织机构在规定查询时间内打印信用信息查询记录并归入项目档案。</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7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9</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是否接受联合体投标</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FE"/>
            </w:r>
            <w:r>
              <w:rPr>
                <w:rFonts w:hint="eastAsia" w:ascii="仿宋" w:hAnsi="仿宋" w:eastAsia="仿宋" w:cs="仿宋"/>
                <w:color w:val="000000" w:themeColor="text1"/>
                <w:lang w:eastAsia="zh-CN"/>
              </w:rPr>
              <w:t>不接受</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□接  受</w:t>
            </w:r>
          </w:p>
        </w:tc>
      </w:tr>
      <w:tr>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投标截止时间 （开标时间）</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截止时间：</w:t>
            </w:r>
            <w:r>
              <w:rPr>
                <w:rFonts w:hint="eastAsia" w:ascii="仿宋" w:hAnsi="仿宋" w:eastAsia="仿宋" w:cs="仿宋"/>
                <w:b/>
                <w:bCs/>
                <w:color w:val="FF0000"/>
                <w:kern w:val="2"/>
                <w:lang w:eastAsia="zh-CN" w:bidi="ar-SA"/>
              </w:rPr>
              <w:t>202</w:t>
            </w:r>
            <w:r>
              <w:rPr>
                <w:rFonts w:hint="eastAsia" w:ascii="仿宋" w:hAnsi="仿宋" w:eastAsia="仿宋" w:cs="仿宋"/>
                <w:b/>
                <w:bCs/>
                <w:color w:val="FF0000"/>
                <w:kern w:val="2"/>
                <w:lang w:val="en-US" w:eastAsia="zh-CN" w:bidi="ar-SA"/>
              </w:rPr>
              <w:t>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lang w:val="en-US" w:eastAsia="zh-CN" w:bidi="ar-SA"/>
              </w:rPr>
              <w:t xml:space="preserve"> 5</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lang w:val="en-US" w:eastAsia="zh-CN" w:bidi="ar-SA"/>
              </w:rPr>
              <w:t>7</w:t>
            </w:r>
            <w:r>
              <w:rPr>
                <w:rFonts w:hint="eastAsia" w:ascii="仿宋" w:hAnsi="仿宋" w:eastAsia="仿宋" w:cs="仿宋"/>
                <w:b/>
                <w:bCs/>
                <w:color w:val="FF0000"/>
                <w:kern w:val="2"/>
                <w:lang w:eastAsia="zh-CN" w:bidi="ar-SA"/>
              </w:rPr>
              <w:t>日</w:t>
            </w:r>
            <w:r>
              <w:rPr>
                <w:rFonts w:hint="eastAsia" w:ascii="仿宋" w:hAnsi="仿宋" w:eastAsia="仿宋" w:cs="仿宋"/>
                <w:color w:val="000000" w:themeColor="text1"/>
                <w:lang w:eastAsia="zh-CN"/>
              </w:rPr>
              <w:t>上午10时30分（北京时间）</w:t>
            </w:r>
          </w:p>
        </w:tc>
      </w:tr>
      <w:tr>
        <w:tblPrEx>
          <w:tblCellMar>
            <w:top w:w="0" w:type="dxa"/>
            <w:left w:w="108" w:type="dxa"/>
            <w:bottom w:w="0" w:type="dxa"/>
            <w:right w:w="108" w:type="dxa"/>
          </w:tblCellMar>
        </w:tblPrEx>
        <w:trPr>
          <w:trHeight w:val="4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11</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投标有效期</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60 天</w:t>
            </w:r>
          </w:p>
        </w:tc>
      </w:tr>
      <w:tr>
        <w:tblPrEx>
          <w:tblCellMar>
            <w:top w:w="0" w:type="dxa"/>
            <w:left w:w="108" w:type="dxa"/>
            <w:bottom w:w="0" w:type="dxa"/>
            <w:right w:w="108" w:type="dxa"/>
          </w:tblCellMar>
        </w:tblPrEx>
        <w:trPr>
          <w:trHeight w:val="63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000000" w:themeColor="text1"/>
                <w:lang w:eastAsia="zh-CN"/>
              </w:rPr>
              <w:t>投标保证金缴纳方式：投标保证金应当以支票、汇票、本票、网上银行支付等方式，优先推荐金融机构、担保机构出具的保函等非现金形式缴纳。</w:t>
            </w:r>
            <w:r>
              <w:rPr>
                <w:rFonts w:hint="eastAsia" w:ascii="仿宋" w:hAnsi="仿宋" w:eastAsia="仿宋" w:cs="仿宋"/>
                <w:color w:val="000000" w:themeColor="text1"/>
                <w:lang w:eastAsia="zh-CN"/>
              </w:rPr>
              <w:t>。</w:t>
            </w:r>
          </w:p>
          <w:p>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FF0000"/>
                <w:lang w:eastAsia="zh-CN"/>
              </w:rPr>
            </w:pPr>
            <w:r>
              <w:rPr>
                <w:rFonts w:hint="eastAsia" w:ascii="仿宋" w:hAnsi="仿宋" w:eastAsia="仿宋" w:cs="仿宋"/>
                <w:b/>
                <w:bCs/>
                <w:color w:val="000000" w:themeColor="text1"/>
                <w:lang w:eastAsia="zh-CN"/>
              </w:rPr>
              <w:t>投标保证金的金额：</w:t>
            </w:r>
            <w:r>
              <w:rPr>
                <w:rFonts w:hint="eastAsia" w:ascii="仿宋" w:hAnsi="仿宋" w:eastAsia="仿宋" w:cs="仿宋"/>
                <w:b/>
                <w:bCs/>
                <w:color w:val="FF0000"/>
                <w:lang w:val="en-US" w:eastAsia="zh-CN"/>
              </w:rPr>
              <w:t>30000.00</w:t>
            </w:r>
            <w:r>
              <w:rPr>
                <w:rFonts w:hint="eastAsia" w:ascii="仿宋" w:hAnsi="仿宋" w:eastAsia="仿宋" w:cs="仿宋"/>
                <w:b/>
                <w:bCs/>
                <w:color w:val="FF0000"/>
                <w:lang w:eastAsia="zh-CN"/>
              </w:rPr>
              <w:t>（</w:t>
            </w:r>
            <w:r>
              <w:rPr>
                <w:rFonts w:hint="eastAsia" w:ascii="仿宋" w:hAnsi="仿宋" w:eastAsia="仿宋" w:cs="仿宋"/>
                <w:b/>
                <w:bCs/>
                <w:color w:val="FF0000"/>
                <w:lang w:val="en-US" w:eastAsia="zh-CN"/>
              </w:rPr>
              <w:t>叁</w:t>
            </w:r>
            <w:r>
              <w:rPr>
                <w:rFonts w:hint="eastAsia" w:ascii="仿宋" w:hAnsi="仿宋" w:eastAsia="仿宋" w:cs="仿宋"/>
                <w:b/>
                <w:bCs/>
                <w:color w:val="FF0000"/>
                <w:lang w:eastAsia="zh-CN"/>
              </w:rPr>
              <w:t>万</w:t>
            </w:r>
            <w:r>
              <w:rPr>
                <w:rFonts w:hint="eastAsia" w:ascii="仿宋" w:hAnsi="仿宋" w:eastAsia="仿宋" w:cs="仿宋"/>
                <w:b/>
                <w:bCs/>
                <w:color w:val="FF0000"/>
                <w:lang w:val="en-US" w:eastAsia="zh-CN"/>
              </w:rPr>
              <w:t>圆</w:t>
            </w:r>
            <w:r>
              <w:rPr>
                <w:rFonts w:hint="eastAsia" w:ascii="仿宋" w:hAnsi="仿宋" w:eastAsia="仿宋" w:cs="仿宋"/>
                <w:b/>
                <w:bCs/>
                <w:color w:val="FF0000"/>
                <w:lang w:eastAsia="zh-CN"/>
              </w:rPr>
              <w:t>整）。</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auto"/>
                <w:lang w:val="en-US" w:eastAsia="zh-CN"/>
              </w:rPr>
              <w:t>一、</w:t>
            </w:r>
            <w:r>
              <w:rPr>
                <w:rFonts w:hint="eastAsia" w:ascii="仿宋" w:hAnsi="仿宋" w:eastAsia="仿宋" w:cs="仿宋"/>
                <w:b/>
                <w:bCs/>
                <w:color w:val="000000" w:themeColor="text1"/>
                <w:lang w:eastAsia="zh-CN"/>
              </w:rPr>
              <w:t>投标保证金缴纳要求：</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1、投标保证金以电汇、网银形式提交的，应在投标截止前以总公司的基本账户一次性汇入指定账户（以到账时间为准），不接受现金及任何个人汇款。汇款凭证</w:t>
            </w:r>
            <w:r>
              <w:rPr>
                <w:rFonts w:hint="eastAsia" w:ascii="仿宋" w:hAnsi="仿宋" w:eastAsia="仿宋" w:cs="仿宋"/>
                <w:color w:val="000000" w:themeColor="text1"/>
                <w:lang w:val="en-US" w:eastAsia="zh-CN"/>
              </w:rPr>
              <w:t>或保函</w:t>
            </w:r>
            <w:r>
              <w:rPr>
                <w:rFonts w:hint="eastAsia" w:ascii="仿宋" w:hAnsi="仿宋" w:eastAsia="仿宋" w:cs="仿宋"/>
                <w:color w:val="000000" w:themeColor="text1"/>
                <w:lang w:eastAsia="zh-CN"/>
              </w:rPr>
              <w:t>作为该项目投标保证金的缴纳依据。</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2、其他特殊情况处理：有效投标保证金成功交纳后，截止开标时间，供应商无正当理由不参加该项目投标且不递交弃标函，投标保证金不予退还。</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户名：阿图什市政务服务和公共资源交易中心</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账号：30456301040005267</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行名：中国农业银行阿图什市天山分理处</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行号：103893045636</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联系人：祝女士</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 xml:space="preserve">电话：0908-4222076     </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（备注：必须写清楚xx公司xx项目保证金）</w:t>
            </w:r>
          </w:p>
          <w:p>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000000" w:themeColor="text1"/>
                <w:lang w:eastAsia="zh-CN"/>
              </w:rPr>
            </w:pPr>
            <w:r>
              <w:rPr>
                <w:rFonts w:hint="eastAsia" w:ascii="仿宋" w:hAnsi="仿宋" w:eastAsia="仿宋" w:cs="仿宋"/>
                <w:b/>
                <w:bCs/>
                <w:color w:val="000000" w:themeColor="text1"/>
                <w:lang w:eastAsia="zh-CN"/>
              </w:rPr>
              <w:t>二、申请退还投标保证金资料（招投标结束中标结果公示后）：</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1、投标企业：待开标完成后，未中标企业3</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个工作日内政资中心将收取的项目投标保证金按投标企业基本户退回。</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2、中标企业：需提供已签订合同复印件一份，复印件每页需加盖企业鲜章（并携带合同原件，由中心工作人员核对后退还）。</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三、其他特殊情况处理：</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1、按照招标文件要求规定：投标企业无正当理由不参加该项目投标且在规定开标时间前不递交弃标函，投标保证金不予退还。                             </w:t>
            </w:r>
          </w:p>
        </w:tc>
      </w:tr>
      <w:tr>
        <w:tblPrEx>
          <w:tblCellMar>
            <w:top w:w="0" w:type="dxa"/>
            <w:left w:w="108" w:type="dxa"/>
            <w:bottom w:w="0" w:type="dxa"/>
            <w:right w:w="108" w:type="dxa"/>
          </w:tblCellMar>
        </w:tblPrEx>
        <w:trPr>
          <w:trHeight w:val="86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13</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是否允许递交备选投标方案</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FE"/>
            </w:r>
            <w:r>
              <w:rPr>
                <w:rFonts w:hint="eastAsia" w:ascii="仿宋" w:hAnsi="仿宋" w:eastAsia="仿宋" w:cs="仿宋"/>
                <w:color w:val="000000" w:themeColor="text1"/>
                <w:lang w:eastAsia="zh-CN"/>
              </w:rPr>
              <w:t>不允许</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A8"/>
            </w:r>
            <w:r>
              <w:rPr>
                <w:rFonts w:hint="eastAsia" w:ascii="仿宋" w:hAnsi="仿宋" w:eastAsia="仿宋" w:cs="仿宋"/>
                <w:color w:val="000000" w:themeColor="text1"/>
                <w:lang w:eastAsia="zh-CN"/>
              </w:rPr>
              <w:t>允  许</w:t>
            </w:r>
          </w:p>
        </w:tc>
      </w:tr>
      <w:tr>
        <w:tblPrEx>
          <w:tblCellMar>
            <w:top w:w="0" w:type="dxa"/>
            <w:left w:w="108" w:type="dxa"/>
            <w:bottom w:w="0" w:type="dxa"/>
            <w:right w:w="108" w:type="dxa"/>
          </w:tblCellMar>
        </w:tblPrEx>
        <w:trPr>
          <w:trHeight w:val="67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14</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招标文件领取</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时间：</w:t>
            </w:r>
            <w:r>
              <w:rPr>
                <w:rFonts w:hint="eastAsia" w:ascii="仿宋" w:hAnsi="仿宋" w:eastAsia="仿宋" w:cs="仿宋"/>
                <w:b/>
                <w:bCs/>
                <w:color w:val="FF0000"/>
                <w:u w:val="single"/>
                <w:lang w:eastAsia="zh-CN"/>
              </w:rPr>
              <w:t>202</w:t>
            </w:r>
            <w:r>
              <w:rPr>
                <w:rFonts w:hint="eastAsia" w:ascii="仿宋" w:hAnsi="仿宋" w:eastAsia="仿宋" w:cs="仿宋"/>
                <w:b/>
                <w:bCs/>
                <w:color w:val="FF0000"/>
                <w:u w:val="single"/>
                <w:lang w:val="en-US" w:eastAsia="zh-CN"/>
              </w:rPr>
              <w:t>4</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4</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16</w:t>
            </w:r>
            <w:r>
              <w:rPr>
                <w:rFonts w:hint="eastAsia" w:ascii="仿宋" w:hAnsi="仿宋" w:eastAsia="仿宋" w:cs="仿宋"/>
                <w:b/>
                <w:bCs/>
                <w:color w:val="FF0000"/>
                <w:u w:val="single"/>
                <w:lang w:eastAsia="zh-CN"/>
              </w:rPr>
              <w:t>日至202</w:t>
            </w:r>
            <w:r>
              <w:rPr>
                <w:rFonts w:hint="eastAsia" w:ascii="仿宋" w:hAnsi="仿宋" w:eastAsia="仿宋" w:cs="仿宋"/>
                <w:b/>
                <w:bCs/>
                <w:color w:val="FF0000"/>
                <w:u w:val="single"/>
                <w:lang w:val="en-US" w:eastAsia="zh-CN"/>
              </w:rPr>
              <w:t>4</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 xml:space="preserve"> 4 </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 xml:space="preserve"> 24</w:t>
            </w:r>
            <w:r>
              <w:rPr>
                <w:rFonts w:hint="eastAsia" w:ascii="仿宋" w:hAnsi="仿宋" w:eastAsia="仿宋" w:cs="仿宋"/>
                <w:color w:val="000000" w:themeColor="text1"/>
                <w:u w:val="single"/>
                <w:lang w:eastAsia="zh-CN"/>
              </w:rPr>
              <w:t>日</w:t>
            </w:r>
            <w:r>
              <w:rPr>
                <w:rFonts w:hint="eastAsia" w:ascii="仿宋" w:hAnsi="仿宋" w:eastAsia="仿宋" w:cs="仿宋"/>
                <w:color w:val="000000" w:themeColor="text1"/>
                <w:lang w:eastAsia="zh-CN"/>
              </w:rPr>
              <w:t>，每天上午10:00至1</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0，下午16:</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0至</w:t>
            </w:r>
            <w:r>
              <w:rPr>
                <w:rFonts w:hint="eastAsia" w:ascii="仿宋" w:hAnsi="仿宋" w:eastAsia="仿宋" w:cs="仿宋"/>
                <w:color w:val="000000" w:themeColor="text1"/>
                <w:lang w:val="en-US" w:eastAsia="zh-CN"/>
              </w:rPr>
              <w:t>19</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3</w:t>
            </w:r>
            <w:r>
              <w:rPr>
                <w:rFonts w:hint="eastAsia" w:ascii="仿宋" w:hAnsi="仿宋" w:eastAsia="仿宋" w:cs="仿宋"/>
                <w:color w:val="000000" w:themeColor="text1"/>
                <w:lang w:eastAsia="zh-CN"/>
              </w:rPr>
              <w:t>0（北京时间，节假日除外）</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地点：供应商登陆政采云平台http://www.zcygov.cn/，在线申请获取招标文件 （登录政府采购云平台 → 项目采购 → 获取招标文件 ，如有操作性问题，可与政采云在线客服进行咨询，咨询电话：95763）。</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方式：（1）供应商登录政采云平台https://www.zcygov.cn/在线申请获取采购文件（进入“项目采购”应用，在获取采购文件菜单中选择项目，申请获取采购文件）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（2）供应商获取招标文件前应注册成为政府采购云平台正式供应商。</w:t>
            </w:r>
          </w:p>
        </w:tc>
      </w:tr>
      <w:tr>
        <w:tblPrEx>
          <w:tblCellMar>
            <w:top w:w="0" w:type="dxa"/>
            <w:left w:w="108" w:type="dxa"/>
            <w:bottom w:w="0" w:type="dxa"/>
            <w:right w:w="108" w:type="dxa"/>
          </w:tblCellMar>
        </w:tblPrEx>
        <w:trPr>
          <w:trHeight w:val="84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15</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投标文件形式</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电子投标文件包括“电子加密投标文件”和“备份投标文件”，在投标文件编制完成后同时生成。</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1、“电子加密投标文件”是指通过“政采云电子交易客户端”完成投标文件编制后生成并加密的数据电文形式的投标文件。</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16</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投标文件份数及要求</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1、一份电子加密标书（“.jmbs”格式），一份备份标书文件（“.bfbs”格式）。</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2、每份电子投标文件应包括资格证明文件和商务及技术文件两部分。</w:t>
            </w:r>
          </w:p>
        </w:tc>
      </w:tr>
      <w:tr>
        <w:tblPrEx>
          <w:tblCellMar>
            <w:top w:w="0" w:type="dxa"/>
            <w:left w:w="108" w:type="dxa"/>
            <w:bottom w:w="0" w:type="dxa"/>
            <w:right w:w="108" w:type="dxa"/>
          </w:tblCellMar>
        </w:tblPrEx>
        <w:trPr>
          <w:trHeight w:val="2217" w:hRule="atLeast"/>
          <w:jc w:val="center"/>
        </w:trPr>
        <w:tc>
          <w:tcPr>
            <w:tcW w:w="63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17</w:t>
            </w:r>
          </w:p>
        </w:tc>
        <w:tc>
          <w:tcPr>
            <w:tcW w:w="148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投标文件的上传和递交</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a.供应商未能在投标截止时间前成功上传电子加密投标文件的投标无效。</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63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p>
        </w:tc>
        <w:tc>
          <w:tcPr>
            <w:tcW w:w="148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000000" w:themeColor="text1"/>
                <w:lang w:val="en-US" w:eastAsia="zh-CN"/>
              </w:rPr>
              <w:t>739301695</w:t>
            </w:r>
            <w:r>
              <w:rPr>
                <w:rFonts w:hint="eastAsia" w:ascii="仿宋" w:hAnsi="仿宋" w:eastAsia="仿宋" w:cs="仿宋"/>
                <w:color w:val="000000" w:themeColor="text1"/>
                <w:lang w:eastAsia="zh-CN"/>
              </w:rPr>
              <w:t>@qq.com，接收人：</w:t>
            </w:r>
            <w:r>
              <w:rPr>
                <w:rFonts w:hint="eastAsia" w:ascii="仿宋" w:hAnsi="仿宋" w:eastAsia="仿宋" w:cs="仿宋"/>
                <w:color w:val="000000" w:themeColor="text1"/>
                <w:lang w:val="en-US" w:eastAsia="zh-CN"/>
              </w:rPr>
              <w:t>魏女士</w:t>
            </w:r>
            <w:r>
              <w:rPr>
                <w:rFonts w:hint="eastAsia" w:ascii="仿宋" w:hAnsi="仿宋" w:eastAsia="仿宋" w:cs="仿宋"/>
                <w:color w:val="000000" w:themeColor="text1"/>
                <w:lang w:eastAsia="zh-CN"/>
              </w:rPr>
              <w:t>，电话：</w:t>
            </w:r>
            <w:r>
              <w:rPr>
                <w:rFonts w:hint="eastAsia" w:ascii="仿宋" w:hAnsi="仿宋" w:eastAsia="仿宋" w:cs="仿宋"/>
                <w:color w:val="000000" w:themeColor="text1"/>
                <w:lang w:val="en-US" w:eastAsia="zh-CN"/>
              </w:rPr>
              <w:t>17799081359</w:t>
            </w:r>
            <w:r>
              <w:rPr>
                <w:rFonts w:hint="eastAsia" w:ascii="仿宋" w:hAnsi="仿宋" w:eastAsia="仿宋" w:cs="仿宋"/>
                <w:color w:val="000000" w:themeColor="text1"/>
                <w:lang w:eastAsia="zh-CN"/>
              </w:rPr>
              <w:t>），“备份投标文件”由供应商自愿提供，招标文件 不作强制性要求；如不提供或未按要求提供的，当电子投标文件无法解密时，将导致无备份投标文件而失去投标资格。</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18</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评标委员会的组建</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评标委员会由招标人依法组建；</w:t>
            </w:r>
            <w:r>
              <w:rPr>
                <w:rFonts w:hint="eastAsia" w:ascii="仿宋" w:hAnsi="仿宋" w:eastAsia="仿宋" w:cs="仿宋"/>
                <w:b/>
                <w:bCs/>
                <w:color w:val="000000" w:themeColor="text1"/>
                <w:lang w:val="zh-CN" w:eastAsia="zh-CN"/>
              </w:rPr>
              <w:t>采购人代表</w:t>
            </w:r>
            <w:r>
              <w:rPr>
                <w:rFonts w:hint="eastAsia" w:ascii="仿宋" w:hAnsi="仿宋" w:eastAsia="仿宋" w:cs="仿宋"/>
                <w:b/>
                <w:bCs/>
                <w:color w:val="000000" w:themeColor="text1"/>
                <w:lang w:val="en-US" w:eastAsia="zh-CN"/>
              </w:rPr>
              <w:t>1</w:t>
            </w:r>
            <w:r>
              <w:rPr>
                <w:rFonts w:hint="eastAsia" w:ascii="仿宋" w:hAnsi="仿宋" w:eastAsia="仿宋" w:cs="仿宋"/>
                <w:b/>
                <w:bCs/>
                <w:color w:val="000000" w:themeColor="text1"/>
                <w:lang w:val="zh-CN" w:eastAsia="zh-CN"/>
              </w:rPr>
              <w:t>人，评审专家</w:t>
            </w:r>
            <w:r>
              <w:rPr>
                <w:rFonts w:hint="eastAsia" w:ascii="仿宋" w:hAnsi="仿宋" w:eastAsia="仿宋" w:cs="仿宋"/>
                <w:b/>
                <w:bCs/>
                <w:color w:val="000000" w:themeColor="text1"/>
                <w:lang w:val="en-US" w:eastAsia="zh-CN"/>
              </w:rPr>
              <w:t>4</w:t>
            </w:r>
            <w:r>
              <w:rPr>
                <w:rFonts w:hint="eastAsia" w:ascii="仿宋" w:hAnsi="仿宋" w:eastAsia="仿宋" w:cs="仿宋"/>
                <w:b/>
                <w:bCs/>
                <w:color w:val="000000" w:themeColor="text1"/>
                <w:lang w:val="zh-CN" w:eastAsia="zh-CN"/>
              </w:rPr>
              <w:t>人，共</w:t>
            </w:r>
            <w:r>
              <w:rPr>
                <w:rFonts w:hint="eastAsia" w:ascii="仿宋" w:hAnsi="仿宋" w:eastAsia="仿宋" w:cs="仿宋"/>
                <w:b/>
                <w:bCs/>
                <w:color w:val="000000" w:themeColor="text1"/>
                <w:lang w:val="en-US" w:eastAsia="zh-CN"/>
              </w:rPr>
              <w:t>5</w:t>
            </w:r>
            <w:r>
              <w:rPr>
                <w:rFonts w:hint="eastAsia" w:ascii="仿宋" w:hAnsi="仿宋" w:eastAsia="仿宋" w:cs="仿宋"/>
                <w:b/>
                <w:bCs/>
                <w:color w:val="000000" w:themeColor="text1"/>
                <w:lang w:val="zh-CN" w:eastAsia="zh-CN"/>
              </w:rPr>
              <w:t>人。</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评标专家确定方式：评标委员会由招标人在开标前从政采云专家库中随机抽取</w:t>
            </w:r>
          </w:p>
        </w:tc>
      </w:tr>
      <w:tr>
        <w:tblPrEx>
          <w:tblCellMar>
            <w:top w:w="0" w:type="dxa"/>
            <w:left w:w="108" w:type="dxa"/>
            <w:bottom w:w="0" w:type="dxa"/>
            <w:right w:w="108" w:type="dxa"/>
          </w:tblCellMar>
        </w:tblPrEx>
        <w:trPr>
          <w:trHeight w:val="130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19</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是否授权评标委员会确定中标候选人</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eastAsia="zh-CN"/>
              </w:rPr>
              <w:t>是</w:t>
            </w:r>
          </w:p>
        </w:tc>
      </w:tr>
      <w:tr>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递交投标文件地点</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投标截止时间：</w:t>
            </w:r>
            <w:r>
              <w:rPr>
                <w:rFonts w:hint="eastAsia" w:ascii="仿宋" w:hAnsi="仿宋" w:eastAsia="仿宋" w:cs="仿宋"/>
                <w:b/>
                <w:bCs/>
                <w:color w:val="FF0000"/>
                <w:kern w:val="2"/>
                <w:lang w:eastAsia="zh-CN" w:bidi="ar-SA"/>
              </w:rPr>
              <w:t>202</w:t>
            </w:r>
            <w:r>
              <w:rPr>
                <w:rFonts w:hint="eastAsia" w:ascii="仿宋" w:hAnsi="仿宋" w:eastAsia="仿宋" w:cs="仿宋"/>
                <w:b/>
                <w:bCs/>
                <w:color w:val="FF0000"/>
                <w:kern w:val="2"/>
                <w:lang w:val="en-US" w:eastAsia="zh-CN" w:bidi="ar-SA"/>
              </w:rPr>
              <w:t>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u w:val="single"/>
                <w:shd w:val="clear" w:color="auto" w:fill="auto"/>
                <w:lang w:val="en-US" w:eastAsia="zh-CN" w:bidi="ar-SA"/>
              </w:rPr>
              <w:t xml:space="preserve"> 5 </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u w:val="single"/>
                <w:lang w:val="en-US" w:eastAsia="zh-CN" w:bidi="ar-SA"/>
              </w:rPr>
              <w:t xml:space="preserve"> 7 </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上午10时30分</w:t>
            </w:r>
            <w:r>
              <w:rPr>
                <w:rFonts w:hint="eastAsia" w:ascii="仿宋" w:hAnsi="仿宋" w:eastAsia="仿宋" w:cs="仿宋"/>
                <w:color w:val="000000" w:themeColor="text1"/>
                <w:lang w:eastAsia="zh-CN"/>
              </w:rPr>
              <w:t>（北京时间）</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投标地点：新疆政府采购云平台（www.zcygov.cn）</w:t>
            </w:r>
          </w:p>
        </w:tc>
      </w:tr>
      <w:tr>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21</w:t>
            </w:r>
          </w:p>
        </w:tc>
        <w:tc>
          <w:tcPr>
            <w:tcW w:w="148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开标时间和地点</w:t>
            </w:r>
          </w:p>
        </w:tc>
        <w:tc>
          <w:tcPr>
            <w:tcW w:w="782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开标时间：</w:t>
            </w:r>
            <w:r>
              <w:rPr>
                <w:rFonts w:hint="eastAsia" w:ascii="仿宋" w:hAnsi="仿宋" w:eastAsia="仿宋" w:cs="仿宋"/>
                <w:b/>
                <w:bCs/>
                <w:color w:val="FF0000"/>
                <w:kern w:val="2"/>
                <w:lang w:eastAsia="zh-CN" w:bidi="ar-SA"/>
              </w:rPr>
              <w:t>202</w:t>
            </w:r>
            <w:r>
              <w:rPr>
                <w:rFonts w:hint="eastAsia" w:ascii="仿宋" w:hAnsi="仿宋" w:eastAsia="仿宋" w:cs="仿宋"/>
                <w:b/>
                <w:bCs/>
                <w:color w:val="FF0000"/>
                <w:kern w:val="2"/>
                <w:lang w:val="en-US" w:eastAsia="zh-CN" w:bidi="ar-SA"/>
              </w:rPr>
              <w:t>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u w:val="single"/>
                <w:shd w:val="clear" w:color="auto" w:fill="auto"/>
                <w:lang w:val="en-US" w:eastAsia="zh-CN" w:bidi="ar-SA"/>
              </w:rPr>
              <w:t xml:space="preserve"> 5 </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u w:val="single"/>
                <w:lang w:val="en-US" w:eastAsia="zh-CN" w:bidi="ar-SA"/>
              </w:rPr>
              <w:t xml:space="preserve"> 7 </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上午10时30分（</w:t>
            </w:r>
            <w:r>
              <w:rPr>
                <w:rFonts w:hint="eastAsia" w:ascii="仿宋" w:hAnsi="仿宋" w:eastAsia="仿宋" w:cs="仿宋"/>
                <w:color w:val="000000" w:themeColor="text1"/>
                <w:lang w:eastAsia="zh-CN"/>
              </w:rPr>
              <w:t>北京时间）</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开标地点：新疆政府采购云平台（www.zcygov.cn）         </w:t>
            </w:r>
          </w:p>
        </w:tc>
      </w:tr>
      <w:tr>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中标候选人公示媒介</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新疆政府采购网、克州公共资源交易网，公示期为一个工作日。</w:t>
            </w:r>
          </w:p>
        </w:tc>
      </w:tr>
      <w:tr>
        <w:tblPrEx>
          <w:tblCellMar>
            <w:top w:w="0" w:type="dxa"/>
            <w:left w:w="108" w:type="dxa"/>
            <w:bottom w:w="0" w:type="dxa"/>
            <w:right w:w="108" w:type="dxa"/>
          </w:tblCellMar>
        </w:tblPrEx>
        <w:trPr>
          <w:trHeight w:val="41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23</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招标代理服务费</w:t>
            </w:r>
          </w:p>
        </w:tc>
      </w:tr>
      <w:tr>
        <w:tblPrEx>
          <w:tblCellMar>
            <w:top w:w="0" w:type="dxa"/>
            <w:left w:w="108" w:type="dxa"/>
            <w:bottom w:w="0" w:type="dxa"/>
            <w:right w:w="108" w:type="dxa"/>
          </w:tblCellMar>
        </w:tblPrEx>
        <w:trPr>
          <w:trHeight w:val="52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中标单位在领取本项目中标通知书时，</w:t>
            </w:r>
            <w:r>
              <w:rPr>
                <w:rFonts w:hint="eastAsia" w:ascii="仿宋" w:hAnsi="仿宋" w:eastAsia="仿宋" w:cs="仿宋"/>
                <w:color w:val="000000" w:themeColor="text1"/>
                <w:lang w:val="en-US" w:eastAsia="zh-CN"/>
              </w:rPr>
              <w:t>根据</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中华人民共和国招标投标法》《中华人民共和国招标投标法实施条例》《国家发展改革委关于进一步放开建设项目专业服务价格的通知》</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发改</w:t>
            </w:r>
            <w:r>
              <w:rPr>
                <w:rFonts w:hint="eastAsia" w:ascii="仿宋" w:hAnsi="仿宋" w:eastAsia="仿宋" w:cs="仿宋"/>
                <w:color w:val="000000" w:themeColor="text1"/>
                <w:lang w:eastAsia="zh-CN"/>
              </w:rPr>
              <w:t>价格[20</w:t>
            </w:r>
            <w:r>
              <w:rPr>
                <w:rFonts w:hint="eastAsia" w:ascii="仿宋" w:hAnsi="仿宋" w:eastAsia="仿宋" w:cs="仿宋"/>
                <w:color w:val="000000" w:themeColor="text1"/>
                <w:lang w:val="en-US" w:eastAsia="zh-CN"/>
              </w:rPr>
              <w:t>15</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299</w:t>
            </w:r>
            <w:r>
              <w:rPr>
                <w:rFonts w:hint="eastAsia" w:ascii="仿宋" w:hAnsi="仿宋" w:eastAsia="仿宋" w:cs="仿宋"/>
                <w:color w:val="000000" w:themeColor="text1"/>
                <w:lang w:eastAsia="zh-CN"/>
              </w:rPr>
              <w:t>号）</w:t>
            </w:r>
            <w:r>
              <w:rPr>
                <w:rFonts w:hint="eastAsia" w:ascii="仿宋" w:hAnsi="仿宋" w:eastAsia="仿宋" w:cs="仿宋"/>
                <w:color w:val="000000" w:themeColor="text1"/>
                <w:lang w:val="en-US" w:eastAsia="zh-CN"/>
              </w:rPr>
              <w:t>及新建招协</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2024</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4号文件规定</w:t>
            </w:r>
            <w:r>
              <w:rPr>
                <w:rFonts w:hint="eastAsia" w:ascii="仿宋" w:hAnsi="仿宋" w:eastAsia="仿宋" w:cs="仿宋"/>
                <w:color w:val="000000" w:themeColor="text1"/>
                <w:lang w:eastAsia="zh-CN"/>
              </w:rPr>
              <w:t>由中标单位向招标代理机构支付本项目代理费。收费标准如下：</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招标代理服务收费标准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中标金额（万元）</w:t>
                  </w:r>
                </w:p>
              </w:tc>
              <w:tc>
                <w:tcPr>
                  <w:tcW w:w="1546"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货物招标</w:t>
                  </w:r>
                </w:p>
              </w:tc>
              <w:tc>
                <w:tcPr>
                  <w:tcW w:w="1907"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服务招标</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100以下</w:t>
                  </w:r>
                </w:p>
              </w:tc>
              <w:tc>
                <w:tcPr>
                  <w:tcW w:w="1546"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w:t>
                  </w:r>
                </w:p>
              </w:tc>
              <w:tc>
                <w:tcPr>
                  <w:tcW w:w="1907"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100-500</w:t>
                  </w:r>
                </w:p>
              </w:tc>
              <w:tc>
                <w:tcPr>
                  <w:tcW w:w="1546"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1.1</w:t>
                  </w: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w:t>
                  </w:r>
                </w:p>
              </w:tc>
              <w:tc>
                <w:tcPr>
                  <w:tcW w:w="1907"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0.84</w:t>
                  </w:r>
                  <w:r>
                    <w:rPr>
                      <w:rFonts w:hint="eastAsia" w:ascii="仿宋" w:hAnsi="仿宋" w:eastAsia="仿宋" w:cs="仿宋"/>
                      <w:color w:val="000000" w:themeColor="text1"/>
                      <w:lang w:eastAsia="zh-CN"/>
                    </w:rPr>
                    <w:t>%</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500-1000</w:t>
                  </w:r>
                </w:p>
              </w:tc>
              <w:tc>
                <w:tcPr>
                  <w:tcW w:w="1546"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93</w:t>
                  </w:r>
                  <w:r>
                    <w:rPr>
                      <w:rFonts w:hint="eastAsia" w:ascii="仿宋" w:hAnsi="仿宋" w:eastAsia="仿宋" w:cs="仿宋"/>
                      <w:color w:val="000000" w:themeColor="text1"/>
                      <w:lang w:eastAsia="zh-CN"/>
                    </w:rPr>
                    <w:t>%</w:t>
                  </w:r>
                </w:p>
              </w:tc>
              <w:tc>
                <w:tcPr>
                  <w:tcW w:w="1907"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62</w:t>
                  </w:r>
                  <w:r>
                    <w:rPr>
                      <w:rFonts w:hint="eastAsia" w:ascii="仿宋" w:hAnsi="仿宋" w:eastAsia="仿宋" w:cs="仿宋"/>
                      <w:color w:val="000000" w:themeColor="text1"/>
                      <w:lang w:eastAsia="zh-CN"/>
                    </w:rPr>
                    <w:t>%</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1000-5000</w:t>
                  </w:r>
                </w:p>
              </w:tc>
              <w:tc>
                <w:tcPr>
                  <w:tcW w:w="1546"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61</w:t>
                  </w:r>
                  <w:r>
                    <w:rPr>
                      <w:rFonts w:hint="eastAsia" w:ascii="仿宋" w:hAnsi="仿宋" w:eastAsia="仿宋" w:cs="仿宋"/>
                      <w:color w:val="000000" w:themeColor="text1"/>
                      <w:lang w:eastAsia="zh-CN"/>
                    </w:rPr>
                    <w:t>%</w:t>
                  </w:r>
                </w:p>
              </w:tc>
              <w:tc>
                <w:tcPr>
                  <w:tcW w:w="1907"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35</w:t>
                  </w:r>
                  <w:r>
                    <w:rPr>
                      <w:rFonts w:hint="eastAsia" w:ascii="仿宋" w:hAnsi="仿宋" w:eastAsia="仿宋" w:cs="仿宋"/>
                      <w:color w:val="000000" w:themeColor="text1"/>
                      <w:lang w:eastAsia="zh-CN"/>
                    </w:rPr>
                    <w:t>%</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bl>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招标代理服务收费按差额定率累进法计算。例如：某项目招标代理业务中标金额为2000万元，计算招标代理服务收费额如下：</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100万元×1.</w:t>
            </w:r>
            <w:r>
              <w:rPr>
                <w:rFonts w:hint="eastAsia" w:ascii="仿宋" w:hAnsi="仿宋" w:eastAsia="仿宋" w:cs="仿宋"/>
                <w:color w:val="000000" w:themeColor="text1"/>
                <w:lang w:val="en-US" w:eastAsia="zh-CN"/>
              </w:rPr>
              <w:t>58</w:t>
            </w: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（万元）；</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00-</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00）万元×1.1</w:t>
            </w: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4.64</w:t>
            </w:r>
            <w:r>
              <w:rPr>
                <w:rFonts w:hint="eastAsia" w:ascii="仿宋" w:hAnsi="仿宋" w:eastAsia="仿宋" w:cs="仿宋"/>
                <w:color w:val="000000" w:themeColor="text1"/>
                <w:lang w:eastAsia="zh-CN"/>
              </w:rPr>
              <w:t>（万元）</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0）万元×0.</w:t>
            </w:r>
            <w:r>
              <w:rPr>
                <w:rFonts w:hint="eastAsia" w:ascii="仿宋" w:hAnsi="仿宋" w:eastAsia="仿宋" w:cs="仿宋"/>
                <w:color w:val="000000" w:themeColor="text1"/>
                <w:lang w:val="en-US" w:eastAsia="zh-CN"/>
              </w:rPr>
              <w:t>93</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4.65</w:t>
            </w:r>
            <w:r>
              <w:rPr>
                <w:rFonts w:hint="eastAsia" w:ascii="仿宋" w:hAnsi="仿宋" w:eastAsia="仿宋" w:cs="仿宋"/>
                <w:color w:val="000000" w:themeColor="text1"/>
                <w:lang w:eastAsia="zh-CN"/>
              </w:rPr>
              <w:t>（万元）</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sz w:val="21"/>
                <w:szCs w:val="21"/>
                <w:lang w:val="en-US"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000-</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000）万元×0.</w:t>
            </w:r>
            <w:r>
              <w:rPr>
                <w:rFonts w:hint="eastAsia" w:ascii="仿宋" w:hAnsi="仿宋" w:eastAsia="仿宋" w:cs="仿宋"/>
                <w:color w:val="000000" w:themeColor="text1"/>
                <w:lang w:val="en-US" w:eastAsia="zh-CN"/>
              </w:rPr>
              <w:t>61</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24.4</w:t>
            </w:r>
            <w:r>
              <w:rPr>
                <w:rFonts w:hint="eastAsia" w:ascii="仿宋" w:hAnsi="仿宋" w:eastAsia="仿宋" w:cs="仿宋"/>
                <w:color w:val="000000" w:themeColor="text1"/>
                <w:lang w:eastAsia="zh-CN"/>
              </w:rPr>
              <w:t>（万元）</w:t>
            </w:r>
          </w:p>
        </w:tc>
      </w:tr>
      <w:tr>
        <w:tblPrEx>
          <w:tblCellMar>
            <w:top w:w="0" w:type="dxa"/>
            <w:left w:w="108" w:type="dxa"/>
            <w:bottom w:w="0" w:type="dxa"/>
            <w:right w:w="108" w:type="dxa"/>
          </w:tblCellMar>
        </w:tblPrEx>
        <w:trPr>
          <w:trHeight w:val="37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24</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评标办法：本项目采用综合评分法</w:t>
            </w:r>
          </w:p>
        </w:tc>
      </w:tr>
      <w:tr>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25</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不管投标结果如何，供应商均应承担自己投标所需一切费用。</w:t>
            </w:r>
          </w:p>
        </w:tc>
      </w:tr>
      <w:tr>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26</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本次招标预算价：</w:t>
            </w:r>
            <w:r>
              <w:rPr>
                <w:rFonts w:hint="eastAsia" w:ascii="仿宋" w:hAnsi="仿宋" w:eastAsia="仿宋" w:cs="仿宋"/>
                <w:b/>
                <w:bCs/>
                <w:color w:val="FF0000"/>
                <w:lang w:val="en-US" w:eastAsia="zh-CN"/>
              </w:rPr>
              <w:t>150万</w:t>
            </w:r>
            <w:r>
              <w:rPr>
                <w:rFonts w:hint="eastAsia" w:ascii="仿宋" w:hAnsi="仿宋" w:eastAsia="仿宋" w:cs="仿宋"/>
                <w:b/>
                <w:bCs/>
                <w:color w:val="FF0000"/>
                <w:sz w:val="22"/>
                <w:szCs w:val="22"/>
                <w:lang w:val="en-US" w:eastAsia="zh-CN"/>
              </w:rPr>
              <w:t>元、</w:t>
            </w:r>
            <w:r>
              <w:rPr>
                <w:rFonts w:hint="eastAsia" w:ascii="仿宋" w:hAnsi="仿宋" w:eastAsia="仿宋" w:cs="仿宋"/>
                <w:b/>
                <w:bCs/>
                <w:color w:val="FF0000"/>
                <w:lang w:eastAsia="zh-CN"/>
              </w:rPr>
              <w:t>投标总报价超过采购预算价的按废标处理。</w:t>
            </w:r>
          </w:p>
        </w:tc>
      </w:tr>
      <w:tr>
        <w:tblPrEx>
          <w:tblCellMar>
            <w:top w:w="0" w:type="dxa"/>
            <w:left w:w="108" w:type="dxa"/>
            <w:bottom w:w="0" w:type="dxa"/>
            <w:right w:w="108" w:type="dxa"/>
          </w:tblCellMar>
        </w:tblPrEx>
        <w:trPr>
          <w:trHeight w:val="84" w:hRule="atLeast"/>
          <w:jc w:val="center"/>
        </w:trPr>
        <w:tc>
          <w:tcPr>
            <w:tcW w:w="6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7</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（1）根据财政部、工业和信息化部关于印发《政府采购促进中小企业发展管理办法》的通知（财库[2020]46号）和</w:t>
            </w:r>
            <w:r>
              <w:rPr>
                <w:rFonts w:hint="eastAsia" w:ascii="仿宋" w:hAnsi="仿宋" w:eastAsia="仿宋" w:cs="仿宋"/>
                <w:color w:val="000000" w:themeColor="text1"/>
                <w:lang w:val="en-US" w:eastAsia="zh-CN"/>
              </w:rPr>
              <w:t>关于进一步加大政府采购支持中小企业力度的通知-</w:t>
            </w:r>
            <w:r>
              <w:rPr>
                <w:rFonts w:hint="eastAsia" w:ascii="仿宋" w:hAnsi="仿宋" w:eastAsia="仿宋" w:cs="仿宋"/>
                <w:color w:val="000000" w:themeColor="text1"/>
                <w:lang w:eastAsia="zh-CN"/>
              </w:rPr>
              <w:t>财库[2022]19号，供应商提供的服务属于《工业和信息化部、国家统计局、国家发展和改革委员会、财政部关于印发中小企业划型标准规定的通知》（工信部联企业[2011]300号）中规定的小型、微型企业标准的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val="0"/>
                <w:bCs w:val="0"/>
                <w:color w:val="000000" w:themeColor="text1"/>
                <w:lang w:eastAsia="zh-CN"/>
              </w:rPr>
              <w:t>，按招标文件格式提供《中小企业声明函（</w:t>
            </w:r>
            <w:r>
              <w:rPr>
                <w:rFonts w:hint="eastAsia" w:ascii="仿宋" w:hAnsi="仿宋" w:eastAsia="仿宋" w:cs="仿宋"/>
                <w:b w:val="0"/>
                <w:bCs w:val="0"/>
                <w:color w:val="000000" w:themeColor="text1"/>
                <w:lang w:val="en-US" w:eastAsia="zh-CN"/>
              </w:rPr>
              <w:t>工程、货物</w:t>
            </w:r>
            <w:r>
              <w:rPr>
                <w:rFonts w:hint="eastAsia" w:ascii="仿宋" w:hAnsi="仿宋" w:eastAsia="仿宋" w:cs="仿宋"/>
                <w:b w:val="0"/>
                <w:bCs w:val="0"/>
                <w:color w:val="000000" w:themeColor="text1"/>
                <w:lang w:eastAsia="zh-CN"/>
              </w:rPr>
              <w:t>）》。</w:t>
            </w:r>
          </w:p>
        </w:tc>
      </w:tr>
      <w:tr>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tblPrEx>
          <w:tblCellMar>
            <w:top w:w="0" w:type="dxa"/>
            <w:left w:w="108" w:type="dxa"/>
            <w:bottom w:w="0" w:type="dxa"/>
            <w:right w:w="108" w:type="dxa"/>
          </w:tblCellMar>
        </w:tblPrEx>
        <w:trPr>
          <w:trHeight w:val="1538" w:hRule="atLeast"/>
          <w:jc w:val="center"/>
        </w:trPr>
        <w:tc>
          <w:tcPr>
            <w:tcW w:w="63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28</w:t>
            </w:r>
          </w:p>
        </w:tc>
        <w:tc>
          <w:tcPr>
            <w:tcW w:w="148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中小微企业政策文件说明</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val="0"/>
                <w:bCs w:val="0"/>
                <w:color w:val="000000" w:themeColor="text1"/>
                <w:lang w:eastAsia="zh-CN"/>
              </w:rPr>
              <w:t>（</w:t>
            </w:r>
            <w:r>
              <w:rPr>
                <w:rFonts w:hint="eastAsia" w:ascii="仿宋" w:hAnsi="仿宋" w:eastAsia="仿宋" w:cs="仿宋"/>
                <w:b w:val="0"/>
                <w:bCs w:val="0"/>
                <w:color w:val="000000" w:themeColor="text1"/>
                <w:lang w:val="en-US" w:eastAsia="zh-CN"/>
              </w:rPr>
              <w:t>1</w:t>
            </w:r>
            <w:r>
              <w:rPr>
                <w:rFonts w:hint="eastAsia" w:ascii="仿宋" w:hAnsi="仿宋" w:eastAsia="仿宋" w:cs="仿宋"/>
                <w:b w:val="0"/>
                <w:bCs w:val="0"/>
                <w:color w:val="000000" w:themeColor="text1"/>
                <w:lang w:eastAsia="zh-CN"/>
              </w:rPr>
              <w:t>）本项目</w:t>
            </w:r>
            <w:r>
              <w:rPr>
                <w:rFonts w:hint="eastAsia" w:ascii="仿宋" w:hAnsi="仿宋" w:eastAsia="仿宋" w:cs="仿宋"/>
                <w:b w:val="0"/>
                <w:bCs w:val="0"/>
                <w:color w:val="000000" w:themeColor="text1"/>
                <w:lang w:val="en-US" w:eastAsia="zh-CN"/>
              </w:rPr>
              <w:t>货物</w:t>
            </w:r>
            <w:r>
              <w:rPr>
                <w:rFonts w:hint="eastAsia" w:ascii="仿宋" w:hAnsi="仿宋" w:eastAsia="仿宋" w:cs="仿宋"/>
                <w:b w:val="0"/>
                <w:bCs w:val="0"/>
                <w:color w:val="000000" w:themeColor="text1"/>
                <w:lang w:eastAsia="zh-CN"/>
              </w:rPr>
              <w:t>所属行业：</w:t>
            </w:r>
            <w:r>
              <w:rPr>
                <w:rFonts w:hint="eastAsia" w:ascii="仿宋" w:hAnsi="仿宋" w:eastAsia="仿宋" w:cs="仿宋"/>
                <w:b w:val="0"/>
                <w:bCs w:val="0"/>
                <w:color w:val="000000" w:themeColor="text1"/>
                <w:lang w:val="en-US" w:eastAsia="zh-CN"/>
              </w:rPr>
              <w:t>软件和信息技术服务业</w:t>
            </w:r>
          </w:p>
          <w:p>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000000" w:themeColor="text1"/>
                <w:lang w:val="en-US" w:eastAsia="zh-CN"/>
              </w:rPr>
            </w:pPr>
            <w:r>
              <w:rPr>
                <w:rFonts w:hint="default" w:ascii="仿宋" w:hAnsi="仿宋" w:eastAsia="仿宋" w:cs="仿宋"/>
                <w:b/>
                <w:bCs/>
                <w:color w:val="000000" w:themeColor="text1"/>
                <w:lang w:val="en-US" w:eastAsia="zh-CN"/>
              </w:rPr>
              <w:t>（2）供应商提供《中小企业声明函》时，必须将招标文件第四章采购内容及商务技术要求所列的采购标的物全部列入《中小企业声明函》，否则专门面向中小企业的项目做废标处理</w:t>
            </w:r>
            <w:r>
              <w:rPr>
                <w:rFonts w:hint="eastAsia" w:ascii="仿宋" w:hAnsi="仿宋" w:eastAsia="仿宋" w:cs="仿宋"/>
                <w:b/>
                <w:bCs/>
                <w:color w:val="000000" w:themeColor="text1"/>
                <w:lang w:val="en-US" w:eastAsia="zh-CN"/>
              </w:rPr>
              <w:t>，</w:t>
            </w:r>
            <w:r>
              <w:rPr>
                <w:rFonts w:hint="default" w:ascii="仿宋" w:hAnsi="仿宋" w:eastAsia="仿宋" w:cs="仿宋"/>
                <w:b/>
                <w:bCs/>
                <w:color w:val="000000" w:themeColor="text1"/>
                <w:lang w:val="en-US" w:eastAsia="zh-CN"/>
              </w:rPr>
              <w:t>落实10%价格评审优惠的不享受优惠政策。</w:t>
            </w:r>
          </w:p>
        </w:tc>
      </w:tr>
      <w:tr>
        <w:tblPrEx>
          <w:tblCellMar>
            <w:top w:w="0" w:type="dxa"/>
            <w:left w:w="108" w:type="dxa"/>
            <w:bottom w:w="0" w:type="dxa"/>
            <w:right w:w="108" w:type="dxa"/>
          </w:tblCellMar>
        </w:tblPrEx>
        <w:trPr>
          <w:trHeight w:val="84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29</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val="zh-CN" w:eastAsia="zh-CN"/>
              </w:rPr>
            </w:pPr>
          </w:p>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zh-CN" w:eastAsia="zh-CN"/>
              </w:rPr>
              <w:t>履约保证金</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zh-CN" w:eastAsia="zh-CN"/>
              </w:rPr>
              <w:t>中标人</w:t>
            </w:r>
            <w:r>
              <w:rPr>
                <w:rFonts w:hint="eastAsia" w:ascii="仿宋" w:hAnsi="仿宋" w:eastAsia="仿宋" w:cs="仿宋"/>
                <w:color w:val="000000" w:themeColor="text1"/>
                <w:lang w:eastAsia="zh-CN"/>
              </w:rPr>
              <w:t>应在领取《中标通知书》后的十个日历日内，办理履约保证金，</w:t>
            </w:r>
            <w:r>
              <w:rPr>
                <w:rFonts w:hint="eastAsia" w:ascii="仿宋" w:hAnsi="仿宋" w:eastAsia="仿宋" w:cs="仿宋"/>
                <w:b/>
                <w:bCs/>
                <w:color w:val="000000" w:themeColor="text1"/>
                <w:u w:val="single"/>
                <w:lang w:val="zh-CN" w:eastAsia="zh-CN"/>
              </w:rPr>
              <w:t>金额为合同总价</w:t>
            </w:r>
            <w:r>
              <w:rPr>
                <w:rFonts w:hint="eastAsia" w:ascii="仿宋" w:hAnsi="仿宋" w:eastAsia="仿宋" w:cs="仿宋"/>
                <w:b/>
                <w:bCs/>
                <w:color w:val="auto"/>
                <w:u w:val="single"/>
                <w:lang w:val="zh-CN" w:eastAsia="zh-CN"/>
              </w:rPr>
              <w:t>的</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lang w:val="zh-CN" w:eastAsia="zh-CN"/>
              </w:rPr>
              <w:t>%</w:t>
            </w:r>
            <w:r>
              <w:rPr>
                <w:rFonts w:hint="eastAsia" w:ascii="仿宋" w:hAnsi="仿宋" w:eastAsia="仿宋" w:cs="仿宋"/>
                <w:b/>
                <w:bCs/>
                <w:color w:val="000000" w:themeColor="text1"/>
                <w:lang w:val="zh-CN" w:eastAsia="zh-CN"/>
              </w:rPr>
              <w:t>，</w:t>
            </w:r>
            <w:r>
              <w:rPr>
                <w:rFonts w:hint="eastAsia" w:ascii="仿宋" w:hAnsi="仿宋" w:eastAsia="仿宋" w:cs="仿宋"/>
                <w:color w:val="000000" w:themeColor="text1"/>
                <w:lang w:eastAsia="zh-CN"/>
              </w:rPr>
              <w:t>否则招标人可取消</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val="zh-CN" w:eastAsia="zh-CN"/>
              </w:rPr>
              <w:t>人</w:t>
            </w:r>
            <w:r>
              <w:rPr>
                <w:rFonts w:hint="eastAsia" w:ascii="仿宋" w:hAnsi="仿宋" w:eastAsia="仿宋" w:cs="仿宋"/>
                <w:color w:val="000000" w:themeColor="text1"/>
                <w:lang w:eastAsia="zh-CN"/>
              </w:rPr>
              <w:t>的</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eastAsia="zh-CN"/>
              </w:rPr>
              <w:t>资格。</w:t>
            </w:r>
          </w:p>
        </w:tc>
      </w:tr>
      <w:tr>
        <w:tblPrEx>
          <w:tblCellMar>
            <w:top w:w="0" w:type="dxa"/>
            <w:left w:w="108" w:type="dxa"/>
            <w:bottom w:w="0" w:type="dxa"/>
            <w:right w:w="108" w:type="dxa"/>
          </w:tblCellMar>
        </w:tblPrEx>
        <w:trPr>
          <w:trHeight w:val="84" w:hRule="atLeast"/>
          <w:jc w:val="center"/>
        </w:trPr>
        <w:tc>
          <w:tcPr>
            <w:tcW w:w="21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ind w:firstLine="720" w:firstLineChars="300"/>
              <w:rPr>
                <w:rFonts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1、着重提醒各供应商注意，并认真查看招标文件中的每一个条款及要求，因误读招标文件而造成的后果，招标人概不负责。</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2、供应商使用相同IP地址的，一经发现，相关部门将进一步核实，查实后按串通投标处理。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3、为保证本项目质量，良好的售后服务，最低报价不作为中标的唯一依据。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5、其它：</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（1）投标企业严格遵守国家的法律法规及招标纪律，无违法违纪及商业贿赂行为。</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（2）不管投标结果如何，供应商均应自行承担投标所需一切费用。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（3）供应商应以书面形式保证中标后由本公司组织实施，不得以任何理由将项目转包给其他机构。</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（4）中标人务必按照招标文件规定的服务时间提供服务，如出现不能按时提供服务的，采购人有要权取消中标资格。</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（5）招标文件中如出现前后不一致情况，均以前附表内容为准。</w:t>
            </w:r>
          </w:p>
        </w:tc>
      </w:tr>
    </w:tbl>
    <w:p>
      <w:pPr>
        <w:pageBreakBefore/>
        <w:spacing w:beforeLines="100" w:afterLines="100" w:line="340" w:lineRule="exact"/>
        <w:ind w:firstLine="3640" w:firstLineChars="1300"/>
        <w:jc w:val="both"/>
        <w:outlineLvl w:val="1"/>
        <w:rPr>
          <w:rFonts w:ascii="仿宋" w:hAnsi="仿宋" w:eastAsia="仿宋" w:cs="仿宋"/>
          <w:b/>
          <w:color w:val="000000" w:themeColor="text1"/>
          <w:sz w:val="28"/>
          <w:szCs w:val="32"/>
          <w:lang w:eastAsia="zh-CN"/>
        </w:rPr>
      </w:pPr>
      <w:r>
        <w:rPr>
          <w:rFonts w:hint="eastAsia" w:ascii="仿宋" w:hAnsi="仿宋" w:eastAsia="仿宋" w:cs="仿宋"/>
          <w:b/>
          <w:color w:val="000000" w:themeColor="text1"/>
          <w:sz w:val="28"/>
          <w:szCs w:val="28"/>
          <w:lang w:eastAsia="zh-CN"/>
        </w:rPr>
        <w:t>二、供应商须知</w:t>
      </w:r>
    </w:p>
    <w:p>
      <w:pPr>
        <w:spacing w:line="340" w:lineRule="exact"/>
        <w:jc w:val="center"/>
        <w:outlineLvl w:val="2"/>
        <w:rPr>
          <w:rFonts w:ascii="仿宋" w:hAnsi="仿宋" w:eastAsia="仿宋" w:cs="仿宋"/>
          <w:color w:val="000000" w:themeColor="text1"/>
          <w:sz w:val="28"/>
          <w:szCs w:val="28"/>
          <w:lang w:eastAsia="zh-CN"/>
        </w:rPr>
      </w:pPr>
      <w:bookmarkStart w:id="2" w:name="_Toc469495724"/>
      <w:r>
        <w:rPr>
          <w:rFonts w:hint="eastAsia" w:ascii="仿宋" w:hAnsi="仿宋" w:eastAsia="仿宋" w:cs="仿宋"/>
          <w:b/>
          <w:color w:val="000000" w:themeColor="text1"/>
          <w:sz w:val="28"/>
          <w:szCs w:val="28"/>
          <w:lang w:eastAsia="zh-CN"/>
        </w:rPr>
        <w:t>（一）</w:t>
      </w:r>
      <w:r>
        <w:rPr>
          <w:rFonts w:hint="eastAsia" w:ascii="仿宋" w:hAnsi="仿宋" w:eastAsia="仿宋" w:cs="仿宋"/>
          <w:b/>
          <w:color w:val="000000" w:themeColor="text1"/>
          <w:sz w:val="28"/>
          <w:szCs w:val="32"/>
          <w:lang w:eastAsia="zh-CN"/>
        </w:rPr>
        <w:t>总  则</w:t>
      </w:r>
      <w:bookmarkEnd w:id="2"/>
    </w:p>
    <w:p>
      <w:pPr>
        <w:snapToGrid w:val="0"/>
        <w:spacing w:line="3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1.项目概况</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1.1本次招标采购项目名称：见供应商须知前附表。</w:t>
      </w:r>
    </w:p>
    <w:p>
      <w:pPr>
        <w:snapToGrid w:val="0"/>
        <w:spacing w:line="440" w:lineRule="exact"/>
        <w:ind w:firstLine="960" w:firstLineChars="4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项目编号：见供应商须知前附表。</w:t>
      </w:r>
    </w:p>
    <w:p>
      <w:pPr>
        <w:snapToGrid w:val="0"/>
        <w:spacing w:line="44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招标人：见供应商须知前附表。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供货期：见供应商须知前附表。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供货地点：见供应商须知前附表。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1.2招标人及联系人: 见供应商须知前附表。</w:t>
      </w:r>
    </w:p>
    <w:p>
      <w:pPr>
        <w:snapToGrid w:val="0"/>
        <w:spacing w:line="440" w:lineRule="exact"/>
        <w:ind w:firstLine="600" w:firstLineChars="25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代理机构及联系人: 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1.3资金来源：见供应商须知前附表。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1.4本项目预算：见供应商须知前附表。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1.5本项目控制价：见供应商须知前附表。</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2.招标范围：</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2.1 采购内容：见供应商须知前附表。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 技术要求：详见采购文件第四章采购内容及技术要求。</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3.标包划分：</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3.1本项目划分：</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u w:val="single"/>
          <w:lang w:val="en-US" w:eastAsia="zh-CN"/>
        </w:rPr>
        <w:t>1</w:t>
      </w:r>
      <w:r>
        <w:rPr>
          <w:rFonts w:hint="eastAsia" w:ascii="仿宋" w:hAnsi="仿宋" w:eastAsia="仿宋" w:cs="仿宋"/>
          <w:color w:val="000000" w:themeColor="text1"/>
          <w:szCs w:val="21"/>
          <w:lang w:eastAsia="zh-CN"/>
        </w:rPr>
        <w:t>个</w:t>
      </w:r>
      <w:r>
        <w:rPr>
          <w:rFonts w:hint="eastAsia" w:ascii="仿宋" w:hAnsi="仿宋" w:eastAsia="仿宋" w:cs="仿宋"/>
          <w:color w:val="000000" w:themeColor="text1"/>
          <w:szCs w:val="21"/>
          <w:lang w:val="en-US" w:eastAsia="zh-CN"/>
        </w:rPr>
        <w:t>标段</w:t>
      </w:r>
      <w:r>
        <w:rPr>
          <w:rFonts w:hint="eastAsia" w:ascii="仿宋" w:hAnsi="仿宋" w:eastAsia="仿宋" w:cs="仿宋"/>
          <w:color w:val="000000" w:themeColor="text1"/>
          <w:szCs w:val="21"/>
          <w:lang w:eastAsia="zh-CN"/>
        </w:rPr>
        <w:t>。</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4.招标方式：</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4.1本项目招标方式：公开招标。</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5.计价方式：</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5.1本次招标项目合同采用</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auto"/>
          <w:szCs w:val="21"/>
          <w:u w:val="single"/>
          <w:lang w:val="en-US" w:eastAsia="zh-CN"/>
        </w:rPr>
        <w:t>总价</w:t>
      </w:r>
      <w:r>
        <w:rPr>
          <w:rFonts w:hint="eastAsia" w:ascii="仿宋" w:hAnsi="仿宋" w:eastAsia="仿宋" w:cs="仿宋"/>
          <w:color w:val="auto"/>
          <w:szCs w:val="21"/>
          <w:u w:val="single"/>
          <w:lang w:eastAsia="zh-CN"/>
        </w:rPr>
        <w:t xml:space="preserve"> 。</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6.评标办法：</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6.1本次招标评标采用</w:t>
      </w:r>
      <w:r>
        <w:rPr>
          <w:rFonts w:hint="eastAsia" w:ascii="仿宋" w:hAnsi="仿宋" w:eastAsia="仿宋" w:cs="仿宋"/>
          <w:color w:val="000000" w:themeColor="text1"/>
          <w:szCs w:val="21"/>
          <w:u w:val="single"/>
          <w:lang w:eastAsia="zh-CN"/>
        </w:rPr>
        <w:t xml:space="preserve">  综合评分法 </w:t>
      </w:r>
      <w:r>
        <w:rPr>
          <w:rFonts w:hint="eastAsia" w:ascii="仿宋" w:hAnsi="仿宋" w:eastAsia="仿宋" w:cs="仿宋"/>
          <w:color w:val="000000" w:themeColor="text1"/>
          <w:szCs w:val="21"/>
          <w:lang w:eastAsia="zh-CN"/>
        </w:rPr>
        <w:t>（详见第三章评标办法）</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7.供应商资格：</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7.1参与采购活动的供应商必须是满足《中华人民共和国政府采购法》规定条件的法人、其他组织或者自然人：</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7.2由于政府采购项目的差异性，供应商在参与具体政府采购项目活动时，应仔细阅读该项目的资质要求,具体见供应商须知前附表。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000000" w:themeColor="text1"/>
          <w:kern w:val="2"/>
          <w:lang w:eastAsia="zh-CN" w:bidi="ar-SA"/>
        </w:rPr>
        <w:t>(已在政采云平台其他省份入驻的供应商无须重复注册），</w:t>
      </w:r>
      <w:r>
        <w:rPr>
          <w:rFonts w:hint="eastAsia" w:ascii="仿宋" w:hAnsi="仿宋" w:eastAsia="仿宋" w:cs="仿宋"/>
          <w:color w:val="000000" w:themeColor="text1"/>
          <w:szCs w:val="21"/>
          <w:lang w:eastAsia="zh-CN"/>
        </w:rPr>
        <w:t>并完成CA数字证书申领。因未注册入库、未办理CA数字证书等原因造成无法投标或投标失败等后果由供应商自行承担。</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7.4供应商必须确保自己在信息库中注册的信息真实、准确，并保证投标文件中的有关信息与库中的信息相一致。否则，供应商因此蒙受损失，招标人概不负责。</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8. 投标费用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8.1供应商准备和参加投标活动发生的费用自理。</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9.</w:t>
      </w:r>
      <w:bookmarkStart w:id="3" w:name="_Toc247527563"/>
      <w:bookmarkStart w:id="4" w:name="_Toc152045539"/>
      <w:bookmarkStart w:id="5" w:name="_Toc247592876"/>
      <w:bookmarkStart w:id="6" w:name="_Toc247513962"/>
      <w:bookmarkStart w:id="7" w:name="_Toc144974507"/>
      <w:bookmarkStart w:id="8" w:name="_Toc296602429"/>
      <w:bookmarkStart w:id="9" w:name="_Toc152042315"/>
      <w:r>
        <w:rPr>
          <w:rFonts w:hint="eastAsia" w:ascii="仿宋" w:hAnsi="仿宋" w:eastAsia="仿宋" w:cs="仿宋"/>
          <w:b/>
          <w:color w:val="000000" w:themeColor="text1"/>
          <w:szCs w:val="21"/>
          <w:lang w:eastAsia="zh-CN"/>
        </w:rPr>
        <w:t xml:space="preserve"> 踏勘现场</w:t>
      </w:r>
      <w:bookmarkEnd w:id="3"/>
      <w:bookmarkEnd w:id="4"/>
      <w:bookmarkEnd w:id="5"/>
      <w:bookmarkEnd w:id="6"/>
      <w:bookmarkEnd w:id="7"/>
      <w:bookmarkEnd w:id="8"/>
      <w:bookmarkEnd w:id="9"/>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szCs w:val="21"/>
          <w:lang w:eastAsia="zh-CN"/>
        </w:rPr>
        <w:t xml:space="preserve"> </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供应商踏勘现场发生的费用自理。</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除招标人的原因外，供应商自行负责在踏勘现场中所发生的人员伤亡和财产损失。</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招标人在踏勘现场中介绍的场地和相关的周边环境情况，供供应商在编制投标文件时参考，招标人不对供应商据此作出的判断和决策负责。</w:t>
      </w:r>
      <w:bookmarkStart w:id="10" w:name="_Toc247592877"/>
      <w:bookmarkStart w:id="11" w:name="_Toc247527564"/>
      <w:bookmarkStart w:id="12" w:name="_Toc152045540"/>
      <w:bookmarkStart w:id="13" w:name="_Toc152042316"/>
      <w:bookmarkStart w:id="14" w:name="_Toc247513963"/>
      <w:bookmarkStart w:id="15" w:name="_Toc296602430"/>
      <w:bookmarkStart w:id="16" w:name="_Toc144974508"/>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10. 投标预备会</w:t>
      </w:r>
      <w:bookmarkEnd w:id="10"/>
      <w:bookmarkEnd w:id="11"/>
      <w:bookmarkEnd w:id="12"/>
      <w:bookmarkEnd w:id="13"/>
      <w:bookmarkEnd w:id="14"/>
      <w:bookmarkEnd w:id="15"/>
      <w:bookmarkEnd w:id="16"/>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10.1供应商须知前附表规定召开投标预备会的，招标人按供应商须知前附表规定的时间和地点召开投标预备会，澄清供应商提出的问题。</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10.2供应商应在供应商须知前附表规定的时间前，将提出的问题送达招标人，以便招标人澄清。</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10.3招标人在供应商须知前附表规定的时间，将对供应商所提的问题进行澄清。该澄清内容为采购文件的组成部分。</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11. 联合投标</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pPr>
        <w:spacing w:line="40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00" w:lineRule="exact"/>
        <w:ind w:firstLine="470" w:firstLineChars="196"/>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11.3 联合体应当确定其中一个单位为投标的全权代表，负责参加投标的一切事务，并承担投标及履约中应承担的全部责任与义务。</w:t>
      </w:r>
    </w:p>
    <w:p>
      <w:pPr>
        <w:pStyle w:val="11"/>
        <w:spacing w:after="0" w:line="400" w:lineRule="exact"/>
        <w:ind w:left="0" w:leftChars="0" w:firstLine="484" w:firstLineChars="202"/>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11.4 联合体各方应当共同与招标人签订采购合同，就采购合同约定的事项对招标人承担连带责任。</w:t>
      </w:r>
    </w:p>
    <w:p>
      <w:pPr>
        <w:spacing w:line="440" w:lineRule="exact"/>
        <w:ind w:firstLine="470" w:firstLineChars="196"/>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12.招标代理费:</w:t>
      </w:r>
      <w:r>
        <w:rPr>
          <w:rFonts w:hint="eastAsia" w:ascii="仿宋" w:hAnsi="仿宋" w:eastAsia="仿宋" w:cs="仿宋"/>
          <w:color w:val="000000" w:themeColor="text1"/>
          <w:szCs w:val="21"/>
          <w:lang w:eastAsia="zh-CN"/>
        </w:rPr>
        <w:t xml:space="preserve"> 见供应商须知前附表。</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13.供应商应注意的事项</w:t>
      </w:r>
    </w:p>
    <w:p>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color w:val="000000" w:themeColor="text1"/>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13.2 供应商对采购内容中规定的技术参数、规格等要求必须完全响应或优于采购文件中的要求。</w:t>
      </w:r>
    </w:p>
    <w:p>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13.3所有供应商的投标保证金都应在采购文件规定的投标保证金缴纳截止日期前缴纳。</w:t>
      </w:r>
    </w:p>
    <w:p>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rPr>
        <w:t>为采购项目提供整体设计、规范编制或者项目管理、监理、检测等服务的供应商，不得再参加该采购项目的其他采购活动。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13.5本项目只接受</w:t>
      </w:r>
      <w:r>
        <w:rPr>
          <w:rFonts w:hint="eastAsia" w:ascii="仿宋" w:hAnsi="仿宋" w:eastAsia="仿宋" w:cs="仿宋"/>
          <w:color w:val="000000" w:themeColor="text1"/>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13.6  供应商被视为充分熟悉本招标项目所在地的与履行合同有关的各种情况，包括但不限于：</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（1）国家对本次投标货物和服务的生产、安装调试、验收、维修等有关法律、法规及行业管理标准；</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（2）本地区有关管理部门的相关规定；</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（3）招标人的相关场地情况、基础建设、电力供应情况及相关设计标准。</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val="en-US" w:eastAsia="zh-CN"/>
        </w:rPr>
        <w:t>14.</w:t>
      </w:r>
      <w:r>
        <w:rPr>
          <w:rFonts w:hint="eastAsia" w:ascii="仿宋" w:hAnsi="仿宋" w:eastAsia="仿宋" w:cs="仿宋"/>
          <w:bCs/>
          <w:color w:val="000000" w:themeColor="text1"/>
          <w:szCs w:val="21"/>
          <w:lang w:eastAsia="zh-CN"/>
        </w:rPr>
        <w:t>本采购文件不再对上述情况进行描述。</w:t>
      </w:r>
      <w:bookmarkStart w:id="17" w:name="_Toc469495725"/>
    </w:p>
    <w:p>
      <w:pPr>
        <w:spacing w:line="400" w:lineRule="exact"/>
        <w:jc w:val="both"/>
        <w:rPr>
          <w:rFonts w:hint="eastAsia" w:ascii="仿宋" w:hAnsi="仿宋" w:eastAsia="仿宋" w:cs="仿宋"/>
          <w:b/>
          <w:color w:val="000000" w:themeColor="text1"/>
          <w:sz w:val="28"/>
          <w:szCs w:val="28"/>
          <w:lang w:eastAsia="zh-CN"/>
        </w:rPr>
      </w:pPr>
    </w:p>
    <w:p>
      <w:pPr>
        <w:spacing w:line="400" w:lineRule="exact"/>
        <w:ind w:firstLine="420" w:firstLineChars="150"/>
        <w:jc w:val="center"/>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w:t>
      </w:r>
      <w:bookmarkEnd w:id="17"/>
      <w:r>
        <w:rPr>
          <w:rFonts w:hint="eastAsia" w:ascii="仿宋" w:hAnsi="仿宋" w:eastAsia="仿宋" w:cs="仿宋"/>
          <w:b/>
          <w:color w:val="000000" w:themeColor="text1"/>
          <w:sz w:val="28"/>
          <w:szCs w:val="28"/>
          <w:lang w:eastAsia="zh-CN"/>
        </w:rPr>
        <w:t>招标文件</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15. 采购文件的编制依据</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lang w:eastAsia="zh-CN"/>
        </w:rPr>
        <w:t>等相关法律法规和规章及部、省、市级规范性文件的规定，编制本采购文件。</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16. 采购文件的组成</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16.1 采购文件包括内容：</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第一章  招标公告</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第二章  投标须知</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第三章  评标办法</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第四章  采购内容及技术要求</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第五章  合同条款及格式</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第六章  投标文件格式文本</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第七章  招标单位、招标代理机构对本文件的确认</w:t>
      </w:r>
    </w:p>
    <w:p>
      <w:pPr>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16.2 除16.1内容外，招标答疑亦为采购文件的组成部分，对招标人和供应商起约束作用。</w:t>
      </w:r>
    </w:p>
    <w:p>
      <w:pPr>
        <w:pStyle w:val="12"/>
        <w:wordWrap w:val="0"/>
        <w:spacing w:line="4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pPr>
        <w:wordWrap w:val="0"/>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pPr>
        <w:spacing w:line="440" w:lineRule="exact"/>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17. 采购文件的修改、补充、解释</w:t>
      </w:r>
    </w:p>
    <w:p>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p>
    <w:p>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 xml:space="preserve">17.3 </w:t>
      </w:r>
      <w:r>
        <w:rPr>
          <w:rFonts w:hint="eastAsia" w:ascii="仿宋" w:hAnsi="仿宋" w:eastAsia="仿宋" w:cs="仿宋"/>
          <w:color w:val="000000" w:themeColor="text1"/>
          <w:szCs w:val="21"/>
          <w:lang w:eastAsia="zh-CN"/>
        </w:rPr>
        <w:t>供应商在规定的时间内未对采购文件提出疑问、质疑或要求澄清的，将视其为无异议。</w:t>
      </w:r>
    </w:p>
    <w:p>
      <w:pPr>
        <w:spacing w:line="400" w:lineRule="exact"/>
        <w:ind w:firstLine="240" w:firstLineChars="1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17.4 采购文件的解释</w:t>
      </w:r>
    </w:p>
    <w:p>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本采购文件由招标人（或其委托的招标代理机构）负责解释。</w:t>
      </w:r>
    </w:p>
    <w:p>
      <w:pPr>
        <w:spacing w:line="400" w:lineRule="exact"/>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 18. 采购文件的发出</w:t>
      </w:r>
    </w:p>
    <w:p>
      <w:pPr>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18.1  采购文件、采购文件的澄清、修改、补充及招标答疑等均应报相关部门备案后，方可发出。</w:t>
      </w:r>
    </w:p>
    <w:p>
      <w:pPr>
        <w:spacing w:line="440" w:lineRule="exact"/>
        <w:ind w:firstLine="240" w:firstLineChars="100"/>
        <w:rPr>
          <w:rFonts w:ascii="仿宋" w:hAnsi="仿宋" w:eastAsia="仿宋" w:cs="仿宋"/>
          <w:color w:val="000000" w:themeColor="text1"/>
          <w:szCs w:val="21"/>
          <w:lang w:eastAsia="zh-CN"/>
        </w:rPr>
      </w:pPr>
      <w:bookmarkStart w:id="18" w:name="_Toc469495726"/>
      <w:r>
        <w:rPr>
          <w:rFonts w:hint="eastAsia" w:ascii="仿宋" w:hAnsi="仿宋" w:eastAsia="仿宋" w:cs="仿宋"/>
          <w:b/>
          <w:color w:val="000000" w:themeColor="text1"/>
          <w:szCs w:val="21"/>
          <w:lang w:eastAsia="zh-CN"/>
        </w:rPr>
        <w:t xml:space="preserve">19. </w:t>
      </w:r>
      <w:r>
        <w:rPr>
          <w:rFonts w:hint="eastAsia" w:ascii="仿宋" w:hAnsi="仿宋" w:eastAsia="仿宋" w:cs="仿宋"/>
          <w:color w:val="000000" w:themeColor="text1"/>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pPr>
        <w:spacing w:line="440" w:lineRule="exact"/>
        <w:ind w:firstLine="42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采购文件中应明确样品送检方式、检测费用支付方法、供应商在规定时间内无法提供第三方权威检测机构检测报告的处理方式。（采购人根据项目需求按上述要求自行描述）</w:t>
      </w:r>
    </w:p>
    <w:p>
      <w:pPr>
        <w:spacing w:beforeLines="100" w:afterLines="100" w:line="440" w:lineRule="exact"/>
        <w:jc w:val="center"/>
        <w:outlineLvl w:val="2"/>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（三）投标文件的编制</w:t>
      </w:r>
      <w:bookmarkEnd w:id="18"/>
    </w:p>
    <w:p>
      <w:pPr>
        <w:shd w:val="clear" w:color="auto" w:fill="auto"/>
        <w:spacing w:line="440" w:lineRule="exact"/>
        <w:ind w:firstLine="348" w:firstLineChars="145"/>
        <w:rPr>
          <w:rFonts w:hint="eastAsia" w:ascii="仿宋" w:hAnsi="仿宋" w:eastAsia="仿宋" w:cs="仿宋"/>
          <w:b/>
          <w:color w:val="000000" w:themeColor="text1"/>
          <w:szCs w:val="21"/>
          <w:highlight w:val="none"/>
        </w:rPr>
      </w:pPr>
      <w:bookmarkStart w:id="19" w:name="_Toc469495727"/>
      <w:r>
        <w:rPr>
          <w:rFonts w:hint="eastAsia" w:ascii="仿宋" w:hAnsi="仿宋" w:eastAsia="仿宋" w:cs="仿宋"/>
          <w:b/>
          <w:color w:val="000000" w:themeColor="text1"/>
          <w:szCs w:val="21"/>
          <w:highlight w:val="none"/>
        </w:rPr>
        <w:t>20. 投标的语言及度量衡单位</w:t>
      </w:r>
    </w:p>
    <w:p>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20.2除</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中另有规定外，投标书所使用的度量衡均须采用法定计量单位。</w:t>
      </w:r>
    </w:p>
    <w:p>
      <w:pPr>
        <w:shd w:val="clear" w:color="auto" w:fill="auto"/>
        <w:spacing w:line="400" w:lineRule="exact"/>
        <w:ind w:firstLine="235" w:firstLineChars="98"/>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21. 投标文件的组成</w:t>
      </w:r>
    </w:p>
    <w:p>
      <w:pPr>
        <w:shd w:val="clear" w:color="auto" w:fill="auto"/>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资格证明文件和商务及技术文件两部分。</w:t>
      </w:r>
    </w:p>
    <w:p>
      <w:pPr>
        <w:shd w:val="clear" w:color="auto" w:fill="auto"/>
        <w:spacing w:line="440" w:lineRule="exact"/>
        <w:ind w:firstLine="352" w:firstLineChars="147"/>
        <w:rPr>
          <w:rFonts w:hint="eastAsia" w:ascii="仿宋" w:hAnsi="仿宋" w:eastAsia="仿宋" w:cs="仿宋"/>
          <w:b/>
          <w:color w:val="000000" w:themeColor="text1"/>
          <w:szCs w:val="21"/>
          <w:highlight w:val="none"/>
          <w:lang w:eastAsia="zh-CN"/>
        </w:rPr>
      </w:pPr>
      <w:r>
        <w:rPr>
          <w:rFonts w:hint="eastAsia" w:ascii="仿宋" w:hAnsi="仿宋" w:eastAsia="仿宋" w:cs="仿宋"/>
          <w:b/>
          <w:color w:val="000000" w:themeColor="text1"/>
          <w:szCs w:val="21"/>
          <w:highlight w:val="none"/>
        </w:rPr>
        <w:t>21.1资格证明文件</w:t>
      </w:r>
      <w:r>
        <w:rPr>
          <w:rFonts w:hint="eastAsia" w:ascii="仿宋" w:hAnsi="仿宋" w:eastAsia="仿宋" w:cs="仿宋"/>
          <w:b/>
          <w:color w:val="000000" w:themeColor="text1"/>
          <w:szCs w:val="21"/>
          <w:highlight w:val="none"/>
          <w:lang w:eastAsia="zh-CN"/>
        </w:rPr>
        <w:t>（包括但不限于）</w:t>
      </w:r>
    </w:p>
    <w:p>
      <w:pPr>
        <w:shd w:val="clear" w:color="auto" w:fill="auto"/>
        <w:spacing w:line="440" w:lineRule="exact"/>
        <w:ind w:firstLine="352" w:firstLineChars="147"/>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w:t>
      </w:r>
      <w:r>
        <w:rPr>
          <w:rFonts w:hint="eastAsia" w:ascii="仿宋" w:hAnsi="仿宋" w:eastAsia="仿宋" w:cs="仿宋"/>
          <w:color w:val="000000" w:themeColor="text1"/>
          <w:szCs w:val="21"/>
          <w:highlight w:val="none"/>
          <w:lang w:eastAsia="zh-CN"/>
        </w:rPr>
        <w:t>文件</w:t>
      </w:r>
      <w:r>
        <w:rPr>
          <w:rFonts w:hint="eastAsia" w:ascii="仿宋" w:hAnsi="仿宋" w:eastAsia="仿宋" w:cs="仿宋"/>
          <w:color w:val="000000" w:themeColor="text1"/>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2、法定代表人资格证明书；</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3、法定代表人授权委托书；</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4、</w:t>
      </w:r>
      <w:r>
        <w:rPr>
          <w:rFonts w:hint="eastAsia" w:ascii="仿宋" w:hAnsi="仿宋" w:eastAsia="仿宋" w:cs="仿宋"/>
          <w:bCs/>
          <w:color w:val="000000" w:themeColor="text1"/>
          <w:sz w:val="24"/>
          <w:szCs w:val="24"/>
          <w:lang w:val="en-US" w:eastAsia="zh-CN" w:bidi="en-US"/>
        </w:rPr>
        <w:t>投标保证金缴纳依据（汇款凭证）或保函等票据</w:t>
      </w:r>
      <w:r>
        <w:rPr>
          <w:rFonts w:hint="eastAsia" w:ascii="仿宋" w:hAnsi="仿宋" w:eastAsia="仿宋" w:cs="仿宋"/>
          <w:color w:val="000000" w:themeColor="text1"/>
          <w:szCs w:val="21"/>
          <w:highlight w:val="none"/>
          <w:lang w:val="en-US" w:eastAsia="zh-CN"/>
        </w:rPr>
        <w:t>；</w:t>
      </w:r>
    </w:p>
    <w:p>
      <w:pPr>
        <w:shd w:val="clear" w:color="auto" w:fill="auto"/>
        <w:spacing w:line="440" w:lineRule="exact"/>
        <w:ind w:firstLine="352" w:firstLineChars="147"/>
        <w:rPr>
          <w:rFonts w:hint="eastAsia"/>
          <w:lang w:val="en-US" w:eastAsia="zh-CN"/>
        </w:rPr>
      </w:pPr>
      <w:r>
        <w:rPr>
          <w:rFonts w:hint="eastAsia" w:ascii="仿宋" w:hAnsi="仿宋" w:eastAsia="仿宋" w:cs="仿宋"/>
          <w:color w:val="000000" w:themeColor="text1"/>
          <w:szCs w:val="21"/>
          <w:highlight w:val="none"/>
          <w:lang w:val="en-US" w:eastAsia="zh-CN"/>
        </w:rPr>
        <w:t>5、投标企业须提供投标人（被授权本单位在职人员）近期有效的社保证明;</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6、未被“信用中国”（www.creditchina.gov.cn）、中国政府采购网（www.ccgp.gov.cn）列入失信被执行人、重大税收违法案件当事人名单、政府采购严重违法失信行为记录名单；</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7、参加政府采购活动前3年内在经营活动中没有重大违法记录的书面声明;</w:t>
      </w:r>
    </w:p>
    <w:p>
      <w:pPr>
        <w:shd w:val="clear" w:color="auto" w:fill="auto"/>
        <w:spacing w:line="440" w:lineRule="exact"/>
        <w:ind w:firstLine="352" w:firstLineChars="147"/>
        <w:rPr>
          <w:rFonts w:hint="default"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8、投标人须知资料表要求的其他资格证明文件。</w:t>
      </w:r>
    </w:p>
    <w:p>
      <w:pPr>
        <w:shd w:val="clear" w:color="auto" w:fill="auto"/>
        <w:spacing w:line="440" w:lineRule="exact"/>
        <w:ind w:firstLine="352" w:firstLineChars="147"/>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21.2 商务及技术文件（包括但不限于）</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（1）投标函</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（2）开标一览表</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（4）投标报价明细表</w:t>
      </w:r>
    </w:p>
    <w:p>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（5）技术规格偏离表</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（6）商务条款偏离表</w:t>
      </w:r>
    </w:p>
    <w:p>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（7）供应商基本情况表</w:t>
      </w:r>
    </w:p>
    <w:p>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（8）近三年类似项目业绩</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（9）中小企业声明函(货物)</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（10）投标人关联单位的说明（格式自拟）</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（11）评分标准和细则中技术部分证明材料（格式自拟）</w:t>
      </w:r>
    </w:p>
    <w:p>
      <w:pPr>
        <w:shd w:val="clear" w:color="auto" w:fill="auto"/>
        <w:spacing w:line="400" w:lineRule="exact"/>
        <w:ind w:firstLine="484"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（12）评分标准和细则中商务部分证明材料（格式自拟）</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（13）投标人认为有必要提供的其他证明材料（格式自拟）</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注：以上材料须逐页加盖单位公章。</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21.3投标文件的要求</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（2）投标文件格式应按本采购文件第六章格式要求编制，不得对采购文件格式进行增删更改，否则按无效标处理。</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（4）投标文件为电子投标文件，电子投标文件按“政采云供应商项目采购-电子招投标操作指南”及本采购文件要求制作、加密传输。</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22.投标报价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22.1投标报价文件中的单价和总价全部采用人民币表示。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22.2投标报价表上应清楚地标明投标人拟提供货物的名称、型号、生产厂家、数量、单价和总价。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22.3投标人只允许有一个方案、一个报价。</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22.4本次报价为人民币报价，投标报价应包括：货物本身价格、包装费、运输费、二次搬运费、安装费、损耗、技术指导、培训费、税金费用、伴随产品备品备件费、专用工具费、伴随产品资料费、技术服务费、技术考察费、人工及辅材费、代理费、自检费及验收合格前和质保期内发生的一切费用、应当提供的伴随服务/售后服务费用。因中标供应商自身原因造成漏报、少报皆由其自行承担责任，采购人不再补偿。</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22.5投标报价的价格是货物交货地验收价格，其总价即为履行合同的固定总价。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22.6技术要求中规定的安装、调试和培训费用应包括在投标价格中。投标文件报价为含税价，招标人不再为此次招标支付任何费用。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22.7投标报价应由法定代表人或被授权人签署。</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22.8投标人投标总报价，不得高于本次招标设置的最高限价，否则将作为无效投标处理。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22.10总投标价中不得包含采购文件要求以外的内容，否则，在评标时不予核减，但在授予合同时，招标人有权将这部分价格从其中标价格中扣除。</w:t>
      </w:r>
    </w:p>
    <w:p>
      <w:pPr>
        <w:shd w:val="clear" w:color="auto" w:fill="auto"/>
        <w:spacing w:line="440" w:lineRule="exact"/>
        <w:ind w:firstLine="460" w:firstLineChars="192"/>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23. 投标有效期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23.1 除投标人须知前附表另有规定外，投标有效期为60天。</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23.2在投标有效期内，投标人撤销或修改其投标文件的，应承担采购文件和法律规定的责任。</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24. 投标保证金</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24.3有下列情形之一的，投标保证金将不予退还： </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（1）投标人在规定的投标有效期内撤回或修改其投标文件；</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（2）中标通知书发出后三十天内，中标人无正当理由拒签合同协议书或未按采购文件规定提交履约担保。</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（3）提供虚假材料谋取中标的；</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（4）经查实属于陪标、串通投标的等。</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24.4投标保证金按投标人须知前附表第24条规定执行。</w:t>
      </w:r>
    </w:p>
    <w:p>
      <w:pPr>
        <w:pStyle w:val="3"/>
        <w:rPr>
          <w:rFonts w:hint="eastAsia" w:ascii="仿宋" w:hAnsi="仿宋" w:eastAsia="仿宋" w:cs="仿宋"/>
          <w:bCs/>
          <w:color w:val="000000" w:themeColor="text1"/>
          <w:sz w:val="24"/>
          <w:szCs w:val="24"/>
          <w:lang w:val="en-US" w:eastAsia="zh-CN" w:bidi="en-US"/>
        </w:rPr>
      </w:pPr>
      <w:r>
        <w:rPr>
          <w:rFonts w:hint="eastAsia" w:ascii="仿宋" w:hAnsi="仿宋" w:eastAsia="仿宋" w:cs="仿宋"/>
          <w:color w:val="000000" w:themeColor="text1"/>
          <w:sz w:val="28"/>
          <w:szCs w:val="28"/>
          <w:lang w:eastAsia="zh-CN"/>
        </w:rPr>
        <w:t>（四）</w:t>
      </w:r>
      <w:bookmarkEnd w:id="19"/>
      <w:r>
        <w:rPr>
          <w:rFonts w:hint="eastAsia" w:ascii="仿宋" w:hAnsi="仿宋" w:eastAsia="仿宋" w:cs="仿宋"/>
          <w:color w:val="000000" w:themeColor="text1"/>
          <w:sz w:val="28"/>
          <w:szCs w:val="28"/>
          <w:lang w:eastAsia="zh-CN"/>
        </w:rPr>
        <w:t>投标文件的制作、上传及递交要求</w:t>
      </w:r>
      <w:bookmarkStart w:id="20" w:name="_Toc469495729"/>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25.投标文件的制作要求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备份电子投标文件：通过“政采云”平台电子投标工具制作投标文件所产生的备份文件。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（2）供应商应对所提供的全部资料的真实性、有效性承担法律责任，电子投标文件中所须加盖公章部分均采用CA签章。</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（3）投标文件以及供应商与采购组织机构就有关投标事宜的所有来往函电，均应以中文汉语书写。除签字、盖章、专用名称等特殊情形外，以中文汉语以外的文字表述的投标文件视同未提供。</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（4）投标计量单位，采购文件已有明确规定的，使用采购文件规定的计量单位；采购文件没有规定的，应采用中华人民共和国法定计量单位（货币单位：人民币元）。</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（5）若供应商不按采购文件的要求提供资格审查材料，其风险由供应商自行承担。</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（6）与本次投标无关的内容请不要制作在内，确保投标文件有针对性、简洁明了。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26.投标文件的上传</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（1）电子加密投标文件（“.jmbs”格式）：</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 供应商应在投标截止时间前将电子加密投标文件成功上传递交至新疆政府采购云平台，否则投标无效；</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b.供应商成功上传电子加密投标文件后，可自行打印投标文件接收回执。</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（2）备份投标文件（“.bfbs”格式）：</w:t>
      </w:r>
    </w:p>
    <w:p>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 HYPERLINK "mailto:1207446769@qq.com，接收人：陈加轲，电话：15157655122" </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739301695@qq.com，接收人：魏女士，电话：1</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7799081359）.</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27.投标文件的递交要求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（1）供应商须按照采购文件和政采云平台的要求编制并加密投标文件。在投标文件递交截止时间以前完成投标文件的传输递交，截止时间后递交的投标文件，将被拒收。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（2）备份电子投标文件必须在投标截止时间前送达指定的投标地点。备份电子投标文件在截止时间后提交，采购组织机构将拒绝接收。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（3）如有特殊情况，采购组织机构延长截止时间和开标时间，采购组织机构和供应商的权利和义务将受到新的截止时间和开标时间的约束。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28．投标文件的补充、修改与撤回</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1" w:name="_Toc469495728"/>
      <w:r>
        <w:rPr>
          <w:rFonts w:hint="eastAsia" w:ascii="仿宋" w:hAnsi="仿宋" w:eastAsia="仿宋" w:cs="仿宋"/>
          <w:bCs/>
          <w:color w:val="000000" w:themeColor="text1"/>
          <w:sz w:val="24"/>
          <w:szCs w:val="24"/>
          <w:lang w:val="en-US" w:eastAsia="zh-CN" w:bidi="en-US"/>
        </w:rPr>
        <w:t>（五）开标、评标和定标</w:t>
      </w:r>
      <w:bookmarkEnd w:id="21"/>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 开标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2" w:name="_Toc73975822"/>
      <w:r>
        <w:rPr>
          <w:rFonts w:hint="eastAsia" w:ascii="仿宋" w:hAnsi="仿宋" w:eastAsia="仿宋" w:cs="仿宋"/>
          <w:bCs/>
          <w:color w:val="000000" w:themeColor="text1"/>
          <w:sz w:val="24"/>
          <w:szCs w:val="24"/>
          <w:lang w:val="en-US" w:eastAsia="zh-CN" w:bidi="en-US"/>
        </w:rPr>
        <w:t>29.1开标邀请</w:t>
      </w:r>
      <w:bookmarkEnd w:id="22"/>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（1）开标准备：本项目开标的准备工作由采购组织机构负责落实，开标过程由采购组织机构负责记录；</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（2）开标主持：本项目开标由采购人或者采购代理机构主持；</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（3）开标邀请：本项目采用电子交易，采购组织机构将按照采购文件规定的时间通过“新疆政府采购云平台，网址：</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HYPERLINK "http://www.zcygov.cn"</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www.zcygov.cn</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”组织开标、开启投标响应文件，所有供应商均应当准时在线参加。</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3" w:name="_Toc73975823"/>
      <w:r>
        <w:rPr>
          <w:rFonts w:hint="eastAsia" w:ascii="仿宋" w:hAnsi="仿宋" w:eastAsia="仿宋" w:cs="仿宋"/>
          <w:bCs/>
          <w:color w:val="000000" w:themeColor="text1"/>
          <w:sz w:val="24"/>
          <w:szCs w:val="24"/>
          <w:lang w:val="en-US" w:eastAsia="zh-CN" w:bidi="en-US"/>
        </w:rPr>
        <w:t>29.2开标程序（先资格、商务技术后报价）</w:t>
      </w:r>
      <w:bookmarkEnd w:id="23"/>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（1）开标时间到后，主持人宣布开标会议开始。</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（2）投标文件解密（解密规定见《供应商须知前附表》）。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（3）投标文件解密异常情况处理（处理办法见《供应商须知前附表》）。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公布投标文件解密情况（投标文件成功解密的供应商名单等信息），组织签署《政府采购活动现场确认声明书》（疫情防控期间，将通过电子邮件形式组织签署），供应商应在20分钟内通过邮件形式将经签署的《政府采购活动现场确认声明书》发送至采购代理机构指定邮箱739301695@qq.com ，逾期发送或未发送的视为无异议。</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（6）商务技术评审结束后，主持人公布商务技术评审无效投标供应商名单和商务技术评审有效投标供应商名单及其商务技术得分情况。商务技术评审无效的供应商，其报价不再进入评审。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开启有效投标供应商的报价，公布开标一览表有关内容，并【开启签字时段】，供应商对开标纪录进行在线签字确认（不予确认的应说明理由，否则视为无异议）。开标结束后，由评标委员会对报价的合理性、准确性等进行审查核实。</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（8）评审结束后，采购代理机构在系统上公布评审结果。</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特别情况说明：</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（1）本项目采用电子交易，如遇“新疆政府采购云平台”电子化开标或评审程序调整的，按调整后程序执行。</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29.3 投标供应商资格审查：</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（3）供应商信用记录查询与使用：见《供应商须知前附表》。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30.评审工作的组织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采购人或采购代理机构负责组织本项目的评审工作，并依据《政府采购货物和服务招标投标管理办法（财政部第87号令）》第四十五条的相关规定履行职责。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 评标委员会的组建</w:t>
      </w:r>
    </w:p>
    <w:p>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31.1评标委员会成员由采购人代表1名和随机抽取有关方面的专家6名组成，成员为7人，评标委员会的成员在评标过程中必须严格遵守政府采购的有关规定。</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31.2评审专家从新疆政府采购云平台专家库中通过随机方式抽取产生。评标委员会成员名单在采购结果公告前保密。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32.评标委员会的职责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32.1审查、评价投标文件是否符合采购文件的商务、技术等实质性要求。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32.2要求供应商对投标文件有关事项作出澄清或者说明。</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32.3对投标文件进行比较和评价。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32.4确定中标候选人名单，以及根据采购人委托直接确定中标人。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32.5向采购人、采购代理机构或者有关部门报告评审中发现的违法行为。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 评标原则</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33.1评标委员会将遵循公平、公正、科学的原则，对供应商提交的投标文件进行综合评审，评标委员会按照采购文件规定的评标细则进行评分。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33.2客观公正对待所有供应商，对所有投标评价均采用相同的程序和标准。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33.3评标委员会成员对需要共同认定的事项存在争议的，按照少数服从多数的原则作出结论。持不同意见的评标委员会成员应当在评审报告上签署不同意见及理由，否则视为同意评审报告。</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非单一产品采购项目，采购人应当根据采购项目技术构成、产品价格比重等合理确定核心产品，并在采购文件中载明。多家供应商提供的核心产品品牌相同的，按前款规定处理。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评委纪律</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35.评标程序</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 在评审专家中推选评标委员会组长，采购人代表不得担任评标委员会组长。</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35.3 评审人员对符合资格的供应商的投标文件的有效性、符合性、完整性和响应程度进行审查，确定是否对采购文件作出实质性响应。</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35.4 评审人员按采购文件规定的评审方法和评审标准，依法独立对供应商投标文件进行评估、比较，并给予评价或打分，不受任何单位和个人的干预。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货物项目的价格分值占总分值的比重(即权值)为30％，采购项目中含不同采购对象的，以占项目资金比例最高的采购对象确定其项目属性。其价格不列为评分因素，有特殊情况需要在上述规定范围外设定价格分权重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综合评分法中的价格分统一采用低价优先法计算，即满足招标文件要求且最后报价最低的供应商的价格为招标基准价，其价格分为满分。其他供应商的价格分统一按照下列公式计算：</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投标报价得分=（基准价/投标报价）×价格权值×100</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项目评审过程中，不得去掉最后报价中的最高报价和最低报价。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35.7 评标委员会根据评审汇总情况和采购文件规定确定中标候选供应商排序名单。</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35.8 起草评审报告，所有评审人员须在评审报告上签字确认，对自己的评审意见承担法律责任。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35.9 采购组织机构对评标委员会评审专家进行评价。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35.10 修改评审结果</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评标结果汇总完成后，除下列情形外，任何人不得修改评标结果：</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（1）分值汇总计算错误的；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（2）分项评分超出评分标准范围的；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（3）评标委员会成员对客观评审因素评分不一致的；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（4）经评标委员会认定评分畸高、畸低的。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36．澄清、说明或补正的形式</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37．错误修正的原则</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投标文件报价出现前后不一致的，除采购文件另有规定外，按照下列规定修正：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37.1 投标函中表述的内容与报价表中不一致的，以报价表为准；报价表中的内容与报价明细表不一致的，以报价表为准；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37.2 投标文件中的大写金额和小写金额不一致的，以大写金额为准；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37.3 单价金额小数点或者百分比有明显错位的，以开标一览表的总价为准，并修改单价；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37.4 总价金额与按单价汇总金额不一致的，以单价金额计算结果为准；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37.5 若用文字表示的数值与用数字表示的数值不一致，以文字表示的数值为准；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37.7 对不同文字文本投标文件的解释发生异议的，以中文文本为准；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38．无效投标文件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有下列情形之一的，投标文件按无效标处理：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 报名的投标人与参加投标的投标人发生实质性变更的且未提供有效证明的；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38.2投标人提交两份或两份以上内容不同的投标文件，未声明哪一份有效的；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38.3 投标文件非投标人法定代表人签署的，未提供或提供无效的法定代表人授权书；</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38.4 未按招标文件规定装订；</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38.5 投标文件内容未按招标文件规定签字或盖章的；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38.7 投标人未按招标文件变更通知更改投标文件的；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38.8 《开标一览表》和《投标分项报价表》内容不完整且不接受修正意见或字迹不能辨认的或未提供；</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38.9 标项投标报价超过招标文件规定的预算金额或最高限价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38.10 因投标人原因编制错误造成经评标委员会修正后的报价达到或超过投标报价的0.5%；</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38.12 未实质性响应招标文件中条款要求的投标文件；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38.13 不符合招标范围、技术规格、技术标准的要求无法满足采购人使用要求；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38.14 投标文件附有采购人不能接受的条款；</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38.15 投标文件中提供了赠品或者与本项目采购无关的其他商品、服务；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38.16 投标文件中承诺的投标有效期少于招标文件中载明的投标有效期；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38.17投标人串通投标，妨碍其他投标人的竞争行为，损害采购人或者其他投标人的合法权益；</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38.18违反国家及政府部门相关法律、法规、文件规定或经评标委员会认定的其他属于重大偏离；</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39．废标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39.1 符合招标文件规定废标情形的；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39.2 出现影响采购公正的违法、违规行为的；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39.3 供应商的报价均超过了采购预算（或最高限价），采购人不能支付的;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39.4 因重大变故，采购任务取消的。</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40．突发情况处理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（1）电子交易平台发生故障而无法登录访问的；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（2）电子交易平台应用或数据库出现错误，不能进行正常操作的；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（3）电子交易平台发现严重安全漏洞，有潜在泄密危险的；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（4）病毒发作导致不能进行正常操作的；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（5）其他无法保证电子交易的公平、公正和安全的情况。</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（1）短时间内能消除不可抗力因素的，采购代理机构或评审小组在消除不可抗力因素后继续组织电子交易活动；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41. 定标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41.1采购结果确认（确定中标供应商）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（1）采购代理机构将在评审结束后2个工作日内将评审报告送采购人。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41.2</w:t>
      </w:r>
      <w:r>
        <w:rPr>
          <w:rFonts w:hint="eastAsia" w:ascii="仿宋" w:hAnsi="仿宋" w:eastAsia="仿宋" w:cs="仿宋"/>
          <w:b w:val="0"/>
          <w:bCs/>
          <w:color w:val="000000" w:themeColor="text1"/>
          <w:sz w:val="24"/>
          <w:szCs w:val="24"/>
          <w:lang w:val="en-US" w:eastAsia="zh-CN" w:bidi="en-US"/>
        </w:rPr>
        <w:t>采购结果经采购人确认后2个工作日内，采购代理机构将在</w:t>
      </w:r>
      <w:r>
        <w:rPr>
          <w:rFonts w:hint="eastAsia" w:ascii="仿宋" w:hAnsi="仿宋" w:eastAsia="仿宋" w:cs="仿宋"/>
          <w:b/>
          <w:bCs w:val="0"/>
          <w:color w:val="000000" w:themeColor="text1"/>
          <w:sz w:val="24"/>
          <w:szCs w:val="24"/>
          <w:lang w:val="en-US" w:eastAsia="zh-CN" w:bidi="en-US"/>
        </w:rPr>
        <w:t>新疆政府采购网（www.zjzfcg.gov.cn）、克州公共资源交易网上公告采购结果，中标公告期限为1个工作日</w:t>
      </w:r>
      <w:r>
        <w:rPr>
          <w:rFonts w:hint="eastAsia" w:ascii="仿宋" w:hAnsi="仿宋" w:eastAsia="仿宋" w:cs="仿宋"/>
          <w:bCs/>
          <w:color w:val="000000" w:themeColor="text1"/>
          <w:sz w:val="24"/>
          <w:szCs w:val="24"/>
          <w:lang w:val="en-US" w:eastAsia="zh-CN" w:bidi="en-US"/>
        </w:rPr>
        <w:t>。</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42. 中标通知书</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42.1</w:t>
      </w:r>
      <w:r>
        <w:rPr>
          <w:rFonts w:hint="eastAsia" w:ascii="仿宋" w:hAnsi="仿宋" w:eastAsia="仿宋" w:cs="仿宋"/>
          <w:b w:val="0"/>
          <w:bCs/>
          <w:color w:val="000000" w:themeColor="text1"/>
          <w:sz w:val="24"/>
          <w:szCs w:val="24"/>
          <w:lang w:val="en-US" w:eastAsia="zh-CN" w:bidi="en-US"/>
        </w:rPr>
        <w:t>在中标通知书发出前，招标人将中标侯选人的情况在</w:t>
      </w:r>
      <w:r>
        <w:rPr>
          <w:rFonts w:hint="eastAsia" w:ascii="仿宋" w:hAnsi="仿宋" w:eastAsia="仿宋" w:cs="仿宋"/>
          <w:b/>
          <w:bCs w:val="0"/>
          <w:color w:val="000000" w:themeColor="text1"/>
          <w:sz w:val="24"/>
          <w:szCs w:val="24"/>
          <w:lang w:val="en-US" w:eastAsia="zh-CN" w:bidi="en-US"/>
        </w:rPr>
        <w:t>新疆政府采购网、克州公共资源交易网上予以公示，公示期为一个工作日。</w:t>
      </w:r>
      <w:r>
        <w:rPr>
          <w:rFonts w:hint="eastAsia" w:ascii="仿宋" w:hAnsi="仿宋" w:eastAsia="仿宋" w:cs="仿宋"/>
          <w:b w:val="0"/>
          <w:bCs/>
          <w:color w:val="000000" w:themeColor="text1"/>
          <w:sz w:val="24"/>
          <w:szCs w:val="24"/>
          <w:lang w:val="en-US" w:eastAsia="zh-CN" w:bidi="en-US"/>
        </w:rPr>
        <w:t>待公示期结束后，采购组织机构向中标人发出中标通知书。</w:t>
      </w:r>
    </w:p>
    <w:p>
      <w:pPr>
        <w:shd w:val="clear" w:color="auto" w:fill="auto"/>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 w:val="24"/>
          <w:szCs w:val="24"/>
          <w:lang w:val="en-US" w:eastAsia="zh-CN" w:bidi="en-US"/>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pacing w:beforeLines="50" w:line="440" w:lineRule="exact"/>
        <w:jc w:val="center"/>
        <w:outlineLvl w:val="2"/>
        <w:rPr>
          <w:rFonts w:ascii="仿宋" w:hAnsi="仿宋" w:eastAsia="仿宋" w:cs="仿宋"/>
          <w:b/>
          <w:bCs/>
          <w:color w:val="000000" w:themeColor="text1"/>
          <w:lang w:eastAsia="zh-CN"/>
        </w:rPr>
      </w:pPr>
      <w:r>
        <w:rPr>
          <w:rFonts w:hint="eastAsia" w:ascii="仿宋" w:hAnsi="仿宋" w:eastAsia="仿宋" w:cs="仿宋"/>
          <w:b/>
          <w:bCs/>
          <w:color w:val="000000" w:themeColor="text1"/>
          <w:sz w:val="28"/>
          <w:szCs w:val="28"/>
          <w:lang w:eastAsia="zh-CN"/>
        </w:rPr>
        <w:t>（六）合同的授予</w:t>
      </w:r>
      <w:bookmarkEnd w:id="20"/>
    </w:p>
    <w:p>
      <w:pPr>
        <w:spacing w:line="440" w:lineRule="exact"/>
        <w:ind w:firstLine="240" w:firstLineChars="100"/>
        <w:rPr>
          <w:rFonts w:ascii="仿宋" w:hAnsi="仿宋" w:eastAsia="仿宋" w:cs="仿宋"/>
          <w:color w:val="000000" w:themeColor="text1"/>
          <w:szCs w:val="21"/>
          <w:lang w:eastAsia="zh-CN"/>
        </w:rPr>
      </w:pPr>
      <w:bookmarkStart w:id="24" w:name="_Toc73975842"/>
      <w:bookmarkStart w:id="25" w:name="_Toc469495730"/>
      <w:r>
        <w:rPr>
          <w:rFonts w:hint="eastAsia" w:ascii="仿宋" w:hAnsi="仿宋" w:eastAsia="仿宋" w:cs="仿宋"/>
          <w:color w:val="000000" w:themeColor="text1"/>
          <w:szCs w:val="21"/>
          <w:lang w:eastAsia="zh-CN"/>
        </w:rPr>
        <w:t>43．履约保证金</w:t>
      </w:r>
      <w:bookmarkEnd w:id="24"/>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43.1 中标供应商在签订合同后10个工作日内向采购人缴纳中标</w:t>
      </w:r>
      <w:r>
        <w:rPr>
          <w:rFonts w:hint="eastAsia" w:ascii="仿宋" w:hAnsi="仿宋" w:eastAsia="仿宋" w:cs="仿宋"/>
          <w:b w:val="0"/>
          <w:bCs w:val="0"/>
          <w:color w:val="auto"/>
          <w:szCs w:val="21"/>
          <w:lang w:eastAsia="zh-CN"/>
        </w:rPr>
        <w:t>价</w:t>
      </w:r>
      <w:r>
        <w:rPr>
          <w:rFonts w:hint="eastAsia" w:ascii="仿宋" w:hAnsi="仿宋" w:eastAsia="仿宋" w:cs="仿宋"/>
          <w:b/>
          <w:bCs/>
          <w:color w:val="auto"/>
          <w:szCs w:val="21"/>
          <w:lang w:val="en-US" w:eastAsia="zh-CN"/>
        </w:rPr>
        <w:t>5</w:t>
      </w:r>
      <w:r>
        <w:rPr>
          <w:rFonts w:hint="eastAsia" w:ascii="仿宋" w:hAnsi="仿宋" w:eastAsia="仿宋" w:cs="仿宋"/>
          <w:b/>
          <w:bCs/>
          <w:color w:val="auto"/>
          <w:szCs w:val="21"/>
          <w:lang w:eastAsia="zh-CN"/>
        </w:rPr>
        <w:t>%的履约保证金</w:t>
      </w:r>
      <w:r>
        <w:rPr>
          <w:rFonts w:hint="eastAsia" w:ascii="仿宋" w:hAnsi="仿宋" w:eastAsia="仿宋" w:cs="仿宋"/>
          <w:color w:val="000000" w:themeColor="text1"/>
          <w:szCs w:val="21"/>
          <w:lang w:eastAsia="zh-CN"/>
        </w:rPr>
        <w:t>（鼓励以银行、保险公司出具的履约保函形式提交；若以电汇、银行转账方式提交的，必须转到采购人的指定账户）。</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43.2 签订合同后，如中标供应商不按合同约定履约的，履约保证金不予退还，履约保证金不足以赔偿损失的，按实际损失赔偿。</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43.3 如果中标供应商在</w:t>
      </w:r>
      <w:r>
        <w:rPr>
          <w:rFonts w:hint="eastAsia" w:ascii="仿宋" w:hAnsi="仿宋" w:eastAsia="仿宋" w:cs="仿宋"/>
          <w:color w:val="000000" w:themeColor="text1"/>
          <w:szCs w:val="21"/>
          <w:lang w:val="en-US" w:eastAsia="zh-CN"/>
        </w:rPr>
        <w:t>服务</w:t>
      </w:r>
      <w:r>
        <w:rPr>
          <w:rFonts w:hint="eastAsia" w:ascii="仿宋" w:hAnsi="仿宋" w:eastAsia="仿宋" w:cs="仿宋"/>
          <w:color w:val="000000" w:themeColor="text1"/>
          <w:szCs w:val="21"/>
          <w:lang w:eastAsia="zh-CN"/>
        </w:rPr>
        <w:t>期内没有涉及采购人的应付而未付金额或违约行为，采购人在项目验收合格后或提前终止合同后全额无息退还履约保证金。</w:t>
      </w:r>
    </w:p>
    <w:p>
      <w:pPr>
        <w:spacing w:line="440" w:lineRule="exact"/>
        <w:ind w:firstLine="240" w:firstLineChars="100"/>
        <w:rPr>
          <w:rFonts w:ascii="仿宋" w:hAnsi="仿宋" w:eastAsia="仿宋" w:cs="仿宋"/>
          <w:color w:val="000000" w:themeColor="text1"/>
          <w:szCs w:val="21"/>
          <w:lang w:eastAsia="zh-CN"/>
        </w:rPr>
      </w:pPr>
      <w:bookmarkStart w:id="26" w:name="_Toc73975843"/>
      <w:r>
        <w:rPr>
          <w:rFonts w:hint="eastAsia" w:ascii="仿宋" w:hAnsi="仿宋" w:eastAsia="仿宋" w:cs="仿宋"/>
          <w:color w:val="000000" w:themeColor="text1"/>
          <w:szCs w:val="21"/>
          <w:lang w:eastAsia="zh-CN"/>
        </w:rPr>
        <w:t>44．签订合同及公告</w:t>
      </w:r>
      <w:bookmarkEnd w:id="26"/>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44.1采购人在中标通知书发出之日起30日内与中标供应商签订合同。</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44.2中标供应商拖延、拒签合同的,取消中标资格。</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44.4采购人应当自政府采购合同签订之日起2个工作日内，在省级以上财政部门指定的政府采购信息发布媒体及相关网站上公告。</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（七）纪律和监督</w:t>
      </w:r>
      <w:bookmarkEnd w:id="25"/>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45. 对招标人的纪律要求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45.1招标人不得泄漏招标投标活动中应当保密的情况和资料，不得与供应商串通损害国家利益，社会公共利益或者他人合法权益。 </w:t>
      </w:r>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46. 对供应商的纪律要求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47. 对评标委员会成员的纪律要求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47.1评标委员会成员不得收受他人的财物或者其他好处，不得向他人透漏对投标文件的评审和比较、中标候选人的推荐情况以及评标有关的其他情况。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47.2在评标活动中，评标委员会成员不得擅离职守，影响评标程序正常进行，不得使用第三章“评标办法”没有规定的评审因素和标准进行评标。 </w:t>
      </w:r>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48. 对与评标活动有关的工作人员的纪律要求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Lines="50" w:afterLines="50" w:line="320" w:lineRule="exact"/>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（八）质疑与投诉</w:t>
      </w:r>
    </w:p>
    <w:p>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49．质疑和投诉</w:t>
      </w:r>
    </w:p>
    <w:p>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（一）对可以质疑的采购文件提出质疑的，为收到采购文件之日或者采购文件公告期限届满之日；</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（二）对采购过程提出质疑的，为各采购程序环节结束之日；</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（三）对中标或者成交结果提出质疑的，为中标或者成交结果公告期限届满之日。</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供应商为自然人的，应当由本人签章；供应商为法人或者其他组织的，应当由法定代表人、主要负责人，或者其授权代表签章或者盖章，并加盖公章。</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49.5供应商有下列情形之一的，采购代理机构将报告克州财政局，将其列入不良行为记录名单：</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（一）一年内三次以上质疑均查无实据的；</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（二）捏造事实或者提供虚假质疑材料的。</w:t>
      </w:r>
    </w:p>
    <w:p>
      <w:pPr>
        <w:spacing w:line="440" w:lineRule="exact"/>
        <w:ind w:firstLine="240" w:firstLineChars="100"/>
        <w:rPr>
          <w:rFonts w:hint="eastAsia" w:ascii="仿宋" w:hAnsi="仿宋" w:eastAsia="仿宋" w:cs="仿宋"/>
          <w:b/>
          <w:bCs/>
          <w:color w:val="000000" w:themeColor="text1"/>
          <w:lang w:eastAsia="zh-CN"/>
        </w:rPr>
      </w:pPr>
      <w:r>
        <w:rPr>
          <w:rFonts w:hint="eastAsia" w:ascii="仿宋" w:hAnsi="仿宋" w:eastAsia="仿宋" w:cs="仿宋"/>
          <w:color w:val="000000" w:themeColor="text1"/>
          <w:szCs w:val="21"/>
          <w:lang w:eastAsia="zh-CN"/>
        </w:rPr>
        <w:t>（三）以非法手段取得证明材料。证据来源的合法性存在明显疑问，质疑人无法证明其取得方式合法的，视为以非法手段取得证明材料。</w:t>
      </w: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pStyle w:val="12"/>
        <w:rPr>
          <w:rFonts w:hint="eastAsia" w:ascii="仿宋" w:hAnsi="仿宋" w:eastAsia="仿宋" w:cs="仿宋"/>
          <w:b/>
          <w:bCs/>
          <w:color w:val="000000" w:themeColor="text1"/>
          <w:lang w:eastAsia="zh-CN"/>
        </w:rPr>
      </w:pPr>
    </w:p>
    <w:p>
      <w:pPr>
        <w:pStyle w:val="13"/>
        <w:rPr>
          <w:rFonts w:hint="eastAsia"/>
          <w:lang w:eastAsia="zh-CN"/>
        </w:rPr>
      </w:pPr>
    </w:p>
    <w:p>
      <w:pPr>
        <w:rPr>
          <w:rFonts w:hint="eastAsia" w:ascii="仿宋" w:hAnsi="仿宋" w:eastAsia="仿宋" w:cs="仿宋"/>
          <w:b/>
          <w:bCs/>
          <w:color w:val="000000" w:themeColor="text1"/>
          <w:lang w:eastAsia="zh-CN"/>
        </w:rPr>
      </w:pPr>
    </w:p>
    <w:p>
      <w:pPr>
        <w:rPr>
          <w:rFonts w:ascii="仿宋" w:hAnsi="仿宋" w:eastAsia="仿宋" w:cs="仿宋"/>
          <w:b/>
          <w:bCs/>
          <w:color w:val="000000" w:themeColor="text1"/>
          <w:lang w:eastAsia="zh-CN"/>
        </w:rPr>
      </w:pPr>
      <w:r>
        <w:rPr>
          <w:rFonts w:hint="eastAsia" w:ascii="仿宋" w:hAnsi="仿宋" w:eastAsia="仿宋" w:cs="仿宋"/>
          <w:b/>
          <w:bCs/>
          <w:color w:val="000000" w:themeColor="text1"/>
          <w:lang w:eastAsia="zh-CN"/>
        </w:rPr>
        <w:t>附件：</w:t>
      </w:r>
    </w:p>
    <w:p>
      <w:pPr>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32"/>
          <w:szCs w:val="32"/>
          <w:lang w:eastAsia="zh-CN"/>
        </w:rPr>
        <w:t>政府采购投诉书（范本）、质疑函范本</w:t>
      </w:r>
    </w:p>
    <w:p>
      <w:pPr>
        <w:spacing w:line="400" w:lineRule="exact"/>
        <w:jc w:val="center"/>
        <w:rPr>
          <w:rFonts w:ascii="仿宋" w:hAnsi="仿宋" w:eastAsia="仿宋" w:cs="仿宋"/>
          <w:color w:val="000000" w:themeColor="text1"/>
          <w:u w:val="single"/>
          <w:lang w:eastAsia="zh-CN"/>
        </w:rPr>
      </w:pPr>
      <w:r>
        <w:rPr>
          <w:rFonts w:hint="eastAsia" w:ascii="仿宋" w:hAnsi="仿宋" w:eastAsia="仿宋" w:cs="仿宋"/>
          <w:b/>
          <w:bCs/>
          <w:color w:val="000000" w:themeColor="text1"/>
          <w:sz w:val="28"/>
          <w:szCs w:val="28"/>
          <w:lang w:eastAsia="zh-CN"/>
        </w:rPr>
        <w:t>政府采购投诉书（范本）</w:t>
      </w:r>
    </w:p>
    <w:p>
      <w:pPr>
        <w:spacing w:line="400" w:lineRule="exact"/>
        <w:rPr>
          <w:rFonts w:ascii="仿宋" w:hAnsi="仿宋" w:eastAsia="仿宋" w:cs="仿宋"/>
          <w:color w:val="000000" w:themeColor="text1"/>
          <w:lang w:eastAsia="zh-CN"/>
        </w:rPr>
      </w:pP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法定代表人：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电话：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委托代理人姓名：</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职务：</w:t>
      </w:r>
      <w:r>
        <w:rPr>
          <w:rFonts w:hint="eastAsia" w:ascii="仿宋" w:hAnsi="仿宋" w:eastAsia="仿宋" w:cs="仿宋"/>
          <w:color w:val="000000" w:themeColor="text1"/>
          <w:u w:val="single"/>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住址：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联系电话：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被投诉人：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法定代表人：</w:t>
      </w:r>
      <w:r>
        <w:rPr>
          <w:rFonts w:hint="eastAsia" w:ascii="仿宋" w:hAnsi="仿宋" w:eastAsia="仿宋" w:cs="仿宋"/>
          <w:color w:val="000000" w:themeColor="text1"/>
          <w:u w:val="single"/>
          <w:lang w:eastAsia="zh-CN"/>
        </w:rPr>
        <w:t xml:space="preserve">         </w:t>
      </w:r>
    </w:p>
    <w:p>
      <w:pPr>
        <w:spacing w:line="400" w:lineRule="exact"/>
        <w:ind w:firstLine="480" w:firstLineChars="200"/>
        <w:rPr>
          <w:rFonts w:ascii="仿宋" w:hAnsi="仿宋" w:eastAsia="仿宋" w:cs="仿宋"/>
          <w:color w:val="000000" w:themeColor="text1"/>
          <w:u w:val="single"/>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电话：</w:t>
      </w:r>
      <w:r>
        <w:rPr>
          <w:rFonts w:hint="eastAsia" w:ascii="仿宋" w:hAnsi="仿宋" w:eastAsia="仿宋" w:cs="仿宋"/>
          <w:color w:val="000000" w:themeColor="text1"/>
          <w:u w:val="single"/>
          <w:lang w:eastAsia="zh-CN"/>
        </w:rPr>
        <w:t xml:space="preserve">               </w:t>
      </w:r>
    </w:p>
    <w:p>
      <w:pPr>
        <w:spacing w:line="400" w:lineRule="exact"/>
        <w:ind w:firstLine="480" w:firstLineChars="200"/>
        <w:rPr>
          <w:rFonts w:ascii="仿宋" w:hAnsi="仿宋" w:eastAsia="仿宋" w:cs="仿宋"/>
          <w:color w:val="000000" w:themeColor="text1"/>
          <w:lang w:eastAsia="zh-CN"/>
        </w:rPr>
      </w:pP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我公司参加了</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年 </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日被投诉人组织的</w:t>
      </w:r>
      <w:r>
        <w:rPr>
          <w:rFonts w:hint="eastAsia" w:ascii="仿宋" w:hAnsi="仿宋" w:eastAsia="仿宋" w:cs="仿宋"/>
          <w:color w:val="000000" w:themeColor="text1"/>
          <w:u w:val="single"/>
          <w:lang w:eastAsia="zh-CN"/>
        </w:rPr>
        <w:t>（采购人）（项目名称）（项目编号）</w:t>
      </w:r>
      <w:r>
        <w:rPr>
          <w:rFonts w:hint="eastAsia" w:ascii="仿宋" w:hAnsi="仿宋" w:eastAsia="仿宋" w:cs="仿宋"/>
          <w:color w:val="000000" w:themeColor="text1"/>
          <w:lang w:eastAsia="zh-CN"/>
        </w:rPr>
        <w:t>的采购活动，我公司认为该项目的</w:t>
      </w:r>
      <w:r>
        <w:rPr>
          <w:rFonts w:hint="eastAsia" w:ascii="仿宋" w:hAnsi="仿宋" w:eastAsia="仿宋" w:cs="仿宋"/>
          <w:color w:val="000000" w:themeColor="text1"/>
          <w:u w:val="single"/>
          <w:lang w:eastAsia="zh-CN"/>
        </w:rPr>
        <w:t>（采购文件/采购过程/中标（中标）结果）</w:t>
      </w:r>
      <w:r>
        <w:rPr>
          <w:rFonts w:hint="eastAsia" w:ascii="仿宋" w:hAnsi="仿宋" w:eastAsia="仿宋" w:cs="仿宋"/>
          <w:color w:val="000000" w:themeColor="text1"/>
          <w:lang w:eastAsia="zh-CN"/>
        </w:rPr>
        <w:t>损害了我公司权益，对此，我公司于</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日向</w:t>
      </w:r>
      <w:r>
        <w:rPr>
          <w:rFonts w:hint="eastAsia" w:ascii="仿宋" w:hAnsi="仿宋" w:eastAsia="仿宋" w:cs="仿宋"/>
          <w:color w:val="000000" w:themeColor="text1"/>
          <w:u w:val="single"/>
          <w:lang w:eastAsia="zh-CN"/>
        </w:rPr>
        <w:t>（采购人或者政府采购代理机构）</w:t>
      </w:r>
      <w:r>
        <w:rPr>
          <w:rFonts w:hint="eastAsia" w:ascii="仿宋" w:hAnsi="仿宋" w:eastAsia="仿宋" w:cs="仿宋"/>
          <w:color w:val="000000" w:themeColor="text1"/>
          <w:lang w:eastAsia="zh-CN"/>
        </w:rPr>
        <w:t>提出了质疑，</w:t>
      </w:r>
      <w:r>
        <w:rPr>
          <w:rFonts w:hint="eastAsia" w:ascii="仿宋" w:hAnsi="仿宋" w:eastAsia="仿宋" w:cs="仿宋"/>
          <w:color w:val="000000" w:themeColor="text1"/>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000000" w:themeColor="text1"/>
          <w:lang w:eastAsia="zh-CN"/>
        </w:rPr>
        <w:t>，现向贵机关提起投诉：</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1.</w:t>
      </w:r>
      <w:r>
        <w:rPr>
          <w:rFonts w:hint="eastAsia" w:ascii="仿宋" w:hAnsi="仿宋" w:eastAsia="仿宋" w:cs="仿宋"/>
          <w:color w:val="000000" w:themeColor="text1"/>
          <w:u w:val="single"/>
          <w:lang w:eastAsia="zh-CN"/>
        </w:rPr>
        <w:t>具体的投诉事项及事实依据；</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r>
        <w:rPr>
          <w:rFonts w:hint="eastAsia" w:ascii="仿宋" w:hAnsi="仿宋" w:eastAsia="仿宋" w:cs="仿宋"/>
          <w:color w:val="000000" w:themeColor="text1"/>
          <w:u w:val="single"/>
          <w:lang w:eastAsia="zh-CN"/>
        </w:rPr>
        <w:t>质疑和质疑答复情况简要描述；</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3.</w:t>
      </w:r>
      <w:r>
        <w:rPr>
          <w:rFonts w:hint="eastAsia" w:ascii="仿宋" w:hAnsi="仿宋" w:eastAsia="仿宋" w:cs="仿宋"/>
          <w:color w:val="000000" w:themeColor="text1"/>
          <w:u w:val="single"/>
          <w:lang w:eastAsia="zh-CN"/>
        </w:rPr>
        <w:t>投诉请求。</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附件：</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1.质疑书和质疑答复书；</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2.证据材料（需注明证据来源），证人的姓名、住址和联系方式等；</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3.营业执照；</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4.法定代表人身份证明函</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5.法定代表人授权委托书（包含法定代表人和委托代理人的身份证复印件）；</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6.政府采购监管部门认为应当提供的其它材料。</w:t>
      </w:r>
    </w:p>
    <w:p>
      <w:pPr>
        <w:spacing w:line="400" w:lineRule="exact"/>
        <w:jc w:val="center"/>
        <w:rPr>
          <w:rFonts w:ascii="仿宋" w:hAnsi="仿宋" w:eastAsia="仿宋" w:cs="仿宋"/>
          <w:color w:val="000000" w:themeColor="text1"/>
          <w:lang w:eastAsia="zh-CN"/>
        </w:rPr>
      </w:pPr>
    </w:p>
    <w:p>
      <w:pPr>
        <w:spacing w:line="400" w:lineRule="exact"/>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投诉供应商：（盖章）</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法定代表人（或主要负责人）：（签章）</w:t>
      </w:r>
    </w:p>
    <w:p>
      <w:pPr>
        <w:spacing w:line="400" w:lineRule="exact"/>
        <w:ind w:firstLine="3840" w:firstLineChars="1600"/>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w:t>
      </w:r>
    </w:p>
    <w:p>
      <w:pPr>
        <w:spacing w:line="400" w:lineRule="exact"/>
        <w:rPr>
          <w:rFonts w:ascii="仿宋" w:hAnsi="仿宋" w:eastAsia="仿宋" w:cs="仿宋"/>
          <w:color w:val="000000" w:themeColor="text1"/>
          <w:lang w:eastAsia="zh-CN"/>
        </w:rPr>
      </w:pPr>
    </w:p>
    <w:p>
      <w:pPr>
        <w:spacing w:line="400" w:lineRule="exact"/>
        <w:jc w:val="right"/>
        <w:rPr>
          <w:rFonts w:hint="eastAsia" w:ascii="仿宋" w:hAnsi="仿宋" w:eastAsia="仿宋" w:cs="仿宋"/>
          <w:b/>
          <w:bCs/>
          <w:color w:val="000000" w:themeColor="text1"/>
          <w:sz w:val="32"/>
          <w:szCs w:val="32"/>
          <w:lang w:eastAsia="zh-CN"/>
        </w:rPr>
      </w:pPr>
      <w:r>
        <w:rPr>
          <w:rFonts w:hint="eastAsia" w:ascii="仿宋" w:hAnsi="仿宋" w:eastAsia="仿宋" w:cs="仿宋"/>
          <w:color w:val="000000" w:themeColor="text1"/>
          <w:lang w:eastAsia="zh-CN"/>
        </w:rPr>
        <w:t>本投诉书正本叁份，副本</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份并附电子文档。</w:t>
      </w:r>
      <w:bookmarkStart w:id="27" w:name="_Toc17515"/>
    </w:p>
    <w:p>
      <w:pPr>
        <w:ind w:left="5838" w:hanging="5760" w:hangingChars="1800"/>
        <w:jc w:val="center"/>
        <w:outlineLvl w:val="0"/>
        <w:rPr>
          <w:rFonts w:hint="eastAsia" w:ascii="仿宋" w:hAnsi="仿宋" w:eastAsia="仿宋" w:cs="仿宋"/>
          <w:b/>
          <w:bCs/>
          <w:color w:val="000000" w:themeColor="text1"/>
          <w:sz w:val="32"/>
          <w:szCs w:val="32"/>
          <w:lang w:eastAsia="zh-CN"/>
        </w:rPr>
      </w:pPr>
    </w:p>
    <w:p>
      <w:pPr>
        <w:ind w:left="5838" w:hanging="5760" w:hangingChars="1800"/>
        <w:jc w:val="center"/>
        <w:outlineLvl w:val="0"/>
        <w:rPr>
          <w:rFonts w:hint="eastAsia" w:ascii="仿宋" w:hAnsi="仿宋" w:eastAsia="仿宋" w:cs="仿宋"/>
          <w:b/>
          <w:bCs/>
          <w:color w:val="000000" w:themeColor="text1"/>
          <w:sz w:val="32"/>
          <w:szCs w:val="32"/>
          <w:lang w:eastAsia="zh-CN"/>
        </w:rPr>
      </w:pPr>
    </w:p>
    <w:p>
      <w:pPr>
        <w:ind w:left="5838" w:hanging="5760" w:hangingChars="1800"/>
        <w:jc w:val="center"/>
        <w:outlineLvl w:val="0"/>
        <w:rPr>
          <w:rFonts w:ascii="仿宋" w:hAnsi="仿宋" w:eastAsia="仿宋" w:cs="仿宋"/>
          <w:color w:val="000000" w:themeColor="text1"/>
          <w:sz w:val="32"/>
          <w:szCs w:val="32"/>
          <w:lang w:eastAsia="zh-CN"/>
        </w:rPr>
      </w:pPr>
      <w:r>
        <w:rPr>
          <w:rFonts w:hint="eastAsia" w:ascii="仿宋" w:hAnsi="仿宋" w:eastAsia="仿宋" w:cs="仿宋"/>
          <w:b/>
          <w:bCs/>
          <w:color w:val="000000" w:themeColor="text1"/>
          <w:sz w:val="32"/>
          <w:szCs w:val="32"/>
          <w:lang w:eastAsia="zh-CN"/>
        </w:rPr>
        <w:t>投诉相关说明</w:t>
      </w:r>
      <w:bookmarkEnd w:id="27"/>
    </w:p>
    <w:p>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投诉人应当满足《政府采购法》、《政府采购法实施条例》和《政府采购供应商投诉处理办法》的相关规定。</w:t>
      </w:r>
    </w:p>
    <w:p>
      <w:pPr>
        <w:numPr>
          <w:ilvl w:val="0"/>
          <w:numId w:val="3"/>
        </w:numPr>
        <w:spacing w:line="400" w:lineRule="exact"/>
        <w:ind w:left="4569" w:leftChars="304" w:hanging="3840" w:hangingChars="1600"/>
        <w:outlineLvl w:val="0"/>
        <w:rPr>
          <w:rFonts w:ascii="仿宋" w:hAnsi="仿宋" w:eastAsia="仿宋" w:cs="仿宋"/>
          <w:b/>
          <w:bCs/>
          <w:color w:val="000000" w:themeColor="text1"/>
        </w:rPr>
      </w:pPr>
      <w:bookmarkStart w:id="28" w:name="_Toc11499"/>
      <w:r>
        <w:rPr>
          <w:rFonts w:hint="eastAsia" w:ascii="仿宋" w:hAnsi="仿宋" w:eastAsia="仿宋" w:cs="仿宋"/>
          <w:b/>
          <w:bCs/>
          <w:color w:val="000000" w:themeColor="text1"/>
        </w:rPr>
        <w:t>质疑前置及时间要求</w:t>
      </w:r>
      <w:bookmarkEnd w:id="28"/>
    </w:p>
    <w:p>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lang w:eastAsia="zh-CN"/>
        </w:rPr>
        <w:t>《中华人民共和国政府采购法》</w:t>
      </w:r>
      <w:r>
        <w:rPr>
          <w:rFonts w:hint="eastAsia" w:ascii="仿宋" w:hAnsi="仿宋" w:eastAsia="仿宋" w:cs="仿宋"/>
          <w:color w:val="000000" w:themeColor="text1"/>
          <w:shd w:val="clear" w:color="auto" w:fill="FFFFFF"/>
          <w:lang w:eastAsia="zh-CN"/>
        </w:rPr>
        <w:t>第五十一条：供应商对政府采购活动事项有疑问的，可以向采购人提出询问，采购人应当及时作出答复，但答复的内容不得涉及商业秘密。</w:t>
      </w:r>
    </w:p>
    <w:p>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《政府采购实施条例》第五十五条：供应商质疑、投诉应当有明确的请求和必要的证明材料。供应商投诉的事项不得超出质疑事项的范围。</w:t>
      </w:r>
    </w:p>
    <w:p>
      <w:pPr>
        <w:spacing w:line="400" w:lineRule="exact"/>
        <w:ind w:left="3836" w:hanging="3780" w:hangingChars="1800"/>
        <w:outlineLvl w:val="0"/>
        <w:rPr>
          <w:rFonts w:ascii="仿宋" w:hAnsi="仿宋" w:eastAsia="仿宋" w:cs="仿宋"/>
          <w:color w:val="000000" w:themeColor="text1"/>
          <w:sz w:val="21"/>
          <w:szCs w:val="2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b/>
          <w:bCs/>
          <w:color w:val="000000" w:themeColor="text1"/>
          <w:sz w:val="21"/>
          <w:szCs w:val="21"/>
          <w:lang w:eastAsia="zh-CN"/>
        </w:rPr>
        <w:t xml:space="preserve">   </w:t>
      </w:r>
      <w:bookmarkStart w:id="29" w:name="_Toc13508"/>
      <w:r>
        <w:rPr>
          <w:rFonts w:hint="eastAsia" w:ascii="仿宋" w:hAnsi="仿宋" w:eastAsia="仿宋" w:cs="仿宋"/>
          <w:b/>
          <w:bCs/>
          <w:color w:val="000000" w:themeColor="text1"/>
          <w:sz w:val="21"/>
          <w:szCs w:val="21"/>
          <w:lang w:eastAsia="zh-CN"/>
        </w:rPr>
        <w:t>二、书面方式</w:t>
      </w:r>
      <w:bookmarkEnd w:id="29"/>
    </w:p>
    <w:p>
      <w:pPr>
        <w:spacing w:line="400" w:lineRule="exact"/>
        <w:ind w:left="3836" w:hanging="3780" w:hangingChars="1800"/>
        <w:rPr>
          <w:rFonts w:ascii="仿宋" w:hAnsi="仿宋" w:eastAsia="仿宋" w:cs="仿宋"/>
          <w:color w:val="000000" w:themeColor="text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color w:val="000000" w:themeColor="text1"/>
          <w:lang w:eastAsia="zh-CN"/>
        </w:rPr>
        <w:t>政府采购供应商投诉处理办法》第八条：投诉人投诉</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时，应当提交投诉书，并按照被投诉人以及与投诉事项有关的供应商数量提供投诉书的副本。</w:t>
      </w:r>
    </w:p>
    <w:p>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投诉书应当包括下列主要内容：</w:t>
      </w:r>
    </w:p>
    <w:p>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投诉人和被投诉人的名称、地址、电话等；</w:t>
      </w:r>
    </w:p>
    <w:p>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具体的投诉事项及事实依据；</w:t>
      </w:r>
    </w:p>
    <w:p>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质疑和质疑答复情况及相关证明材料；</w:t>
      </w:r>
    </w:p>
    <w:p>
      <w:pPr>
        <w:numPr>
          <w:ilvl w:val="0"/>
          <w:numId w:val="4"/>
        </w:numPr>
        <w:spacing w:line="400" w:lineRule="exact"/>
        <w:rPr>
          <w:rFonts w:ascii="仿宋" w:hAnsi="仿宋" w:eastAsia="仿宋" w:cs="仿宋"/>
          <w:color w:val="000000" w:themeColor="text1"/>
        </w:rPr>
      </w:pPr>
      <w:r>
        <w:rPr>
          <w:rFonts w:hint="eastAsia" w:ascii="仿宋" w:hAnsi="仿宋" w:eastAsia="仿宋" w:cs="仿宋"/>
          <w:color w:val="000000" w:themeColor="text1"/>
        </w:rPr>
        <w:t>提起投诉的日期。</w:t>
      </w:r>
    </w:p>
    <w:p>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投诉书应当署名。投诉人为自然人，应当由本人签章；投诉人为法人或者其他组织的，应当由法定代表人或者主要负责人签章并加盖公章。</w:t>
      </w:r>
    </w:p>
    <w:p>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《政府采购供应商投诉处理办法》第十条：投诉人提起投诉应当符合下列条件：</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投诉人是参与所投诉政府采购活动的供应商；</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提起投诉诉前已依法进行质疑；</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投诉书内容符合本办法的规定；</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在投诉有效期内提起投诉；</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属于本级财政部门管辖；</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同一投诉事项未经财政部门投诉处理；</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国务院财政部门规定的其他条件。</w:t>
      </w:r>
    </w:p>
    <w:p>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p>
    <w:p>
      <w:pPr>
        <w:outlineLvl w:val="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b/>
          <w:bCs/>
          <w:color w:val="000000" w:themeColor="text1"/>
          <w:lang w:eastAsia="zh-CN"/>
        </w:rPr>
        <w:t xml:space="preserve">   </w:t>
      </w:r>
      <w:bookmarkStart w:id="30" w:name="_Toc5978"/>
      <w:r>
        <w:rPr>
          <w:rFonts w:hint="eastAsia" w:ascii="仿宋" w:hAnsi="仿宋" w:eastAsia="仿宋" w:cs="仿宋"/>
          <w:b/>
          <w:bCs/>
          <w:color w:val="000000" w:themeColor="text1"/>
          <w:lang w:eastAsia="zh-CN"/>
        </w:rPr>
        <w:t>三、虚假、恶意投诉法律责任</w:t>
      </w:r>
      <w:bookmarkEnd w:id="30"/>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第七十三条：供应商捏造实施、提供虚假材料或者以非法手段取得证明材料进行投诉的，由财政部门列入不良行为记录名单，禁止其1至3年内参加政府采购活动。</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《政府采购供应商投诉处理办法》第二十六条：投诉人有下列情形之一的，属于虚假、恶意投诉，财政部门应当驳回投诉，将其列入不良行为记录名单，并依法予以处罚：</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（一）1年内3次以上投诉均查无实据的；</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（二）捏造事实或者提供虚假投诉材料的。</w:t>
      </w:r>
    </w:p>
    <w:p>
      <w:pPr>
        <w:spacing w:line="400" w:lineRule="exact"/>
        <w:rPr>
          <w:rFonts w:ascii="仿宋" w:hAnsi="仿宋" w:eastAsia="仿宋" w:cs="仿宋"/>
          <w:color w:val="000000" w:themeColor="text1"/>
          <w:sz w:val="21"/>
          <w:szCs w:val="21"/>
          <w:lang w:eastAsia="zh-CN"/>
        </w:rPr>
      </w:pPr>
    </w:p>
    <w:p>
      <w:pPr>
        <w:spacing w:line="400" w:lineRule="exact"/>
        <w:rPr>
          <w:rFonts w:ascii="仿宋" w:hAnsi="仿宋" w:eastAsia="仿宋" w:cs="仿宋"/>
          <w:color w:val="000000" w:themeColor="text1"/>
          <w:sz w:val="21"/>
          <w:szCs w:val="21"/>
          <w:lang w:eastAsia="zh-CN"/>
        </w:rPr>
      </w:pPr>
    </w:p>
    <w:p>
      <w:pPr>
        <w:jc w:val="both"/>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递交投诉书地址：</w:t>
      </w:r>
      <w:r>
        <w:rPr>
          <w:rFonts w:hint="eastAsia" w:ascii="仿宋" w:hAnsi="仿宋" w:eastAsia="仿宋" w:cs="仿宋"/>
          <w:color w:val="000000" w:themeColor="text1"/>
          <w:lang w:val="en-US" w:eastAsia="zh-CN"/>
        </w:rPr>
        <w:t>阿图什市</w:t>
      </w:r>
      <w:r>
        <w:rPr>
          <w:rFonts w:hint="eastAsia" w:ascii="仿宋" w:hAnsi="仿宋" w:eastAsia="仿宋" w:cs="仿宋"/>
          <w:color w:val="000000" w:themeColor="text1"/>
          <w:lang w:eastAsia="zh-CN"/>
        </w:rPr>
        <w:t>政府采购办监管办公室</w:t>
      </w:r>
    </w:p>
    <w:p>
      <w:pPr>
        <w:jc w:val="right"/>
        <w:rPr>
          <w:rFonts w:ascii="仿宋" w:hAnsi="仿宋" w:eastAsia="仿宋" w:cs="仿宋"/>
          <w:color w:val="000000" w:themeColor="text1"/>
          <w:sz w:val="32"/>
          <w:szCs w:val="32"/>
          <w:lang w:eastAsia="zh-CN"/>
        </w:rPr>
      </w:pPr>
    </w:p>
    <w:p>
      <w:pPr>
        <w:spacing w:line="540" w:lineRule="exact"/>
        <w:jc w:val="center"/>
        <w:rPr>
          <w:rFonts w:ascii="仿宋" w:hAnsi="仿宋" w:eastAsia="仿宋" w:cs="仿宋"/>
          <w:b/>
          <w:bCs/>
          <w:color w:val="000000" w:themeColor="text1"/>
          <w:sz w:val="44"/>
          <w:szCs w:val="44"/>
          <w:lang w:eastAsia="zh-CN"/>
        </w:rPr>
      </w:pPr>
    </w:p>
    <w:p>
      <w:pPr>
        <w:spacing w:line="540" w:lineRule="exact"/>
        <w:jc w:val="both"/>
        <w:rPr>
          <w:rFonts w:ascii="仿宋" w:hAnsi="仿宋" w:eastAsia="仿宋" w:cs="仿宋"/>
          <w:b/>
          <w:bCs/>
          <w:color w:val="000000" w:themeColor="text1"/>
          <w:sz w:val="44"/>
          <w:szCs w:val="44"/>
          <w:lang w:eastAsia="zh-CN"/>
        </w:rPr>
      </w:pPr>
    </w:p>
    <w:p>
      <w:pPr>
        <w:spacing w:line="540" w:lineRule="exact"/>
        <w:jc w:val="both"/>
        <w:outlineLvl w:val="0"/>
        <w:rPr>
          <w:rFonts w:hint="eastAsia" w:ascii="仿宋" w:hAnsi="仿宋" w:eastAsia="仿宋" w:cs="仿宋"/>
          <w:b/>
          <w:bCs/>
          <w:color w:val="000000" w:themeColor="text1"/>
          <w:sz w:val="32"/>
          <w:szCs w:val="32"/>
          <w:lang w:eastAsia="zh-CN"/>
        </w:rPr>
      </w:pPr>
      <w:bookmarkStart w:id="31" w:name="_Toc1697"/>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both"/>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pStyle w:val="12"/>
        <w:rPr>
          <w:rFonts w:hint="eastAsia" w:ascii="仿宋" w:hAnsi="仿宋" w:eastAsia="仿宋" w:cs="仿宋"/>
          <w:b/>
          <w:bCs/>
          <w:color w:val="000000" w:themeColor="text1"/>
          <w:sz w:val="32"/>
          <w:szCs w:val="32"/>
          <w:lang w:eastAsia="zh-CN"/>
        </w:rPr>
      </w:pPr>
    </w:p>
    <w:p>
      <w:pPr>
        <w:pStyle w:val="13"/>
        <w:rPr>
          <w:rFonts w:hint="eastAsia" w:ascii="仿宋" w:hAnsi="仿宋" w:eastAsia="仿宋" w:cs="仿宋"/>
          <w:b/>
          <w:bCs/>
          <w:color w:val="000000" w:themeColor="text1"/>
          <w:sz w:val="32"/>
          <w:szCs w:val="32"/>
          <w:lang w:eastAsia="zh-CN"/>
        </w:rPr>
      </w:pPr>
    </w:p>
    <w:p>
      <w:pPr>
        <w:pStyle w:val="10"/>
        <w:numPr>
          <w:ilvl w:val="0"/>
          <w:numId w:val="0"/>
        </w:numPr>
        <w:ind w:leftChars="0"/>
        <w:rPr>
          <w:rFonts w:hint="eastAsia"/>
          <w:lang w:eastAsia="zh-CN"/>
        </w:rPr>
      </w:pPr>
    </w:p>
    <w:p>
      <w:pPr>
        <w:rPr>
          <w:rFonts w:hint="eastAsia" w:ascii="仿宋" w:hAnsi="仿宋" w:eastAsia="仿宋" w:cs="仿宋"/>
          <w:b/>
          <w:bCs/>
          <w:color w:val="000000" w:themeColor="text1"/>
          <w:sz w:val="32"/>
          <w:szCs w:val="32"/>
          <w:lang w:eastAsia="zh-CN"/>
        </w:rPr>
      </w:pPr>
    </w:p>
    <w:p>
      <w:pPr>
        <w:pStyle w:val="10"/>
        <w:numPr>
          <w:ilvl w:val="0"/>
          <w:numId w:val="0"/>
        </w:numPr>
        <w:ind w:leftChars="0"/>
        <w:rPr>
          <w:rFonts w:hint="eastAsia"/>
          <w:lang w:eastAsia="zh-CN"/>
        </w:rPr>
      </w:pPr>
    </w:p>
    <w:p>
      <w:pPr>
        <w:pStyle w:val="12"/>
        <w:rPr>
          <w:rFonts w:hint="eastAsia"/>
          <w:lang w:eastAsia="zh-CN"/>
        </w:rPr>
      </w:pPr>
    </w:p>
    <w:p>
      <w:pPr>
        <w:spacing w:line="540" w:lineRule="exact"/>
        <w:jc w:val="center"/>
        <w:outlineLvl w:val="0"/>
        <w:rPr>
          <w:rFonts w:ascii="仿宋" w:hAnsi="仿宋" w:eastAsia="仿宋" w:cs="仿宋"/>
          <w:b/>
          <w:bCs/>
          <w:color w:val="000000" w:themeColor="text1"/>
          <w:sz w:val="32"/>
          <w:szCs w:val="32"/>
          <w:lang w:eastAsia="zh-CN"/>
        </w:rPr>
      </w:pPr>
      <w:r>
        <w:rPr>
          <w:rFonts w:hint="eastAsia" w:ascii="仿宋" w:hAnsi="仿宋" w:eastAsia="仿宋" w:cs="仿宋"/>
          <w:b/>
          <w:bCs/>
          <w:color w:val="000000" w:themeColor="text1"/>
          <w:sz w:val="32"/>
          <w:szCs w:val="32"/>
          <w:lang w:eastAsia="zh-CN"/>
        </w:rPr>
        <w:t>质疑函范本</w:t>
      </w:r>
      <w:bookmarkEnd w:id="31"/>
    </w:p>
    <w:p>
      <w:pPr>
        <w:adjustRightInd w:val="0"/>
        <w:snapToGrid w:val="0"/>
        <w:spacing w:beforeLines="100" w:line="540" w:lineRule="exact"/>
        <w:ind w:firstLine="480" w:firstLineChars="200"/>
        <w:outlineLvl w:val="0"/>
        <w:rPr>
          <w:rFonts w:ascii="仿宋" w:hAnsi="仿宋" w:eastAsia="仿宋" w:cs="仿宋"/>
          <w:bCs/>
          <w:color w:val="000000" w:themeColor="text1"/>
          <w:lang w:eastAsia="zh-CN"/>
        </w:rPr>
      </w:pPr>
      <w:bookmarkStart w:id="32" w:name="_Toc9061"/>
      <w:r>
        <w:rPr>
          <w:rFonts w:hint="eastAsia" w:ascii="仿宋" w:hAnsi="仿宋" w:eastAsia="仿宋" w:cs="仿宋"/>
          <w:bCs/>
          <w:color w:val="000000" w:themeColor="text1"/>
          <w:lang w:eastAsia="zh-CN"/>
        </w:rPr>
        <w:t>一、质疑供应商基本信息</w:t>
      </w:r>
      <w:bookmarkEnd w:id="32"/>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质疑供应商：</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授权代表：</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地址： </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33" w:name="_Toc15938"/>
      <w:r>
        <w:rPr>
          <w:rFonts w:hint="eastAsia" w:ascii="仿宋" w:hAnsi="仿宋" w:eastAsia="仿宋" w:cs="仿宋"/>
          <w:bCs/>
          <w:color w:val="000000" w:themeColor="text1"/>
          <w:lang w:eastAsia="zh-CN"/>
        </w:rPr>
        <w:t>二、质疑项目基本情况</w:t>
      </w:r>
      <w:bookmarkEnd w:id="33"/>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质疑项目的名称：</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质疑项目的编号：</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包号：</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采购人名称：</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采购文件获取日期：</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34" w:name="_Toc18271"/>
      <w:r>
        <w:rPr>
          <w:rFonts w:hint="eastAsia" w:ascii="仿宋" w:hAnsi="仿宋" w:eastAsia="仿宋" w:cs="仿宋"/>
          <w:bCs/>
          <w:color w:val="000000" w:themeColor="text1"/>
          <w:lang w:eastAsia="zh-CN"/>
        </w:rPr>
        <w:t>三、质疑事项具体内容</w:t>
      </w:r>
      <w:bookmarkEnd w:id="34"/>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质疑事项1：</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事实依据：</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法律依据：</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质疑事项2</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w:t>
      </w:r>
    </w:p>
    <w:p>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35" w:name="_Toc22365"/>
      <w:r>
        <w:rPr>
          <w:rFonts w:hint="eastAsia" w:ascii="仿宋" w:hAnsi="仿宋" w:eastAsia="仿宋" w:cs="仿宋"/>
          <w:bCs/>
          <w:color w:val="000000" w:themeColor="text1"/>
          <w:lang w:eastAsia="zh-CN"/>
        </w:rPr>
        <w:t>四、与质疑事项相关的质疑请求</w:t>
      </w:r>
      <w:bookmarkEnd w:id="35"/>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请求：</w:t>
      </w:r>
      <w:r>
        <w:rPr>
          <w:rFonts w:hint="eastAsia" w:ascii="仿宋" w:hAnsi="仿宋" w:eastAsia="仿宋" w:cs="仿宋"/>
          <w:color w:val="000000" w:themeColor="text1"/>
          <w:u w:val="dotted"/>
          <w:lang w:eastAsia="zh-CN"/>
        </w:rPr>
        <w:t xml:space="preserve">                                               </w:t>
      </w:r>
    </w:p>
    <w:p>
      <w:pPr>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签章(签章)：                   公章：                      </w:t>
      </w:r>
    </w:p>
    <w:p>
      <w:pPr>
        <w:spacing w:line="540" w:lineRule="exact"/>
        <w:ind w:firstLine="480" w:firstLineChars="200"/>
        <w:rPr>
          <w:rFonts w:ascii="仿宋" w:hAnsi="仿宋" w:eastAsia="仿宋" w:cs="仿宋"/>
          <w:b/>
          <w:bCs/>
          <w:color w:val="000000" w:themeColor="text1"/>
          <w:sz w:val="21"/>
          <w:szCs w:val="21"/>
          <w:lang w:eastAsia="zh-CN"/>
        </w:rPr>
      </w:pPr>
      <w:r>
        <w:rPr>
          <w:rFonts w:hint="eastAsia" w:ascii="仿宋" w:hAnsi="仿宋" w:eastAsia="仿宋" w:cs="仿宋"/>
          <w:color w:val="000000" w:themeColor="text1"/>
          <w:lang w:eastAsia="zh-CN"/>
        </w:rPr>
        <w:t xml:space="preserve">日期：    </w:t>
      </w:r>
    </w:p>
    <w:p>
      <w:pPr>
        <w:pageBreakBefore/>
        <w:spacing w:line="440" w:lineRule="exact"/>
        <w:jc w:val="center"/>
        <w:outlineLvl w:val="0"/>
        <w:rPr>
          <w:rFonts w:ascii="仿宋" w:hAnsi="仿宋" w:eastAsia="仿宋" w:cs="仿宋"/>
          <w:b/>
          <w:bCs/>
          <w:color w:val="000000" w:themeColor="text1"/>
          <w:sz w:val="30"/>
          <w:szCs w:val="30"/>
          <w:lang w:eastAsia="zh-CN"/>
        </w:rPr>
      </w:pPr>
      <w:bookmarkStart w:id="36" w:name="_Toc469495731"/>
      <w:r>
        <w:rPr>
          <w:rFonts w:hint="eastAsia" w:ascii="仿宋" w:hAnsi="仿宋" w:eastAsia="仿宋" w:cs="仿宋"/>
          <w:b/>
          <w:bCs/>
          <w:color w:val="000000" w:themeColor="text1"/>
          <w:sz w:val="30"/>
          <w:szCs w:val="30"/>
          <w:lang w:eastAsia="zh-CN"/>
        </w:rPr>
        <w:t>第三部分  评标办法</w:t>
      </w:r>
      <w:bookmarkEnd w:id="36"/>
    </w:p>
    <w:p>
      <w:pPr>
        <w:jc w:val="center"/>
        <w:outlineLvl w:val="1"/>
        <w:rPr>
          <w:rFonts w:ascii="仿宋" w:hAnsi="仿宋" w:eastAsia="仿宋" w:cs="仿宋"/>
          <w:b/>
          <w:color w:val="000000" w:themeColor="text1"/>
          <w:sz w:val="28"/>
          <w:szCs w:val="28"/>
          <w:lang w:eastAsia="zh-CN"/>
        </w:rPr>
      </w:pPr>
      <w:bookmarkStart w:id="37" w:name="_Toc469495733"/>
      <w:bookmarkStart w:id="38" w:name="_Toc362983802"/>
      <w:bookmarkStart w:id="39" w:name="_Toc267320058"/>
      <w:bookmarkStart w:id="40" w:name="_Toc363135205"/>
      <w:r>
        <w:rPr>
          <w:rFonts w:hint="eastAsia" w:ascii="仿宋" w:hAnsi="仿宋" w:eastAsia="仿宋" w:cs="仿宋"/>
          <w:b/>
          <w:color w:val="000000" w:themeColor="text1"/>
          <w:sz w:val="28"/>
          <w:szCs w:val="28"/>
          <w:lang w:eastAsia="zh-CN"/>
        </w:rPr>
        <w:t>一  总  则</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1、一般规定</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1.1本项目的招标按照《中华人民共和国政府采购法》、《政府采购货物和服务招标投标管理办法》及政府采购的有关规定进行。</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1.2评标必须遵循邀请、公平、公正、诚实信用的原则。</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1.3招标代理机构组织招标、开标、评标工作，全过程接受政府采购有关部门的监督、管理和指导。</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1.4评标按照招标文件规定的内容进行，采取符合招标文件要求的最低评标价法；</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1.5本办法的评标对象是指供应商按照招标文件要求提供的有效投标文件，包括供应商应评标委员会要求对原投标文件作出的正式书面澄清文件。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2、评标组织机构的组成</w:t>
      </w:r>
    </w:p>
    <w:p>
      <w:pPr>
        <w:widowControl/>
        <w:spacing w:line="440" w:lineRule="exact"/>
        <w:ind w:firstLine="480"/>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2.1</w:t>
      </w:r>
      <w:r>
        <w:rPr>
          <w:rFonts w:hint="eastAsia" w:ascii="仿宋" w:hAnsi="仿宋" w:eastAsia="仿宋" w:cs="仿宋"/>
          <w:color w:val="000000" w:themeColor="text1"/>
          <w:spacing w:val="-2"/>
          <w:lang w:eastAsia="zh-CN"/>
        </w:rPr>
        <w:t xml:space="preserve"> </w:t>
      </w:r>
      <w:r>
        <w:rPr>
          <w:rFonts w:hint="eastAsia" w:ascii="仿宋" w:hAnsi="仿宋" w:eastAsia="仿宋" w:cs="仿宋"/>
          <w:b/>
          <w:bCs/>
          <w:color w:val="000000" w:themeColor="text1"/>
          <w:spacing w:val="-2"/>
          <w:lang w:eastAsia="zh-CN"/>
        </w:rPr>
        <w:t>评标委员会由采购人代表</w:t>
      </w:r>
      <w:r>
        <w:rPr>
          <w:rFonts w:hint="eastAsia" w:ascii="仿宋" w:hAnsi="仿宋" w:eastAsia="仿宋" w:cs="仿宋"/>
          <w:b/>
          <w:bCs/>
          <w:color w:val="000000" w:themeColor="text1"/>
          <w:spacing w:val="-2"/>
          <w:lang w:val="en-US" w:eastAsia="zh-CN"/>
        </w:rPr>
        <w:t>1</w:t>
      </w:r>
      <w:r>
        <w:rPr>
          <w:rFonts w:hint="eastAsia" w:ascii="仿宋" w:hAnsi="仿宋" w:eastAsia="仿宋" w:cs="仿宋"/>
          <w:b/>
          <w:bCs/>
          <w:color w:val="000000" w:themeColor="text1"/>
          <w:spacing w:val="-2"/>
          <w:lang w:eastAsia="zh-CN"/>
        </w:rPr>
        <w:t>人和有关技术、经济等方面的专家</w:t>
      </w:r>
      <w:r>
        <w:rPr>
          <w:rFonts w:hint="eastAsia" w:ascii="仿宋" w:hAnsi="仿宋" w:eastAsia="仿宋" w:cs="仿宋"/>
          <w:b/>
          <w:bCs/>
          <w:color w:val="000000" w:themeColor="text1"/>
          <w:spacing w:val="-2"/>
          <w:lang w:val="en-US" w:eastAsia="zh-CN"/>
        </w:rPr>
        <w:t>4</w:t>
      </w:r>
      <w:r>
        <w:rPr>
          <w:rFonts w:hint="eastAsia" w:ascii="仿宋" w:hAnsi="仿宋" w:eastAsia="仿宋" w:cs="仿宋"/>
          <w:b/>
          <w:bCs/>
          <w:color w:val="000000" w:themeColor="text1"/>
          <w:spacing w:val="-2"/>
          <w:lang w:eastAsia="zh-CN"/>
        </w:rPr>
        <w:t>人组成，成员人数为</w:t>
      </w:r>
      <w:r>
        <w:rPr>
          <w:rFonts w:hint="eastAsia" w:ascii="仿宋" w:hAnsi="仿宋" w:eastAsia="仿宋" w:cs="仿宋"/>
          <w:b/>
          <w:bCs/>
          <w:color w:val="000000" w:themeColor="text1"/>
          <w:spacing w:val="-2"/>
          <w:lang w:val="en-US" w:eastAsia="zh-CN"/>
        </w:rPr>
        <w:t>5</w:t>
      </w:r>
      <w:r>
        <w:rPr>
          <w:rFonts w:hint="eastAsia" w:ascii="仿宋" w:hAnsi="仿宋" w:eastAsia="仿宋" w:cs="仿宋"/>
          <w:b/>
          <w:bCs/>
          <w:color w:val="000000" w:themeColor="text1"/>
          <w:spacing w:val="-2"/>
          <w:lang w:eastAsia="zh-CN"/>
        </w:rPr>
        <w:t>人。</w:t>
      </w:r>
      <w:r>
        <w:rPr>
          <w:rFonts w:hint="eastAsia" w:ascii="仿宋" w:hAnsi="仿宋" w:eastAsia="仿宋" w:cs="仿宋"/>
          <w:color w:val="000000" w:themeColor="text1"/>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2.2评标工作组由招标人及有关专家组成，由评标委员会确认，并接受其领导。</w:t>
      </w:r>
    </w:p>
    <w:p>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3、评标委员会职责</w:t>
      </w:r>
    </w:p>
    <w:p>
      <w:pPr>
        <w:pStyle w:val="42"/>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3.1审查投标文件是否符合招标文件要求，并作出评价；</w:t>
      </w:r>
    </w:p>
    <w:p>
      <w:pPr>
        <w:pStyle w:val="42"/>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3.2要求供应商对投标文件有关事项作出解释或者澄清；</w:t>
      </w:r>
    </w:p>
    <w:p>
      <w:pPr>
        <w:pStyle w:val="42"/>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3.3推荐中标候选人名单；</w:t>
      </w:r>
    </w:p>
    <w:p>
      <w:pPr>
        <w:pStyle w:val="42"/>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3.4向招标人、招标代理机构或者有关部门报告非法干预评标工作的行为。</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4、评标委员会义务</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4.1遵纪守法，客观、公正、廉洁地履行职责；</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4.2按照招标文件规定的评标方法和评标标准进行评标，对评审意见承担个人责任；</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4.3对评标过程和结果，以及供应商的商业秘密保密；</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4.4参与评标报告的起草；</w:t>
      </w:r>
    </w:p>
    <w:p>
      <w:pPr>
        <w:tabs>
          <w:tab w:val="left" w:pos="567"/>
          <w:tab w:val="left" w:pos="600"/>
        </w:tabs>
        <w:spacing w:line="440" w:lineRule="exact"/>
        <w:ind w:firstLine="612" w:firstLineChars="255"/>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4.5配合有关部门的投诉处理工作；</w:t>
      </w:r>
    </w:p>
    <w:p>
      <w:pPr>
        <w:tabs>
          <w:tab w:val="left" w:pos="1547"/>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 评标程序</w:t>
      </w:r>
    </w:p>
    <w:p>
      <w:pPr>
        <w:pStyle w:val="19"/>
        <w:tabs>
          <w:tab w:val="left" w:pos="720"/>
          <w:tab w:val="clear" w:pos="0"/>
        </w:tabs>
        <w:spacing w:line="440" w:lineRule="exact"/>
        <w:ind w:firstLine="612" w:firstLineChars="255"/>
        <w:rPr>
          <w:rFonts w:ascii="仿宋" w:hAnsi="仿宋" w:eastAsia="仿宋" w:cs="仿宋"/>
          <w:bCs/>
          <w:color w:val="000000" w:themeColor="text1"/>
          <w:szCs w:val="21"/>
          <w:lang w:eastAsia="zh-CN" w:bidi="ar-SA"/>
        </w:rPr>
      </w:pPr>
      <w:r>
        <w:rPr>
          <w:rFonts w:hint="eastAsia" w:ascii="仿宋" w:hAnsi="仿宋" w:eastAsia="仿宋" w:cs="仿宋"/>
          <w:bCs/>
          <w:color w:val="000000" w:themeColor="text1"/>
          <w:szCs w:val="21"/>
          <w:lang w:eastAsia="zh-CN" w:bidi="ar-SA"/>
        </w:rPr>
        <w:t>5.1本次评标首先由评标委员会对供应商的投标文件进行初审，对未能通过初审的投标文件作无效标处理；</w:t>
      </w:r>
    </w:p>
    <w:p>
      <w:pPr>
        <w:tabs>
          <w:tab w:val="left" w:pos="720"/>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5.2对通过初审的供应商的投标文件进行详细的比较和评价。如需要，进行必要的澄清工作；</w:t>
      </w:r>
    </w:p>
    <w:p>
      <w:pPr>
        <w:widowControl/>
        <w:spacing w:line="360" w:lineRule="exact"/>
        <w:ind w:firstLine="482"/>
        <w:rPr>
          <w:rFonts w:ascii="仿宋" w:hAnsi="仿宋" w:eastAsia="仿宋" w:cs="仿宋"/>
          <w:b/>
          <w:bCs/>
          <w:color w:val="000000" w:themeColor="text1"/>
          <w:sz w:val="36"/>
          <w:szCs w:val="36"/>
          <w:lang w:eastAsia="zh-CN" w:bidi="ar-SA"/>
        </w:rPr>
      </w:pPr>
      <w:r>
        <w:rPr>
          <w:rFonts w:hint="eastAsia" w:ascii="仿宋" w:hAnsi="仿宋" w:eastAsia="仿宋" w:cs="仿宋"/>
          <w:color w:val="000000" w:themeColor="text1"/>
          <w:szCs w:val="21"/>
          <w:lang w:eastAsia="zh-CN" w:bidi="ar-SA"/>
        </w:rPr>
        <w:t>5.3依据评分标准以及各项权值，各位评委单独就每个供应商的投标文件进行价格、技术、</w:t>
      </w:r>
      <w:r>
        <w:rPr>
          <w:color w:val="000000" w:themeColor="text1"/>
        </w:rPr>
        <w:fldChar w:fldCharType="begin"/>
      </w:r>
      <w:r>
        <w:rPr>
          <w:color w:val="000000" w:themeColor="text1"/>
        </w:rPr>
        <w:instrText xml:space="preserve"> HYPERLINK "http://zhidao.baidu.com/search?word=%E8%B4%A2%E5%8A%A1%E7%8A%B6%E5%86%B5&amp;fr=qb_search_exp&amp;ie=utf8&amp;eid_gfrom=151" </w:instrText>
      </w:r>
      <w:r>
        <w:rPr>
          <w:color w:val="000000" w:themeColor="text1"/>
        </w:rPr>
        <w:fldChar w:fldCharType="separate"/>
      </w:r>
      <w:r>
        <w:rPr>
          <w:rFonts w:hint="eastAsia" w:ascii="仿宋" w:hAnsi="仿宋" w:eastAsia="仿宋" w:cs="仿宋"/>
          <w:color w:val="000000" w:themeColor="text1"/>
          <w:szCs w:val="21"/>
          <w:lang w:eastAsia="zh-CN" w:bidi="ar-SA"/>
        </w:rPr>
        <w:t>财务状况</w:t>
      </w:r>
      <w:r>
        <w:rPr>
          <w:rFonts w:hint="eastAsia" w:ascii="仿宋" w:hAnsi="仿宋" w:eastAsia="仿宋" w:cs="仿宋"/>
          <w:color w:val="000000" w:themeColor="text1"/>
          <w:szCs w:val="21"/>
          <w:lang w:eastAsia="zh-CN" w:bidi="ar-SA"/>
        </w:rPr>
        <w:fldChar w:fldCharType="end"/>
      </w:r>
      <w:r>
        <w:rPr>
          <w:rFonts w:hint="eastAsia" w:ascii="仿宋" w:hAnsi="仿宋" w:eastAsia="仿宋" w:cs="仿宋"/>
          <w:color w:val="000000" w:themeColor="text1"/>
          <w:szCs w:val="21"/>
          <w:lang w:eastAsia="zh-CN" w:bidi="ar-SA"/>
        </w:rPr>
        <w:t>、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pPr>
        <w:jc w:val="center"/>
        <w:outlineLvl w:val="1"/>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  投标文件初审</w:t>
      </w:r>
    </w:p>
    <w:p>
      <w:pPr>
        <w:spacing w:line="400" w:lineRule="exact"/>
        <w:ind w:firstLine="352" w:firstLineChars="147"/>
        <w:rPr>
          <w:rFonts w:hint="default" w:ascii="仿宋" w:hAnsi="仿宋" w:eastAsia="仿宋" w:cs="仿宋"/>
          <w:b/>
          <w:color w:val="000000" w:themeColor="text1"/>
          <w:szCs w:val="21"/>
          <w:lang w:val="en-US" w:eastAsia="zh-CN"/>
        </w:rPr>
      </w:pPr>
      <w:r>
        <w:rPr>
          <w:rFonts w:hint="eastAsia" w:ascii="仿宋" w:hAnsi="仿宋" w:eastAsia="仿宋" w:cs="仿宋"/>
          <w:b/>
          <w:color w:val="000000" w:themeColor="text1"/>
          <w:szCs w:val="21"/>
          <w:lang w:eastAsia="zh-CN"/>
        </w:rPr>
        <w:t>6.资格性审查:</w:t>
      </w:r>
    </w:p>
    <w:p>
      <w:pPr>
        <w:spacing w:line="400" w:lineRule="exact"/>
        <w:ind w:firstLine="352" w:firstLineChars="147"/>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6</w:t>
      </w:r>
      <w:r>
        <w:rPr>
          <w:rFonts w:hint="eastAsia" w:ascii="仿宋" w:hAnsi="仿宋" w:eastAsia="仿宋" w:cs="仿宋"/>
          <w:color w:val="000000" w:themeColor="text1"/>
          <w:szCs w:val="21"/>
        </w:rPr>
        <w:t>.1评审细则</w:t>
      </w:r>
    </w:p>
    <w:tbl>
      <w:tblPr>
        <w:tblStyle w:val="2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95"/>
        <w:gridCol w:w="6996"/>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86" w:type="dxa"/>
            <w:vMerge w:val="restart"/>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项目</w:t>
            </w:r>
          </w:p>
        </w:tc>
        <w:tc>
          <w:tcPr>
            <w:tcW w:w="7491" w:type="dxa"/>
            <w:gridSpan w:val="2"/>
            <w:vMerge w:val="restart"/>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评审内容</w:t>
            </w:r>
          </w:p>
        </w:tc>
        <w:tc>
          <w:tcPr>
            <w:tcW w:w="1209" w:type="dxa"/>
            <w:gridSpan w:val="2"/>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86" w:type="dxa"/>
            <w:vMerge w:val="continue"/>
            <w:vAlign w:val="center"/>
          </w:tcPr>
          <w:p>
            <w:pPr>
              <w:rPr>
                <w:rFonts w:ascii="仿宋" w:hAnsi="仿宋" w:eastAsia="仿宋" w:cs="仿宋"/>
                <w:color w:val="000000" w:themeColor="text1"/>
                <w:sz w:val="18"/>
                <w:szCs w:val="21"/>
              </w:rPr>
            </w:pPr>
          </w:p>
        </w:tc>
        <w:tc>
          <w:tcPr>
            <w:tcW w:w="7491" w:type="dxa"/>
            <w:gridSpan w:val="2"/>
            <w:vMerge w:val="continue"/>
          </w:tcPr>
          <w:p>
            <w:pPr>
              <w:rPr>
                <w:rFonts w:ascii="仿宋" w:hAnsi="仿宋" w:eastAsia="仿宋" w:cs="仿宋"/>
                <w:color w:val="000000" w:themeColor="text1"/>
                <w:sz w:val="18"/>
                <w:szCs w:val="21"/>
              </w:rPr>
            </w:pPr>
          </w:p>
        </w:tc>
        <w:tc>
          <w:tcPr>
            <w:tcW w:w="555" w:type="dxa"/>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是</w:t>
            </w:r>
          </w:p>
        </w:tc>
        <w:tc>
          <w:tcPr>
            <w:tcW w:w="654" w:type="dxa"/>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6" w:type="dxa"/>
            <w:vMerge w:val="restart"/>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查</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标</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准</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(适</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用</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于</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资</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格</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后</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tc>
        <w:tc>
          <w:tcPr>
            <w:tcW w:w="495"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6996" w:type="dxa"/>
            <w:vAlign w:val="center"/>
          </w:tcPr>
          <w:p>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（三证合一）营业执照</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6" w:type="dxa"/>
            <w:vMerge w:val="continue"/>
            <w:vAlign w:val="center"/>
          </w:tcPr>
          <w:p>
            <w:pPr>
              <w:jc w:val="center"/>
              <w:rPr>
                <w:rFonts w:hint="eastAsia" w:ascii="仿宋" w:hAnsi="仿宋" w:eastAsia="仿宋" w:cs="仿宋"/>
                <w:color w:val="000000" w:themeColor="text1"/>
                <w:szCs w:val="21"/>
                <w:lang w:eastAsia="zh-CN"/>
              </w:rPr>
            </w:pPr>
          </w:p>
        </w:tc>
        <w:tc>
          <w:tcPr>
            <w:tcW w:w="495" w:type="dxa"/>
            <w:vAlign w:val="center"/>
          </w:tcPr>
          <w:p>
            <w:pPr>
              <w:jc w:val="center"/>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2</w:t>
            </w:r>
          </w:p>
        </w:tc>
        <w:tc>
          <w:tcPr>
            <w:tcW w:w="6996" w:type="dxa"/>
            <w:vAlign w:val="center"/>
          </w:tcPr>
          <w:p>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法定代表人投标需提供法定代表人资格证明书，委托代理人投标需提供法定代表人授权委托书</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3</w:t>
            </w:r>
          </w:p>
        </w:tc>
        <w:tc>
          <w:tcPr>
            <w:tcW w:w="6996" w:type="dxa"/>
            <w:vAlign w:val="center"/>
          </w:tcPr>
          <w:p>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投标保证金缴纳依据（汇款凭证）或保函等票据</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4</w:t>
            </w:r>
          </w:p>
        </w:tc>
        <w:tc>
          <w:tcPr>
            <w:tcW w:w="6996" w:type="dxa"/>
            <w:vAlign w:val="center"/>
          </w:tcPr>
          <w:p>
            <w:pPr>
              <w:widowControl/>
              <w:textAlignment w:val="center"/>
              <w:rPr>
                <w:rFonts w:ascii="仿宋" w:hAnsi="仿宋" w:eastAsia="仿宋" w:cs="仿宋"/>
                <w:color w:val="000000" w:themeColor="text1"/>
                <w:lang w:eastAsia="zh-CN"/>
              </w:rPr>
            </w:pPr>
            <w:r>
              <w:rPr>
                <w:rStyle w:val="27"/>
                <w:rFonts w:hint="eastAsia" w:ascii="仿宋" w:hAnsi="仿宋" w:eastAsia="仿宋" w:cs="仿宋"/>
                <w:b w:val="0"/>
                <w:bCs w:val="0"/>
                <w:sz w:val="22"/>
                <w:szCs w:val="22"/>
              </w:rPr>
              <w:t>投标企业须提供投标人（被授权在职人员）近</w:t>
            </w:r>
            <w:r>
              <w:rPr>
                <w:rStyle w:val="27"/>
                <w:rFonts w:hint="eastAsia" w:ascii="仿宋" w:hAnsi="仿宋" w:eastAsia="仿宋" w:cs="仿宋"/>
                <w:b w:val="0"/>
                <w:bCs w:val="0"/>
                <w:sz w:val="22"/>
                <w:szCs w:val="22"/>
                <w:lang w:val="en-US" w:eastAsia="zh-CN"/>
              </w:rPr>
              <w:t>期</w:t>
            </w:r>
            <w:r>
              <w:rPr>
                <w:rStyle w:val="27"/>
                <w:rFonts w:hint="eastAsia" w:ascii="仿宋" w:hAnsi="仿宋" w:eastAsia="仿宋" w:cs="仿宋"/>
                <w:b w:val="0"/>
                <w:bCs w:val="0"/>
                <w:sz w:val="22"/>
                <w:szCs w:val="22"/>
              </w:rPr>
              <w:t>有效的社保证明</w:t>
            </w:r>
            <w:r>
              <w:rPr>
                <w:rFonts w:hint="eastAsia" w:ascii="仿宋" w:hAnsi="仿宋" w:eastAsia="仿宋" w:cs="仿宋"/>
                <w:color w:val="000000" w:themeColor="text1"/>
                <w:lang w:eastAsia="zh-CN"/>
              </w:rPr>
              <w:t>；</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5</w:t>
            </w:r>
          </w:p>
        </w:tc>
        <w:tc>
          <w:tcPr>
            <w:tcW w:w="6996" w:type="dxa"/>
            <w:vAlign w:val="center"/>
          </w:tcPr>
          <w:p>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未被“信用中国”（www.creditchina.gov.cn）、中国政府采购网（www.ccgp.gov.cn）列入失信被执行人、重大税收违法案件当事人名单、政府采购严重违法失信行为记录名单。</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6" w:type="dxa"/>
            <w:vMerge w:val="continue"/>
            <w:vAlign w:val="center"/>
          </w:tcPr>
          <w:p>
            <w:pPr>
              <w:jc w:val="center"/>
              <w:rPr>
                <w:rFonts w:ascii="仿宋" w:hAnsi="仿宋" w:eastAsia="仿宋" w:cs="仿宋"/>
                <w:color w:val="000000" w:themeColor="text1"/>
                <w:szCs w:val="21"/>
                <w:lang w:eastAsia="zh-CN"/>
              </w:rPr>
            </w:pPr>
          </w:p>
        </w:tc>
        <w:tc>
          <w:tcPr>
            <w:tcW w:w="495" w:type="dxa"/>
          </w:tcPr>
          <w:p>
            <w:pPr>
              <w:spacing w:line="440" w:lineRule="exact"/>
              <w:rPr>
                <w:rFonts w:ascii="仿宋" w:hAnsi="仿宋" w:eastAsia="仿宋" w:cs="仿宋"/>
                <w:color w:val="000000" w:themeColor="text1"/>
                <w:szCs w:val="21"/>
                <w:lang w:eastAsia="zh-CN"/>
              </w:rPr>
            </w:pPr>
          </w:p>
        </w:tc>
        <w:tc>
          <w:tcPr>
            <w:tcW w:w="6996" w:type="dxa"/>
          </w:tcPr>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209" w:type="dxa"/>
            <w:gridSpan w:val="2"/>
          </w:tcPr>
          <w:p>
            <w:pPr>
              <w:rPr>
                <w:rFonts w:ascii="仿宋" w:hAnsi="仿宋" w:eastAsia="仿宋" w:cs="仿宋"/>
                <w:color w:val="000000" w:themeColor="text1"/>
                <w:szCs w:val="21"/>
                <w:lang w:eastAsia="zh-CN"/>
              </w:rPr>
            </w:pPr>
          </w:p>
        </w:tc>
      </w:tr>
    </w:tbl>
    <w:p>
      <w:pPr>
        <w:spacing w:line="400" w:lineRule="exact"/>
        <w:ind w:firstLine="578" w:firstLineChars="241"/>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pPr>
        <w:spacing w:beforeLines="50" w:line="440" w:lineRule="exact"/>
        <w:ind w:firstLine="352" w:firstLineChars="147"/>
        <w:rPr>
          <w:rFonts w:hint="eastAsia" w:ascii="仿宋" w:hAnsi="仿宋" w:eastAsia="仿宋" w:cs="仿宋"/>
          <w:b/>
          <w:color w:val="000000" w:themeColor="text1"/>
          <w:szCs w:val="21"/>
          <w:lang w:eastAsia="zh-CN"/>
        </w:rPr>
      </w:pPr>
    </w:p>
    <w:p>
      <w:pPr>
        <w:pStyle w:val="10"/>
        <w:rPr>
          <w:rFonts w:hint="eastAsia"/>
          <w:lang w:eastAsia="zh-CN"/>
        </w:rPr>
        <w:sectPr>
          <w:footerReference r:id="rId9" w:type="default"/>
          <w:pgSz w:w="11906" w:h="16838"/>
          <w:pgMar w:top="1134" w:right="1080" w:bottom="1440" w:left="1080" w:header="851" w:footer="992" w:gutter="0"/>
          <w:pgNumType w:fmt="decimal"/>
          <w:cols w:space="720" w:num="1"/>
          <w:docGrid w:type="linesAndChars" w:linePitch="312" w:charSpace="0"/>
        </w:sectPr>
      </w:pPr>
    </w:p>
    <w:bookmarkEnd w:id="37"/>
    <w:bookmarkEnd w:id="38"/>
    <w:p>
      <w:pPr>
        <w:spacing w:beforeLines="50" w:line="440" w:lineRule="exact"/>
        <w:ind w:firstLine="352" w:firstLineChars="147"/>
        <w:rPr>
          <w:rFonts w:ascii="仿宋" w:hAnsi="仿宋" w:eastAsia="仿宋" w:cs="仿宋"/>
          <w:b/>
          <w:color w:val="000000" w:themeColor="text1"/>
          <w:szCs w:val="21"/>
        </w:rPr>
      </w:pPr>
      <w:r>
        <w:rPr>
          <w:rFonts w:hint="eastAsia" w:ascii="仿宋" w:hAnsi="仿宋" w:eastAsia="仿宋" w:cs="仿宋"/>
          <w:b/>
          <w:color w:val="000000" w:themeColor="text1"/>
          <w:szCs w:val="21"/>
          <w:lang w:eastAsia="zh-CN"/>
        </w:rPr>
        <w:t>7</w:t>
      </w:r>
      <w:r>
        <w:rPr>
          <w:rFonts w:hint="eastAsia" w:ascii="仿宋" w:hAnsi="仿宋" w:eastAsia="仿宋" w:cs="仿宋"/>
          <w:b/>
          <w:color w:val="000000" w:themeColor="text1"/>
          <w:szCs w:val="21"/>
        </w:rPr>
        <w:t>.符合性审查</w:t>
      </w:r>
    </w:p>
    <w:p>
      <w:pPr>
        <w:spacing w:line="440" w:lineRule="exact"/>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7</w:t>
      </w:r>
      <w:r>
        <w:rPr>
          <w:rFonts w:hint="eastAsia" w:ascii="仿宋" w:hAnsi="仿宋" w:eastAsia="仿宋" w:cs="仿宋"/>
          <w:color w:val="000000" w:themeColor="text1"/>
          <w:szCs w:val="21"/>
        </w:rPr>
        <w:t>．1评审细则</w:t>
      </w:r>
    </w:p>
    <w:tbl>
      <w:tblPr>
        <w:tblStyle w:val="24"/>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项目</w:t>
            </w:r>
          </w:p>
        </w:tc>
        <w:tc>
          <w:tcPr>
            <w:tcW w:w="6975" w:type="dxa"/>
            <w:gridSpan w:val="2"/>
            <w:vMerge w:val="restart"/>
            <w:tcBorders>
              <w:top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评审内容</w:t>
            </w:r>
          </w:p>
        </w:tc>
        <w:tc>
          <w:tcPr>
            <w:tcW w:w="1366" w:type="dxa"/>
            <w:gridSpan w:val="2"/>
            <w:tcBorders>
              <w:top w:val="single" w:color="auto" w:sz="4" w:space="0"/>
              <w:right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pPr>
              <w:rPr>
                <w:rFonts w:ascii="仿宋" w:hAnsi="仿宋" w:eastAsia="仿宋" w:cs="仿宋"/>
                <w:color w:val="000000" w:themeColor="text1"/>
              </w:rPr>
            </w:pPr>
          </w:p>
        </w:tc>
        <w:tc>
          <w:tcPr>
            <w:tcW w:w="6975" w:type="dxa"/>
            <w:gridSpan w:val="2"/>
            <w:vMerge w:val="continue"/>
            <w:tcBorders>
              <w:bottom w:val="single" w:color="auto" w:sz="4" w:space="0"/>
            </w:tcBorders>
          </w:tcPr>
          <w:p>
            <w:pPr>
              <w:rPr>
                <w:rFonts w:ascii="仿宋" w:hAnsi="仿宋" w:eastAsia="仿宋" w:cs="仿宋"/>
                <w:color w:val="000000" w:themeColor="text1"/>
              </w:rPr>
            </w:pPr>
          </w:p>
        </w:tc>
        <w:tc>
          <w:tcPr>
            <w:tcW w:w="749" w:type="dxa"/>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是</w:t>
            </w:r>
          </w:p>
        </w:tc>
        <w:tc>
          <w:tcPr>
            <w:tcW w:w="617" w:type="dxa"/>
            <w:tcBorders>
              <w:right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审</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查</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标</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准</w:t>
            </w: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1</w:t>
            </w:r>
          </w:p>
        </w:tc>
        <w:tc>
          <w:tcPr>
            <w:tcW w:w="6378" w:type="dxa"/>
            <w:tcBorders>
              <w:top w:val="single" w:color="auto" w:sz="4" w:space="0"/>
              <w:left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由政府立项核准、审批的采购项目, 报价高于设定的采购预算价的；</w:t>
            </w:r>
          </w:p>
        </w:tc>
        <w:tc>
          <w:tcPr>
            <w:tcW w:w="749" w:type="dxa"/>
            <w:tcBorders>
              <w:left w:val="single" w:color="auto" w:sz="4" w:space="0"/>
              <w:right w:val="single" w:color="auto" w:sz="4" w:space="0"/>
            </w:tcBorders>
          </w:tcPr>
          <w:p>
            <w:pPr>
              <w:jc w:val="center"/>
              <w:rPr>
                <w:rFonts w:ascii="仿宋" w:hAnsi="仿宋" w:eastAsia="仿宋" w:cs="仿宋"/>
                <w:b/>
                <w:color w:val="000000" w:themeColor="text1"/>
                <w:szCs w:val="21"/>
                <w:lang w:eastAsia="zh-CN"/>
              </w:rPr>
            </w:pPr>
          </w:p>
        </w:tc>
        <w:tc>
          <w:tcPr>
            <w:tcW w:w="617" w:type="dxa"/>
            <w:tcBorders>
              <w:left w:val="single" w:color="auto" w:sz="4" w:space="0"/>
              <w:right w:val="single" w:color="auto" w:sz="4" w:space="0"/>
            </w:tcBorders>
          </w:tcPr>
          <w:p>
            <w:pPr>
              <w:jc w:val="center"/>
              <w:rPr>
                <w:rFonts w:ascii="仿宋" w:hAnsi="仿宋" w:eastAsia="仿宋" w:cs="仿宋"/>
                <w:b/>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2</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法定代表人身份证明及授权委托书有效，且符合招标文件规定的格式。</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3</w:t>
            </w:r>
          </w:p>
        </w:tc>
        <w:tc>
          <w:tcPr>
            <w:tcW w:w="6378" w:type="dxa"/>
            <w:tcBorders>
              <w:top w:val="single" w:color="auto" w:sz="4" w:space="0"/>
              <w:left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rPr>
            </w:pPr>
            <w:r>
              <w:rPr>
                <w:rFonts w:hint="eastAsia" w:ascii="仿宋" w:hAnsi="仿宋" w:eastAsia="仿宋" w:cs="仿宋"/>
                <w:color w:val="000000" w:themeColor="text1"/>
                <w:kern w:val="0"/>
                <w:sz w:val="24"/>
                <w:szCs w:val="24"/>
                <w:highlight w:val="none"/>
                <w:lang w:bidi="ar"/>
              </w:rPr>
              <w:t>只有一个方案投标。</w:t>
            </w:r>
          </w:p>
        </w:tc>
        <w:tc>
          <w:tcPr>
            <w:tcW w:w="749" w:type="dxa"/>
            <w:tcBorders>
              <w:left w:val="single" w:color="auto" w:sz="4" w:space="0"/>
            </w:tcBorders>
          </w:tcPr>
          <w:p>
            <w:pPr>
              <w:rPr>
                <w:rFonts w:ascii="仿宋" w:hAnsi="仿宋" w:eastAsia="仿宋" w:cs="仿宋"/>
                <w:color w:val="000000" w:themeColor="text1"/>
                <w:szCs w:val="21"/>
              </w:rPr>
            </w:pPr>
          </w:p>
        </w:tc>
        <w:tc>
          <w:tcPr>
            <w:tcW w:w="617" w:type="dxa"/>
            <w:tcBorders>
              <w:right w:val="single" w:color="auto" w:sz="4" w:space="0"/>
            </w:tcBorders>
          </w:tcPr>
          <w:p>
            <w:pPr>
              <w:rPr>
                <w:rFonts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lang w:eastAsia="zh-CN"/>
              </w:rPr>
              <w:t>4</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投标文件内容齐全、无遗漏。</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bottom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5</w:t>
            </w:r>
          </w:p>
        </w:tc>
        <w:tc>
          <w:tcPr>
            <w:tcW w:w="6378" w:type="dxa"/>
            <w:tcBorders>
              <w:bottom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对招标文件规定的招标内容全部作出响应。</w:t>
            </w:r>
          </w:p>
        </w:tc>
        <w:tc>
          <w:tcPr>
            <w:tcW w:w="749" w:type="dxa"/>
            <w:tcBorders>
              <w:left w:val="single" w:color="auto" w:sz="4" w:space="0"/>
              <w:bottom w:val="single" w:color="auto" w:sz="4" w:space="0"/>
            </w:tcBorders>
          </w:tcPr>
          <w:p>
            <w:pPr>
              <w:rPr>
                <w:rFonts w:ascii="仿宋" w:hAnsi="仿宋" w:eastAsia="仿宋" w:cs="仿宋"/>
                <w:color w:val="000000" w:themeColor="text1"/>
                <w:szCs w:val="21"/>
                <w:lang w:eastAsia="zh-CN"/>
              </w:rPr>
            </w:pPr>
          </w:p>
        </w:tc>
        <w:tc>
          <w:tcPr>
            <w:tcW w:w="617" w:type="dxa"/>
            <w:tcBorders>
              <w:bottom w:val="single" w:color="auto" w:sz="4" w:space="0"/>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6</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rPr>
            </w:pPr>
          </w:p>
        </w:tc>
        <w:tc>
          <w:tcPr>
            <w:tcW w:w="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7</w:t>
            </w:r>
          </w:p>
        </w:tc>
        <w:tc>
          <w:tcPr>
            <w:tcW w:w="6378" w:type="dxa"/>
            <w:tcBorders>
              <w:top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完成期限满足招标文件要求。</w:t>
            </w:r>
          </w:p>
        </w:tc>
        <w:tc>
          <w:tcPr>
            <w:tcW w:w="749" w:type="dxa"/>
            <w:tcBorders>
              <w:top w:val="single" w:color="auto" w:sz="4" w:space="0"/>
              <w:left w:val="single" w:color="auto" w:sz="4" w:space="0"/>
            </w:tcBorders>
          </w:tcPr>
          <w:p>
            <w:pPr>
              <w:rPr>
                <w:rFonts w:ascii="仿宋" w:hAnsi="仿宋" w:eastAsia="仿宋" w:cs="仿宋"/>
                <w:color w:val="000000" w:themeColor="text1"/>
                <w:szCs w:val="21"/>
                <w:lang w:eastAsia="zh-CN"/>
              </w:rPr>
            </w:pPr>
          </w:p>
        </w:tc>
        <w:tc>
          <w:tcPr>
            <w:tcW w:w="617" w:type="dxa"/>
            <w:tcBorders>
              <w:top w:val="single" w:color="auto" w:sz="4" w:space="0"/>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8</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售后服务满足招标文件要求。</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9</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投标有效期满足招标文件要求。</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10</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b/>
                <w:bCs/>
                <w:color w:val="000000" w:themeColor="text1"/>
                <w:kern w:val="0"/>
                <w:sz w:val="24"/>
                <w:szCs w:val="24"/>
                <w:highlight w:val="none"/>
                <w:lang w:bidi="ar"/>
              </w:rPr>
              <w:t>投标人详细地址、联系人、电话</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lang w:eastAsia="zh-CN"/>
              </w:rPr>
            </w:pPr>
          </w:p>
        </w:tc>
        <w:tc>
          <w:tcPr>
            <w:tcW w:w="6975"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rPr>
            </w:pPr>
          </w:p>
        </w:tc>
      </w:tr>
    </w:tbl>
    <w:p>
      <w:pPr>
        <w:rPr>
          <w:rFonts w:ascii="仿宋" w:hAnsi="仿宋" w:eastAsia="仿宋" w:cs="仿宋"/>
          <w:color w:val="000000" w:themeColor="text1"/>
          <w:lang w:eastAsia="zh-CN"/>
        </w:rPr>
      </w:pPr>
    </w:p>
    <w:p>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7.2评委会判定投标文件的响应性只根据投标文件本身的内容，而不寻求外部的证据，但投标有不真实不正确的内容时除外。</w:t>
      </w:r>
    </w:p>
    <w:p>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7.3如果投标文件实质上没有响应采购文件的要求，评委会将予以拒绝，供应商不得通过修正或撤销不符合要求的偏离或保留，而使其投标成为实质上响应的投标。</w:t>
      </w:r>
    </w:p>
    <w:p>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7.4供应商可在现场20分钟内对评标委员会的评审结论提出异议，评标委员会根据采购文件及有关规定对供应商的异议进行复议</w:t>
      </w:r>
    </w:p>
    <w:p>
      <w:pPr>
        <w:spacing w:line="400" w:lineRule="exact"/>
        <w:ind w:firstLine="600" w:firstLineChars="2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7.5只有通过初审的供应商才能进入下一步评标程序。</w:t>
      </w:r>
    </w:p>
    <w:p>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
          <w:color w:val="000000" w:themeColor="text1"/>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pPr>
        <w:spacing w:beforeLines="50" w:line="400" w:lineRule="exact"/>
        <w:jc w:val="center"/>
        <w:outlineLvl w:val="1"/>
        <w:rPr>
          <w:rFonts w:ascii="仿宋" w:hAnsi="仿宋" w:eastAsia="仿宋" w:cs="仿宋"/>
          <w:b/>
          <w:color w:val="000000" w:themeColor="text1"/>
          <w:lang w:eastAsia="zh-CN"/>
        </w:rPr>
      </w:pPr>
      <w:bookmarkStart w:id="41" w:name="_Toc362983803"/>
      <w:bookmarkStart w:id="42" w:name="_Toc469495734"/>
      <w:r>
        <w:rPr>
          <w:rFonts w:hint="eastAsia" w:ascii="仿宋" w:hAnsi="仿宋" w:eastAsia="仿宋" w:cs="仿宋"/>
          <w:b/>
          <w:color w:val="000000" w:themeColor="text1"/>
          <w:lang w:eastAsia="zh-CN"/>
        </w:rPr>
        <w:t xml:space="preserve">三 </w:t>
      </w:r>
      <w:r>
        <w:rPr>
          <w:rFonts w:hint="eastAsia" w:ascii="仿宋" w:hAnsi="仿宋" w:eastAsia="仿宋" w:cs="仿宋"/>
          <w:b/>
          <w:color w:val="000000" w:themeColor="text1"/>
          <w:sz w:val="28"/>
          <w:szCs w:val="28"/>
          <w:lang w:eastAsia="zh-CN"/>
        </w:rPr>
        <w:t xml:space="preserve"> </w:t>
      </w:r>
      <w:r>
        <w:rPr>
          <w:rFonts w:hint="eastAsia" w:ascii="仿宋" w:hAnsi="仿宋" w:eastAsia="仿宋" w:cs="仿宋"/>
          <w:b/>
          <w:color w:val="000000" w:themeColor="text1"/>
          <w:lang w:eastAsia="zh-CN"/>
        </w:rPr>
        <w:t>投标文件的澄清和补正</w:t>
      </w:r>
      <w:bookmarkEnd w:id="41"/>
      <w:bookmarkEnd w:id="42"/>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8．澄清、说明或补正的形式</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9．错误修正的原则</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电子交易平台客户端里开标一览表录入的投标报价或优惠率与扫描上传的报价文件信息不一致的，以扫描上传的报价文件信息为准进行修正。</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投标文件报价出现前后不一致的，除采购文件另有规定外，按照下列规定修正：</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投标函中表述的内容与报价表中不一致的，以报价表为准；报价表中的内容与报价明细表不一致的，以报价表为准；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投标文件中的大写金额和小写金额不一致的，以大写金额为准；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单价金额小数点或者百分比有明显错位的，以开标一览表的总价为准，并修改单价；</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总价金额与按单价汇总金额不一致的，以单价金额计算结果为准；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9.5 若用文字表示的数值与用数字表示的数值不一致，以文字表示的数值为准；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9.6 如有多报（指数量超出采购文件需求）、重报（指同一货物重复报价），其投标总价在评标过程中不予调整，如其中标，其合同价按其投标单价予以调整；</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9.7 对不同文字文本投标文件的解释发生异议的，以中文文本为准；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pacing w:line="400" w:lineRule="exact"/>
        <w:jc w:val="center"/>
        <w:outlineLvl w:val="1"/>
        <w:rPr>
          <w:rFonts w:ascii="仿宋" w:hAnsi="仿宋" w:eastAsia="仿宋" w:cs="仿宋"/>
          <w:b/>
          <w:color w:val="000000" w:themeColor="text1"/>
          <w:lang w:eastAsia="zh-CN"/>
        </w:rPr>
      </w:pPr>
      <w:bookmarkStart w:id="43" w:name="_Toc469495735"/>
      <w:r>
        <w:rPr>
          <w:rFonts w:hint="eastAsia" w:ascii="仿宋" w:hAnsi="仿宋" w:eastAsia="仿宋" w:cs="仿宋"/>
          <w:b/>
          <w:color w:val="000000" w:themeColor="text1"/>
          <w:lang w:eastAsia="zh-CN"/>
        </w:rPr>
        <w:t>四 比较与评价</w:t>
      </w:r>
      <w:bookmarkEnd w:id="43"/>
    </w:p>
    <w:p>
      <w:pPr>
        <w:tabs>
          <w:tab w:val="left" w:pos="720"/>
        </w:tabs>
        <w:spacing w:line="440" w:lineRule="exact"/>
        <w:ind w:firstLine="480" w:firstLineChars="200"/>
        <w:rPr>
          <w:rFonts w:ascii="仿宋" w:hAnsi="仿宋" w:eastAsia="仿宋" w:cs="仿宋"/>
          <w:color w:val="000000" w:themeColor="text1"/>
          <w:szCs w:val="21"/>
          <w:lang w:eastAsia="zh-CN" w:bidi="ar-SA"/>
        </w:rPr>
      </w:pPr>
      <w:bookmarkStart w:id="44" w:name="_Toc362983805"/>
      <w:bookmarkStart w:id="45" w:name="_Toc469495736"/>
      <w:r>
        <w:rPr>
          <w:rFonts w:hint="eastAsia" w:ascii="仿宋" w:hAnsi="仿宋" w:eastAsia="仿宋" w:cs="仿宋"/>
          <w:color w:val="000000" w:themeColor="text1"/>
          <w:szCs w:val="21"/>
          <w:lang w:eastAsia="zh-CN" w:bidi="ar-SA"/>
        </w:rPr>
        <w:t>10.1评标委员会按招标文件中规定的评标方法和标准，对资格性检查和符合性检查合格的投标文件进行商务和技术评估、综合比较与评价。</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10.2评标委员会根据商务和技术评估的结果，采用综合评分法，分别对投标文件的商务、技术、价格等内容进行打分。其中，商务评估、技术评估、价格评估的评分权值（详见附件1）。</w:t>
      </w:r>
    </w:p>
    <w:p>
      <w:pPr>
        <w:spacing w:line="400" w:lineRule="exact"/>
        <w:ind w:firstLine="480" w:firstLineChars="200"/>
        <w:rPr>
          <w:rFonts w:ascii="仿宋" w:hAnsi="仿宋" w:eastAsia="仿宋" w:cs="仿宋"/>
          <w:bCs/>
          <w:color w:val="000000" w:themeColor="text1"/>
          <w:szCs w:val="21"/>
          <w:lang w:eastAsia="zh-CN" w:bidi="ar-SA"/>
        </w:rPr>
      </w:pPr>
      <w:r>
        <w:rPr>
          <w:rFonts w:hint="eastAsia" w:ascii="仿宋" w:hAnsi="仿宋" w:eastAsia="仿宋" w:cs="仿宋"/>
          <w:color w:val="000000" w:themeColor="text1"/>
          <w:szCs w:val="21"/>
          <w:lang w:eastAsia="zh-CN" w:bidi="ar-SA"/>
        </w:rPr>
        <w:t>10.</w:t>
      </w:r>
      <w:r>
        <w:rPr>
          <w:rFonts w:hint="eastAsia" w:ascii="仿宋" w:hAnsi="仿宋" w:eastAsia="仿宋" w:cs="仿宋"/>
          <w:bCs/>
          <w:color w:val="000000" w:themeColor="text1"/>
          <w:szCs w:val="21"/>
          <w:lang w:eastAsia="zh-CN" w:bidi="ar-SA"/>
        </w:rPr>
        <w:t>2.1评委打分办法</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bCs/>
          <w:color w:val="000000" w:themeColor="text1"/>
          <w:szCs w:val="21"/>
          <w:lang w:eastAsia="zh-CN" w:bidi="ar-SA"/>
        </w:rPr>
        <w:t>（1）</w:t>
      </w:r>
      <w:r>
        <w:rPr>
          <w:rFonts w:hint="eastAsia" w:ascii="仿宋" w:hAnsi="仿宋" w:eastAsia="仿宋" w:cs="仿宋"/>
          <w:color w:val="000000" w:themeColor="text1"/>
          <w:szCs w:val="21"/>
          <w:lang w:eastAsia="zh-CN" w:bidi="ar-SA"/>
        </w:rPr>
        <w:t>参加评分的评委应尽力体现客观、实事求是，避免学派偏见和个人偏好。</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（2）衡量、对比的依据，应以招标文件、投标文件、提供的正式试验数据、质询澄清中的文字为准，口头回答和收集的资料只作为参考。</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（3）评分主要是为比较各供应商的价格、商务和技术综合排序。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（4）评委打分采取记名形式。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（5）各评委根据提供的技术打分表独立自主打分，任何人不得要求评委统一打分或统一确定等次顺序。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（6）对打分表中的每项条款，各评委应根据投标文件、澄清材料、招标文件要求，按满足的程度给供应商打分。</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（7）评分程序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1)就供应商的投标文件对照整理出商务、技术评标因素对比表、偏差表，并在经过校核的基础上逐项打分。</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2)各评委独立完成打分后，将评分表交给代理机构，由代理机构组织进行分数统计。</w:t>
      </w:r>
    </w:p>
    <w:p>
      <w:pPr>
        <w:spacing w:line="400" w:lineRule="exact"/>
        <w:ind w:firstLine="480" w:firstLineChars="200"/>
        <w:rPr>
          <w:rFonts w:hint="eastAsia"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3)最终汇总表中各供应商得分应为评委打分的算术平均值</w:t>
      </w:r>
    </w:p>
    <w:p>
      <w:pPr>
        <w:rPr>
          <w:rFonts w:hint="eastAsia"/>
          <w:lang w:eastAsia="zh-CN"/>
        </w:rPr>
      </w:pPr>
    </w:p>
    <w:p>
      <w:pPr>
        <w:pStyle w:val="7"/>
        <w:numPr>
          <w:ilvl w:val="0"/>
          <w:numId w:val="0"/>
        </w:numPr>
        <w:spacing w:line="400" w:lineRule="exact"/>
        <w:ind w:left="720" w:leftChars="0"/>
        <w:rPr>
          <w:rFonts w:hint="eastAsia" w:ascii="仿宋" w:hAnsi="仿宋" w:eastAsia="仿宋" w:cs="仿宋"/>
          <w:b/>
          <w:bCs/>
          <w:color w:val="000000" w:themeColor="text1"/>
          <w:sz w:val="28"/>
          <w:szCs w:val="21"/>
          <w:lang w:eastAsia="zh-CN"/>
        </w:rPr>
      </w:pPr>
      <w:r>
        <w:rPr>
          <w:rFonts w:hint="eastAsia" w:ascii="仿宋" w:hAnsi="仿宋" w:eastAsia="仿宋" w:cs="仿宋"/>
          <w:color w:val="000000" w:themeColor="text1"/>
          <w:szCs w:val="21"/>
          <w:lang w:eastAsia="zh-CN" w:bidi="ar-SA"/>
        </w:rPr>
        <w:t>（</w:t>
      </w:r>
      <w:r>
        <w:rPr>
          <w:rFonts w:hint="eastAsia" w:ascii="仿宋" w:hAnsi="仿宋" w:eastAsia="仿宋" w:cs="仿宋"/>
          <w:color w:val="000000" w:themeColor="text1"/>
          <w:szCs w:val="21"/>
          <w:lang w:val="en-US" w:eastAsia="zh-CN" w:bidi="ar-SA"/>
        </w:rPr>
        <w:t>8</w:t>
      </w:r>
      <w:r>
        <w:rPr>
          <w:rFonts w:hint="eastAsia" w:ascii="仿宋" w:hAnsi="仿宋" w:eastAsia="仿宋" w:cs="仿宋"/>
          <w:color w:val="000000" w:themeColor="text1"/>
          <w:szCs w:val="21"/>
          <w:lang w:eastAsia="zh-CN" w:bidi="ar-SA"/>
        </w:rPr>
        <w:t>）</w:t>
      </w:r>
      <w:r>
        <w:rPr>
          <w:rFonts w:hint="eastAsia" w:ascii="仿宋" w:hAnsi="仿宋" w:eastAsia="仿宋" w:cs="仿宋"/>
          <w:color w:val="000000" w:themeColor="text1"/>
          <w:sz w:val="24"/>
          <w:szCs w:val="21"/>
          <w:lang w:val="en-US" w:eastAsia="zh-CN" w:bidi="ar-SA"/>
        </w:rPr>
        <w:t>评</w:t>
      </w:r>
      <w:r>
        <w:rPr>
          <w:rFonts w:hint="eastAsia" w:ascii="仿宋" w:hAnsi="仿宋" w:eastAsia="仿宋" w:cs="仿宋"/>
          <w:color w:val="000000" w:themeColor="text1"/>
          <w:szCs w:val="21"/>
          <w:lang w:eastAsia="zh-CN" w:bidi="ar-SA"/>
        </w:rPr>
        <w:t>分标准和细则（综合评分法评分标准）</w:t>
      </w:r>
    </w:p>
    <w:p>
      <w:pPr>
        <w:pStyle w:val="7"/>
        <w:jc w:val="center"/>
        <w:rPr>
          <w:rFonts w:hint="eastAsia" w:ascii="仿宋" w:hAnsi="仿宋" w:eastAsia="仿宋" w:cs="仿宋"/>
          <w:b/>
          <w:bCs/>
          <w:color w:val="0000FF"/>
          <w:sz w:val="28"/>
          <w:szCs w:val="21"/>
          <w:lang w:eastAsia="zh-CN"/>
        </w:rPr>
      </w:pPr>
    </w:p>
    <w:p>
      <w:pPr>
        <w:pStyle w:val="7"/>
        <w:jc w:val="center"/>
        <w:rPr>
          <w:rFonts w:hint="eastAsia" w:ascii="仿宋" w:hAnsi="仿宋" w:eastAsia="仿宋" w:cs="仿宋"/>
          <w:b/>
          <w:bCs/>
          <w:color w:val="0000FF"/>
          <w:sz w:val="28"/>
          <w:szCs w:val="21"/>
          <w:lang w:eastAsia="zh-CN"/>
        </w:rPr>
      </w:pPr>
    </w:p>
    <w:p>
      <w:pPr>
        <w:pStyle w:val="7"/>
        <w:jc w:val="center"/>
        <w:rPr>
          <w:rFonts w:hint="eastAsia" w:ascii="仿宋" w:hAnsi="仿宋" w:eastAsia="仿宋" w:cs="仿宋"/>
          <w:b/>
          <w:bCs/>
          <w:color w:val="0000FF"/>
          <w:sz w:val="28"/>
          <w:szCs w:val="21"/>
          <w:lang w:eastAsia="zh-CN"/>
        </w:rPr>
      </w:pPr>
    </w:p>
    <w:p>
      <w:pPr>
        <w:pStyle w:val="7"/>
        <w:jc w:val="center"/>
        <w:rPr>
          <w:rFonts w:hint="eastAsia" w:ascii="仿宋" w:hAnsi="仿宋" w:eastAsia="仿宋" w:cs="仿宋"/>
          <w:b/>
          <w:bCs/>
          <w:color w:val="0000FF"/>
          <w:sz w:val="28"/>
          <w:szCs w:val="21"/>
          <w:lang w:eastAsia="zh-CN"/>
        </w:rPr>
      </w:pPr>
    </w:p>
    <w:p>
      <w:pPr>
        <w:pStyle w:val="7"/>
        <w:jc w:val="center"/>
        <w:rPr>
          <w:rFonts w:hint="eastAsia" w:ascii="仿宋" w:hAnsi="仿宋" w:eastAsia="仿宋" w:cs="仿宋"/>
          <w:b/>
          <w:bCs/>
          <w:color w:val="0000FF"/>
          <w:sz w:val="28"/>
          <w:szCs w:val="21"/>
          <w:lang w:eastAsia="zh-CN"/>
        </w:rPr>
      </w:pPr>
    </w:p>
    <w:p>
      <w:pPr>
        <w:pStyle w:val="7"/>
        <w:jc w:val="center"/>
        <w:rPr>
          <w:rFonts w:hint="eastAsia" w:ascii="仿宋" w:hAnsi="仿宋" w:eastAsia="仿宋" w:cs="仿宋"/>
          <w:b/>
          <w:bCs/>
          <w:color w:val="0000FF"/>
          <w:sz w:val="28"/>
          <w:szCs w:val="21"/>
          <w:lang w:eastAsia="zh-CN"/>
        </w:rPr>
      </w:pPr>
    </w:p>
    <w:p>
      <w:pPr>
        <w:pStyle w:val="7"/>
        <w:jc w:val="center"/>
        <w:rPr>
          <w:rFonts w:hint="eastAsia" w:ascii="仿宋" w:hAnsi="仿宋" w:eastAsia="仿宋" w:cs="仿宋"/>
          <w:b/>
          <w:bCs/>
          <w:color w:val="0000FF"/>
          <w:sz w:val="28"/>
          <w:szCs w:val="21"/>
          <w:lang w:eastAsia="zh-CN"/>
        </w:rPr>
      </w:pPr>
    </w:p>
    <w:p>
      <w:pPr>
        <w:pStyle w:val="7"/>
        <w:jc w:val="center"/>
        <w:rPr>
          <w:rFonts w:hint="eastAsia" w:ascii="仿宋" w:hAnsi="仿宋" w:eastAsia="仿宋" w:cs="仿宋"/>
          <w:b/>
          <w:bCs/>
          <w:color w:val="0000FF"/>
          <w:sz w:val="28"/>
          <w:szCs w:val="21"/>
          <w:lang w:eastAsia="zh-CN"/>
        </w:rPr>
      </w:pPr>
    </w:p>
    <w:p>
      <w:pPr>
        <w:pStyle w:val="7"/>
        <w:jc w:val="center"/>
        <w:rPr>
          <w:rFonts w:hint="eastAsia" w:ascii="仿宋" w:hAnsi="仿宋" w:eastAsia="仿宋" w:cs="仿宋"/>
          <w:b/>
          <w:bCs/>
          <w:color w:val="0000FF"/>
          <w:sz w:val="28"/>
          <w:szCs w:val="21"/>
          <w:lang w:eastAsia="zh-CN"/>
        </w:rPr>
      </w:pPr>
    </w:p>
    <w:p>
      <w:pPr>
        <w:pStyle w:val="7"/>
        <w:jc w:val="center"/>
        <w:rPr>
          <w:rFonts w:hint="eastAsia" w:ascii="仿宋" w:hAnsi="仿宋" w:eastAsia="仿宋" w:cs="仿宋"/>
          <w:b/>
          <w:bCs/>
          <w:color w:val="0000FF"/>
          <w:sz w:val="28"/>
          <w:szCs w:val="21"/>
          <w:lang w:eastAsia="zh-CN"/>
        </w:rPr>
      </w:pPr>
    </w:p>
    <w:p>
      <w:pPr>
        <w:pStyle w:val="7"/>
        <w:jc w:val="center"/>
        <w:rPr>
          <w:rFonts w:hint="eastAsia" w:ascii="仿宋" w:hAnsi="仿宋" w:eastAsia="仿宋" w:cs="仿宋"/>
          <w:b/>
          <w:bCs/>
          <w:color w:val="0000FF"/>
          <w:sz w:val="28"/>
          <w:szCs w:val="21"/>
          <w:lang w:eastAsia="zh-CN"/>
        </w:rPr>
      </w:pPr>
    </w:p>
    <w:p>
      <w:pPr>
        <w:pStyle w:val="7"/>
        <w:jc w:val="center"/>
        <w:rPr>
          <w:rFonts w:hint="eastAsia" w:ascii="仿宋" w:hAnsi="仿宋" w:eastAsia="仿宋" w:cs="仿宋"/>
          <w:b/>
          <w:bCs/>
          <w:color w:val="0000FF"/>
          <w:sz w:val="28"/>
          <w:szCs w:val="21"/>
          <w:lang w:eastAsia="zh-CN"/>
        </w:rPr>
      </w:pPr>
    </w:p>
    <w:p>
      <w:pPr>
        <w:pStyle w:val="7"/>
        <w:jc w:val="center"/>
        <w:rPr>
          <w:rFonts w:hint="eastAsia" w:ascii="仿宋" w:hAnsi="仿宋" w:eastAsia="仿宋" w:cs="仿宋"/>
          <w:b/>
          <w:bCs/>
          <w:color w:val="0000FF"/>
          <w:sz w:val="28"/>
          <w:szCs w:val="21"/>
          <w:lang w:eastAsia="zh-CN"/>
        </w:rPr>
      </w:pPr>
    </w:p>
    <w:p>
      <w:pPr>
        <w:pStyle w:val="7"/>
        <w:jc w:val="center"/>
        <w:rPr>
          <w:rFonts w:hint="eastAsia" w:ascii="仿宋" w:hAnsi="仿宋" w:eastAsia="仿宋" w:cs="仿宋"/>
          <w:b/>
          <w:bCs/>
          <w:color w:val="0000FF"/>
          <w:sz w:val="28"/>
          <w:szCs w:val="21"/>
          <w:lang w:eastAsia="zh-CN"/>
        </w:rPr>
      </w:pPr>
    </w:p>
    <w:p>
      <w:pPr>
        <w:pStyle w:val="7"/>
        <w:jc w:val="center"/>
        <w:rPr>
          <w:rFonts w:hint="eastAsia" w:ascii="仿宋" w:hAnsi="仿宋" w:eastAsia="仿宋" w:cs="仿宋"/>
          <w:b/>
          <w:bCs/>
          <w:color w:val="0000FF"/>
          <w:sz w:val="28"/>
          <w:szCs w:val="21"/>
          <w:lang w:eastAsia="zh-CN"/>
        </w:rPr>
      </w:pPr>
    </w:p>
    <w:p>
      <w:pPr>
        <w:pStyle w:val="7"/>
        <w:jc w:val="center"/>
        <w:rPr>
          <w:rFonts w:hint="eastAsia" w:ascii="仿宋" w:hAnsi="仿宋" w:eastAsia="仿宋" w:cs="仿宋"/>
          <w:b/>
          <w:bCs/>
          <w:color w:val="auto"/>
          <w:sz w:val="28"/>
          <w:szCs w:val="21"/>
          <w:lang w:eastAsia="zh-CN"/>
        </w:rPr>
      </w:pPr>
      <w:r>
        <w:rPr>
          <w:rFonts w:hint="eastAsia" w:ascii="仿宋" w:hAnsi="仿宋" w:eastAsia="仿宋" w:cs="仿宋"/>
          <w:b/>
          <w:bCs/>
          <w:color w:val="auto"/>
          <w:sz w:val="28"/>
          <w:szCs w:val="21"/>
          <w:lang w:eastAsia="zh-CN"/>
        </w:rPr>
        <w:t>评分标准</w:t>
      </w:r>
    </w:p>
    <w:p>
      <w:pPr>
        <w:rPr>
          <w:rFonts w:hint="eastAsia" w:ascii="仿宋" w:hAnsi="仿宋" w:eastAsia="仿宋" w:cs="仿宋"/>
          <w:b/>
          <w:bCs/>
          <w:color w:val="0000FF"/>
          <w:sz w:val="28"/>
          <w:szCs w:val="21"/>
          <w:lang w:eastAsia="zh-CN"/>
        </w:rPr>
      </w:pPr>
    </w:p>
    <w:tbl>
      <w:tblPr>
        <w:tblStyle w:val="24"/>
        <w:tblpPr w:leftFromText="180" w:rightFromText="180" w:vertAnchor="page" w:horzAnchor="page" w:tblpX="609" w:tblpY="2300"/>
        <w:tblOverlap w:val="never"/>
        <w:tblW w:w="10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965"/>
        <w:gridCol w:w="1115"/>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402" w:type="dxa"/>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rPr>
            </w:pPr>
            <w:r>
              <w:rPr>
                <w:rFonts w:hint="eastAsia" w:ascii="仿宋" w:hAnsi="仿宋" w:eastAsia="仿宋" w:cs="仿宋"/>
                <w:sz w:val="24"/>
                <w:szCs w:val="24"/>
              </w:rPr>
              <w:t>1</w:t>
            </w:r>
          </w:p>
        </w:tc>
        <w:tc>
          <w:tcPr>
            <w:tcW w:w="96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投标</w:t>
            </w:r>
          </w:p>
          <w:p>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报价</w:t>
            </w:r>
          </w:p>
          <w:p>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30分</w:t>
            </w: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30分</w:t>
            </w:r>
          </w:p>
        </w:tc>
        <w:tc>
          <w:tcPr>
            <w:tcW w:w="8223" w:type="dxa"/>
            <w:noWrap w:val="0"/>
            <w:tcMar>
              <w:left w:w="57" w:type="dxa"/>
              <w:right w:w="57" w:type="dxa"/>
            </w:tcMar>
            <w:vAlign w:val="center"/>
          </w:tcPr>
          <w:p>
            <w:pPr>
              <w:tabs>
                <w:tab w:val="left" w:pos="16"/>
              </w:tabs>
              <w:adjustRightInd w:val="0"/>
              <w:spacing w:line="240" w:lineRule="auto"/>
              <w:jc w:val="left"/>
              <w:rPr>
                <w:rFonts w:hint="eastAsia" w:ascii="仿宋" w:hAnsi="仿宋" w:eastAsia="仿宋" w:cs="仿宋"/>
                <w:sz w:val="24"/>
                <w:szCs w:val="24"/>
              </w:rPr>
            </w:pPr>
            <w:r>
              <w:rPr>
                <w:rFonts w:hint="eastAsia" w:ascii="仿宋" w:hAnsi="仿宋" w:eastAsia="仿宋" w:cs="仿宋"/>
                <w:sz w:val="24"/>
                <w:szCs w:val="24"/>
              </w:rPr>
              <w:t>完全满足招标文件技术要求且投标价格最低的投标报价为评标基准价，其价格分为满分。其他投标人的价格分别按照下列公式计算：投标报价得分=(评标基准价／投标报价)×30(投标报价超过采购预算价的按废标处理)本项目为非专门面向中小企业，根据《政府采购促进中小企业发展管理办法》（财库【2020】46号）及（财库[2022]19号）的规定，评标时将给予此类企业进行价格扣除10%的优惠，用优惠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02" w:type="dxa"/>
            <w:vMerge w:val="restart"/>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rPr>
            </w:pPr>
          </w:p>
          <w:p>
            <w:pPr>
              <w:tabs>
                <w:tab w:val="left" w:pos="16"/>
              </w:tabs>
              <w:adjustRightInd w:val="0"/>
              <w:spacing w:line="240" w:lineRule="auto"/>
              <w:rPr>
                <w:rFonts w:hint="eastAsia" w:ascii="仿宋" w:hAnsi="仿宋" w:eastAsia="仿宋" w:cs="仿宋"/>
                <w:sz w:val="24"/>
                <w:szCs w:val="24"/>
              </w:rPr>
            </w:pPr>
          </w:p>
          <w:p>
            <w:pPr>
              <w:tabs>
                <w:tab w:val="left" w:pos="16"/>
              </w:tabs>
              <w:adjustRightInd w:val="0"/>
              <w:spacing w:line="240" w:lineRule="auto"/>
              <w:rPr>
                <w:rFonts w:hint="eastAsia" w:ascii="仿宋" w:hAnsi="仿宋" w:eastAsia="仿宋" w:cs="仿宋"/>
                <w:sz w:val="24"/>
                <w:szCs w:val="24"/>
              </w:rPr>
            </w:pPr>
            <w:r>
              <w:rPr>
                <w:rFonts w:hint="eastAsia" w:ascii="仿宋" w:hAnsi="仿宋" w:eastAsia="仿宋" w:cs="仿宋"/>
                <w:sz w:val="24"/>
                <w:szCs w:val="24"/>
              </w:rPr>
              <w:t>2</w:t>
            </w:r>
          </w:p>
        </w:tc>
        <w:tc>
          <w:tcPr>
            <w:tcW w:w="965" w:type="dxa"/>
            <w:vMerge w:val="restart"/>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rPr>
            </w:pPr>
          </w:p>
          <w:p>
            <w:pPr>
              <w:tabs>
                <w:tab w:val="left" w:pos="16"/>
              </w:tabs>
              <w:adjustRightInd w:val="0"/>
              <w:spacing w:line="240" w:lineRule="auto"/>
              <w:jc w:val="center"/>
              <w:rPr>
                <w:rFonts w:hint="eastAsia" w:ascii="仿宋" w:hAnsi="仿宋" w:eastAsia="仿宋" w:cs="仿宋"/>
                <w:sz w:val="24"/>
                <w:szCs w:val="24"/>
              </w:rPr>
            </w:pPr>
          </w:p>
          <w:p>
            <w:pPr>
              <w:tabs>
                <w:tab w:val="left" w:pos="16"/>
              </w:tabs>
              <w:adjustRightInd w:val="0"/>
              <w:spacing w:line="240" w:lineRule="auto"/>
              <w:jc w:val="center"/>
              <w:rPr>
                <w:rFonts w:hint="eastAsia" w:ascii="仿宋" w:hAnsi="仿宋" w:eastAsia="仿宋" w:cs="仿宋"/>
                <w:sz w:val="24"/>
                <w:szCs w:val="24"/>
              </w:rPr>
            </w:pPr>
          </w:p>
          <w:p>
            <w:pPr>
              <w:tabs>
                <w:tab w:val="left" w:pos="16"/>
              </w:tabs>
              <w:adjustRightInd w:val="0"/>
              <w:spacing w:line="240" w:lineRule="auto"/>
              <w:jc w:val="center"/>
              <w:rPr>
                <w:rFonts w:hint="eastAsia" w:ascii="仿宋" w:hAnsi="仿宋" w:eastAsia="仿宋" w:cs="仿宋"/>
                <w:sz w:val="24"/>
                <w:szCs w:val="24"/>
              </w:rPr>
            </w:pPr>
          </w:p>
          <w:p>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技术</w:t>
            </w:r>
          </w:p>
          <w:p>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部分</w:t>
            </w:r>
          </w:p>
          <w:p>
            <w:pPr>
              <w:tabs>
                <w:tab w:val="left" w:pos="16"/>
              </w:tabs>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46分</w:t>
            </w:r>
          </w:p>
          <w:p>
            <w:pPr>
              <w:tabs>
                <w:tab w:val="left" w:pos="16"/>
              </w:tabs>
              <w:adjustRightInd w:val="0"/>
              <w:spacing w:line="240" w:lineRule="auto"/>
              <w:jc w:val="center"/>
              <w:rPr>
                <w:rFonts w:hint="eastAsia" w:ascii="仿宋" w:hAnsi="仿宋" w:eastAsia="仿宋" w:cs="仿宋"/>
                <w:sz w:val="24"/>
                <w:szCs w:val="24"/>
              </w:rPr>
            </w:pP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技术响应</w:t>
            </w:r>
            <w:r>
              <w:rPr>
                <w:rFonts w:hint="eastAsia" w:ascii="仿宋" w:hAnsi="仿宋" w:eastAsia="仿宋" w:cs="仿宋"/>
                <w:sz w:val="24"/>
                <w:szCs w:val="24"/>
                <w:lang w:val="en-US" w:eastAsia="zh-CN"/>
              </w:rPr>
              <w:t>35分</w:t>
            </w:r>
          </w:p>
        </w:tc>
        <w:tc>
          <w:tcPr>
            <w:tcW w:w="8223" w:type="dxa"/>
            <w:noWrap w:val="0"/>
            <w:tcMar>
              <w:left w:w="57" w:type="dxa"/>
              <w:right w:w="57" w:type="dxa"/>
            </w:tcMar>
            <w:vAlign w:val="center"/>
          </w:tcPr>
          <w:p>
            <w:pPr>
              <w:tabs>
                <w:tab w:val="left" w:pos="16"/>
              </w:tabs>
              <w:adjustRightInd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投标人的技术参数</w:t>
            </w:r>
            <w:r>
              <w:rPr>
                <w:rFonts w:hint="eastAsia" w:ascii="仿宋" w:hAnsi="仿宋" w:eastAsia="仿宋" w:cs="仿宋"/>
                <w:sz w:val="24"/>
                <w:szCs w:val="24"/>
                <w:lang w:val="en-US" w:eastAsia="zh-CN"/>
              </w:rPr>
              <w:t>指标</w:t>
            </w:r>
            <w:r>
              <w:rPr>
                <w:rFonts w:hint="eastAsia" w:ascii="仿宋" w:hAnsi="仿宋" w:eastAsia="仿宋" w:cs="仿宋"/>
                <w:sz w:val="24"/>
                <w:szCs w:val="24"/>
              </w:rPr>
              <w:t>完全符合招标文件技术要求的得</w:t>
            </w:r>
            <w:r>
              <w:rPr>
                <w:rFonts w:hint="eastAsia" w:ascii="仿宋" w:hAnsi="仿宋" w:eastAsia="仿宋" w:cs="仿宋"/>
                <w:sz w:val="24"/>
                <w:szCs w:val="24"/>
                <w:lang w:val="en-US" w:eastAsia="zh-CN"/>
              </w:rPr>
              <w:t>35</w:t>
            </w:r>
            <w:r>
              <w:rPr>
                <w:rFonts w:hint="eastAsia" w:ascii="仿宋" w:hAnsi="仿宋" w:eastAsia="仿宋" w:cs="仿宋"/>
                <w:sz w:val="24"/>
                <w:szCs w:val="24"/>
              </w:rPr>
              <w:t>分，（带“★”不允许有负偏离）如有负偏离以无效投标处理；带“▲”为重要参数，如不满足每项扣</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val="en-US" w:eastAsia="zh-CN"/>
              </w:rPr>
              <w:t>非</w:t>
            </w:r>
            <w:r>
              <w:rPr>
                <w:rFonts w:hint="eastAsia" w:ascii="仿宋" w:hAnsi="仿宋" w:eastAsia="仿宋" w:cs="仿宋"/>
                <w:sz w:val="24"/>
                <w:szCs w:val="24"/>
              </w:rPr>
              <w:t>带▲</w:t>
            </w:r>
            <w:r>
              <w:rPr>
                <w:rFonts w:hint="eastAsia" w:ascii="仿宋" w:hAnsi="仿宋" w:eastAsia="仿宋" w:cs="仿宋"/>
                <w:sz w:val="24"/>
                <w:szCs w:val="24"/>
                <w:lang w:val="en-US" w:eastAsia="zh-CN"/>
              </w:rPr>
              <w:t>参数如不满足，每项扣1分，</w:t>
            </w:r>
            <w:r>
              <w:rPr>
                <w:rFonts w:hint="eastAsia" w:ascii="仿宋" w:hAnsi="仿宋" w:eastAsia="仿宋" w:cs="仿宋"/>
                <w:sz w:val="24"/>
                <w:szCs w:val="24"/>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02" w:type="dxa"/>
            <w:vMerge w:val="continue"/>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rPr>
            </w:pPr>
          </w:p>
        </w:tc>
        <w:tc>
          <w:tcPr>
            <w:tcW w:w="965" w:type="dxa"/>
            <w:vMerge w:val="continue"/>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rPr>
            </w:pP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整体设</w:t>
            </w:r>
          </w:p>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11分</w:t>
            </w:r>
          </w:p>
        </w:tc>
        <w:tc>
          <w:tcPr>
            <w:tcW w:w="8223" w:type="dxa"/>
            <w:noWrap w:val="0"/>
            <w:tcMar>
              <w:left w:w="57" w:type="dxa"/>
              <w:right w:w="57" w:type="dxa"/>
            </w:tcMar>
            <w:vAlign w:val="center"/>
          </w:tcPr>
          <w:p>
            <w:pPr>
              <w:rPr>
                <w:rStyle w:val="57"/>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投标人应对本项目目标、内容和范围把握准确，系统总体设计符合相关标准、指南以及整体设计方案的要求，制定总体建设方案进行评分（满分11分）。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1、投标产品功能先进、应用方便、完全满足院方现阶段及后续发展需求、兼容性、可靠性、安全性、实用性等方面良好，方案成熟合理得11分；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2、投标产品功能基本先进、应用基本方便、基本满足院方现阶段及后续发展需求、兼容性、可靠性、安全性、实用性等方面较为一般，方案基本成熟合理得5分；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3、投标产品功能不先进、应用不方便、不满足院方现阶段及后续发展需求、兼容性、可靠性、安全性、实用性等方面不全，不合理得2分.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02" w:type="dxa"/>
            <w:vMerge w:val="restart"/>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65" w:type="dxa"/>
            <w:vMerge w:val="restart"/>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w:t>
            </w:r>
          </w:p>
          <w:p>
            <w:pPr>
              <w:tabs>
                <w:tab w:val="left" w:pos="16"/>
              </w:tabs>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部分</w:t>
            </w:r>
          </w:p>
          <w:p>
            <w:pPr>
              <w:pStyle w:val="10"/>
              <w:numPr>
                <w:ilvl w:val="0"/>
                <w:numId w:val="0"/>
              </w:numPr>
              <w:ind w:leftChars="0" w:firstLine="220" w:firstLineChars="100"/>
              <w:jc w:val="both"/>
              <w:rPr>
                <w:rFonts w:hint="eastAsia" w:ascii="仿宋" w:hAnsi="仿宋" w:eastAsia="仿宋" w:cs="仿宋"/>
                <w:sz w:val="22"/>
                <w:szCs w:val="24"/>
                <w:lang w:val="en-US" w:eastAsia="zh-CN"/>
              </w:rPr>
            </w:pPr>
            <w:r>
              <w:rPr>
                <w:rFonts w:hint="eastAsia" w:ascii="仿宋" w:hAnsi="仿宋" w:eastAsia="仿宋" w:cs="仿宋"/>
                <w:sz w:val="22"/>
                <w:szCs w:val="24"/>
                <w:lang w:val="en-US" w:eastAsia="zh-CN"/>
              </w:rPr>
              <w:t>24分</w:t>
            </w: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售后服</w:t>
            </w:r>
          </w:p>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务方案</w:t>
            </w:r>
          </w:p>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10分</w:t>
            </w:r>
          </w:p>
        </w:tc>
        <w:tc>
          <w:tcPr>
            <w:tcW w:w="8223" w:type="dxa"/>
            <w:noWrap w:val="0"/>
            <w:tcMar>
              <w:left w:w="57" w:type="dxa"/>
              <w:right w:w="57" w:type="dxa"/>
            </w:tcMar>
            <w:vAlign w:val="center"/>
          </w:tcPr>
          <w:p>
            <w:pPr>
              <w:numPr>
                <w:ilvl w:val="0"/>
                <w:numId w:val="0"/>
              </w:num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投标人在投标方案中应提供针对本次项目的售后服务方案</w:t>
            </w:r>
            <w:r>
              <w:rPr>
                <w:rFonts w:hint="eastAsia" w:ascii="仿宋" w:hAnsi="仿宋" w:eastAsia="仿宋" w:cs="仿宋"/>
                <w:sz w:val="24"/>
                <w:szCs w:val="24"/>
                <w:lang w:eastAsia="zh-CN"/>
              </w:rPr>
              <w:t>：</w:t>
            </w:r>
            <w:r>
              <w:rPr>
                <w:rFonts w:hint="eastAsia" w:ascii="仿宋" w:hAnsi="仿宋" w:eastAsia="仿宋" w:cs="仿宋"/>
                <w:sz w:val="24"/>
                <w:szCs w:val="24"/>
              </w:rPr>
              <w:t>售后服务组织体系、售后服务人员构成、团队分工与职责、服务内容、服务流程、全面合理，服务流程及内容具体，响应时间迅速，服务人员齐备以保证医院信息系统的售后</w:t>
            </w:r>
            <w:r>
              <w:rPr>
                <w:rFonts w:hint="eastAsia" w:ascii="仿宋" w:hAnsi="仿宋" w:eastAsia="仿宋" w:cs="仿宋"/>
                <w:sz w:val="24"/>
                <w:szCs w:val="24"/>
                <w:lang w:val="en-US" w:eastAsia="zh-CN"/>
              </w:rPr>
              <w:t>质量</w:t>
            </w:r>
            <w:r>
              <w:rPr>
                <w:rFonts w:hint="eastAsia" w:ascii="仿宋" w:hAnsi="仿宋" w:eastAsia="仿宋" w:cs="仿宋"/>
                <w:sz w:val="24"/>
                <w:szCs w:val="24"/>
                <w:lang w:eastAsia="zh-CN"/>
              </w:rPr>
              <w:t>。</w:t>
            </w:r>
            <w:r>
              <w:rPr>
                <w:rFonts w:hint="eastAsia" w:ascii="仿宋" w:hAnsi="仿宋" w:eastAsia="仿宋" w:cs="仿宋"/>
                <w:color w:val="auto"/>
                <w:sz w:val="24"/>
                <w:szCs w:val="24"/>
              </w:rPr>
              <w:t>售后服务方案</w:t>
            </w:r>
            <w:r>
              <w:rPr>
                <w:rFonts w:hint="eastAsia" w:ascii="仿宋" w:hAnsi="仿宋" w:eastAsia="仿宋" w:cs="仿宋"/>
                <w:color w:val="auto"/>
                <w:sz w:val="24"/>
                <w:szCs w:val="24"/>
                <w:lang w:val="en-US" w:eastAsia="zh-CN"/>
              </w:rPr>
              <w:t>包括但不限于供应商所在位置、交通状况、到达现场的时间、应急措施人员配备、 配合程度需提供相关证明材料、租赁合同及承诺书（含人员资质、劳动合同、社保证明等信息），服务质量的详细程度由评委根据所提供的售后服务方案进行评分：以上内容完整、方案合理性、可行性强的得10分，一般的得5分，较差的得1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vMerge w:val="continue"/>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lang w:val="en-US" w:eastAsia="zh-CN"/>
              </w:rPr>
            </w:pPr>
          </w:p>
        </w:tc>
        <w:tc>
          <w:tcPr>
            <w:tcW w:w="965" w:type="dxa"/>
            <w:vMerge w:val="continue"/>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val="en-US" w:eastAsia="zh-CN"/>
              </w:rPr>
            </w:pPr>
          </w:p>
        </w:tc>
        <w:tc>
          <w:tcPr>
            <w:tcW w:w="1115" w:type="dxa"/>
            <w:noWrap w:val="0"/>
            <w:tcMar>
              <w:left w:w="57" w:type="dxa"/>
              <w:right w:w="57" w:type="dxa"/>
            </w:tcMar>
            <w:vAlign w:val="center"/>
          </w:tcPr>
          <w:p>
            <w:pPr>
              <w:tabs>
                <w:tab w:val="left" w:pos="16"/>
              </w:tabs>
              <w:adjustRightInd w:val="0"/>
              <w:spacing w:line="240" w:lineRule="auto"/>
              <w:jc w:val="both"/>
              <w:rPr>
                <w:rFonts w:hint="eastAsia" w:ascii="仿宋" w:hAnsi="仿宋" w:eastAsia="仿宋" w:cs="仿宋"/>
                <w:i w:val="0"/>
                <w:iCs w:val="0"/>
                <w:color w:val="000000"/>
                <w:kern w:val="0"/>
                <w:sz w:val="24"/>
                <w:szCs w:val="24"/>
                <w:u w:val="none"/>
                <w:lang w:val="en-US" w:eastAsia="zh-CN" w:bidi="ar"/>
              </w:rPr>
            </w:pPr>
          </w:p>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培训要求10分</w:t>
            </w:r>
          </w:p>
        </w:tc>
        <w:tc>
          <w:tcPr>
            <w:tcW w:w="8223" w:type="dxa"/>
            <w:noWrap w:val="0"/>
            <w:tcMar>
              <w:left w:w="57" w:type="dxa"/>
              <w:right w:w="57" w:type="dxa"/>
            </w:tcMar>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根据项目情况制定详细明确的培训方案，培训内容包括但不限于培训目的、培训策略、培训组织、培训对象、培训方式、培训时间、培训内容以及考核方案。评委根据各投标人投标文件内容综合评审，方案满足项目需要，方案符合服务要求，服务方案设计清晰、明确、可行的得10分；一般的得5分；较差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vMerge w:val="continue"/>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lang w:val="en-US" w:eastAsia="zh-CN"/>
              </w:rPr>
            </w:pPr>
          </w:p>
        </w:tc>
        <w:tc>
          <w:tcPr>
            <w:tcW w:w="965" w:type="dxa"/>
            <w:vMerge w:val="continue"/>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val="en-US" w:eastAsia="zh-CN"/>
              </w:rPr>
            </w:pP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4分</w:t>
            </w:r>
          </w:p>
        </w:tc>
        <w:tc>
          <w:tcPr>
            <w:tcW w:w="8223" w:type="dxa"/>
            <w:noWrap w:val="0"/>
            <w:tcMar>
              <w:left w:w="57" w:type="dxa"/>
              <w:right w:w="57" w:type="dxa"/>
            </w:tcMar>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投标人或所投产品厂商提供投入项目团队成员情况，具备以下证书得4分，缺一个扣1分，共计4分: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（1）高级信息系统项目管理师证书；（2）高级系统架构设计师证书；（3）注册信息安全工程师证书；（4）IT服务项目经理证书；（5）网络工程师中级及以上证书。</w:t>
            </w:r>
          </w:p>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(注:投标人需提供以上证书复印件、身份证复印件，以及近3个月社保缴纳证明，并加盖公章，不提供不得分。)</w:t>
            </w:r>
          </w:p>
        </w:tc>
      </w:tr>
      <w:bookmarkEnd w:id="39"/>
      <w:bookmarkEnd w:id="44"/>
      <w:bookmarkEnd w:id="45"/>
    </w:tbl>
    <w:p>
      <w:pPr>
        <w:pStyle w:val="10"/>
        <w:numPr>
          <w:ilvl w:val="0"/>
          <w:numId w:val="0"/>
        </w:numPr>
        <w:ind w:leftChars="0"/>
        <w:rPr>
          <w:rFonts w:hint="eastAsia"/>
        </w:rPr>
      </w:pPr>
    </w:p>
    <w:p>
      <w:pPr>
        <w:shd w:val="clear" w:color="auto" w:fill="auto"/>
        <w:spacing w:line="440" w:lineRule="exact"/>
        <w:ind w:firstLine="480" w:firstLineChars="200"/>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bidi="ar-SA"/>
        </w:rPr>
        <w:t>如评标专家在检验电子标书过程中，如果由于投标人自身原因导致评标专家无法查看并检验电子标书中以上相关资料的，否决其投标。即使投标单位将原件携带至现场的，同样按无效投标处理。</w:t>
      </w:r>
    </w:p>
    <w:p>
      <w:pPr>
        <w:pStyle w:val="45"/>
        <w:shd w:val="clear" w:color="auto" w:fill="auto"/>
        <w:tabs>
          <w:tab w:val="left" w:pos="1701"/>
        </w:tabs>
        <w:spacing w:line="440" w:lineRule="exact"/>
        <w:ind w:left="0" w:firstLine="616" w:firstLineChars="257"/>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val="en-US" w:eastAsia="zh-CN" w:bidi="ar-SA"/>
        </w:rPr>
        <w:t>10.2.2</w:t>
      </w:r>
      <w:r>
        <w:rPr>
          <w:rFonts w:hint="eastAsia" w:ascii="仿宋" w:hAnsi="仿宋" w:eastAsia="仿宋" w:cs="仿宋"/>
          <w:color w:val="000000" w:themeColor="text1"/>
          <w:szCs w:val="21"/>
          <w:highlight w:val="none"/>
          <w:lang w:bidi="ar-SA"/>
        </w:rPr>
        <w:t>价格评分方法</w:t>
      </w:r>
    </w:p>
    <w:p>
      <w:pPr>
        <w:shd w:val="clear" w:color="auto" w:fill="auto"/>
        <w:spacing w:line="440" w:lineRule="exact"/>
        <w:ind w:firstLine="616" w:firstLineChars="257"/>
        <w:jc w:val="left"/>
        <w:rPr>
          <w:rFonts w:hint="eastAsia" w:ascii="仿宋" w:hAnsi="仿宋" w:eastAsia="仿宋" w:cs="仿宋"/>
          <w:b/>
          <w:color w:val="000000" w:themeColor="text1"/>
          <w:sz w:val="24"/>
          <w:highlight w:val="none"/>
        </w:rPr>
      </w:pPr>
      <w:r>
        <w:rPr>
          <w:rFonts w:hint="eastAsia" w:ascii="仿宋" w:hAnsi="仿宋" w:eastAsia="仿宋" w:cs="仿宋"/>
          <w:color w:val="000000" w:themeColor="text1"/>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eastAsia="zh-CN" w:bidi="ar-SA"/>
        </w:rPr>
        <w:t>。</w:t>
      </w: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五  推荐中标候选人</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11.1</w:t>
      </w:r>
      <w:r>
        <w:rPr>
          <w:rFonts w:hint="eastAsia" w:ascii="仿宋" w:hAnsi="仿宋" w:eastAsia="仿宋" w:cs="仿宋"/>
          <w:color w:val="000000" w:themeColor="text1"/>
          <w:szCs w:val="21"/>
          <w:highlight w:val="none"/>
        </w:rPr>
        <w:t>评标委员会推荐</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名中标候选人，并标明排序。</w:t>
      </w:r>
    </w:p>
    <w:p>
      <w:pPr>
        <w:shd w:val="clear" w:color="auto" w:fill="auto"/>
        <w:spacing w:line="400" w:lineRule="exact"/>
        <w:ind w:firstLine="470" w:firstLineChars="196"/>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11.2</w:t>
      </w:r>
      <w:r>
        <w:rPr>
          <w:rFonts w:hint="eastAsia" w:ascii="仿宋" w:hAnsi="仿宋" w:eastAsia="仿宋" w:cs="仿宋"/>
          <w:color w:val="000000" w:themeColor="text1"/>
          <w:szCs w:val="21"/>
          <w:highlight w:val="none"/>
        </w:rPr>
        <w:t>如出现报价相同情况，则由招标人现场抽签确定中标候选人排名顺序。</w:t>
      </w:r>
    </w:p>
    <w:p>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lang w:val="en-US" w:eastAsia="zh-CN"/>
        </w:rPr>
        <w:t>12.</w:t>
      </w:r>
      <w:r>
        <w:rPr>
          <w:rFonts w:hint="eastAsia" w:ascii="仿宋" w:hAnsi="仿宋" w:eastAsia="仿宋" w:cs="仿宋"/>
          <w:b/>
          <w:color w:val="000000" w:themeColor="text1"/>
          <w:szCs w:val="21"/>
          <w:highlight w:val="none"/>
        </w:rPr>
        <w:t>无效投标条款</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.1投标文件有下列情形之一的,其投标文件拒收:</w:t>
      </w:r>
    </w:p>
    <w:p>
      <w:pPr>
        <w:shd w:val="clear" w:color="auto" w:fill="auto"/>
        <w:snapToGrid w:val="0"/>
        <w:spacing w:line="400" w:lineRule="exact"/>
        <w:rPr>
          <w:rFonts w:hint="eastAsia" w:ascii="仿宋" w:hAnsi="仿宋" w:eastAsia="仿宋" w:cs="仿宋"/>
          <w:b/>
          <w:bCs/>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b/>
          <w:bCs/>
          <w:color w:val="000000" w:themeColor="text1"/>
          <w:szCs w:val="21"/>
          <w:highlight w:val="none"/>
        </w:rPr>
        <w:t xml:space="preserve"> (1) 未在开标截止时间前通过网上招标投标系统递交有效电子投标文件的，开标系统不予接收。</w:t>
      </w:r>
    </w:p>
    <w:p>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rPr>
      </w:pPr>
      <w:r>
        <w:rPr>
          <w:rFonts w:hint="eastAsia" w:ascii="仿宋" w:hAnsi="仿宋" w:eastAsia="仿宋" w:cs="仿宋"/>
          <w:b/>
          <w:bCs/>
          <w:color w:val="000000" w:themeColor="text1"/>
          <w:szCs w:val="21"/>
          <w:highlight w:val="none"/>
        </w:rPr>
        <w:t>（2）</w:t>
      </w:r>
      <w:r>
        <w:rPr>
          <w:rFonts w:hint="eastAsia" w:ascii="仿宋" w:hAnsi="仿宋" w:eastAsia="仿宋" w:cs="仿宋"/>
          <w:b/>
          <w:color w:val="000000" w:themeColor="text1"/>
          <w:szCs w:val="21"/>
          <w:highlight w:val="none"/>
        </w:rPr>
        <w:t>所有投标人应在规定时间里完成投标文件的解密工作</w:t>
      </w:r>
      <w:r>
        <w:rPr>
          <w:rFonts w:hint="eastAsia" w:ascii="仿宋" w:hAnsi="仿宋" w:eastAsia="仿宋" w:cs="仿宋"/>
          <w:b/>
          <w:bCs/>
          <w:color w:val="000000" w:themeColor="text1"/>
          <w:szCs w:val="21"/>
          <w:highlight w:val="none"/>
        </w:rPr>
        <w:t>【投标人</w:t>
      </w:r>
      <w:r>
        <w:rPr>
          <w:rFonts w:hint="eastAsia" w:ascii="仿宋" w:hAnsi="仿宋" w:eastAsia="仿宋" w:cs="仿宋"/>
          <w:b/>
          <w:bCs/>
          <w:color w:val="000000" w:themeColor="text1"/>
          <w:szCs w:val="21"/>
          <w:highlight w:val="none"/>
          <w:lang w:eastAsia="zh-CN"/>
        </w:rPr>
        <w:t>使用</w:t>
      </w:r>
      <w:r>
        <w:rPr>
          <w:rFonts w:hint="eastAsia" w:ascii="仿宋" w:hAnsi="仿宋" w:eastAsia="仿宋" w:cs="仿宋"/>
          <w:b/>
          <w:bCs/>
          <w:color w:val="000000" w:themeColor="text1"/>
          <w:szCs w:val="21"/>
          <w:highlight w:val="none"/>
        </w:rPr>
        <w:t>其有效加密锁（CA锁）</w:t>
      </w:r>
      <w:r>
        <w:rPr>
          <w:rFonts w:hint="eastAsia" w:ascii="仿宋" w:hAnsi="仿宋" w:eastAsia="仿宋" w:cs="仿宋"/>
          <w:b/>
          <w:bCs/>
          <w:color w:val="000000" w:themeColor="text1"/>
          <w:szCs w:val="21"/>
          <w:highlight w:val="none"/>
          <w:lang w:eastAsia="zh-CN"/>
        </w:rPr>
        <w:t>进行</w:t>
      </w:r>
      <w:r>
        <w:rPr>
          <w:rFonts w:hint="eastAsia" w:ascii="仿宋" w:hAnsi="仿宋" w:eastAsia="仿宋" w:cs="仿宋"/>
          <w:b/>
          <w:bCs/>
          <w:color w:val="000000" w:themeColor="text1"/>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rPr>
        <w:t>，因系统原因未能成功解密的投标文件，可导入</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也无法导入的，则投标文件被否决。</w:t>
      </w:r>
    </w:p>
    <w:p>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.2投标人有下列情形之一的,资格审查后其投标作无效投标处理：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(2)投标人为本项目提供招标代理服务的；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(3)投标人与在本项目代理机构存在相互任职或工作的；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(4)投标保证金未按规定要求缴纳的；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w:t>
      </w:r>
      <w:r>
        <w:rPr>
          <w:rFonts w:hint="eastAsia" w:ascii="仿宋" w:hAnsi="仿宋" w:eastAsia="仿宋" w:cs="仿宋"/>
          <w:b/>
          <w:bCs/>
          <w:color w:val="000000" w:themeColor="text1"/>
          <w:szCs w:val="21"/>
          <w:highlight w:val="none"/>
        </w:rPr>
        <w:t>评标专家无法查看并检验电子标书中相关资料的；</w:t>
      </w:r>
    </w:p>
    <w:p>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rPr>
      </w:pPr>
      <w:r>
        <w:rPr>
          <w:rFonts w:hint="eastAsia" w:ascii="仿宋" w:hAnsi="仿宋" w:eastAsia="仿宋" w:cs="仿宋"/>
          <w:b/>
          <w:bCs/>
          <w:color w:val="000000" w:themeColor="text1"/>
          <w:szCs w:val="21"/>
          <w:highlight w:val="none"/>
        </w:rPr>
        <w:t>(6)投标人超出营业范围投标的；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(7)联合体投标未提交联合体协议的；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(8)被暂停营业的；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(9)被暂停或取消投标资格的；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(10)财产被接管或冻结的；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(11)投标人单位负责人为同一人或者存在控股、管理关系的不同单位的；</w:t>
      </w:r>
    </w:p>
    <w:p>
      <w:pPr>
        <w:shd w:val="clear" w:color="auto" w:fill="auto"/>
        <w:snapToGrid w:val="0"/>
        <w:spacing w:line="400" w:lineRule="exact"/>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（12）投标人基本资格条件和特定资格条件中有一项及以上不符合要求的；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（13）投标人使用相同的MAC地址进行报名的；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（14）其它情形，经评标委员会委提出按无效投标处理，并经公共资源交易监督部门核准的；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（15）投标人使用相同IP地址报名的，一经发现，监管部门将进一步核实，查实后按串通投标处理；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（16）</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.3 投标人有下列情形之一的,符合性审查后其投标按无效投标处理：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 投标文件</w:t>
      </w:r>
      <w:r>
        <w:rPr>
          <w:rFonts w:hint="eastAsia" w:ascii="仿宋" w:hAnsi="仿宋" w:eastAsia="仿宋" w:cs="仿宋"/>
          <w:color w:val="000000" w:themeColor="text1"/>
          <w:szCs w:val="21"/>
          <w:highlight w:val="none"/>
          <w:lang w:eastAsia="zh-CN"/>
        </w:rPr>
        <w:t>签章</w:t>
      </w:r>
      <w:r>
        <w:rPr>
          <w:rFonts w:hint="eastAsia" w:ascii="仿宋" w:hAnsi="仿宋" w:eastAsia="仿宋" w:cs="仿宋"/>
          <w:color w:val="000000" w:themeColor="text1"/>
          <w:szCs w:val="21"/>
          <w:highlight w:val="none"/>
        </w:rPr>
        <w:t>、盖章不全，经评标委员会一致认定对开评标内容有实质性影响并经监督部门核准的；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2</w:t>
      </w:r>
      <w:r>
        <w:rPr>
          <w:rFonts w:hint="eastAsia" w:ascii="仿宋" w:hAnsi="仿宋" w:eastAsia="仿宋" w:cs="仿宋"/>
          <w:color w:val="000000" w:themeColor="text1"/>
          <w:szCs w:val="21"/>
          <w:highlight w:val="none"/>
        </w:rPr>
        <w:t>)未按规定的格式填写，实质性内容不全或关键字迹模糊、无法辨认; 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(4)同一投标人提交两个以上不同的投标文件或者投标报价，但</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规定提交备选方案的除外；</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)投标文件没有对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的实质性要求和条件作出响应;</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4</w:t>
      </w:r>
      <w:r>
        <w:rPr>
          <w:rFonts w:hint="eastAsia" w:ascii="仿宋" w:hAnsi="仿宋" w:eastAsia="仿宋" w:cs="仿宋"/>
          <w:color w:val="000000" w:themeColor="text1"/>
          <w:szCs w:val="21"/>
          <w:highlight w:val="none"/>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5</w:t>
      </w:r>
      <w:r>
        <w:rPr>
          <w:rFonts w:hint="eastAsia" w:ascii="仿宋" w:hAnsi="仿宋" w:eastAsia="仿宋" w:cs="仿宋"/>
          <w:color w:val="000000" w:themeColor="text1"/>
          <w:szCs w:val="21"/>
          <w:highlight w:val="none"/>
        </w:rPr>
        <w:t>)不按评标委员会要求澄清、说明或补正的，或者评标委员会根据</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的规定对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的计算错误进行修正后，投标人不接受修正的投标报价的。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6</w:t>
      </w:r>
      <w:r>
        <w:rPr>
          <w:rFonts w:hint="eastAsia" w:ascii="仿宋" w:hAnsi="仿宋" w:eastAsia="仿宋" w:cs="仿宋"/>
          <w:color w:val="000000" w:themeColor="text1"/>
          <w:szCs w:val="21"/>
          <w:highlight w:val="none"/>
        </w:rPr>
        <w:t>）其它情形，经评标委员会委提出按无效投标处理，并经公共资源交易监督部门核准的；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7</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未按照招标文件的规定提交投标保证金的；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8</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投标文件含有采购人不能接受的附加条件的;</w:t>
      </w:r>
    </w:p>
    <w:p>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9</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.4 投标人有下列情形之一的, 详细评审后其投标按无效投标处理：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(1)投标产品不符合必须强制执行的国家标准的；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(2)投标人有串通投标、弄虚作假、行贿等违法行为；</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(3)投标文件含有违反国家法律、法规的内容，或附有招标人不能接受的条件的；</w:t>
      </w:r>
    </w:p>
    <w:p>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（4）在同一项目（或同一标段）中有多个投标人有效投标报价接近最高限价，且评标委员会认为报价出现异常的，可以宣布其投标无效；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（5）报价明显低于其他投标人，且不能证明报价合理性的投标无效；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（6）拒不确认评标委员会评审修正的投标无效；</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b/>
          <w:color w:val="000000" w:themeColor="text1"/>
          <w:sz w:val="32"/>
          <w:szCs w:val="32"/>
          <w:highlight w:val="none"/>
          <w:lang w:val="en-US" w:eastAsia="zh-CN"/>
        </w:rPr>
        <w:sectPr>
          <w:headerReference r:id="rId10" w:type="default"/>
          <w:footerReference r:id="rId11" w:type="default"/>
          <w:pgSz w:w="11906" w:h="16838"/>
          <w:pgMar w:top="1134" w:right="1080" w:bottom="1440" w:left="1080" w:header="851" w:footer="992" w:gutter="0"/>
          <w:pgNumType w:fmt="decimal"/>
          <w:cols w:space="720" w:num="1"/>
          <w:docGrid w:type="linesAndChars" w:linePitch="312" w:charSpace="0"/>
        </w:sectPr>
      </w:pPr>
      <w:r>
        <w:rPr>
          <w:rFonts w:hint="eastAsia" w:ascii="仿宋" w:hAnsi="仿宋" w:eastAsia="仿宋" w:cs="仿宋"/>
          <w:color w:val="000000" w:themeColor="text1"/>
          <w:szCs w:val="21"/>
          <w:highlight w:val="none"/>
        </w:rPr>
        <w:t>（8）</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w:t>
      </w:r>
    </w:p>
    <w:p>
      <w:pPr>
        <w:spacing w:line="460" w:lineRule="exact"/>
        <w:jc w:val="center"/>
        <w:rPr>
          <w:rFonts w:hint="eastAsia" w:ascii="仿宋" w:hAnsi="仿宋" w:eastAsia="仿宋" w:cs="仿宋"/>
          <w:b/>
          <w:color w:val="0000FF"/>
          <w:sz w:val="32"/>
          <w:szCs w:val="32"/>
          <w:lang w:eastAsia="zh-CN"/>
        </w:rPr>
      </w:pPr>
      <w:r>
        <w:rPr>
          <w:rFonts w:hint="eastAsia" w:ascii="仿宋" w:hAnsi="仿宋" w:eastAsia="仿宋" w:cs="仿宋"/>
          <w:b/>
          <w:color w:val="0000FF"/>
          <w:sz w:val="32"/>
          <w:szCs w:val="32"/>
          <w:lang w:eastAsia="zh-CN"/>
        </w:rPr>
        <w:t>第四部分</w:t>
      </w:r>
      <w:r>
        <w:rPr>
          <w:rFonts w:hint="eastAsia" w:ascii="仿宋" w:hAnsi="仿宋" w:eastAsia="仿宋" w:cs="仿宋"/>
          <w:b/>
          <w:color w:val="0000FF"/>
          <w:sz w:val="32"/>
          <w:szCs w:val="32"/>
          <w:lang w:val="en-US" w:eastAsia="zh-CN"/>
        </w:rPr>
        <w:t xml:space="preserve"> 采购</w:t>
      </w:r>
      <w:r>
        <w:rPr>
          <w:rFonts w:hint="eastAsia" w:ascii="仿宋" w:hAnsi="仿宋" w:eastAsia="仿宋" w:cs="仿宋"/>
          <w:b/>
          <w:color w:val="0000FF"/>
          <w:sz w:val="32"/>
          <w:szCs w:val="32"/>
          <w:lang w:eastAsia="zh-CN"/>
        </w:rPr>
        <w:t>需求</w:t>
      </w:r>
    </w:p>
    <w:p>
      <w:pPr>
        <w:spacing w:line="460" w:lineRule="exact"/>
        <w:rPr>
          <w:rFonts w:ascii="仿宋" w:hAnsi="仿宋" w:eastAsia="仿宋" w:cs="仿宋"/>
          <w:b/>
          <w:color w:val="000000" w:themeColor="text1"/>
          <w:sz w:val="32"/>
          <w:szCs w:val="32"/>
          <w:lang w:eastAsia="zh-CN"/>
        </w:rPr>
      </w:pPr>
      <w:r>
        <w:rPr>
          <w:rFonts w:hint="eastAsia" w:ascii="仿宋" w:hAnsi="仿宋" w:eastAsia="仿宋" w:cs="仿宋"/>
          <w:b/>
          <w:bCs/>
          <w:color w:val="000000" w:themeColor="text1"/>
          <w:sz w:val="28"/>
          <w:szCs w:val="28"/>
          <w:lang w:val="en-US" w:eastAsia="zh-CN"/>
        </w:rPr>
        <w:t>一、采购需求：</w:t>
      </w:r>
    </w:p>
    <w:bookmarkEnd w:id="40"/>
    <w:tbl>
      <w:tblPr>
        <w:tblStyle w:val="24"/>
        <w:tblpPr w:leftFromText="180" w:rightFromText="180" w:vertAnchor="text" w:horzAnchor="page" w:tblpX="961" w:tblpY="1075"/>
        <w:tblOverlap w:val="never"/>
        <w:tblW w:w="10600" w:type="dxa"/>
        <w:tblInd w:w="0" w:type="dxa"/>
        <w:tblLayout w:type="autofit"/>
        <w:tblCellMar>
          <w:top w:w="0" w:type="dxa"/>
          <w:left w:w="108" w:type="dxa"/>
          <w:bottom w:w="0" w:type="dxa"/>
          <w:right w:w="108" w:type="dxa"/>
        </w:tblCellMar>
      </w:tblPr>
      <w:tblGrid>
        <w:gridCol w:w="649"/>
        <w:gridCol w:w="1079"/>
        <w:gridCol w:w="7500"/>
        <w:gridCol w:w="714"/>
        <w:gridCol w:w="658"/>
      </w:tblGrid>
      <w:tr>
        <w:tblPrEx>
          <w:tblCellMar>
            <w:top w:w="0" w:type="dxa"/>
            <w:left w:w="108" w:type="dxa"/>
            <w:bottom w:w="0" w:type="dxa"/>
            <w:right w:w="108" w:type="dxa"/>
          </w:tblCellMar>
        </w:tblPrEx>
        <w:trPr>
          <w:trHeight w:val="560" w:hRule="atLeast"/>
        </w:trPr>
        <w:tc>
          <w:tcPr>
            <w:tcW w:w="1060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kern w:val="0"/>
                <w:sz w:val="28"/>
                <w:szCs w:val="28"/>
                <w:highlight w:val="none"/>
                <w:lang w:eastAsia="zh-CN" w:bidi="ar"/>
              </w:rPr>
            </w:pPr>
            <w:r>
              <w:rPr>
                <w:rFonts w:hint="eastAsia" w:ascii="仿宋" w:hAnsi="仿宋" w:eastAsia="仿宋" w:cs="仿宋"/>
                <w:b/>
                <w:bCs/>
                <w:color w:val="000000"/>
                <w:kern w:val="0"/>
                <w:sz w:val="28"/>
                <w:szCs w:val="28"/>
                <w:highlight w:val="none"/>
                <w:lang w:val="en-US" w:eastAsia="zh-CN" w:bidi="ar"/>
              </w:rPr>
              <w:t>系统</w:t>
            </w:r>
            <w:r>
              <w:rPr>
                <w:rFonts w:hint="eastAsia" w:ascii="仿宋" w:hAnsi="仿宋" w:eastAsia="仿宋" w:cs="仿宋"/>
                <w:b/>
                <w:bCs/>
                <w:color w:val="000000"/>
                <w:kern w:val="0"/>
                <w:sz w:val="28"/>
                <w:szCs w:val="28"/>
                <w:highlight w:val="none"/>
                <w:lang w:eastAsia="zh-CN" w:bidi="ar"/>
              </w:rPr>
              <w:t>清单</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kern w:val="0"/>
                <w:sz w:val="28"/>
                <w:szCs w:val="28"/>
                <w:highlight w:val="none"/>
                <w:lang w:bidi="ar"/>
              </w:rPr>
              <w:t>序号</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系统</w:t>
            </w:r>
          </w:p>
          <w:p>
            <w:pPr>
              <w:widowControl/>
              <w:adjustRightInd w:val="0"/>
              <w:snapToGrid w:val="0"/>
              <w:spacing w:line="240" w:lineRule="auto"/>
              <w:ind w:firstLine="0" w:firstLineChars="0"/>
              <w:jc w:val="center"/>
              <w:textAlignment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kern w:val="0"/>
                <w:sz w:val="28"/>
                <w:szCs w:val="28"/>
                <w:highlight w:val="none"/>
                <w:lang w:bidi="ar"/>
              </w:rPr>
              <w:t>名称</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kern w:val="0"/>
                <w:sz w:val="28"/>
                <w:szCs w:val="28"/>
                <w:highlight w:val="none"/>
                <w:lang w:bidi="ar"/>
              </w:rPr>
              <w:t>规格及参数</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kern w:val="0"/>
                <w:sz w:val="28"/>
                <w:szCs w:val="28"/>
                <w:highlight w:val="none"/>
                <w:lang w:val="en-US" w:eastAsia="zh-CN" w:bidi="ar"/>
              </w:rPr>
              <w:t>单位</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kern w:val="0"/>
                <w:sz w:val="28"/>
                <w:szCs w:val="28"/>
                <w:highlight w:val="none"/>
                <w:lang w:val="en-US" w:eastAsia="zh-CN" w:bidi="ar"/>
              </w:rPr>
              <w:t>数量</w:t>
            </w:r>
          </w:p>
        </w:tc>
      </w:tr>
      <w:tr>
        <w:tblPrEx>
          <w:tblCellMar>
            <w:top w:w="0" w:type="dxa"/>
            <w:left w:w="108" w:type="dxa"/>
            <w:bottom w:w="0" w:type="dxa"/>
            <w:right w:w="108" w:type="dxa"/>
          </w:tblCellMar>
        </w:tblPrEx>
        <w:trPr>
          <w:trHeight w:val="3648"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 xml:space="preserve">门诊挂号预约管理系统 </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预约管理 </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排班管理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具备建立全院统一的预约排班模板功能，可维护科室、专家的出班信息。提供多时段、多号序规则计算、多方式的预约服务；支持当天临时增加医生、科室出班。</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具备设置不同的预约排班模板功能。根据法定节假日，上下午时间间隔，预约时间段等条件设置不同专家科室的预约排班模板。</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具备根据预约排班模板，手动或自动生成一段时间的预约排班信息功能。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具备分时段预约功能，可针对不同科室或专家的分时段预约，并可控制非预约时段内挂号。</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具备将专家预约挂号的数量及时间安排生成排班信息表的功能，并将排班信息发送给相关专家。</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具备排班查询功能。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支持专家停诊功能，并将停诊信息通过短信接口发送给已预约此专家的患者。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具备取消挂号预约管理功能，系统将取消挂号预约号源自动返回对应的号源池。</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支持与全院消息管理系统对接，将停诊信息通过短信、企业微信、钉钉发送给患者。</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患者信用管理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具备患者爽约管理功能，可灵活设置爽约规则。</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具备防止恶意预约功能，可根据身份证实名制预约、限制预约次数。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具备预约患者黑名单管理（如新增，删除，修改）与控制功能，并可设置管理规则。</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号源管理</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具备统一号源池和不同号源池设置功能，可针对不同的预约方式进行不同的号源管理。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具备多种预约挂号号序生成方式功能，即预约号序是否等同于挂号号序。</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支持院内、自助机、网站、移动端预约方式对应不同的挂号预约号源类型功能。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统计分析</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具备预约就诊率、爽约率统计分析功能。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具备预约渠道、人次、比例统计分析功能。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具备预约情况汇总，包括科室、日期、专家等信息统计分析功能。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预约服务 </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门诊收费窗口预约</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具备病人基本信息的登记功能。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具备通过病历号，IC卡等方式检索患者信息功能。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具备按时间查询排班信息功能。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具备按时间段，时间点预约功能。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具备将预约成功的号序、时间、患者信息、科室/医生、注意事项等通过凭条或短信接口反馈给患者。</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具备新患者预约挂号登记功能。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具备科室预约功能、专家预约功能、特需预约功能、专病预约功能。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具备取消预约功能。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具备预约成功后缴挂号费功能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具备模糊查询功能，显示可预约的时间表，进行实时预约挂号。</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护士站预约</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具备通过病历号，IC卡等方式检索患者信息功能。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具备按时间查询排班信息功能。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具备按时间段，时间点预功能。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具备将预约成功的号序、时间、患者信息、科室/医生、注意事项等通过凭条或短信接口反馈给患者。</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门诊医生预约</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具备通过病历号，IC卡等方式检索患者信息功能。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具备按时间查询排班信息功能。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具备按时间段，时间点预功能。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具备将预约成功的号序、时间、患者信息、科室/医生、注意事项等通过凭条或短信接口反馈给患者。</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住院医生预约</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具备通过病历号，IC卡等方式检索患者信息功能。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具备按时间查询排班信息功能。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具备按时间段，时间点预约功能。</w:t>
            </w:r>
          </w:p>
          <w:p>
            <w:pPr>
              <w:pStyle w:val="55"/>
              <w:autoSpaceDE w:val="0"/>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具备将预约成功的号序、时间、患者信息、科室/医生、注意事项等通过凭条或短信接口反馈给患者。</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 xml:space="preserve">门急诊挂号管理系统 </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患者基本信息登记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具备患者基本信息登记功能及患者基本信息维护功能。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支持医院使用多种卡类型，例如磁卡、院内IC卡等。</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具备患者打印二维码功能，并在院内流通。</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具备患者卡管理功能，同一个患者在院内可以拥有多张卡。</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具备患者信息必填控制，防止操作员漏登记患者信息。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具备光标跳转自定义功能，可以设置界面的光标跳转的顺序，操作员录入信息后回车，则光标自动跳转到设计的控件中，加快登记流程。</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具备患者卡绑定功能，患者登记时可以自动绑定医保卡。</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具备基本信息登记、患者挂号登记集成功能，挂号时新患者可以直接调出患者信息登记界面，进行患者信息登记。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具备患者信息登记帮助功能，操作员可以快速查询功能的使用说明。</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支持门诊医生站自动挂号时直接创建患者基本信息功能。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支持读取身份证信息快速进行患者信息录入功能。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支持患者身份证当作院内卡用于院内系统流转功能。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门急诊挂号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具备多种“挂号类别”挂号功能，包括：科室挂号、专家挂号、义诊挂号、特需挂号、免费挂号。</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具备退号换号功能，未就诊号可以进行作废处理；未就诊的挂错科室可以进行换号。</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具备患者的费别修改功能，例如：将患者费别从医保修改为自费。</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支持患者多种身份识别功能。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具备挂号联动费用功能，包括根据科室、职工属性进行联动收费。</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具备根据代码、五笔、拼音等快速检索选取功能。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具备操作员结账、全班结账、财务确认功能。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具备病人基本信息查询、挂号查询、预约信息（爽约、黑名单）查询、挂号动态图表功能。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具备患者挂号号别设置功能，可以维护患者的默认号别。</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具备挂号限制功能，可以设置性别与科室规则、年龄与科室规则、费别与挂号类别规则、大病项目与科室规则、科室次数规则、费别与科室规则等限制规则。</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具备挂号发票管理设置功能，具备自定义发票模板样式设置功能。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具备挂号费优惠功能，包括60岁以上老人挂号费减半。</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具备挂号记录医保兑付功能。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具备挂号时自动预约功能，提高医院预约率。</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支持挂号登记时使用预约记录、预检记录进行登记。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具备打印挂号凭条功能，并且凭条上可以打印二维码。</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挂号后打印发票支持电子票据。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具备挂号次数控制功能，可以根据患者费别、挂号类型、科室、医生、大病、患者、医保科室等控制，可以设置限制次数，控制方式，提示内容等关键属性。</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具备免费挂号原因设置功能，免费挂号时可以选择设置的原因。</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具备滋事患者管理功能，在挂号时对滋事患者进行控制。</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具备操作员支付方式维护功能，操作员进行挂号、收费等收银时，默认为维护的支付方式。</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具备挂号登记、门诊收费集成功能，在同一个窗口进行功能集成，达到挂号与收费功能的快速切换。</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具备挂号操作员在业务界面中显示当天排班情况。</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 xml:space="preserve">门急诊收费管理系统 </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门急诊收费 </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门急诊收费管理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具备刷卡读取门急诊处方功能。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支持患者多种身份识别功能。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药品选取具备代码、拼音、五笔等检索方式，具备别名录入功能。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具备不挂号收费功能。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具备不建立患者信息直接进行划价收费功能。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支持多种支付方式，包括：现金、POS机，微信，支付宝。</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具备患者欠费结算功能，实现绿色通道流程。</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具备根据联动设置，自动收取联动费用功能。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具备完成收费后根据设置规则自动分配发药、配药窗口功能。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具备收费记录医保兑付功能。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具备收费后不打印发票，打印收费凭条功能。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门诊收费时，具备分方结算功能，如先收取自费处方再收取医保处方。</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具备收费时更换患者费别功能。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具备客户端连接多台“打印机”功能，并且同时打印发票与收费凭条。</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具备门急诊划价功能。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具备欠费补缴时进行医保缴费功能。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门急诊退费管理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具备全部退费和部分退费功能。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具备当日和隔日退费功能。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具备退费规则控制功能，由医生发起申请，药房、医技科室审核后才可以退费。</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发票管理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具备发票管理功能，挂号和收费可以用一卷发票，操作员可以一次领用多卷发票并登记在系统中。</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具备分发票打印功能、发票汇总打印功能。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具备挂号发票管理设置功能，可自定义发票模板样式。</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收费后打印发票支持与电子票据系统对接。</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财务结账</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具备操作员结账、全班结账、结账单统计、预交金结账、合并结账单统计功能。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具备零点自动结账功能。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查询统计</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具备病人费用查询功能，处方查询功能。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具备病人欠费费用查询功能。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具备欠费患者统计形成催款报表功能。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设置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具备不同处方设置自定义字体颜色、背景颜色功能。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具备收发配窗口配置功能。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具备项目联动设置功能。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具备欠费支付原因维护功能。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具备医生处方保护功能，可以设置收费时是否可以修改、添加、删除医生处方。</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具备处方有效期控制功能。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支持单边账查询与账单撤单处理，并且支持对账操作日志查询。</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医技收费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医技收费管理完成门诊、住院医技项目确认和确认查询，实现患者收费、确费信息的即时共享。具体要求如下：</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具备通过刷卡或者输入病历号检索患者功能并且可以自动加载医技申请项目。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具备门诊、住院医技项目确认功能。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具备按照在院患者列表显示功能。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具备显示申请单和历史诊断信息功能。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具备按照科室自动加载指定科室医技申请项目功能。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具备通过刷卡或者输入病历号、处方号、门诊号、姓名和身份证号等检索患者的功能并且自动加载已经经过确认的医技申请项目。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具备住院医技退费、门诊医技取消确认功能。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医技退费时具备生成新的医技请求以备再次进行医技确认的功能。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具备对病区或手术室的医技请求补录项目功能，包括药品和材料等其他项目。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具备组套维护和添加功能。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具备帮助功能，核心业务模块操作员可以快速查询业务流程使用说明。</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具备通科功能。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具备对门诊医技请求补录项目的功能，包含材料等其他医技项目。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具备门诊医技收费多特病拆分结算功能。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具备患者入院前检查确费功能。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具备住院汇总领药功能。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具体汇总领药查询功能。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具备住院公用药品领药申请功能。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具备定义成套医技项目功能。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具备住院补记账和补记账作废功能。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具备住院医技补记账部分退费功能。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具备医技补记账预留补录高值扫码费用功能。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具备医技补记账批量患者补录费用功能。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具备医技收费查询功能。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具备住院发药单补打功能。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具备医技申请单批量打印功能。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具备综合报表统计查询及打印功能。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具备医技工作量查询功能。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具备门诊医技收费查询功能。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具备凭条补打功能。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具备门诊医技收费按照患者列表显示，具备按患者确费功能。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具备门诊医技收费补录临床项目可以选择明细小项目功能。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具备打印机设置功能。</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具备导诊科室功能，导诊科室包含部分指定医技科室权限功能。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出入院管理系统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b/>
                <w:bCs/>
                <w:color w:val="000000"/>
                <w:sz w:val="28"/>
                <w:szCs w:val="28"/>
                <w:lang w:val="en"/>
              </w:rPr>
              <w:t>(1) </w:t>
            </w:r>
            <w:r>
              <w:rPr>
                <w:rStyle w:val="27"/>
                <w:rFonts w:hint="eastAsia" w:ascii="仿宋" w:hAnsi="仿宋" w:eastAsia="仿宋" w:cs="仿宋"/>
                <w:color w:val="000000"/>
                <w:sz w:val="28"/>
                <w:szCs w:val="28"/>
                <w:lang w:val="en"/>
              </w:rPr>
              <w:t>入院管理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具备入院登记功能，同时可生成住院病人基本信息，具备门诊基础信息自动导入功能。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具备入院取消功能。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具备病人信息维护功能。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具备医保凭证修改功能。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具备预约住院登记功能、急观转住院功能。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具备住院预交金收退、打印、查询功能。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住院预交金收退支持使用现金、微信、支付宝、银行卡。</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具备病人欠费信用额度设定功能。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具备黑名单维护功能。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具备预交金操作员结账。</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具备停药线设置功能。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具备入院登记后打印记账袋功能。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具备打印腕带功能。具备腕带模板设置功能，不同人员打印不同腕带。</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支持与门诊临床信息系统对接，使用门诊医生站开的入院单进行入院登记功能。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支持与日间手术系统对接，使用日间手术预约信息进行入院登记功能。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支持查询住院医生站住院单。</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支持特殊病人化名维护，以保护患者隐私或访问等级。</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具备界面动态设计功能，可以设计入院登记界面的控件是否显示、布局、光标跳转。</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b/>
                <w:bCs/>
                <w:color w:val="000000"/>
                <w:sz w:val="28"/>
                <w:szCs w:val="28"/>
                <w:lang w:val="en"/>
              </w:rPr>
              <w:t>(2) </w:t>
            </w:r>
            <w:r>
              <w:rPr>
                <w:rStyle w:val="27"/>
                <w:rFonts w:hint="eastAsia" w:ascii="仿宋" w:hAnsi="仿宋" w:eastAsia="仿宋" w:cs="仿宋"/>
                <w:color w:val="000000"/>
                <w:sz w:val="28"/>
                <w:szCs w:val="28"/>
                <w:lang w:val="en"/>
              </w:rPr>
              <w:t>出院管理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具备病人结算功能，可提供出院病人账单和住院病人费用清单。</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具备出入院一日清功能。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具备住院病人费用审批功能，助力医院实现合规性流程设置。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具备多种方式结算功能，包括：出院结算、中途结算、单项目结算、欠款结算、母婴结算。</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具备患者取消结算功能。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具备操作员结账、全班结账、结账单统计功能。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具备住院病人多种信息查询功能，包括：住院病人基本信息、已登记未入区、病人医嘱、病人信息、病人预交金。</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具备住院发票管理功能，包括入院预交金发票，出院结算发票。</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结算后打印发票支持与电子票据系统对接。</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住院结算具备使用住院预交金进行结算的功能。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住院结算支持收款使用现金、微信、支付宝、银行卡。</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住院结算退款支持微信、支付宝、银行卡原路退回功能，支持银行转账功能。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欠款结算后，具备欠款补缴功能。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具备欠费结算打印发票功能。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具备欠费患者信息、费用查询功能。</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具备欠费患者统计形成催款报表功能。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配置管理系统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b/>
                <w:bCs/>
                <w:color w:val="000000"/>
                <w:sz w:val="28"/>
                <w:szCs w:val="28"/>
                <w:lang w:val="en"/>
              </w:rPr>
              <w:t>1) </w:t>
            </w:r>
            <w:r>
              <w:rPr>
                <w:rStyle w:val="27"/>
                <w:rFonts w:hint="eastAsia" w:ascii="仿宋" w:hAnsi="仿宋" w:eastAsia="仿宋" w:cs="仿宋"/>
                <w:color w:val="000000"/>
                <w:sz w:val="28"/>
                <w:szCs w:val="28"/>
                <w:lang w:val="en"/>
              </w:rPr>
              <w:t>基础数据</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具备对医院管理系统正常运行所需的各项参数进行设置的功能。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提供价表管理子系统，具备下列各项目设置功能：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收费大项目设置，包括大项目代码、大项目名称、发票代码设置。</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收费小项目设置，包括小项目代码、小项目名称、大项目设置。</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特殊项目设置，包括项目代码、费别、优惠比例、特需比例设置。</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门诊会计项目设置，包括代码、项目名称设置。</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住院会计项目设置，包括代码、项目名称设置。</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门诊发票项目设置，包括代码、项目名称设置。</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住院发票项目设置，包括代码、项目名称设置。</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核算项目设置，包括代码、项目名称设置。</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病案项目设置，包括代码、项目名称设置。</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收费项目调价设置，包括新增调价单、调价时间、调价后金额设置。</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诊断设置，包括代码、名称、国家诊断、中医诊断设置。</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地区设置，包括省、市、县、街道设置。</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频次设置，支持bid、tid等频次的设置。</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提供结账费别模板。</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提供信息系统维护服务，支持下列项目维护：</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基础表维护，包括一级科室、二级科室、病区代码、血型代码设置。</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医保维护，包括医保科室、特殊人员、人群分类、单位性质设置。</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门诊系统维护，包括收费代码、配药窗口设置。</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药品系统维护，包括药库代码、药房代码、配药人员设置。</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住院系统维护，包括药品用法、手术房间、手术麻醉设置。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系统工具维护，包括外挂报表、升级向导、发票设计的维护。</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b/>
                <w:bCs/>
                <w:color w:val="000000"/>
                <w:sz w:val="28"/>
                <w:szCs w:val="28"/>
                <w:lang w:val="en"/>
              </w:rPr>
              <w:t>(2) </w:t>
            </w:r>
            <w:r>
              <w:rPr>
                <w:rStyle w:val="27"/>
                <w:rFonts w:hint="eastAsia" w:ascii="仿宋" w:hAnsi="仿宋" w:eastAsia="仿宋" w:cs="仿宋"/>
                <w:color w:val="000000"/>
                <w:sz w:val="28"/>
                <w:szCs w:val="28"/>
                <w:lang w:val="en"/>
              </w:rPr>
              <w:t>系统配置</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具备发票设计功能，可以设计医院打印的纸质发票的格式。</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具备新闻编辑功能，可以在登录程序时展示编辑的公告。</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具备数据导出、数据迁移功能，快速导出、迁移医院需要的数据。</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具备数据库备份功能，通过前台快速设置医院的备份数据库。</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具备索引重建功能，通过前台快速重建医院数据库的索引。</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具备登录管理功能，操作员登录时，记录下日志，可以在前台查询到操作员登录的情况。</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具备后台任务管理功能，可以在前台控制后台作业的运行。</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具备流程控制功能，通过设置不同参数的值，可以快速定义医院软件运行的模式。</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具备医院设置功能，可以维护同库模式下不同医院的属性。</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具备职工岗位权限维护功能，可以设置不同岗位的功能权限。</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具备年龄设置功能，可以维护医院需要显示的病人年龄的格式。</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支持基础数据同步设置，业务条线按照标准格式提供接收服务后，可以将基础数据同步到需要应用的条线。</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具备磁卡费别设置功能，可以定义卡与费别的对应关系，通过刷不同的卡控制不同的患者费别。</w:t>
            </w:r>
          </w:p>
          <w:p>
            <w:pPr>
              <w:pStyle w:val="55"/>
              <w:autoSpaceDE w:val="0"/>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具备数据迁移方案，支持自动进行运行库和历史库之间根据日表和年表的数据进行迁移，以确保运行库的运行效率。</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6377"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门诊医生工作站系统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门诊诊疗管理 </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患者接诊管理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具备多种登录模式配置的功能，支持科室登录模式和科目登录模式，且登录可自动区分专家和普通医生。</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具备用户密码多级别安全策略设置，包括用户密码位数、密码是否包含字母、密码是否包含数字、密码是否包含特殊字符、新密码不允许同老密码、密码有效期、密码最多允许输错次数、自动锁屏系统空闲时间。</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具备针对院内具体网络IP设置医生登录程序时间限制功能。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列表展示功能，可根据未就诊、就诊中、已就诊等就诊状态分类显示，可展示挂号时间、叫号状态、姓名、性别、年龄、费别、诊断、挂号科室信息。可根据就诊状态、挂号类别的不同，配置不同的显示颜色。</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具备患者列表排序功能，可按患者姓名、挂号号序、分诊日期、挂号日期配置默认显示顺序，医生可按需临时调整排序。</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具备患者列表显示范围筛选和设置的功能，可根据设置或勾选情况，默认显示本科室、本医生或通科患者，可筛选显示上午、下午、全天的挂号患者，可根据门诊病历状态过滤患者列表。</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具备患者检索和定位的功能，可按病历号、挂号序号、身份证号、门诊号等信息检索患者，支持对接读卡器，刷磁卡、保障卡、IC卡定位患者，双击患者可快速进入诊疗界面。</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具备患者锁定和解锁的功能，解锁可设置是否需要录入解锁原因。</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具备门诊患者科间转诊、转介的功能。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具备结束就诊校验的功能，例如未录入诊断是否允许结束就诊，结束就诊时校验病历是否提交。</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具备登记患者去向功能，结束就诊后，可填写或选择患者去向。</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支持与分诊叫号系统对接，获取候诊患者信息，并实现快速呼叫、复呼功能。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支持与CA厂家对接后，登录校验硬/软Key认证功能。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门诊患者基本信息管理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具备患者基本信息查看和补录功能。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具备鼠标移动到“患者头像”或者“患者姓名”的显示区域时，显示当前患者更多信息功能。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具备患者陪护人基本信息录入功能。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具备患者信息必填项规则进行控制，保存时校验患者必填项信息。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具备患者健康状况查看功能，查看及修改妊娠状态、哺乳状态、多重耐药菌、肝肾功能、过敏史内容。</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具备患者信息根据身份证号校验年龄、性别、出生日期功能。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具备患者过敏信息登记、作废、保存的功能，可录入药物过敏、食物过敏、造影剂过敏、其它过敏源过敏，过敏类型可选择范围包括但不限于：阴性、阳性+、脱敏、弱阳性++ 、强阳性+++、超强阳性++++。</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门诊诊断管理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具备门诊诊断开立功能，诊断类型包括西医诊断、中医诊断，诊断名称来自全院统一的诊断字典。</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具备诊断检索功能，可根据诊断的拼音、五笔、汉字、代码、别名进行完全匹配、前导匹配和模糊匹配，可根据西医、中医、传染病诊断分类查询。</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具备中医诊断的证型、治法录入及控制。</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具备录入诊断辅助信息功能，例如可录入诊断的发病日期，中医诊断可选择所属证型、治则。</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具备设置诊断是否允许添加前后缀功能。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具备个人、科室常用诊断字典管理功能。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具备历史诊断调阅和引用功能。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具备按患者年龄判断是否需录入首诊测压信息的功能，首诊测压支持关联门诊病历高血压既往史。</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具备保存处置时校验诊断功能，保存处方（西成药、中药饮片、项目）、检验、检查、治疗时，如还未录入诊断，则弹出诊断录入框或者提示录入诊断。</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具备诊断与性别校验功能，在录入诊断的过程中，根据患者的性别，过滤男性可使用的诊断，女性可使用的诊断。</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具备控制初诊患者必须录入或存在体温数据才能保存诊断功能。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支持与疾病报告卡系统对接，实现根据诊断自动触发疾病报告卡功能。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支持与知识库系统对接，实现查阅当前诊断相关医学专业资料功能。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医生工作量查询</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具备医生工作量查询统计功能，查询权限可配置，例如科主任可查询本科室所有医生的工作量，普通医生只允许查询个人工作量。</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门诊处方管理 </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门诊处方处置规则</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具备医生处方权设置功能，包括但不限于精麻毒处方权、抗菌药物分级处方权、糖皮试激素用药处方权、血液制剂用药处方权、抗肿瘤药物处方权。</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具备用药范围设置功能，包括按科室、医保类别、诊断、频次、用法、医生、职称、年龄区间、大病、性别、挂号类别设置不同的用药范围，对超出用药范围的给提示或限制。</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具备药品用量设置功能，对超出累计用量的部分进行限制用药。</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具备重复药品、互斥药品（允许、提示、禁止）设置功能。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具备药品联动、用法联动、药品关联项目设置功能。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具备中药饮片分类、明细煎法、用法分类设置功能。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具备中药饮片处方信息标签重命名、默认值、是否显示设置功能。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具备处方录入完整性校验规则设置功能，包括剂量、剂量单位、用法、频次、天数校验规则。</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具备儿科处方设置功能，可设置是否必须录入儿童身高、体重，以及身高、体重数字的有效期，可根据剂量、频次、数量自动计算儿科药品天数。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具备过敏药品拦截、提示的功能。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门诊处方和处置录入</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总体功能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具备西药、中成药、中药饮片处方以及治疗项目录入的功能，可根据录入结果生成标准格式电子处方，可新增、插入、删除处方明细条目。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具备按药品名称、代码、拼音方式检索全院统一药品字典的功能，具备按多种名称检索药品的功能，包括通用名、商品名、化学名。</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具备药品颜色特殊显示，包括基本药物、高危药品、带量采购药品、一类精神药品、二类精神药品、麻醉药品、毒性药品、国采、省采、市采、草药细料、草药辅料显示颜色以及显示的优先级。</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具备多种形式录入处方的功能，包括但不限于常规字典录入、处方模板录入、协定方录入、历史处方引用录入。</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具备处方与诊断绑定的功能，即处方与诊断一一对应。</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具备嘱托设置和嘱托录入的功能。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具备处方录入时自动调用药品默认用法、剂量、频次、天数、数量、嘱托的功能。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具备添加药品时校验库存、医生处方权限、处方金额、重复用药、过敏史、药品互斥功能。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具备根据换方规则设置自动换方的功能。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具备根据用法和频次自动计算联动材料数量的功能。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具备历史处方区分收费状态的功能，例如通过颜色区分已收费、部分退费、全部退费的处方。</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具备儿科处方录入身高、体重的功能。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具备标记自费处方的功能，处方选择自费处方后，将整张处方标记为自费处方。</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支持与不良事件报告系统对接，实现填报药物不良反应信息功能。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支持与合理用药系统对接，实现药品说明书调用和事中用药提醒功能。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支持与审方系统对接，实现药师干预和查询审方结果功能。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支持与医保控费对接后，实现根据患者医保类型进行医保违规提醒功能。</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西药、中成药处方录入</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具备皮试处方管理的功能，例如皮试处方与普通处方是否分方，皮试联动材料设置等。</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具备开具毒属性药品、麻醉药品、精神药品处方时填写或带入领药人信息的功能，领药人信息支持选择“本人”或“代办”，可控制毒麻精领药人信息有效期。</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具备精麻毒特殊处方打印的功能。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具备输液处方成组的功能，可分组、取消分组。</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具备输液联动材料设置的功能，并可支持用法联动材料首次减免。</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支持与云药房对接，实现处方药品外送的功能，可录入外送地址、取药人姓名、取药人电话等信息。</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中药饮片处方录入</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具备中药饮片处方代煎方式录入功能。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具备中药饮片处方外送功能，并支持外送最低处方付数和最高处方付数控制。</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具备中药饮片处方特殊煎法录入功能。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具备保密方管理和录入功能。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具备中药饮片处方打印预览及打印功能。</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治疗项目录入</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具备治疗项目及相关收费项目录入功能。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具备项目执行科室默认、录入、修改功能。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具备治疗申请单开具时自动获取门诊电子病历中临床信息功能。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支持与治疗系统对接，实现治疗开立后预约治疗日期功能。</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门诊手术及项目录入</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具备门诊手术及门诊手术通知单录入功能。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具备门诊手术通知单必填项校验功能。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支持与日间手术管理系统对接，实现日间手术申请功能。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门诊协定方管理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具备全院、科室、个人协定方和病种协定方维护的功能，可新增、复制、保存、删除协定方，并可根据用户权限进行维护和使用控制。</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具备协定方调用的功能，可整体引用协定方，也可查看、引用协定方的明细条目。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具备处置界面的药品处方直接另存为协定方的功能。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具备无库存药品替换为同规格药品的功能。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(3) 门诊申请单管理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门诊检验申请单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具备检验申请单维护功能，可设置模板分类、使用范围。</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具备检验申请单开具、保存、删除功能，开单支持常规录入、历史申请单引用、协定方调用。</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具备检验申请单开立时校验启停用、医师权限、病人年龄、病人性别、数量功能。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具备检验项目检索功能，可按名称、代码、拼音、五笔检索检验项目字典。</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具备检验组套控制功能，例如同一组套内的检验项目不可单选，删除时亦需全部删除。</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具备检验申请单开具时自动获取门诊电子病历中临床信息功能。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具备检验申请开立特定项目时，自动关联对应同意书病历，可创建及删除。</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具备开立检验项目时查询适应症和注意事项功能。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具备收费规则设置功能，包括检验项目互斥、项目联动收费、多个收费项目组合。</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具备检验申请单、检验项目加急功能，可设置是否允许加急、是否默认加急、强制加急等。</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具备检验项目重复开具提醒功能，例如可设置检验申请单项目开出后，多少天内重复开具同一项目则进行提示。</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门诊检查申请单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具备检查申请单维护功能，可设置模板分类、使用范围。</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具备检查申请单开具、保存、删除功能，开单支持常规录入、历史申请单引用、协定方调用。</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具备检查申请单开立时校验启停用、医师权限、病人年龄、病人性别、开单间隔、数量功能。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具备开立检查申请单时自动获取电子病历中的临床信息。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具备检查申请开立特定项目时，自动关联对应同意书病历，可创建及删除。</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具备开立检查项目时查询适应症和注意事项功能。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具备选择检查项目关联相应的收费信息功能。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具备检查申请单、检查项目加急功能，可设置是否允许加急、是否默认加急、强制加急等。</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具备检查申请规则设置功能，包括设置最大选择项目数、最大选择部位数。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具备收费规则设置功能，包括项目互斥、项目联动收费、多部位打折收费。</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支持与检查预约系统对接，实现开立申请后直接预约检查功能。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门诊检验报告调阅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支持与检验信息系统或者临床信息集成视图对接，实现在门诊医生站中查阅本次就诊检验报告及历史检验报告功能。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门诊检查报告查阅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支持与检查信息系统或者临床信息集成视图对接，实现在门诊医生站查看本次就诊检查报告及历史检查报告功能。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支持与影像信息系统对接，实现在门诊医生站查阅检查图像信息功能。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(4) 门诊医生危急值应用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危急值预警提醒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支持与医技危急值发布平台对接，实现医技危急值临床提醒功能，提醒信息包括危急值患者姓名、就诊序号、报告日期、报告结果。</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消息处理结果</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具备危急值处理意见维护功能，可根据“危急值”种类设置对应的处理意见。</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具备个人、科室、全院“危急值”治疗方案维护的功能，可根据“危急值”种类设置对应治疗方案。</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具备记录“危急值”确认应答时间和处理结果功能。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消息处理意见反馈</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具备录入危急值处理意见功能，可根据“危急值”结果关联相应的“危急值”诊疗方案，通过勾选自动生成“危急值”处理医嘱。</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具备危急值病历文书生成功能，可将临床医生处理的“危急值”时间及处理内容一键引入危急值病历文书中，包括但不限于危急值接收时间、危急值内容、处置时间、具体措施。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消息时限监控</w:t>
            </w:r>
          </w:p>
          <w:p>
            <w:pPr>
              <w:pStyle w:val="55"/>
              <w:autoSpaceDE w:val="0"/>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具备消息时限监控功能，可查询危急值处理时限，查看按时处理、未及时处理的“危急值”报告。</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门诊电子病历信息系统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b/>
                <w:bCs/>
                <w:color w:val="000000"/>
                <w:sz w:val="28"/>
                <w:szCs w:val="28"/>
                <w:lang w:val="en"/>
              </w:rPr>
              <w:t>(1) </w:t>
            </w:r>
            <w:r>
              <w:rPr>
                <w:rStyle w:val="27"/>
                <w:rFonts w:hint="eastAsia" w:ascii="仿宋" w:hAnsi="仿宋" w:eastAsia="仿宋" w:cs="仿宋"/>
                <w:color w:val="000000"/>
                <w:sz w:val="28"/>
                <w:szCs w:val="28"/>
                <w:lang w:val="en"/>
              </w:rPr>
              <w:t>门诊病历录入</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具备结构化病历的书写功能。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具备快捷创建初诊病历、复诊病历功能。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具备查看、引用患者既往病历功能。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具备病历存草稿、提交、撤消提交功能。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具备病历打印，包括：工作台集中打印、诊间打印、自助打印功能。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具备病历本、普通纸张两种打印模式功能。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具备结束就诊时判断病历是否提交，未提交给与提示功能。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b/>
                <w:bCs/>
                <w:color w:val="000000"/>
                <w:sz w:val="28"/>
                <w:szCs w:val="28"/>
                <w:lang w:val="en"/>
              </w:rPr>
              <w:t>(2) </w:t>
            </w:r>
            <w:r>
              <w:rPr>
                <w:rStyle w:val="27"/>
                <w:rFonts w:hint="eastAsia" w:ascii="仿宋" w:hAnsi="仿宋" w:eastAsia="仿宋" w:cs="仿宋"/>
                <w:color w:val="000000"/>
                <w:sz w:val="28"/>
                <w:szCs w:val="28"/>
                <w:lang w:val="en"/>
              </w:rPr>
              <w:t>门诊病历书写助手</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具备既往病历引用，具备通过既往病历快速创建门诊病历功能。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具备段落保存及引用功能。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具备检验、检查结果引用功能。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具备医学计算公式及计算结果引用功能。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具备医学常用特殊字符引用，具备自定义配置特殊字符功能。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b/>
                <w:bCs/>
                <w:color w:val="000000"/>
                <w:sz w:val="28"/>
                <w:szCs w:val="28"/>
                <w:lang w:val="en"/>
              </w:rPr>
              <w:t>(3) </w:t>
            </w:r>
            <w:r>
              <w:rPr>
                <w:rStyle w:val="27"/>
                <w:rFonts w:hint="eastAsia" w:ascii="仿宋" w:hAnsi="仿宋" w:eastAsia="仿宋" w:cs="仿宋"/>
                <w:color w:val="000000"/>
                <w:sz w:val="28"/>
                <w:szCs w:val="28"/>
                <w:lang w:val="en"/>
              </w:rPr>
              <w:t>病历数据存储</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具备病历记录结构化存储功能。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具备历史病历完成数字化处理并具备查询功能功能。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具备病历保存时间符合《电子病历应用管理规范》存储要求功能。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支持与其他业务系统对接，实现门诊病历数据全院共享功能。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b/>
                <w:bCs/>
                <w:color w:val="000000"/>
                <w:sz w:val="28"/>
                <w:szCs w:val="28"/>
                <w:lang w:val="en"/>
              </w:rPr>
              <w:t>(4) </w:t>
            </w:r>
            <w:r>
              <w:rPr>
                <w:rStyle w:val="27"/>
                <w:rFonts w:hint="eastAsia" w:ascii="仿宋" w:hAnsi="仿宋" w:eastAsia="仿宋" w:cs="仿宋"/>
                <w:color w:val="000000"/>
                <w:sz w:val="28"/>
                <w:szCs w:val="28"/>
                <w:lang w:val="en"/>
              </w:rPr>
              <w:t>门诊病历查询与统计</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具备病历结构化节点检索功能。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具备病历数据查询，包括：按挂号日期、科室、病历内容、患者姓名、医生、关键字功能。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具备记录门诊病历超时修改印痕，包括修改者、修改时间。具备可视化展示修改内容功能。</w:t>
            </w:r>
          </w:p>
          <w:p>
            <w:pPr>
              <w:pStyle w:val="55"/>
              <w:autoSpaceDE w:val="0"/>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具备病历操作日志查询，包括病历修改、保存、提交、打印、查看及操作时间、操作者功能。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住院医生工作站系统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住院诊疗管理 </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患者管理</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具备卡片、列表两种模式显示病人信息。</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具备以“待入区患者、在区患者、医疗组患者、关注患者、分管患者、转出患者、授权患者、术中患者、今日出院、明日出院、出院未归档患者”多维度显示病人范围。</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具备按病区、按科室、按科室病区、按医疗组显示和查询病人范围。</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具备病人标签以醒目图标显示，包括新病人、病危、病重、护理级别、路径病人、医保、贫困、手术、过敏、出院。</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具备病人健康状态查看和维护功能，包括身高、体重、妊娠状态、生育状态、多重耐药菌、肝功能、肾功能、新冠分型和其他补充信息。</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具备病人费用信息查看，包括费用大项、费用小项、费用明细及药占比，且支持钻取查看关联费用。</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具备病人过敏信息查看和登记管理，包括药品、食物、造影剂、环境、混合过敏和其他过敏。</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具备床位卡按照空床和婴儿条件（全部、婴儿、非婴儿、母婴同床）过滤显示功能。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具备根据当前医生的保密级别和患者的保密级别过滤显示功能。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具备提醒消息统一处理，包括消息提示与主动弹出。</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用户安全策略管理</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具备用户管理，包括登录密码管理、所属科室、人员角色、岗位、角色对应权限、岗位对应权限、用户对应权限、用户对应岗位设置。</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具备新闻编辑、发布，可以按科室、按门诊住院、按病区推送新闻。</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具备用户密码多级别安全策略设置，包括用户密码位数、密码是否包含字母、密码是否包含数字、密码是否包含特殊字符、新密码不允许同老密码、密码有效期、密码最多允许输错次数、自动锁屏系统空闲时间。</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具备记录历史登录医生工号，快速补全工号功能。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工作流可视化配置，包括系统初始化、检查勾选项目时、检查医嘱生成时、病人切换、手术开单前、手术录入完成确认时、药品添加前、药品添加后、保存药品前、保存药品后、医嘱发送前、医嘱发送后、医嘱DC时、退出系统等业务情景触发相关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支持与电子签章对接后，登录校验硬/软Key认证功能。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住院医嘱管理 </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医嘱管理</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成套医嘱管理</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具备个人成套、病区成套、科室成套、全院成套新建、修改及权限管控功能。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具备成套医嘱分组、顺序调整、删除功能。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具备成套医嘱引用，快速辅助医生完成医嘱录入。</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具备成套医嘱引用时，停用或无库存药品或项目灰色标识，并且允许替换同规格药品替换使用。</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具备成套医嘱引用时，无库存药品进行药房默认显示及匹配功能。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具备引用申请单成套医嘱时，临床信息、主诉、现病史获取功能。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具备另存为成套和添加到现有成套功能。</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医嘱录入管理</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具备使用快捷键操作医嘱录入、保存、发送、删除医嘱功能。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具备医嘱录入时，按照处方限制范围规则，控制提醒医生医嘱录入权限。</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具备医嘱录入时，按照医生处方权限，控制医生相关操作，包括医生处方权、医嘱发送权、精一处方权、麻醉处方权等。</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具备医嘱集中录入，统一控制功能，包括：药品、护理、膳食、嘱托医嘱、手术、项目、草药、检查、检验、输血。</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具备医嘱开始时间、停止时间修改的控制，包括向前、向后修改。</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具备药品录入时，按照规则自动计算药品数量功能，同时医生可修改药品数量。</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具备以商品名、化学名检索药品，且自动匹配的较准确药品排列在前面。</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具备药品按照化学名或别名进行显示。</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后方显示药品属性功能及字体颜色调整功能，包括【易混淆】、【临购】、【4+7】、【不拆零】、【国基】、【省基】、【市基】、【整售】、【拆零】、【高警示】、【国级】、【省级】、【市级】显示。</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具备录入输液类医嘱，系统自动按照大输液或溶媒液、剂型标记，自动开始成组和结束分组。</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具备录入输液类医嘱，提示填写滴速并校验是否超速且填写超速原因。</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具备重复药品录入检验控制。</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具备录入药品医嘱，系统自动识别病区值班时间范围内药品流向的药房，医生可以手动修改。</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具备录入药品医嘱，系统自动按规则设置带入默认剂量、剂量单位、用法、频次信息，并且控制单次最大剂量、单次最小剂量。</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具备医嘱项目按照系统规则匹配执行科室功能，医生可手动修改，</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具备医嘱项目按照临床项目与小项目分别显示功能。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具备医嘱项目补领方式及首末次执行规则设置功能。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具备录入文字医嘱，按照规则设置进行业务控制，包括出院医嘱填写出院信息、停止医嘱操作、出院未确认未执行医嘱校验、路径完成或退出校验、出院医嘱下达后只允许出院带药等。</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具备已下达出院医嘱前提下，允许临时录入常规医嘱。</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具备出院带药规则控制，包括出院带药条目、金额、天数，以及不允许录入的剂型或指定的药品。</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具备医嘱保存发送对医嘱完整性校验，并且提醒控制。</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具备医嘱保存前对医嘱开始时间规范性校验，并提醒医生修改调整。</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具备医嘱状态醒目标识。</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具备医嘱不同特性以图标醒目标识，便于医生识别，包括文字医嘱、高危药品、自备药、补录医嘱。</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具备按时间/医嘱类别/有效或停用查询病人已下达医嘱。</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具备按权限控制医生是否具有撤销医嘱权限，包括按录入医生、按发送医生。</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具备单条或多条DC临时医嘱操作。</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支持与CA接口对接，且可以对医嘱保存、发送、停止、DC、撤回、撤销停止等业务操作启用CA校验控制。</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支持与临床决策支持系统对接，对医生录入的医嘱进行智能提醒。</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支持与合理用药接口对接，医嘱保存时智能校验药品医嘱合理性，并对不合理用药进行拦截。</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支持与医保控费系统对接，对医生录入的医嘱进行医保规则提示。</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医嘱打印</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具备出院打印、满页打印和实时打印三种医嘱打印方式。</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具备医嘱续打、补打、撤销打印、重新生成、重整医嘱操作。</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具备医嘱单每页打印行数、单条医嘱内容长度、成组医嘱内容长度设置。</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具备转科、转区、术后、产后、重整医嘱，是否换页、换页后前一页空白行处理设置。</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具备按医嘱开始时间、医生签名、护士审核时间、审核护士签名、护士执行时间、执行护士签名、核对时间、核对护士签名、停止时间、停止医生签名，设置封头封尾规则。</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具备皮试、输血医嘱双签名打印。</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具备皮试医嘱每页打印过敏信息，包括皮试结果、按药品或按大类显示。</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具备设置不打印的DC医嘱范围，结合DC医嘱填写理由，控制是否不打印DC医嘱。</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具备控制医嘱按照临床项目或小项目进行打印。</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医嘱规则管理</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用药范围设置</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具备按医生设置医生对应药品使用权限和范围，在指定范围内的医生，进行禁用或提醒权限控制。</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具备按职称设置医生对应药品使用权限和范围，在指定范围内的职称医生，进行禁用或提醒权限控制。</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具备按科室设置医生对应药品使用权限和范围，在指定范围内的科室医生，进行禁用或提醒权限控制。</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用量设置</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具备药品单次最大剂量、单次最小剂量、单次累计剂量和累计总量设置。</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具备药品默认用法、使用天数、剂量、剂量单位、频次设置。</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皮试用药规则</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具备按药品厂家、规格、大类设置药品皮试液。</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具备控制皮试结果未出，治疗用药能否直接录入规则设置。</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具备同时具有皮试药品和抗菌药物特性时，设置仅控制皮试流程。</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具备皮试医嘱自动生成相关联的文字医嘱、皮试液医嘱功能。</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出院带药规则</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具备设置出院带药按金额、条数、天数以及病人医保类型设置。</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具备设置出院带药不允许录入的药品范围。</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具备设置出院带药发送后直接到药房，不需要护士审核。</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具备设置出院带药是否启用欠费校验。</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(3) 住院申请单管理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住院检验电子申请单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实现医院检验项目统一管理，具备检验医嘱的开立与标本选择，并且将医嘱通过病区护士站系统发送到检验科室。</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全院统一检验项目字典，具备下达申请单时生成相关的医嘱。</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具备检验申请开立时校验执行科室、标本及附加信息必填项校验。</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具备同时开立不同申请单中检验项目。</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具备开立检验项目时，查看项目适应症和注意事项功能。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具备开单规则控制，包括医生权限、项目互斥、项目联动、相同项目重复、年龄限制。</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具备检验项目开立加急规则控制功能，包括：不能加急、默认不加急可勾选、强制加急不可取消、默认加急可修改。</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具备选择检验项目生成关联相应的收费信息并校验费用停用功能。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具备检验历史申请单查看和打印功能。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具备检验项目开立时按照公共收费项目控制优惠规则。</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支持与医技系统对接，通过病区系统，将检验医嘱和申请单信息发送至检验系统。</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支持对接临床决策支持系统，智能辅助医生开单和查看有关项目知识库内容。</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住院检查电子申请单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实现医院检查项目统一管理，具备开立的检查项目，以检查医嘱实现护士、医技工作的串联。</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全院统一检查字典，具备下达申请单时生成相关的医嘱。</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具备同时开立不同申请单中检查项目。</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具备开立检查项目时，查看项目适应症和注意事项功能。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具备开立检查项目时加急功能，包括：不能加急、默认不加急可勾选、强制加急不可取消、默认加急可修改。</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具备申请单临床信息（主诉、现病史）自动获取病历信息或最近一次填写的临床信息。</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具备开单规则控制，包括医师权限、开单时间、最大开单数量、最大选择部位数、项目互斥、项目联动、相同项目重复、年龄限制以及病人医保类型。</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具备申请单按照项目或部位打折和联动媒介费（如图文报告费）功能。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具备检查历史申请单查看和打印功能。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支持对接临床决策支持系统，智能辅助医生开单和查看有关项目知识库内容。</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支持与实验室管理系统对接，通过病区系统，将检查医嘱和申请单信息发送至检查系统。</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支持与检查预约系统对接，实现开立申请后自动检查预约。</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住院检验报告调阅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支持与实验室管理系统对接，获取患者本次住院的电子检验报告信息，及历史检验报告信息。检验结果异常指标醒目标识。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具备从当次住院、历史住院、历史门诊三个维度，查看病人检验报告。</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具备医技报告单个打印和合并打印功能，并对已打印报告进行标识区分。</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住院检查报告调阅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支持与放射科信息系统对接，获取患者本次及历史住院电子检查报告信息。检查结果异常指标醒目标识。</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具备从当次住院、历史住院、历史门诊三个维度，查看病人检查报告。</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具备医技报告单个打印和合并打印功能，并对已打印报告进行标识区分。</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(4) 住院医生危急值应用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危急值预警提醒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支持通过医技接口接收医技系统下发的危急值信息，并及时消息提醒范围内的医生。</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具备危急值不处理，消息一直提醒干预功能。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消息处理结果</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具备危急值方案维护，医生可以采用危急值方案进行处理。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具备危急值处理所使用的医嘱，建立与危急值关联。</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消息处理意见反馈</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具备危急值处理情况，自动生成危急值病程记录。</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支持与医技系统对接，将危急值接收、处理信息返回医技科室。</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消息时限监控</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具备危急值查询功能，实时查询危急值内容信息和处理进展。</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(5) 住院院内会诊管理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具备科内、科间、院内类型会诊申请功能。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具备急会诊、普通、特殊级别会诊申请功能。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支持与临床信息系统对接，会诊申请提交后，产生会诊申请医嘱。邀请科室线上会诊答复，产生会诊答复医嘱。</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具备自动授权受邀医生可对会诊患者下达医嘱、书写病历功能。具备会诊申请单、会诊答复单的单独、合并打印功能。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具备会诊申请、会诊接收、会诊答复、会诊反馈等会诊流程闭环监控功能。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具备已完成的会诊质量统计功能，包括满意度、完成率、及时率。</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具备会诊文书完成情况与质量的统计分析功能，包括文书完成的完整性、时效性。</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住院电子病历信息系统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住院病历录入 </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结构化书写</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具备结构化病历的书写功能，所见即所得。</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具备自定义病历结构与格式功能。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具备添加专科、专病的病历模板。</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具备病历模板收藏、个人模板、患者历史病历模板引用。</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具备查看、引用患者门诊/住院既往病历功能。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具备病程录插入功能。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eastAsia="zh-CN"/>
              </w:rPr>
              <w:t>▲</w:t>
            </w:r>
            <w:r>
              <w:rPr>
                <w:rFonts w:hint="eastAsia" w:ascii="仿宋" w:hAnsi="仿宋" w:eastAsia="仿宋" w:cs="仿宋"/>
                <w:color w:val="000000"/>
                <w:sz w:val="28"/>
                <w:szCs w:val="28"/>
                <w:lang w:val="en"/>
              </w:rPr>
              <w:t>具备临床异常指标信息自动生成病历功能。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具备对书写内容进行智能检查与提示功能。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具备病历存草稿、提交、撤消提交功能。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具备病历的各种打印模式和打印风格。</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具备住院病历集中打印。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具备维护个人、科室、全院病历模板功能。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具备学员书写病历权限设置和书写病历功能。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支持通过CA接口，实现电子病历签名功能。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具备病历记录录入编辑过程中自动保存编辑内容，并在系统出现异常中断的情况下恢复正在编辑文档功能。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具备对正处于编辑状态的住院病历，在另一界面不能编辑、只能查看功能。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eastAsia="zh-CN"/>
              </w:rPr>
              <w:t>▲</w:t>
            </w:r>
            <w:r>
              <w:rPr>
                <w:rFonts w:hint="eastAsia" w:ascii="仿宋" w:hAnsi="仿宋" w:eastAsia="仿宋" w:cs="仿宋"/>
                <w:color w:val="000000"/>
                <w:sz w:val="28"/>
                <w:szCs w:val="28"/>
                <w:lang w:val="en"/>
              </w:rPr>
              <w:t>具备家谱图绘制功能。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具备插入影像数据功能。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具备插入月经史、孕周、眼压、胎心常用医学公式。</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具备通过参数配置结构化元素各种状态颜色。</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具备通过参数配置病历字体样式。</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诊断录入</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具备各种诊断类型录入的统一界面功能。</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具备诊断排序功能、收藏功能。</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具备历史诊断,自动、手动导入功能。</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支持与院感系统对接，诊断保存后调用院感接口，实现院感数据上报功能。</w:t>
            </w:r>
          </w:p>
          <w:p>
            <w:pPr>
              <w:pStyle w:val="55"/>
              <w:ind w:left="0" w:leftChars="0" w:firstLine="0" w:firstLineChars="0"/>
              <w:jc w:val="left"/>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支持与传染病系统对接，诊断保存后调用传染病接口，实现传染病填报上报功能。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数据存储</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具备采用病历服务器时间作为病历操作记录时间的唯一来源功能。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具备病历记录结构化存储功能。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具备历史病历完成数字化处理并可查询功能。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病历保存时间符合《电子病历应用管理规范》存储要求。</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支持与其他业务系统对接，实现病历数据全院共享功能。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具备敏感信息脱敏功能。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病历查询</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具备病历手动归档的操作记录查询功能。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具备可视化展示病历修改记录功能，包括修改者、修改时间、修改内容。</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具备病历操作日志查询功能，包括病历修改、保存、提交、打印、查看。</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具备根据住院号、出院日期、科室查询患者历次住院病历记录功能。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住院病历书写助手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具备病历模板知识库数据展示、引用。</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具备既往门诊、住院病历数据引用。</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具备段落保存及引用功能。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eastAsia="zh-CN"/>
              </w:rPr>
              <w:t>▲</w:t>
            </w:r>
            <w:r>
              <w:rPr>
                <w:rFonts w:hint="eastAsia" w:ascii="仿宋" w:hAnsi="仿宋" w:eastAsia="仿宋" w:cs="仿宋"/>
                <w:color w:val="000000"/>
                <w:sz w:val="28"/>
                <w:szCs w:val="28"/>
                <w:lang w:val="en"/>
              </w:rPr>
              <w:t>具备医嘱、护理、检验、检查临床信息一体化引用功能。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具备医学计算公式及计算结果引用功能。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具备医学常用特殊字符引用功能，具备自定义配置特殊字符。</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具备所有诊断数据统一录入界面。</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具备各个诊断类别之间按规则引用功能。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具备诊断数据自动、手动写入病历功能。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(3) 住院病案首页录入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支持符合国家要求的病案首页模板。</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具备病案首页自动获取患者基本信息、临床信息。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具备病案首页所见即所得打印。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具备病案首页必填项、关联性数据校验。</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支持符合HQMS、绩效考核、质控规则要求校验病案首页数据。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具备病案规则设置控制到指定科室。</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支持通过病案系统接口，推送病案首页数据。</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(4) 住院病历授权管理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具备病历自动归档功能，在自动归档时间点支持控制是否包含节假日、周末。</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具备病历手动归档时输入病历号、扫码归档功能。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具备对已归档病历，申请撤销归档流程，自定义设置审核流程功能，病历撤销归档-科主任、医务科、病案室审核功能。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具备病历封存、解封管理。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具备病历借阅、归还管理。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具备病历授权管理。</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(5) 住院病历模板管理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提供统一的数据集标准、数据元标准、值域标准。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提供符合互联互通标准的数据集。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提供标准化基础数据功能。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具备数据集、数据元、值域管理功能，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具备病历模板目录自定义配置功能。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具备模板目录标准分类管理功能。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提供符合卫生部、省标准规范的病历模板。</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具备模板修改、导入、导出功能。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(6) 住院病历质控管理 </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质控管理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具备住院医生、主治医生、主任（副主任）医生三级阅改功能。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具备记录住院病历的历次修改痕迹。</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具备性别违禁词设置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提供统一质控规则标准，符合电子病历评级、互联互通标准、HQMS规则标准要求。</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具备模板设置质控规则。</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具备自定义设置时限规则功能。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具备根据不同专科病历、病种，选择差别化的质量控制。</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具备维护评分大项、评分小项功能。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具备评分小项适用指定病历、绑定多个评分项功能。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具备评分项适用病种、适用科室、扣分标准、自动扣分规则设置。</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质控闭环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具备运行病历科室、质控科、院级环节质控，问题反馈、自动/手动评分项实时提醒。</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具备终末病历科室、质控科、院级，三级的手动、自动评分。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具备终末质控病历一键打回功能。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支持与住院临床信息系统对接，实现与医生站客户端问题、时限消息提醒功能。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具备运行病历质控反馈问题、整改答复。</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具备性别违禁词数据校验。</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具备病历模板规则校验。</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具备科室、院级终末病历质控评分功能。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具备超时病历锁定、解锁功能。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提供符合HQMS、绩效考核要求的质控规则及扩展质控规则，校验病案首页数据。</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质控查询</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具备科室、质控科、院级缺陷问题整改查询。</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具备科室、质控科、院级评分记录查询。</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具备病历时限记录查询。</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住院临床路径管理系统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临床路径配置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具备临床路径维护权限设置功能，通过权限控制医生允许维护的临床路径范围。</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具备临床路径维护功能，包含临床路径基本信息、准入/除外规则、疗程（含基本信息、疗程评估项、临床决策、诊疗方案、诊疗工作等）、指南推荐等信息。</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具备临床路径诊疗包维护功能，可以按诊断相关组或诊断设置相应诊疗包，路径执行时，按病人诊断关联对应诊疗包，医生引用药品或项目不变异。</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具备临床路径可替换包维护功能，通过路径疗程计划维护时进行绑定，实现计划中项目或药品与可替换包中项目进行替换不变异。</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具备路径变异原因维护功能，通过不同变异分类下原因维护，实现路径执行时变异原因按照分类显示调用。</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具备临床路径规则设置功能，包含文字医嘱是否变异处理、医嘱变异项选择、入径规则（是否允许重复入径、超时入径控制）。</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具备临床路径停用药品及项目检测、替换功能，针对已停用项目可直接替换处理。</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入出路径管理 </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路径准入评估</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医生对于病人医疗是一种以循证医学证据行为，病人是否符合采用临床路径治疗，需要医生评估是否纳入，具备医生主动纳入或按入院主诊断系统推荐纳入两种方式。</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具备医生根据诊断、病情判断纳入路径功能，主要诊断可修改。</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具备按入院主诊断自动触发纳入路径功能，入径后禁止修改入院主诊断。</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具备查看待纳入路径对应的方案明细功能，包括路径流程图、疗程方案明细（重点医嘱、诊疗工作）。</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具备医生按照纳入标准选项或不纳入标准选项，决定是否将病人纳入路径治疗功能。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eastAsia="zh-CN"/>
              </w:rPr>
              <w:t>▲</w:t>
            </w:r>
            <w:r>
              <w:rPr>
                <w:rFonts w:hint="eastAsia" w:ascii="仿宋" w:hAnsi="仿宋" w:eastAsia="仿宋" w:cs="仿宋"/>
                <w:color w:val="000000"/>
                <w:sz w:val="28"/>
                <w:szCs w:val="28"/>
                <w:lang w:val="en"/>
              </w:rPr>
              <w:t>具备纳入路径后，自动检测疗程方案中是否包含入径前已完成项目，并弹框由医生进行确认，是否路径方案中需要重复执行功能。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路径完成/退出</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具备临床路径中途退出路径与路径完成两种退出方式。中途可以退出路径，可填写退出路径原因。</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具备流程审批方式进行控制临床路径中途退出功能。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(3) 临床路径执行与变异管理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具备路径执行状况突出显示（含路径病人标识、当前疗程、已产生费用）功能，医生优先从路径方案中下达医嘱。</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具备醒目区分必须执行和可选项路径项目或药品功能，通过勾选框可以实现将必选项医嘱全部下达。</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eastAsia="zh-CN"/>
              </w:rPr>
              <w:t>▲</w:t>
            </w:r>
            <w:r>
              <w:rPr>
                <w:rFonts w:hint="eastAsia" w:ascii="仿宋" w:hAnsi="仿宋" w:eastAsia="仿宋" w:cs="仿宋"/>
                <w:color w:val="000000"/>
                <w:sz w:val="28"/>
                <w:szCs w:val="28"/>
                <w:lang w:val="en"/>
              </w:rPr>
              <w:t>路径方案中药品库存不足或厂家停用时，依据规则设置医生可以选择可以替换药品或项目，下达后不变异处理。</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具备文字医嘱录入，依据规则设置控制是否变异处理。</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具备直接录入医嘱，依据规则自动校验是否为路径疗程方案中项目或药品，符合规则不变异处理。</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具备路径方案中项目或药品，下达时剂量、剂量单位、用法、频次有修改，可以控制是否变异处理。</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具备路径按照变异分类设置正负向变异功能。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具备按照路径时间进行执行周期变异规则控制。</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具备病人存在合并症时，使用路径诊疗包下达医嘱，不做变异处理。</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具备路径病人校验病历文书功能，可根据关联文书跳转至病历界面进行自动创建或定位。</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具有路径疗程一览功能，查看路径每个疗程执行信息，且可以按国家标准路径表单打印。</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(4) 临床路径评估管理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具备维护路径某疗程评估单和分支路径功能。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具备疗程完成且进入下一疗程前，依自动提示医生疗程评估功能，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具备按照评估结果智能推荐下一疗程功能，若存在分支路径，医生可手动修改分支路径。</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(5) 临床路径统计查询 </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路径监管</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实时监控管理临床路径实行的情况功能，包括路径定义、路径执行情况。</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具备路径实时监管一览功能，包含：路径名称、符合入径数、实际入径数、完成路径数、退出路径数及钻取查询明细信息。</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路径病人日程一览：按病区查看在院/出院病人路径执行情况，并且允许临床路径表单打印。</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eastAsia="zh-CN"/>
              </w:rPr>
              <w:t>▲</w:t>
            </w:r>
            <w:r>
              <w:rPr>
                <w:rFonts w:hint="eastAsia" w:ascii="仿宋" w:hAnsi="仿宋" w:eastAsia="仿宋" w:cs="仿宋"/>
                <w:color w:val="000000"/>
                <w:sz w:val="28"/>
                <w:szCs w:val="28"/>
                <w:lang w:val="en"/>
              </w:rPr>
              <w:t>具备路径成本费用指标监测功能，包括病人总费用、疗程费用、疗程分类费用超标情况，并及时提醒医生。</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路径统计</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提供标准化的路径统计结果。</w:t>
            </w:r>
          </w:p>
          <w:p>
            <w:pPr>
              <w:pStyle w:val="55"/>
              <w:autoSpaceDE w:val="0"/>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临床路径统计月报表：按科室/按全院查询临床路径对应的总出院人数、符合例数、符合率、实际入径例数、入径率、完成例数、完成率、除外人数、退出例数、退出率统计。</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11</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 xml:space="preserve">住院护士工作站系统 </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住院护士工作站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住院患者入出转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具备快速定位病人功能，能进行住院号和床号的双重定位，对复杂查询提供姓名拼音、五笔检索。</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对登记到本病区的病人，具备分配床位、指定管床医生护士、记录入院诊断、记录危重级别等功能。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具备病人基本信息查询功能，包括费用、转科、过敏、诊断、手术、预交金、费别等信息。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具备对ICU、手术室、母婴同室转入转出特殊处理功能，包括：在转床、转区、转ICU、转产房时自动生成转科、转床医嘱，提示停止上一个科室或床位的长期医嘱等。</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具备患者转区、出区时校验功能，提示病人是否存在未执行项目，未确认的检查检验申请单、未发药医嘱、有效医嘱等。</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具备病人出区时合理性校验功能，针对病人未执行项目，未确认检查检验申请单、未发药医嘱及病人的固定项目费、床位费、护理天数和患者住院天数的一致性进行校验和提醒。</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住院床位管理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具备新增、修改、停用床位功能，包括设置床位的所属科室、病区、责任护士、床位医生、床位费。</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具备床位管理的智能化向导功能，包括转床时是否确定目标病区床位、转床时是否继承原护理级别和膳食医嘱、智能识别床位的性别属性。</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具备病人转床或床位互换功能。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具备病人包床维护功能，包括增加、删除包床，增加、删除包床的固定收费项目。</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床位代码设置：具备设置本病区的床位代码、性别类型、床位费、所属科室、相关医生、特需类型属性功能。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固定项目设置：具备设置全院病区、某一病区、某一房间或某一床位的固定项目费用功能。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住院患者费用处理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具备报警线和停药线的提醒与控制功能。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具备对护士补记的费用进行退费处理，可查看病人退费的明细信息。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具备对医技未确认项目进行医技请求作废功能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具备对药房已发的药品进行退药申请，护士申请后在药房接收后完成确认退药操作。</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具备对病人补记帐功能，记录病人已使用未记帐材料费用，或在医嘱发送时无法直接收费的项目。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具备对病人进行补记账功能，根据实际需要可补收病人已使用未收费的材料费用，或在医嘱执行时无法收费的项目费用。</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具备按照病人和医嘱两种方式即按照病人和按照医嘱，对病人长期、临时的项目或材料进行绑定记账。</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具备按照医嘱绑定相应的材料功能，并随医嘱一起收费。</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具备对在区、出区、出院的病人进行相关的费用查询功能。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护士站医嘱管理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具备全病区或单病人医嘱核对功能，支持长期医嘱临时医嘱分开核对。</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具备未停长期医嘱修改执行药房功能。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多种形式医嘱发送功能，包含当天和预定时间的医嘱发送、分用法的医嘱发送、单病人和全区病人的医嘱发送、长期医嘱和临时医嘱的分开发送。医嘱执行时按药品、检验、检查自动分流并生成相应申请单；已停医嘱发送到停止时间；发送时间到分钟；输液耗材按频次自动收取。</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具备自定义医嘱发送单据功能，可以在医嘱发送时，按照定义的单据分类执行对应的医嘱。</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具备自定义医嘱单据功能，可以支持不同科室定义个性化的单据类型，供打印时使用。</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具备护士核对医生的取消医嘱，对存在有问题的医嘱，医生发起取消请求，护士确认后，医生可取消医嘱。</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具备对多种医嘱格式套打功能；包括常见打印机的打印模板设置；床头卡、输液卡、注射单、口服单等多种临床单据打印，并支持打印预览功能。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具备打印检查检验申请单，申请单格式可自定义。</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eastAsia="zh-CN"/>
              </w:rPr>
              <w:t>▲</w:t>
            </w:r>
            <w:r>
              <w:rPr>
                <w:rFonts w:hint="eastAsia" w:ascii="仿宋" w:hAnsi="仿宋" w:eastAsia="仿宋" w:cs="仿宋"/>
                <w:color w:val="000000"/>
                <w:sz w:val="28"/>
                <w:szCs w:val="28"/>
                <w:lang w:val="en"/>
              </w:rPr>
              <w:t>具备医嘱集中工作台功能，将医嘱相关操作整合在一个界面，包括医嘱核对、医嘱发送、单据打印、记账、费用核对查询等，实现医嘱和费用的关联，便于查询和核对。</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具备查询患者医嘱及费用功能，一个菜单完成多个操作如退费、补记帐和退药、未记账的请求作废等操作。</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支持与全院检查预约系统对接，调用医技预约网页查询医技预约信息。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具备记录病人过敏药品及过敏类型，能够查询病人历史过敏信息，如药物过敏、食物过敏、造影剂过敏、环境过敏。并具备患者过敏药品信息的录入、修改、批量更新等功能。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住院护士危急值预警提醒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具备危急值信息的接收与反馈，并能记录具体接收的时间和操作员信息。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具备危急值信息的汇总查询，并能按照单病人、单个发布医生和时间段进行查询相应的危急值信息。</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住院护士排班 </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333333"/>
                <w:sz w:val="28"/>
                <w:szCs w:val="28"/>
                <w:shd w:val="clear" w:color="auto" w:fill="FFFFFF"/>
                <w:lang w:val="en"/>
              </w:rPr>
              <w:t>班次设置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支持班次设置，包括对班次的名称以及时间和时长情况进行设置、发布全院通用班次或根据病区科室不同设置特殊班次、按照病区选择所有病区启用的班次、对班次颜色设置后显示在排班表中。</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333333"/>
                <w:sz w:val="28"/>
                <w:szCs w:val="28"/>
                <w:shd w:val="clear" w:color="auto" w:fill="FFFFFF"/>
                <w:lang w:val="en"/>
              </w:rPr>
              <w:t>班组设置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支持班组设置，包括对病区护士进行分组管理、按照不同的分组进行自动排班规则设置。</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333333"/>
                <w:sz w:val="28"/>
                <w:szCs w:val="28"/>
                <w:shd w:val="clear" w:color="auto" w:fill="FFFFFF"/>
                <w:lang w:val="en"/>
              </w:rPr>
              <w:t>护士排班</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支持对当前病区的护士进行排班，包括在排班界面进行排班对象切换、排班时快速定位不同排班周期、手动选择班次和职责进行排班、批量排班、复制班组排班、按照预设规则进行自动排班。</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护理病历信息系统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护理文书录入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eastAsia="zh-CN"/>
              </w:rPr>
              <w:t>▲</w:t>
            </w:r>
            <w:r>
              <w:rPr>
                <w:rFonts w:hint="eastAsia" w:ascii="仿宋" w:hAnsi="仿宋" w:eastAsia="仿宋" w:cs="仿宋"/>
                <w:color w:val="000000"/>
                <w:sz w:val="28"/>
                <w:szCs w:val="28"/>
                <w:lang w:val="en"/>
              </w:rPr>
              <w:t>提供一体化护理平台框架，至少包含护理病历、病区日常、住院病历和医技报告内容。</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具备床位卡图标显示配置功能，可配置床位状态、护理级别、危重级别、管路类型、患者类型图标。</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具备床位卡右键切换至护理文书、医技报告调阅、入区登记、医嘱处理、医嘱查询界面功能。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具备按照床位维护护理组，护理组支持按个人、病区设定，并支持文书书写时按照护理组过滤相应床位患者功能。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具备常用护理文书录入功能，包括患者的生命体征、病情观察措施、评估信息。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具备入院评估单录入、保存、预览、打印功能，展示字段包括入院方式、过敏史、入院诊断、评估信息。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具备入院评估单上对患者自理能力、压疮跌倒导管、管道滑脱、疼痛进行评估功能。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具备体温单的绘制和展示功能，体温单维护包括基础绘制规则、图标绘制、线条及字体颜色绘制的设定。</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具备体征异常警示范围上下限设定功能。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具备一般护理记录单的新增、删除、修改、预览、打印、插入小结、总结、引用医嘱、体征、检查检验、既往史、简要病史功能。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具备危重护理记录单的新增明细、删除明细、修改、打印、预览、插入小结、总结，引用医嘱、体征、检查检验、胰岛素注射、既往史、电子病历、过敏药品信息功能。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具备出院评估单信息的录入与展示功能，包括：患者心理状态、自理能力、皮肤情况、并发症、特殊用药指导、情绪调节。</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具备跌倒评估单各项内容的录入与展示及总分计算功能，包括记录：年龄、精神状况、身体状况、活动能力、灵活程度。</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具备各类导管评估单录入与展示及总分自动计算功能，包括记录：导管类别、意识。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具备压疮风险评估单录入与展示功能及总分自动计算功能，包括记录：感觉、潮湿、活动、营养、摩擦力与剪切力、压疮情况评估、压疮护理措施。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具备自理能力评估单录入与展示及总分自动计算功能，包括记录：进餐、洗澡、穿衣、大小便控制。</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具备疼痛风险评估及疼痛护理记录单录入与展示功能，包括：疼痛部位标记、面部表情疼痛表、数字评定量表、FLACC图。</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具备血糖监测护理单录入与展示功能，包括：患者晨时、早餐前、午餐后、晚餐前区间段糖尿病监测记录，以及对随机血糖监测结果、用药情况变化、意外情况进行记录。</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具备新生儿体温单录入与及图形展示功能，单据内容包括：沐浴情况、皮肤情况、脐带、体征数据、过敏、出入量。</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具备手术清点记录单、术后护理记录单的录入、修改、删除、预览和打印功能。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具备专科护理病历记录功能，包括：在表单中插入小结、总结，查看医嘱信息、检查检验、既往史、调阅电子病历、过敏药品信息、引用检验检查报告功能。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支持与第三方电子签名对接，实现护理文书电子签名功能。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护理集中工作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具备血糖监测护理单集中录入及血糖趋势图的展示。</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具备成人体温单、中医体温单、新生儿体温单集中录入。</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具备根据规则查询相应待测患者列表。范围包括：新病人、发烧患者、房颤患者、连续三天无大便患者、体重漏测。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13</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手术管理系统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住院手术管理 </w:t>
            </w:r>
          </w:p>
          <w:p>
            <w:pPr>
              <w:pStyle w:val="55"/>
              <w:jc w:val="both"/>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具备住院手术安排功能，能够完成病人手术基本信息的录入，急诊/择期手术的排期及取消，手术相关人员的信息录入。</w:t>
            </w:r>
          </w:p>
          <w:p>
            <w:pPr>
              <w:pStyle w:val="55"/>
              <w:ind w:left="0" w:leftChars="0" w:firstLine="0" w:firstLineChars="0"/>
              <w:jc w:val="both"/>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具备手术申请审核功能，对手术申请单进行审核及打印。</w:t>
            </w:r>
          </w:p>
          <w:p>
            <w:pPr>
              <w:pStyle w:val="55"/>
              <w:ind w:left="0" w:leftChars="0" w:firstLine="0" w:firstLineChars="0"/>
              <w:jc w:val="both"/>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具备按照手术等级、医生职务等级匹配进行手术权限的设定功能。</w:t>
            </w:r>
          </w:p>
          <w:p>
            <w:pPr>
              <w:pStyle w:val="55"/>
              <w:ind w:left="0" w:leftChars="0" w:firstLine="0" w:firstLineChars="0"/>
              <w:jc w:val="both"/>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具备手术费用录入功能，进行手术项目及药品处方的录入，支持与HRP进行对接，实现手术耗材支持条码扫描。</w:t>
            </w:r>
          </w:p>
          <w:p>
            <w:pPr>
              <w:pStyle w:val="55"/>
              <w:ind w:left="0" w:leftChars="0" w:firstLine="0" w:firstLineChars="0"/>
              <w:jc w:val="both"/>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具备麻醉费用录入功能，能够提供麻醉处方及麻醉协定方的录入。</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具备手术情况录入功能，能够详细记录病人术中情况，支持界面录入字段自定义设计。</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具备麻醉情况录入功能，能够详细记录病人术中麻醉情况，支持界面录入字段自定义设计。</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具备术中医嘱功能，能够完成术中医嘱的审核、执行。</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具备汇总领药功能，对手术中产生的药品进行汇总、领药单打印。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支持与耗材管理系统对接，实现耗材的计费核销功能。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具备查询功能，包括病人费用、手术情况、手术费用、领药信息、病人退药信息、手术室退药信息查询。</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具备报表管理功能，包括手术室排班表、手术室使用情况统计、手术工作量统计、麻醉工作量统计。</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1491"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 xml:space="preserve">实验室信息管理系统 </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条码流程管理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检验设备条码双工通讯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具备条码标本直接上仪器试管架，自动核收的双向通讯功能。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支持与双工仪器对接，实现无条码标本按试管架和试管位置双向通讯功能。并可自动接收仪器检验结果及向仪器发送检验项目，以便仪器按指定项目检验标本功能。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门急诊条码管理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具备材料费自动计费管理功能。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具备预缴金病人收费确认功能。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具备增加收费项目条码标志、急诊标志、材料费标志功能。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具备通过医嘱匹配收费项目与条码分组、报告回执单功能。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具备回执单管理功能，包含统一领取说明、依据采集时间的报告周期、报告日期+周末顺延+检测日程+抽血截止时间+截止延续天数+统一领取报告时间三种常用模式。</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具备采集注意事项提醒、校验适用性提醒、校验填报提醒、关联项目重复提醒功能。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具备已绑定条码的检验项目强制退费功能。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具备标本采集手工登记及支持通过文件导入批量登记生成条码功能。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具备检验标本采集管理功能：包含按照标本类型、执行科室、预执行时间、检验申请单、独立绑定标志、收费项目等条件拆分和合并成条码。</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具备医嘱与条码取消绑定、条码替换、条码补打、采集时间更新、条码集中打印功能。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支持条码预印模式、条码即时打印模式功能。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支持与医院信息系统对接，接收医生站检验申请信息、病人信息及收费信息并确认。</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eastAsia="zh-CN"/>
              </w:rPr>
              <w:t>▲</w:t>
            </w:r>
            <w:r>
              <w:rPr>
                <w:rFonts w:hint="eastAsia" w:ascii="仿宋" w:hAnsi="仿宋" w:eastAsia="仿宋" w:cs="仿宋"/>
                <w:color w:val="000000"/>
                <w:sz w:val="28"/>
                <w:szCs w:val="28"/>
                <w:lang w:val="en"/>
              </w:rPr>
              <w:t>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具备信息汇总及单据打印功能：按条码类别、收费项目、收费项目人次实时集中查询生成采样任务表、标本交接单电子单据并打印。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具备护工对标本进行信息查询、签收确认及运送时间更新功能。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具备标本签收明细打印，标本交接异常情况登记功能。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住院条码管理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具备材料费自动计费管理功能。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具备增加收费项目条码标志、急诊标志、材料费标志功能。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具备通过医嘱匹配收费项目与条码分组、报告回执单功能。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具备回执单管理功能，包含统一领取说明、依据采集时间的报告周期、报告日期+周末顺延+检测日程+抽血截止时间+截止延续天数+统一领取报告时间三种常用模式。</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具备采集注意事项提醒、校验适用性提醒、校验填报提醒、关联项目重复提醒功能。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具备已绑定条码的检验项目强制退费功能。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具备标本采集手工登记及支持通过文件导入批量登记生成条码功能。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具备检验标本采集管理功能：包含按照标本类型、执行科室、预执行时间、检验申请单，独立绑定标志、收费项目等条件拆分和合并成条码。</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具备医嘱与条码取消绑定、条码替换、条码补打、采集时间更新、条码集中打印功能。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支持条码预印模式、条码即时打印模式功能。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支持与医院信息系统对接，接收医生站检验申请信息、病人信息及收费信息并确认。</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具备信息汇总及单据打印功能：按条码类别、收费项目、收费项目人次实时集中查询生成采样任务表、标本交接单电子单据并打印。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具备护工对标本进行信息查询、签收确认及运送时间更新功能。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具备标本签收明细打印，标本交接异常情况登记的功能。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常规检验管理 </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常规设备联机</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具备数据转换、偏移、计算等处理功能。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具备常规转质控自动处理功能。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支持常规设备联机，实现各类设备仪器与信息系统的信息通讯，包含单向数据采集、仪器控制、双向通讯等辅助仪器实现自动化等功能。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支持从检验仪器自动接收检验结果功能。支持常规、急诊、质控数据接收功能。</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标本登记及收费</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具备实验室对标本进行集中、小组核收、标本的让步接收功能，包含对需要补充检验申请的添加检验申请并计费，记录签收人、签收时间、生成签收号。</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具备手工计费及补退费功能。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具备检验费用核对功能。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具备免费检验管理功能。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具备条码标本接收登记、外来标本接收登记、手工单标本接收登记功能。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具备对标本重复、漏检、送检超时、送检地错误等问题进行控制功能。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具备不合格标本拒收记录，并记录不合格原因功能。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支持与护士站系统对接，实现拒收标本通知功能。</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检验结果处理模块</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具备检验结果确认/修改、批量确认/修改，多结果合并，外部数据导入，手工结果录入等功能。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具备对需要分类的标本进行分类、自动产生实验室内部标本号功能。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具备对已签收的条码统一入库功能，对生化、自动免疫仪器标本提供批量入库功能。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具备对数据进行增加、删除、修改、复制、标本号修改等功能，并提供各种操作进行自动记录。</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具备报告批量输入相同信息和检验结果功能。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具备标本存放位置功能，提供销毁情况记录，销毁记录查询。</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具备对报告的项目数据进行批量校正功能。具备对仪器，项目，检验日期，标本范围查询项目功能。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具备通过普通公式或特殊公式来校正数据结果功能。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具备复做标本管理功能，为病人增加复做标志。</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具备修改检验项目结果值，保存每次的结果值功能。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能够根据预先设定的审核规则对复做标本进行自动筛选。提供历次复查情况和结果记录、统计和分析功能。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标本跟踪查询功能：通过条码号、病员号、标本种类、入库仪器等多条件检索的方式对标本流程进行全过程查询，标本跟踪在同一界面显示患者信息，标本从绑定、采样、签收、检测、审核、发布的实时状态（时间、操作者、设备机台）等，实现对标本信息的全流程追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具备对报告的项目数据进行批量校正功能。通过仪器、项目、检验日期、样本范围查询出项目，通过公式来校正数据结果。</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具备显示病人的超限比较结果集功能。比较距执行日期最近一次的结果。并能通过显示的内容查询到该化验单，可以比较单个项目和组合项目。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具备检验数据自动分析功能：检验项目数量验证，结果超出临界值控制，自定义判定规则执行。</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具备在报告管理界面集成跳转标本签收、标本入库、批量操作、报告查询、检验全景视图功能。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具备趋势分析功能，医生可查看该患者在医院做的这项指标的所有趋势，并可以进行下载保存，同时可以关联指标相关项，快速查看与该指标相关联的指标。</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具备标本信息过滤功能，可按照门诊、住院、急诊、未审核、已审核、危急值、TAT等条件过滤。</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具备自定义知识库的建议与解释功能。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支持与医院信息系统对接，获取医生站信息及电子病历信息。</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检验报告发布回收</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具备按不同分类进行报告查询、浏览、打印和批量打印功能。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报告发布支持 Web查询、医生站调阅、大屏通知、服务台打印。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具备发布报告回收功能。</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检验报告临床调阅</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具备检验结果、报告单的浏览功能。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具备扩展调阅历史报告功能。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支持报告打印原文件调阅功能。</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标本全流程跟踪管理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具备报告全流程跟踪功能，同一界面查询报告的详情信息，包括全流程明细、报告汇总、检验项目、修改记录-报告、修改记录-结果、危急值项目、危急值流程、标本全流程。</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检验报告全景视图</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具备同一界面可视化显示该病人的全部历史报告信息功能。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具备展现每份报告的全流程信息功能，包括：对应的医嘱列表、联系方式。以及可按仪器或者检验分类多种检索条件查看该患者的历史报告。</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具备对每个分类的报告结果进行对比查看功能。</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查询及统计管理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具备标本查询、申请单查询、报告查询以及各种记录查询、统计、分析功能。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具备提供基础常用报表功能，包括工作量统计、危急值统计、复做标本统计等。</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具备用户个性化定制功能。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自动化室内质控管理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提供9种质控图绘制功能：包括：Z-分数图、L-J图、柱状图、尤顿图、±质控图、定性质控图、累计和图、双区法质控图、滴度质控图。</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具备质控图绘制可按月按天描绘功能。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具备不同月份的质控点绘制在同一图上进行对比功能。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11大类常用的质控规则，包括：标准差倍数规则、极差规则、趋势规则、平均数控制规则、比例控制规则、±半定量规则、数字半定量规则、定性控制规则、累积和控制规则、滴度半定量规则和经典多规则组合，如WESTGARD质控规则。</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具备生化临检免疫的定量质控功能。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具备即刻法质控，由仪器直接传输质控数据功能。重新测定当次的结果,累计满20个数据后,可使用常规的质控图。</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具备月、季、年的质控分析总结，质控阶段性改进质控管理，开放质控规则定义功能。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具备失控自动报警、质控数据自动分析和失控处理意见记录功能。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具备重传覆盖功能，解决仪器重传质控数据时质控曲线上显示多个点的问题。</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具备双区法质控功能，解决免疫阴阳质控品适用Z分数图控制CV过大问题。</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支持与仪器对接，实现质控数据自动接收，自动绘制质控图功能。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检验危急值提醒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具备系统配置设定危急值上下限功能，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具备根据设定的危急值上下限自动判断是否为危急值功能。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具备智能判断危急值功能，通过颜色提示检验医师。</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具备标本检验出危急值启动报警功能。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具备设定危急值上下限功能，当病人所做的项目结果超过所设置的数值上下限，系统会自动判断为危急值。</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具备危急值设置按照标本种类、性别、年龄、临床诊断及科别等类型进行分类。</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支持仪器产生危急值时，系统通过科室大屏幕提醒检验人员及时处理及审核超时报警功能。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具备对危急值回报的各种统计功能，如月统计回报率。</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临床危急值推送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临床信息系统对接，危急值发布至临床时，通过声音、闪烁图标、弹窗方式自动进行提示功能，操作人员可通过点击弹窗查看详细危急值信息。临床科室确认接收并完成危急值信息处理后，系统自动将危急值的处理措施和过程信息进行记录，包含接收科室、接收人、接收时间反馈给检验科室。</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支持与护士站对接，将危急值推送到护士站。护士站相关人员通过系统接收检验科发出的危急值报告，并进行接收确认，并及时告知值班医生或管床医生。</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标本状态提醒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具备急诊标本提醒，不合格标本提醒，危急标本提醒，实验室过程监控、异常标本监控、标本流转监控功能。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支持通过大屏幕监控或工作站消息窗口方式对检验全过程中的异常情况进行报警和警示功能。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(3) 微生物检验 </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检测方案管理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具备根据医嘱和标本种类实现鉴定路径配置功能。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具备自动生成培养记录功能。</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WHONET互通管理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具备WHONET数据同步功能。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具备质控菌株、细菌字典维护、药敏字典维护、药敏折点维护功能。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支持与WHONET主流版本对接，保持系统与WHONET数据标准一致，实现病人信息、细菌信息、药敏信息导入。</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耐药机制管理(超级细菌）</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具备耐药机制设置功能。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具备耐药机制监控预警功能。</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微生物统计/分析</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具备微生物报告常规查询及高级查询功能。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具备保存查询分析方案功能，下次使用查询时，无需重新选择查询条件即可进行查询。</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微生物流程电子化管理（原始记录单、三级报告）</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具备详细记录并管理微生物的接种培养、初步鉴定、鉴定/药敏、报告全过程功能。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具备记录微生物实验的每个过程完整记录功能。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具备培养、初鉴、鉴定独立报告审核发布功能。</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微生物质控</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具备手工药敏质控、涂片质控、板条质控、仪器药敏质控、手工生化反应质控、仪器生化反应质控、染色液质控功能。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具备空气、物表监测记录管理功能。</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微生物鉴定仪联机</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具备抗生素药物代码转换功能。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支持培养、鉴定药敏等微生物设备双工功能。</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报告管理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具备涂片、培养、鉴定/药敏报告功能。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具备微生物检验分步计费功能。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具备查看患者所有历史微生物报告功能。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具备标本信息过滤功能。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具备全流程信息查看功能。</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危急值管理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具备智能判断危急值，并通过颜色提示微生物医师功能。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临床信息系统对接，危急值发布通知临床时，操作人员可通过点击弹窗查看详细危急值信息。临床科室确认接收并完成危急值信息处理后，系统自动将危急值的处理措施和过程信息进行记录，实现危急值全过程管理流程闭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具备设定危急值上下限功能，当病人所做的项目结果超过所设置的数值上下限，系统会自动判断为危急值。</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具备危急值设置按照标本种类、性别、年龄、临床诊断及科别等类型进行分类。</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(4) 图文报告管理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酶标仪报告管理 </w:t>
            </w:r>
          </w:p>
          <w:p>
            <w:pPr>
              <w:pStyle w:val="55"/>
              <w:spacing w:line="480" w:lineRule="auto"/>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酶标仪设置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具备按照酶标板的布局格式，单个或批量设置检验项目和样本类型功能。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具备为不同检验项目设定其阴阳性判定计算规则功能。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具备为定量检验项目设定计算转换公式功能。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具备设置酶标仪的测量参数功能，包括：进板方式、振板频率、振板时间、主次波长滤光片。</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具备设置检验结果的后续处理方法功能：包括计算CUTOFF值、采用吸光度。</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具备导出和导入酶标板的参数文件功能。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具备可按照酶标板仿真布局，能够录入或采集检验数据，确定CUTOFF值，自动进行阴阳性判断功能。</w:t>
            </w:r>
          </w:p>
          <w:p>
            <w:pPr>
              <w:pStyle w:val="55"/>
              <w:spacing w:line="480" w:lineRule="auto"/>
              <w:ind w:left="0" w:leftChars="0" w:firstLine="0" w:firstLineChars="0"/>
              <w:rPr>
                <w:rStyle w:val="27"/>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酶标仪检验</w:t>
            </w:r>
          </w:p>
          <w:p>
            <w:pPr>
              <w:pStyle w:val="55"/>
              <w:spacing w:line="480" w:lineRule="auto"/>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具备对控制仪器进行检验，检验结果会自动传到原始数据区功能。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具备自动判定检验结果的阴阳性，并在计算结果区显示功能。</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具备将本次的检验结果保存成一个Excel文件功能，包含：原始数据，吸光度值，定性结果。</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输血管理信息系统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输血申请单管理 </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333333"/>
                <w:sz w:val="28"/>
                <w:szCs w:val="28"/>
                <w:shd w:val="clear" w:color="auto" w:fill="FFFFFF"/>
                <w:lang w:val="en"/>
              </w:rPr>
              <w:t>输血前评估（合理性提醒）</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具备提示医生用血申请功能。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具备根据科室类型、年龄范围、是否手术、是否急救等设定不同评估标准功能。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333333"/>
                <w:sz w:val="28"/>
                <w:szCs w:val="28"/>
                <w:shd w:val="clear" w:color="auto" w:fill="FFFFFF"/>
                <w:lang w:val="en"/>
              </w:rPr>
              <w:t>输血申请开单</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具备不同输血性质分类选择功能，包括常规用血申请、紧急用血申请、自体采血申请、常规备血申请。</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具备用血信息录入功能，包括用血时间、输血目的、输血性质、是否手术、手术名称、手术等级、用血地点。</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具备输血成份、输血量选择功能。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具备受血者既往史录入功能。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具备调阅受血者检验项目结果信息功能。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支持与医院信息系统对接，医生开单时，系统自动识别提醒该受血者是否签署知情同意书。</w:t>
            </w:r>
          </w:p>
          <w:p>
            <w:pPr>
              <w:pStyle w:val="55"/>
              <w:autoSpaceDE w:val="0"/>
              <w:ind w:firstLine="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输血后评价</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具备临床医生记录输血后评价信息功能。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支持对未做输血评价的申请单进行提醒功能。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输血科管理 </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333333"/>
                <w:sz w:val="28"/>
                <w:szCs w:val="28"/>
                <w:shd w:val="clear" w:color="auto" w:fill="FFFFFF"/>
                <w:lang w:val="en"/>
              </w:rPr>
              <w:t>血袋出入库管理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具备血袋入库信息化管理功能，包括入库状态、献血码、成分码、血袋品种、规格设置、血型、有效期、制备时间、血型复核、外观检测、血袋来源、负责入库操作人员信息、入库时间、供货单号、存放位置。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具备血袋入库信息参数自由选择配置功能。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具备血袋出库信息化管理功能，包括献血码、成份码、血袋品种、规格、血型、出库类型、出库去处、出库原因、出库操作人员信息、出库时间。</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具备新增出库功能，血袋出库信息包括献血码、成分码、出库类型、血袋去处、出库原因、取血者。</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eastAsia="zh-CN"/>
              </w:rPr>
              <w:t>▲</w:t>
            </w:r>
            <w:r>
              <w:rPr>
                <w:rFonts w:hint="eastAsia" w:ascii="仿宋" w:hAnsi="仿宋" w:eastAsia="仿宋" w:cs="仿宋"/>
                <w:color w:val="000000"/>
                <w:sz w:val="28"/>
                <w:szCs w:val="28"/>
                <w:lang w:val="en"/>
              </w:rPr>
              <w:t>具备血袋出库步骤节点显示功能，包括操作步骤、操作人员、操作时间，时间能精确到秒。</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提供多种血袋入库方式，包括手动入库、文件导入、联网导入。</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支持与血站系统对接，实现与血站数据联动。</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333333"/>
                <w:sz w:val="28"/>
                <w:szCs w:val="28"/>
                <w:shd w:val="clear" w:color="auto" w:fill="FFFFFF"/>
                <w:lang w:val="en"/>
              </w:rPr>
              <w:t>血型检查鉴定及审核管理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具备显示病人验血后的血型鉴定报告结果功能，包括历次历史记录、对应的检测仪器信息。</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eastAsia="zh-CN"/>
              </w:rPr>
              <w:t>▲</w:t>
            </w:r>
            <w:r>
              <w:rPr>
                <w:rFonts w:hint="eastAsia" w:ascii="仿宋" w:hAnsi="仿宋" w:eastAsia="仿宋" w:cs="仿宋"/>
                <w:color w:val="000000"/>
                <w:sz w:val="28"/>
                <w:szCs w:val="28"/>
                <w:lang w:val="en"/>
              </w:rPr>
              <w:t>具备显示病人输血前检验报告结果功能。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提供检验全景视图，包括在同一界面可视化显示该病人的全部历史报告信息功能、展现每份报告的全流程信息功能、对每个分类的报告结果进行对比查看功能。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具备血型检查报告双人审核当前流程状态功能。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具备检查报告的审核、打印、撤销审核、回收、发布功能。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具备对已做过血型检查，查看已做血型检查报告详情功能，包括报告状态、受血者信息、申请时间、采样时间、签收时间、审核时间。</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具备自动计费管理，在血型检查时自动确认收取血型检查相关费用功能。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支持与医院信息系统对接，从系统中直接下载病人信息。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支持设备仪器自动导入血型鉴定结果功能。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333333"/>
                <w:sz w:val="28"/>
                <w:szCs w:val="28"/>
                <w:shd w:val="clear" w:color="auto" w:fill="FFFFFF"/>
                <w:lang w:val="en"/>
              </w:rPr>
              <w:t>备血发血管理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具备受血者指标信息显示功能。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具备自动计费管理功能，在发血配血时自动收取血袋费、配血费、辐射虑白灭活等费用。</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具备撤销发血自动退费功能。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具备发血、输血时进行条码扫描核对安全性校验功能。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支持与临床系统对接，查看临床申请单信息。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具备发血单、交叉配血报告单预览及打印功能。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支持与设备仪器对接自动导入交叉配血结果功能。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333333"/>
                <w:sz w:val="28"/>
                <w:szCs w:val="28"/>
                <w:shd w:val="clear" w:color="auto" w:fill="FFFFFF"/>
                <w:lang w:val="en"/>
              </w:rPr>
              <w:t>输血免疫报告</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具备产前免疫、抗体鉴定、Coombas实验、血小板抗体、新生儿、IGg抗A抗B输血免疫报告功能。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333333"/>
                <w:sz w:val="28"/>
                <w:szCs w:val="28"/>
                <w:shd w:val="clear" w:color="auto" w:fill="FFFFFF"/>
                <w:lang w:val="en"/>
              </w:rPr>
              <w:t>血袋销毁管理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具备血袋销毁查询统计功能。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eastAsia="zh-CN"/>
              </w:rPr>
              <w:t>▲</w:t>
            </w:r>
            <w:r>
              <w:rPr>
                <w:rFonts w:hint="eastAsia" w:ascii="仿宋" w:hAnsi="仿宋" w:eastAsia="仿宋" w:cs="仿宋"/>
                <w:color w:val="000000"/>
                <w:sz w:val="28"/>
                <w:szCs w:val="28"/>
                <w:lang w:val="en"/>
              </w:rPr>
              <w:t>具备血袋销毁步骤节点显示功能，包括操作步骤、操作人员、操作时间，时间能精确到秒。</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支持通过扫描条码、批号实现血袋销毁功能。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333333"/>
                <w:sz w:val="28"/>
                <w:szCs w:val="28"/>
                <w:shd w:val="clear" w:color="auto" w:fill="FFFFFF"/>
                <w:lang w:val="en"/>
              </w:rPr>
              <w:t>自体血管理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具备贮存自体登记信息管理功能，包括登记执行状态、病人姓名、性别、年龄、病区、床号、血液类型、计划采血量、采血频率、采血次数、计划采血时间、完成时间、申请单号。</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具备贮存自体血袋信息登记功能，包括受血者信息和采血信息，其中采血信息包括血人、采血时间、献血码、成份码、血液品种、血袋规格/单位、血袋血型/单位、失效时间、存放库位。</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具备术中回流登记信息管理功能，登记信息包括受血者信息和登记信息，其中登记信息包括采血方式、回收时间、保存条件、回输血量、回输时间、有无不良反应。</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333333"/>
                <w:sz w:val="28"/>
                <w:szCs w:val="28"/>
                <w:shd w:val="clear" w:color="auto" w:fill="FFFFFF"/>
                <w:lang w:val="en"/>
              </w:rPr>
              <w:t>查询/统计</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具备多维度查询统计功能。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具备临床用血质量指标的数据统计功能。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具备用户个性化定制功能。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333333"/>
                <w:sz w:val="28"/>
                <w:szCs w:val="28"/>
                <w:shd w:val="clear" w:color="auto" w:fill="FFFFFF"/>
                <w:lang w:val="en"/>
              </w:rPr>
              <w:t>申请单接收及调阅</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具备打印申请单的关键信息（含申请单唯一号、病人姓名、病区、床号）功能。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333333"/>
                <w:sz w:val="28"/>
                <w:szCs w:val="28"/>
                <w:shd w:val="clear" w:color="auto" w:fill="FFFFFF"/>
                <w:lang w:val="en"/>
              </w:rPr>
              <w:t>领血单管理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具备包括血制品采集、条码绑定、领血单打印、标本运送功能。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333333"/>
                <w:sz w:val="28"/>
                <w:szCs w:val="28"/>
                <w:shd w:val="clear" w:color="auto" w:fill="FFFFFF"/>
                <w:lang w:val="en"/>
              </w:rPr>
              <w:t>用血审证登记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具备医生根据用血审证登记用血者的证明信息，及患者可用血的血量和血液类型功能。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333333"/>
                <w:sz w:val="28"/>
                <w:szCs w:val="28"/>
                <w:shd w:val="clear" w:color="auto" w:fill="FFFFFF"/>
                <w:lang w:val="en"/>
              </w:rPr>
              <w:t>设备联机</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支持与血型检查仪器、配血仪器的联机。</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支持仪器数据双工通讯，完整传输仪器检测信息。</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(3) 护士站输注过程管理（PC端） </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333333"/>
                <w:sz w:val="28"/>
                <w:szCs w:val="28"/>
                <w:shd w:val="clear" w:color="auto" w:fill="FFFFFF"/>
                <w:lang w:val="en"/>
              </w:rPr>
              <w:t>备血消息提醒</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具备消息弹窗提醒备血确认及到血确认功能，包括申请的项目、申请数量、已到血数量等。</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333333"/>
                <w:sz w:val="28"/>
                <w:szCs w:val="28"/>
                <w:shd w:val="clear" w:color="auto" w:fill="FFFFFF"/>
                <w:lang w:val="en"/>
              </w:rPr>
              <w:t>输注过程记录</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输前核对：</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具备无移动终端时提供电脑终端记录输前核对信息，核对时需进行双人验证功能。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支持与移动端对接，实现输血床边核对，确保所领取血袋血液与输注受血者的一致性功能。</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输血巡视：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具备无移动终端时提供电脑终端巡视信息录入，巡视中出现不良反应自动终止输注并弹出不良反应信息记录界面填写相关信息。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支持与移动端对接，实现输血巡视信息的记录功能。</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输注结束</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具备无移动终端时提供电脑终端记录输血结束的信息录入，需要进行双人验证功能。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支持与移动终端对接实现输血结束的信息记录功能。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333333"/>
                <w:sz w:val="28"/>
                <w:szCs w:val="28"/>
                <w:shd w:val="clear" w:color="auto" w:fill="FFFFFF"/>
                <w:lang w:val="en"/>
              </w:rPr>
              <w:t>血袋回收管理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具备血袋回收查询统计功能。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具备血袋回收节点流程展示，并能对各节点进行自由设置功能。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支持通过扫描条码、批号实现血袋回收功能。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333333"/>
                <w:sz w:val="28"/>
                <w:szCs w:val="28"/>
                <w:shd w:val="clear" w:color="auto" w:fill="FFFFFF"/>
                <w:lang w:val="en"/>
              </w:rPr>
              <w:t>输血不良反应记录</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具备不良反应统计功能。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具备系统记录确认受血者输血中出现的不良反应功能。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支持与电子病历系统对接，将受血者不良反应信息通过网络上传至电子病历系统和输血科管理系统功能。</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支持与移动端对接，实现输血不良反应记录功能。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16</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放射检查信息系统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预约登记工作站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支持与院内业务系统对接，实现查看门诊、住院及体检的检查申请单。</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支持电子申请单的存档、打印。</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具备检查预约排班信息管理功能。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具备按检查预约排班进行预约和取消功能。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具备每日最大预约数上限管理功能。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支持预约回执单打印。</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具备预约患者突出标识功能。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具备患者信息手工登记功能。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具备患者列表筛选查找功能。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具备对患者费用确认、退费、补费等操作功能。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具备登记环节留言功能。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具备VIP患者、绿色通道功能。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技师工作站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支持按队列呼叫检查患者功能。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具备呼叫患者、暂停检查、重新广播、呼叫家属功能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具备同一患者多次检查条码合并功能。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具备患者费用确费、补费功能。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具备已检查、未检查人数实时统计功能。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支持检查申请单查看。</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具备一台技师工作站控制多个队列功能。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具备根据患者身高年龄自动计算造影剂用量功能。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(3) 条码流程管理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无纸化流程管理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具备预约单条形码打印功能。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具备登记/签到分诊单条形码打印的功能。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具备患者检查上机前条形码扫码验证获取患者信息功能。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具备检查完成后检查回执单条形码打印功能。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(4) 报告管理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检查报告处理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具备根据患者个人信息、检查信息进行检索，并打开检查记录进行报告书写功能。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具备报告编辑中锁定功能。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具备急诊及危急患者在报告列表中优先排列功能。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具备登记及技师留言查看功能。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具备电子申请单查看功能。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具备报告编辑区域放大缩小、明暗度调整、上下角标标记功能。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具备报告打印自动缩页，无需手动调整功能。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eastAsia="zh-CN"/>
              </w:rPr>
              <w:t>▲</w:t>
            </w:r>
            <w:r>
              <w:rPr>
                <w:rFonts w:hint="eastAsia" w:ascii="仿宋" w:hAnsi="仿宋" w:eastAsia="仿宋" w:cs="仿宋"/>
                <w:color w:val="000000"/>
                <w:sz w:val="28"/>
                <w:szCs w:val="28"/>
                <w:lang w:val="en"/>
              </w:rPr>
              <w:t>具备报告书写展现所见即所得预览，打印与当前展示页面完全一致功能。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具备报告自动保存功能。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支持与CA对接，实现报告电子签名功能。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具备修改痕迹对比及修改记录查看功能。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具备报告驳回功能，并可录入报告驳回原因功能。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具备向报告医生发送报告被驳回（审核不通过）消息提醒。</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具备向报告医生发送报告超时提醒。</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具备向审核医生发送报告再次提交消息提醒。</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专家模版库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提供普放、CT、MR、DSA及其他检查类型专家模板。</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具备按照患者检查项目自动匹配对应报告模板功能。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具备医生编辑与收藏报告模板功能。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具备管理员编辑、添加报告公有模板功能。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具备在同一份报告中追加或替换专家模板功能。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放射危急值提醒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具备对报告中出现的危急值进行判断并提示功能。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具备根据医院需求对危急值字段配置功能。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查询统计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具备多维度统计查询及导出功能。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具备快捷查询（姓名、性别、日期等）及高级查询两种查询功能。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报告集中打印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具备批量打印报告功能。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敏感词提醒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具备敏感词提醒功能。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具备敏感词词库个性化配置功能。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相关报告调阅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具备在同一检查报告页面内查看患者科内历次检查报告及图像功能。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支持与院内其他业务系统对接，实现在同一检查报告页面查看患者跨科室（超声、内镜、病理、心电、检验等）的相关检查报告及图像功能。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支持查看检查申请单、电子病历功能。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多级审核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具备多级报告审核体系功能。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具备报告审核医生对报告进行审核，并做相应修改功能。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临床报告调阅软件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支持与院内业务系统对接，实现临床调阅患者既往检查报告和影像功能。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放射质控管理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具备对放射报告的质量控制功能，包括报告书写的规范性、诊断结论的准确性等。</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具备对放射影像数据质量控制功能，可对技师拍摄的影像数据根据甲、乙、丙、废等级进行评分。</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具备查询与统计功能。</w:t>
            </w:r>
          </w:p>
          <w:p>
            <w:pPr>
              <w:pStyle w:val="55"/>
              <w:autoSpaceDE w:val="0"/>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支持按照质控管理规范要求对放射科数据进行综合质控功能。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17</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 xml:space="preserve">医学影像传输与归档信息系统 </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PACS服务器软件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PACS服务器管理 </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企业管理器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具备PACS服务器软件B/S架构中心化管理功能。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支持双机或多机集群负载均衡、冗余架构、超融合架构。</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具备DICOM格式图像文件多种格式导出功能。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具备存储系统负荷统计功能。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具备不停服在线添加DICOM影像设备功能。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具备账户安全管理，用户密码管理，通过系统权限进行账户分级管理功能。</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DICOM Storage服务</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支持包括硬盘冗余阵列、存储局域网络、网络存储，对象存储在内的存储介质。</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支持全在线存储模式，即短期在线存储+归档存储模式。</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具备智能入库功能，历史影像和当日影像按规则分级入库。</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具备根据用户优先级设置访问不同性能影像存储的功能。</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数据流服务</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具备设置影像存储“水线”功能，对在线存储数据量进行临界限制。</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具备调阅路由管理功能，根据影像数据所在的存储设备性能，提供最佳的调阅路径。</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具备影像数据备份管理功能，自动对在线影像数据做异机备份。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具备影像在线数据恢复功能。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具备影像数据自动转移功能。</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QR服务</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具备DICOM 3.0 Query/Retrieve Service Class Provider（DICOM Q/R SCP）功能。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具备Patient和study级别的查询检索功能。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具备通过影像号、条码号、患者姓名、检查日期等复合条件查询影像数据功能。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设备联机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支持通过视频采集卡获取影像设备的非模拟影像数据。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具备WorkList设备集成功能。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支持接入符合DICOM3.0标准的影像设备和影像工作站。</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支持接收非DICOM3.0标准接口影像设备或影像工作站，并转换成符合DICOM3.0格式标准的影像数据。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具备不停止服务状态下在线添加DICOM影像设备功能。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(3) 影像后处理软件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二维影像后处理软件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具备影像多屏显示、多序列显示功能。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具备用户自定义悬挂协议，并根据检查部位自动选用功能。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具备患者历史影像数据对比功能，包括自动同步、手动同步和克隆对比。</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具备空间定位功能，可根据所选不同截面进行定位标记。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具备检查影像自动播放功能，播放速度及顺序可调。</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具备线条、角度、矩形、椭圆形和不规则形状测量功能，并可作文本注解。</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具备像素值、心胸比测量功能。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具备影像放大、缩小、移动、镜像、任意旋转、窗宽及窗位线性调整和非线性调整功能。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具备伪彩功能。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具备影像拼接功能。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具备GAMMA校正、亮度对比度调整功能。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具备DSA动态影像数据剪影播放功能，具备动态蒙版功能。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具备JPEG格式、BMP格式及AVI不同格式的影像导出功能。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具备影像截图功能。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具备DICOM排版和打印功能，包括拼图打印、剪裁打印、真实尺寸打印。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具备标注和测量结果均可应用到胶片上功能。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(4) 临床医学影像调阅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临床影像调阅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支持与医生站对接，实现医生站调阅患者影像数据功能。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支持多屏显示和医用竖屏显示。</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具备按角色管理浏览权限功能。</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具备常规影像后处理功能，含窗宽窗位、影像布局、影像测量、影像四角文本显示及隐藏、MPR等。</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18</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超声检查信息系统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检查预约及登记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支持与院内业务系统对接，实现查看门诊、住院及体检的检查申请单。</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支持电子申请单的存档，打印功能。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支持检查预约排班信息管理。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支持按检查预约排班进行预约和取消功能。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具备每日最大预约数上限管理功能。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支持预约回执单打印。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具备预约患者突出标识功能。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具备患者信息手工登记功能。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具备患者列表筛选查找功能。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具备对患者费用确认、退费、补费等操作功能。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具备登记环节留言功能。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具备VIP患者、绿色通道功能。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超声设备联机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具备NTSC、PAL、S-Video、RGB视频信号采集功能。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具备标准DICOM格式影像数据传输功能。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(3) 报告管理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检查报告处理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具备根据患者个人信息、检查信息进行检索，并打开检查记录进行报告书写功能。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具备报告编辑中锁定功能。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具备急诊及危急患者在报告列表中优先排列功能。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具备登记及技师留言查看功能。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具备电子申请单查看功能。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具备报告编辑区域放大缩小、明暗度调整、上下角标标记功能。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具备报告打印自动缩页，无需手动调整功能。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具备报告书写展现所见即所得预览，打印与当前展示页面完全一致功能。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具备报告自动保存功能。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支持与CA对接，实现报告电子签名功能。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具备修改痕迹对比及修改记录查看功能。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具备报告驳回功能，并可录入报告驳回原因功能。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具备向报告医生发送报告被驳回（审核不通过）消息提醒。</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具备向报告医生发送报告超时提醒。</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具备向审核医生发送报告再次提交消息提醒。</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专家模板库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提供彩超、黑白超及其他检查类型模板库。</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具备按照患者检查项目自动匹配对应报告模板功能。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具备医生编辑与收藏报告模板功能。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具备管理员编辑、添加报告公有模板功能。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具备在同一份报告中追加或替换专家模板功能。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临床图文报告调阅管理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支持通过与院内业务系统对接，实现临床调阅患者既往检查报告。</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图像管理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具备单帧视频图像采集：NTSC、PAL、S-Video、RGB等视频信号采集功能，图像格式可为JPG、DICOM、bmp等格式，并可对图像进行处理。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具备动态视频采集功能。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具备影像数据导出功能。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具备对采集的影像数据进行后处理，包括影像数据质量调整、裁剪、标注、测量功能。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具备对采集到的影像数据进行平铺展现。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具备超声图像采集界面悬浮功能。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支持通过手持设备或者脚踏设备的方式获取患者影像数据功能。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统计查询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具备多维度统计查询及导出功能。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具备快捷查询（姓名、性别、日期等）及高级查询两种查询功能。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超声危急值提醒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具备对报告中出现的危急值进行判断并提示功能。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具备根据医院需求对危急值字段配置功能。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敏感词提醒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具备敏感词提醒功能。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具备敏感词词库个性化配置功能。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相关报告调阅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具备在同一检查报告页面内查看患者科内历次检查报告及图像功能。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支持同一检查报告页面内查看患者跨科室（放射、内镜、病理、心电、检验等）的相关检查报告及图像功能。</w:t>
            </w:r>
          </w:p>
          <w:p>
            <w:pPr>
              <w:pStyle w:val="55"/>
              <w:autoSpaceDE w:val="0"/>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支持查看检查申请单、电子病历功能。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19</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 xml:space="preserve">病理检查信息系统 </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登记及收费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支持与院内业务系统对接，实现查看门诊、住院及体检的检查申请单。</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支持电子检查申请单的存档、打印功能。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具备患者信息手工登记功能。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具备患者“同名检索”，并展示关键信息协助患者匹配功能。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具备病理号规则自定义、升号、手动修改和删除后回收等功能。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具备术中冰冻检查的术后常规检查病例匹配和登记功能。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支持已发布报告在登记工作站打印。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支持门诊病人登记回执单打印。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具备对患者费用确认、退费、补费等操作功能。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具备登记环节留言功能。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具备VIP患者、绿色通道功能。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病理取材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具备已登记的未取材和已取材病例列表筛选查找功能。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具备补重取医嘱列表筛选查找功能。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具备关联的冰冻检查记录查看功能，可查看冰冻检查取材明细记录和报告结果功能。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具备术后常规病理检查自动导入术中冰冻病理检查的取材明细记录功能。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具备取材病例与取材记录员对应功能。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具备当日取材材块总数统计展示功能。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支持包埋盒打印。</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(3) 图像采集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支持与大体成像设备系统的对接，实现大体图像的获取。</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支持与光学显微镜对接，实现镜下图像的采集。</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具备已采集图像后处理功能，包括：导入、放大、裁剪、标注等。</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(4) 报告管理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检查报告处理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具备根据患者个人信息、检查信息进行检索，并打开检查记录进行报告书写功能。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具备按照未书写、未完成、已完成、已超期、待审核、未打印等不同报告状态快捷查询患者报告列表功能。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具备以不同颜色标识不同病理状态的患者病例功能。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提供大、小标本的肿瘤疾病等多类别的结构化病理报告模板。</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具备按照患者检查项目自动匹配对应报告模板功能。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具备医生编辑与收藏报告模板功能。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具备管理员编辑、添加报告公有模板功能。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具备在同一份取材报告中追加或替换模板功能。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具备报告编辑中锁定功能。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具备急诊及危急患者在报告列表中优先排列功能。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具备登记及技师留言查看功能。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具备电子申请单查看功能。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具备报告编辑区域放大缩小、明暗度调整、上下角标标记功能。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具备报告打印自动缩页，无需手动调整功能。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具备报告书写展现所见即所得预览，打印与当前展示页面完全一致功能。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具备报告自动保存功能。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支持与CA对接，实现报告电子签名功能。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具备修改痕迹对比及修改记录查看功能。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具备报告驳回功能，并可录入报告驳回原因功能。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具备向报告医生发送报告被驳回（审核不通过）消息提醒。</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具备向报告医生发送报告超时提醒。</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具备向审核医生发送报告再次提交消息提醒。</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病理危急值提醒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具备对报告中出现的危急值进行判断并提示功能。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具备根据医院需求对危急值字段配置功能。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临床报告调阅管理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支持通过与院内业务系统对接，实现临床调阅患者既往检查报告。</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相关报告调阅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具备在同一检查报告页面内查看患者科内历次检查报告及图像功能。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支持与其他业务系统对接，实现同一检查报告页面内查看患者跨科室（放射、超声、内镜、心电、检验等）的相关检查报告及图像功能。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支持查看检查申请单、电子病历功能。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敏感词提醒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具备敏感词提醒功能。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具备敏感词词库个性化配置功能。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统计报表及条件查询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具备多维度统计查询及导出功能。</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具备快捷查询（姓名、性别、日期等）及高级查询两种查询功能。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体检管理信息系统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体检费用管理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体检收费管理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具备定位查询自费账单和单位账单，查询自费账单功能。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具备收费并打印收据功能。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具备全部退费和部分退费功能。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具备查看收费记录功能。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支持对接收费报价器，实现收费时语音提示功能。</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个人体检账单管理</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具备个人体检项目账单收费信息及明细项目账单显示功能。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具备个人体检项目账单增加、修改、删除功能。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具备信息修改功能，包含：基本信息、体检信息、体检项目信息、体检费用信息。</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具备体检过程中项目变更（加项目或退项目）、账单费用变更的处理功能。</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单位账单管理</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具备统计单位人员体检情况、项目信息及费用信息功能。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具备新建单位人员账单，支持对单位部门进行单独结账功能。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具备新建账单时按体检日期、分组对体检人员进行筛选功能。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具备对体检人员结算方式的选择，包括按分组结算、按项目合计结算功能。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体检基础业务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体检电生理设备联机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支持与身高体重仪、电子血压计、动脉硬化检测、骨密度检测、人体成分、脑血流、眼底摄片、肝纤维、C13/C14等检查设备联机，自动获取体征数据。</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个人/单位体检管理 </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个人体检登记管理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具备基本信息登记功能，通过卡号/姓名/拼音/身份证号定位人员信息。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具备基本信息登记时直接读取身份证的信息与照片功能。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支持用摄像头现场进行人员的照片信息采集。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具备模糊匹配系统中存在的人员信息功能。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具备项目登记时，输入/修改体检的整体优惠比例或某一个体检项目的优惠比例功能。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具备可选套餐列表,显示已经设定的可选体检套餐功能，可为个人增加体检套餐。</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具备项目登记时，增加非套餐项目功能。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具备复制当前人员历史体检记录的项目，具备复制当天其他散客体检登记的项目功能。</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个人关键信息维护</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具备对人员基本信息进行维护及修改功能。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具备按照姓名、身份证、卡号定位个人功能。</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单位信息维护</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具备增加单位信息功能。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具备维护原有单位信息功能。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具备新增一个团队或删除当前的团队，可按代码、拼音、五笔选择团队，显示团队基本信息及单位信息功能。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具备维护多种团队记录体检状态，如未体检、体检中、体检结束功能。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具备按机构区分单位，不同机构可增加不同单位功能。</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单位分组管理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具备不同单位分组设置不同结算方式进行费用管理功能。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具备对同一单位的体检人员进行分组功能。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具备对不同分组设置选择不同优惠折扣功能。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具备对不同分组设置选择不同套餐功能。</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单位预约管理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当面临人数过多的单位体检时，提前预约体检及登记，能有效的减少体检人员在体检时排队等候的时间，并且能够减轻登记员的工作量，给予体检中心相应的时间进行合理的安排，保证体检资源的合理分配。要求如下：</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具备单个人员预约信息添加功能。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具备管理、添加、删除预约体检单位人员信息功能。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具备EXCEL导入或导出体检单位人员、部门功能。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具备体检单位人员自动分组或手动分组功能。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具备体检单位人员批量设置分组功能功能。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具备体检单位人员批量正式登记功能。</w:t>
            </w:r>
          </w:p>
          <w:p>
            <w:pPr>
              <w:pStyle w:val="55"/>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单位体检项目修改</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单位人员体检过程中可进行临时增加人员体检，也可对单位体检人员进行项目变更（加项目、退项目、打折）的处理。要求如下：</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具备正在体检的单位临时增加人员体检功能。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具备将新增加的个人体检列入已存在或新增加的分组中功能。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具备对新增加的个人体检项目进行单独的修改、增加、删除操作。对于单位体检人员，正式登记后，可进行项目修改功能。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具备批量增加、批量删除、批量修改分组功能。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具备导入体检人员照片信息功能。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具备人员模糊检索及精确定位功能，具备多选及快捷键多选功能。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具备批量发送、回收账单功能。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检中流程管理 </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检中全流程服务</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统一管理体检人员确认到检、导检单条形码打印、信息更改、放弃项目、延期检查、报告期限管理相关功能，同时图表显示体检进度统计。要求如下：</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具备新增加，删除，修改体检人员，维护人员信息功能。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具备体检人员照片设置或身份证扫描功能。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具备查找体检客户功能，包括：磁卡号、拼音、五笔、手机号、电话、单位等。</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具备智能检索功能，包括：精确定位、当天查询、高级查询。</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具备预览/打印导检单、条形码、收据单功能。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具备对体检人员的体检项目状态更改功能。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具备查询统计体检人员体检情况功能。</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体检结果录入</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实现医生对体检人员的相关检查结果完成录入工作。医生录入或修改常规项目检查结果的功能界面，提供相关字典选项辅助输入，同时显示同一体检人员历次体检结果对比。要求如下：</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具备对各科体检结果和个人资料的查看和录入功能。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具备在体检结果录入时默认、异常结果鼠标选择录入、异常结果自由组合选择录入、异常结果编码录入、数值结果极限值自动判断、数值结果偏高偏低自动提示、阳性结果自动标定功能。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具备血压、BMI指数的智能评价功能。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具备控制设置科室的医生才能对相应科室的结果进行录入。如内科医生只能对体检人员的内科检查项目进行录入功能。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具备通过开关设置是否可以有某个人进行对体检结果的统一录入功能。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具备初步意见直接选择初步意见模板功能。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具备输入结果的校验功能，不符合条件的不能通过功能。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具备自动读取检验、检查项目结果，并自动引用功能。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具备医生查询当前已体检人员数量，待体检人员数量功能。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具备查看当前体检人员历史体检报告信息并进行对比功能。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具备在体检中录入检查项目报告功能。</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个人历次体检对比</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系统为同一病人提供唯一号标志。当体检人员再次进行体检后，系统进行唯一号识别。识别成功后，可对此体检人员进行数据对比分析功能。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具备通过信息精确定位、对象模糊定位、体检日期定位检索体检人员功能。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具备选择人员后，系统根据病人内码(即唯一值)检索人员历史记录功能。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具备检索完成后，展示对比信息功能。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具备数值型数据折线图展示功能。</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工作量统计</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各式各样统计报表功能，包括：受检人体检情况统计、医生工作量统计、综述疾病诊断汇总、收费项目统计、疾病人员列表统计、体检人员状态查询、未体检项目汇总、未检项目人员名单汇总、体检结论统计。</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财务统计分析</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具备个人体检项目的多次账单结算与查询功能。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具备单位体检项目的多次账单结算与查询功能。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具备各种帐务统计和相关报表打印输出功能。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具备体检项目的新增、修改、价格的调整功能。</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自定义智能综合分析</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具备快捷自定义查询功能，可根据实际需要查询特定的数据。</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综述查询统计</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具备指定时间段、体检对象单位或个人进行体检总检综述查询功能。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具备将查询结果导出为PDF，EXCEL格式进行相关统计分析功能。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(3) 体检报告管理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体检报告管理 </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体检报告</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体检报告管理作用于体检人员体检结束，总检后，对体检人员体检报告进行打印，签收，发放等操作。支持多种样式（如精装、标准、简易版）的体检报告批量打印、导出PDF的功能。按要求如下</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具备体检报告期限控制，避免出现超时功能。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具备展示心电图、B超、放射的图文报告功能。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具备精确、模糊检索体检人员功能。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具备预览体检人员报告功能。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具备批量打印体检人员报告功能。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具备内部签收体检报告功能。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具备体检报告发放记录功能。</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单位报告</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具备人员分布统计，包括：统计体检人员所属年龄段，以及每个年龄段所包含的人员数量及所占比率功能。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具备疾病综合统计，统计本单位，本次体检中，包含的疾病数量，以及疾病对应的人数及所占比率功能。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具备单项疾病统计，统计每种疾病人数、比率及对应人员功能。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具备按单位信息多次体检情况查询功能。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具备单位体检的已检人员及项目、未检人员及项目的查询功能。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具备设置单位报告的各类选项，支持PDF形式电子报告的导出功能。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检验数据管理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支持对接医院实验室信息系统，可按选择接收检验结果，对检验结果进行自动分析，并将检验数据及分析结论集成到体检报告中。</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检查数据管理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支持对接医院放射科信息系统，可按选择接收检查结果，对检查结果进行自动分析，并将检查数据、报告图像及分析结论集成到体检报告。</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(4) 体检评估审核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总检评估 </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具备按姓名、登记日期、体检状态、总检状态筛选体检人员功能。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具备查看体检人员的体检结果、个人信息、历次体检异常结果对比功能。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具备自动汇总各科室的异常结果，用红色标识阳性项目。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具备对体检人员的综述内容进行修改功能。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具备对体检人员自动生成体检异常结论和健康建议，具备异常结论的排序、合并、编辑功能。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具备选择不同体检报告模板预览打印体检报告功能。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具备对需要复查的人员进行复查项目登记功能。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具备儿童生长曲线的设置、生成与显示功能。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总检审核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具备对总检后的体检报告进行在线审核功能，具备“审核通过”和“驳回报告”的操作功能。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具备“驳回报告”的查询功能，报告总检人员可在“总检评估”的人员查询框中查询被驳回的人员及相关驳回建议。</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检验结果智能评估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支持对接医院实验室信息系统，体检系统可根据预设评估规则，对获取的检验数据进行智能判断，给出初步的评估建议，具体要求如下：</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具备结果录入时，输入结果后，可根据结果自动关联出对应的初步意见等。对于一些特殊项目也有相应的智能处理设置、生成与显示功能。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具备设置数据项目的参考范围之后，将结合性别、年龄、项目结果来判断，如果异常将置该项目为阳性标志并自动生成相应的初步意见功能。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具备计算项目的处理功能：设置计算公式，输入与公式参数相关的项目结果后，将依据公式计算出目标项目的结果（公式的有效域为同一体检项目下的明细项功能）。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具备乙肝项目组合判断生成诊断及建议功能。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具备根据检验异常自动生成诊断、异常并生成相应的健康建议功能。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具备多种检验指标异常排列组合生成不同的疾病诊断功能。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检查结果智能评估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支持对接医院放射科信息系统，体检系统可根据预设评估规则，对获取的检查数据进行智能判断，给出初步的评估建议，要求如下：</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具备结果录入时，输入结果后根据结果自动关联出对应的初步意见等。对于一些特殊项目也有相应的智能处理设置、生成与显示功能。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具备设置数据项目的参考范围之后，结合性别、年龄、项目结果来判断，如果异常将置该项目为阳性标志并自动生成相应的初步意见功能。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具备计算项目处理功能：设置计算公式，输入与公式参数相关的项目结果后，将依据公式计算出目标项目的结果公式的有效域为同一体检项目下的明细项功能。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具备根据检查异常自动生成诊断并生成相应的健康建议功能。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检后健康建议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系统提供健康管理知识库，可根据体检结果，智能化自动生成相应的检后健康建议，满足医生便捷高效的总检操作。</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(5) 检后回访管理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具备针对各个客户的检查结果，制定个性化的周期回访计划功能。</w:t>
            </w:r>
          </w:p>
          <w:p>
            <w:pPr>
              <w:pStyle w:val="55"/>
              <w:autoSpaceDE w:val="0"/>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具备电话、短信回访任务安排功能。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21</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药库管理系统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b/>
                <w:bCs/>
                <w:color w:val="000000"/>
                <w:sz w:val="28"/>
                <w:szCs w:val="28"/>
                <w:lang w:val="en"/>
              </w:rPr>
              <w:t>(1) </w:t>
            </w:r>
            <w:r>
              <w:rPr>
                <w:rStyle w:val="27"/>
                <w:rFonts w:hint="eastAsia" w:ascii="仿宋" w:hAnsi="仿宋" w:eastAsia="仿宋" w:cs="仿宋"/>
                <w:color w:val="000000"/>
                <w:sz w:val="28"/>
                <w:szCs w:val="28"/>
                <w:lang w:val="en"/>
              </w:rPr>
              <w:t>药品字典及价格管理</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药品字典设置</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具备对药品字典进行维护，包括：新增、修改、停用药品，新增药品分类，规格、产地切换功能。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具备针对药品设置医保的报销标识，包括：药品甲、乙类设置、医保代码对应设置功能。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具备新增、修改、停用药品规格、产地、别名等基本信息功能。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具备药品规格目录、产地目录打印和导出Excel功能。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具备药品临床目录多个属性设置功能，如药品名称、拼音、五笔、分类码、药品剂型、所属库房、剂量单位，可以根据设置的所属库房和账目类别过滤药品信息。</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具备带量采购、带量级别、带量议价标志及重点监控药品标志、国家谈判药品、国家医保谈判药品标志的维护功能。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具备维护院内临购药品标志、GCP药品标志和GCP药品课题编号功能，临床医生可以根据此标志判断处方的流转流程。</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具备根据药品大类和药理作用分类过滤药品字典信息，达到快速定位药品功能。</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药品价格管理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具备进价、批发价、零售价三种价格管理功能。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具备展示进销差额、结存金额功能。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具备药品顺加作价及顺加作价药品的范围设置（具体到单个药品）、进价加成比设置功能。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具备药品在入库、调价时自动根据顺加作价规则计算出药品价格。</w:t>
            </w:r>
          </w:p>
          <w:p>
            <w:pPr>
              <w:pStyle w:val="55"/>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多价格方案</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具备全院药品统一价格管理功能，进价采用加权平均进价管理模式。</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具备全院药品统一零售价，多进价管理模式，允许药品在同一时间点零售价都相同。</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具备全院药品多进价，多零售价的管理模式，允许药品在同一时间点存在多个零售价。</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具备药品系统模式一键升级功能，从较低的模式升级到较高模式，在确认全院进价零售价方案选择之后，系统先自动判断台账的平衡关系，再完成模式升级。</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b/>
                <w:bCs/>
                <w:color w:val="000000"/>
                <w:sz w:val="28"/>
                <w:szCs w:val="28"/>
                <w:lang w:val="en"/>
              </w:rPr>
              <w:t>(2) </w:t>
            </w:r>
            <w:r>
              <w:rPr>
                <w:rStyle w:val="27"/>
                <w:rFonts w:hint="eastAsia" w:ascii="仿宋" w:hAnsi="仿宋" w:eastAsia="仿宋" w:cs="仿宋"/>
                <w:color w:val="000000"/>
                <w:sz w:val="28"/>
                <w:szCs w:val="28"/>
                <w:lang w:val="en"/>
              </w:rPr>
              <w:t>药库库存管理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具备药品入库，实现药品从供货商到药库入库功能。提供了正常入库、挂帐入库、赠送入库、制剂入库、红冲五种方式。</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具备货到发票未到可以先入库，发票到了可以使用“在途冲证”对入库单进行冲证功能。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具备药品退货，提供正常退库、挂帐退库、赠送退库、制剂退库4种方式进行不同业务操作功能。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具备挂帐冲证，对于挂帐方式退货的药品，发票到后对退货单进行冲证功能。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具备入库撤销，提供整张药品入库单进行撤销功能，可以通过入库单号、发票号、供货商、入库时间的条件检索到入库单后进行撤销操作。</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出库，可生成药库向二级药房出库的出库单，可接收药房申请单、输入新的出库单的功能。提供手工录入或按请领单生成出库信息，按先进先出原则出库，药房退库药库接收入库时自动获取药品批次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具备从药房退入药库的药品，提供接收、复核、拒绝药房退库申请单功能。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具备科室发药通过手工录入、取请领单的方式向科室或病区发药，提供对发药单复核记帐、单据打印功能。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具备科室退药通过手工录入、取科室发药单的方式进行科室或病区退药，提供对退药单复核记帐、单据打印功能。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具备药房科室请领单，提供科室或病区向药库发起药品请领申请功能。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具备义诊药品、慈善药品及其它公药药品出库，同时在月结报表里区分出科室出库和公药出库操作功能。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具备药品报损、报溢功能，使药品能够及时规范地得到处理，防止药品流失，有效控制损耗率在合理范围。</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具备职工发药、退药，提供药品的职工发药/退药单录入、修改、复核记帐、单据打印功能。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具备药品调拨申请，提供向其它药库申请药品调拨，对其它药库的调拨申请进行复核记帐功能。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具备院内药库之间进行药品调拨功能，以调剂药库间的药品库存量。</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具备药品加工调拨，完成和加工药库间的药品调入调出工作，以调剂药库间的药品库存量功能。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具备药品调价，提供立即调价和定时调价功能。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具备药品盘点，提供单人、多人盘点及快照盘点功能。多人录入的盘点单通过盘点界面的单据合并功能可以合并成一张盘点单后再进行记账操作，快照盘点则可以根据快照操作的时间点的生成当时的库存盘点单。</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具备药品养护，提供记录药品养护情况，如养护措施、质量情况、养护结果、养护人员、温度、湿度信息功能。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具备药品批次控制，被控制的批次药品将不能进行出库、发药等操作，同时提供恢复被控制的批次药品功能。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具备供货商药品付款功能，提供按发票和单据号检索方式生成付款单，同时提供付款对账、调价差价单录入功能。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具备药库台帐的查询和打印功能。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具备药品对帐、台帐月结，并提供统一由药库做全院台帐月结功能。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具备生成采购计划，提供计划报警查询，同时进行药品效期、高低储系数及预警阀值设置的功能。支持按消耗量和预购天数自动生成采购计划单；支持对采购计划单进行审核。</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支持最佳采购量生成采购计划单。</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支持失效药品报警查询，可以按照提前天数或按照报警日期进行查询定位药品。</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支持药品高低储报警，可以设置报警系数。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具备入库查询、退库查询、退货查询、调价查询、调价通知单查询、盘点查询、报损报溢查询、出库查询、科室发药查询、退货查询、库存查询、药品知识查询、药品基本信息查询、药品树型查询的功能。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基本报表功能，如：进销存月报、特殊药品统计报表、药品帐单汇总表、药品帐单明细表、进货排行榜、药品进货历史表、出库排行榜、药品出库历史表、供应商联系单、药品申购表、药品入库汇总表、在途药品统计表、药品计时统计表的功能，并提供外挂报表。</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具备药品操作单位设置功能。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具备药库药品维护功能,可以单独维护和设置药库药品的控制标志、管理标志、存放位置。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具备设置药库系统的启用，同时启用年月可选择功能。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具备进行药库药品的控制属性设置，控制药库对设置药房的入出库功能。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具备进行药品批量期初设置功能。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具备药库台帐模板设置功能。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具备设置多个药库，并可分别对每个药库设置管理药品的范围功能。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具备药库药品批号和效期维护功能。系统初值设置后会自动生成药品的批号和效期，可以通过批号和效期维护进行调整。</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具备药品追溯码处理功能，药品入库和退货支持扫描追溯码录入。</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具备药品台帐校验功能，通过工具辅助对台帐数据和系统使用的环境参数进行校验处理。</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22</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门诊药房管理系统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b/>
                <w:bCs/>
                <w:color w:val="000000"/>
                <w:sz w:val="28"/>
                <w:szCs w:val="28"/>
                <w:lang w:val="en"/>
              </w:rPr>
              <w:t>(1) </w:t>
            </w:r>
            <w:r>
              <w:rPr>
                <w:rStyle w:val="27"/>
                <w:rFonts w:hint="eastAsia" w:ascii="仿宋" w:hAnsi="仿宋" w:eastAsia="仿宋" w:cs="仿宋"/>
                <w:color w:val="000000"/>
                <w:sz w:val="28"/>
                <w:szCs w:val="28"/>
                <w:lang w:val="en"/>
              </w:rPr>
              <w:t>门诊药房库存管理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具备药房入库请领，完成药房向药库发起药品请领申请功能，提供按进货单位和进货系数智能请领功能。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具备药品入库，对于药库出库给本药房的药品，可以进行接收或拒绝功能。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具备入库确认和单据打印功能。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具备药房退库，可以新建、修改、删除药房退库单功能。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具备药房调拨请领功能。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具备各同级药房间的药品调拨功能。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具备科室发药/退药，科室发药单/退药单录入、维护、复核记帐、单据打印功能。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具备职工发药/退药，职工发药单/退药单录入、维护、复核记帐、单据打印功能。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具备病区科室发药申请功能。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具备三种药房盘点模式：单人盘点、多人盘点、快照盘点，提供多种盘点方式：自定义方式、模板方式、自由录入。提供药品库存使用ABC盘点方式功能，可以进行盘点单打印。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具备药房按照批次进行盘点功能，在多进价模式下，单人盘点、多人盘点可以选择到具体的药品批次操作，并按照对应批次生成盘点单。</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具备药房药品的报损与报溢功能。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具备药房外部入库功能，药房可以直接对院外单位的药品进行入库操作。</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具备药房外部入库撤销功能，根据入库单号、发票号、供货单位、入库时间查询入库单后，对整张单据进行撤销操作并处理库存。</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具备二级药房出库、三级药房入库功能。二级药房选择本药房的药品向三级药房出库后，通过进入三级药房进行入库接收或拒绝接收。</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具备三级药房退库、三级药房退库接收功能。三级药房向二级药房发起退库后，二级药房通过进入三级药房退库接收的功能菜单进行确认入帐或拒绝接收操作。</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具备财务管理功能，提供药房台帐、药品对帐、台帐月结、药品库存与台帐核对及台帐单据核对功能。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具备药品日台帐查询、操作员日结及日帐单打印功能。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具备入库查询、退库查询、外部入库查询、退货查询、调价查询、盘点查询、报损报溢查询、出库查询、科室发药查询、库存查询功能。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具备GCP药品的入库、出库的相关业务处理、GCP药品库存查询功能。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b/>
                <w:bCs/>
                <w:color w:val="000000"/>
                <w:sz w:val="28"/>
                <w:szCs w:val="28"/>
                <w:lang w:val="en"/>
              </w:rPr>
              <w:t>(2) </w:t>
            </w:r>
            <w:r>
              <w:rPr>
                <w:rStyle w:val="27"/>
                <w:rFonts w:hint="eastAsia" w:ascii="仿宋" w:hAnsi="仿宋" w:eastAsia="仿宋" w:cs="仿宋"/>
                <w:color w:val="000000"/>
                <w:sz w:val="28"/>
                <w:szCs w:val="28"/>
                <w:lang w:val="en"/>
              </w:rPr>
              <w:t>门急诊发药、配药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具备药房代码属性设置功能，设置药房类别：二级药房、三级药房属性，可处理账目类别、所属类别：门诊药房、住院药房，是否允许住院发药、配药即发药、虚拟药房的标志。</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具备通过磁卡、保障卡、IC卡、病历号、姓名、扫描枪（结算收据号）、处方号方式检索患者处方信息并发药功能。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具备发药完成后，自动记录发药人员信息同时更新药房库存功能。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具备药品冻结维护功能。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具备接收全院处方、仅本药房处方、仅本窗口处方并发药功能。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具备自动和手动两种方式检索患者并打印配药单功能。提供窗口自动均衡/完全平均/日处方量平均的分配方式。提供配药完成后自动发药并记录调剂人员信息，可以打印瓶签功能。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具备配发药人员的工作量统计、核对功能。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具备门诊煎药管理功能。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具备病人退药功能，可通过磁卡、保障卡、IC卡、病历号、姓名、扫描枪（结算收据号）、处方号方式检索患者退药信息进行退药功能。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具备按收据号、患者、开方医生、配药人员、发药人员、时间段进行处方查询功能。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具备精麻药品处方的交接记录和空瓿瓶销毁记录功能。</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具备药品追溯码处理功能，自动将追溯码与患者进行绑定，用于后续药品的追溯。</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23</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住院药房管理系统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b/>
                <w:bCs/>
                <w:color w:val="000000"/>
                <w:sz w:val="28"/>
                <w:szCs w:val="28"/>
                <w:lang w:val="en"/>
              </w:rPr>
              <w:t>(1) </w:t>
            </w:r>
            <w:r>
              <w:rPr>
                <w:rStyle w:val="27"/>
                <w:rFonts w:hint="eastAsia" w:ascii="仿宋" w:hAnsi="仿宋" w:eastAsia="仿宋" w:cs="仿宋"/>
                <w:color w:val="000000"/>
                <w:sz w:val="28"/>
                <w:szCs w:val="28"/>
                <w:lang w:val="en"/>
              </w:rPr>
              <w:t>住院药房库存管理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具备药房入库请领，完成药房向药库发起药品请领申请功能。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具备药品入库，对于药库出库给本药房的药品，可以进行接收或拒绝功能。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具备入库确认和单据打印功能。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具备药房退库功能，可以新建、修改、删除药房退库单。</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具备药房调拨请领功能。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具备各同级药房间的药品调拨功能。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具备科室发药/退药，科室发药单/退药单录入、维护、复核记帐、单据打印功能。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具备职工发药/退药，职工发药单/退药单录入、维护、复核记帐、单据打印功能。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具备病区科室发药申请功能。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具备三种药房盘点模式：单人盘点、多人盘点、快照盘点，提供多种盘点方式：自定义方式、模板方式、自由录入功能。提供药品库存使用ABC盘点方式的功能，可以进行盘点单打印。</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具备药房按照批次进行盘点的功能，在多进价模式下，单人盘点、多人盘点可以选择到具体的药品批次操作，并按照对应批次生成盘点单。</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具备药房药品的报损与报溢功能。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具备药房外部入库功能，药房可以直接对院外单位的药品进行入库操作。</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具备药房外部入库撤销功能，根据入库单号、发票号、供货单位、入库时间查询入库单后，对整张单据进行撤销操作并处理库存。</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具备二级药房出库、三级药房入库功能。二级药房选择本药房的药品向三级药房出库后，通过进入三级药房进行入库接收或拒绝接收。</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具备三级药房退库、三级药房退库接收功能。三级药房向二级药房发起退库后，二级药房通过进入三级药房退库接收的功能菜单进行确认入帐或拒绝接收操作。</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具备财务管理，提供药房台帐、药品对帐、台帐月结、药品库存与台帐核对及台帐单据核对功能。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具备入库查询、退库查询、外部入库查询、退货查询、调价查询、盘点查询、报损报溢查询、出库查询、科室发药查询、库存查询功能。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具备按科室，病区发药功能，同时可以统计调剂人员的工作量。</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b/>
                <w:bCs/>
                <w:color w:val="000000"/>
                <w:sz w:val="28"/>
                <w:szCs w:val="28"/>
                <w:lang w:val="en"/>
              </w:rPr>
              <w:t>(2) </w:t>
            </w:r>
            <w:r>
              <w:rPr>
                <w:rStyle w:val="27"/>
                <w:rFonts w:hint="eastAsia" w:ascii="仿宋" w:hAnsi="仿宋" w:eastAsia="仿宋" w:cs="仿宋"/>
                <w:color w:val="000000"/>
                <w:sz w:val="28"/>
                <w:szCs w:val="28"/>
                <w:lang w:val="en"/>
              </w:rPr>
              <w:t>住院发药、摆药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具备药房代码属性设置功能，设置药房类别：二级药房、三级药房属性，可处理账目类别、所属类别：门诊药房、住院药房，虚拟药房标志。</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具备单个患者发药，按床位，住院号，磁卡，保障卡，IC卡检索患者发药信息并发药功能。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具备打印病区药品汇总单、病人药品明细单，并支持发药单据补打。</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具备按不同发药单据发药，如针剂、口服药、输液、长期、临时、草药、西药单据发药功能。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具备病区医嘱（除了需要摆药的药品）、出院带药、婴儿、小处方、医技科室、手术室发药功能。可以选择按单个病区，单个病人及单个病人的单条领药请求记录进行发药。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具备病区摆药功能。提供对所有病区，手术室，医技科室，二级药柜摆药；并提供摆药单据补打的功能；可以选择按单个病区，单个病人及单个病人的单条领药请求记录进行发药。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具备住院病人医嘱、出院带药、住院小处方、婴儿处方已发药品的退药申请接收或拒绝功能。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具备进行留观病人退药退费功能。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具备病区退药接收功能。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具备草药房接收病区的草药发药请求，草药处方作废功能。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住院药房领药单取货核对功能。药房发药后根据发药单、货架号扫码定位领药信息进行核对，核对完成后再交给配送人员，同时记录配送人、配送时间信息，待病区护士签收后记录签收人相关信息，实现中心药房病区药品配送的闭环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具备精麻药品处方的交接记录和空瓿瓶销毁记录功能。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支持药品追溯码处理流程。支持现有发药流程进行三码核对，并且自动将追溯码与患者进行绑定，用于后续药品的追溯。</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 xml:space="preserve">支持住院药房多线程异步发药，允许多个病区同时进行发药处理。 </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24</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抗菌药物管理系统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抗菌药物规则设置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具备抗菌药物等级设置功能，包括非限制性、限制性和特殊级抗菌药物。</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具备按职称和按医生两种方式设置医生抗菌药物使用权限功能。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具备医生抗菌药物审批权限设置功能，包括联合用药、三级管控、特殊级抗菌药物会诊和围手术期用药审批权限。</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具备围手术期规则设置功能，包括按手术、切口等级、科室、用药时机类别，设置对应条件内抗菌药物使用方式（申请使用或直接使用）。</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抗菌药物联合用药控制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具备触发联合用药控制条件设置，包括联合用药上限设置。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具备联合用药审批流程设置和联合用药申请审批。</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(3) 抗菌药物三级管理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具备开立抗菌药物时，按医生使用权限控制是否允许使用。</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具备紧急情况下，医生临时越级使用抗菌药物，事后24h内医生补审核流程。</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具备抗菌药物治疗使用目的，控制医生必须确认微生物送检功能。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具备特殊级抗菌药物使用，严控走会诊申请审批流程功能。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具备抗菌药物长期用药时长控制功能，系统按照设置规则提醒医生用药评估。</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(4) 围手术期预防性抗菌药物管理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具备围手术期规则设置，包括按手术、切口等级、科室、用药时机类别，设置对应条件内抗菌药物使用方式（申请使用或直接使用）。</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具备围手术期用药，按手术切口等级控制用药时长。</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具备围手术期用药申请审批，记录审批意见、审批时间、审批人。</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25</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危急值管理系统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支持与检检系统、检查系统，病理系统，输血系统，心电系统、临床系统对接，实现临床系统危急值提醒和并将医师、护士处理结果反馈到医技系统功能。</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支持短信平台、微信公众号对接，实现危急值以微信、短信的形式推送功能。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26</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病案统计管理系统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病案首页 </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病案首页录入</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支持与临床信息系统进行接口对接，接入病案首页数据。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具备接收病案首页数据和是否已录入状态查询功能。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具备病案首页内容按基本信息、诊断信息、住院信息、手术信息、费用信息等模块划分，快速定位首页信息功能。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具备其他诊断、手术信息录入条目不受限制功能，可进行新增、插入、上移、下移、删除和手术复制操作。</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具备国家和各省卫计委最新发布的标准中、西医病案首页录入功能。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具备病案首页维护功能，包括修改病案号、次数、姓名和删除病案。</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sz w:val="28"/>
                <w:szCs w:val="28"/>
                <w:lang w:val="en"/>
              </w:rPr>
              <w:t>具备首页录入质控规则配置功能：系统内置质控规则知识库，包括公立医院绩效考核上报、HQMS上报。</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sz w:val="28"/>
                <w:szCs w:val="28"/>
                <w:lang w:val="en"/>
              </w:rPr>
              <w:t>具备质控场景维护功能，不同的时间段、不同科室可启用质控体系下的不同评分项和评分规则，质控规则可以设置成错误类或提示类。</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sz w:val="28"/>
                <w:szCs w:val="28"/>
                <w:lang w:val="en"/>
              </w:rPr>
              <w:t>具备首页录入保存对首页数据的质量进行问题校验功能，返回所有错误问题列表。编码员可对问题进行忽略。点击具体的一个问题时，会自动定位到具体的首页录入框，且首页录入框会进行颜色标记并显示问题原因。</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sz w:val="28"/>
                <w:szCs w:val="28"/>
                <w:lang w:val="en"/>
              </w:rPr>
              <w:t>具备配置首页录入模板功能，可通过拖拽新增首页模板中的各个首页项，拖拽调整首页项位置，修改首页分类和展示的栅格布局等。同时可在首页录入模板中直接配置所有首页字段是否必填、录入约束、长度、默认值（固定值/字典、其他首页项）、备注、是否禁用等。首页录入时，用户可以自定义配置标题、录入框、提示等字体大小和背景颜色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sz w:val="28"/>
                <w:szCs w:val="28"/>
                <w:lang w:val="en"/>
              </w:rPr>
              <w:t>具备默认模式和护眼模式供切换功能。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具备修改留痕功能，首页所有首页项的内容修改后都可以查询修改记录，包括修改前和修改后的数据对比，以及修改人和修改时间。</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支持与医院信息系统对接，在首页录入时重新导入患者最新的费用信息。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支持与病案无纸化系统对接，在首页录入时同时显示病案无纸化的患者PDF病历文件。</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具备在录入界面快捷切换到上/下一份待录入或检索病案号的首页数据继续进行录入功能。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病案首页查询</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具备多种病案首页查询功能，包括：按病案号、出院日期、录入时间、出院科室、手术诊断、手术医生、住院医生、主要诊断和次要诊断。</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具备自定义配置综合查询的查询条件和结果显示模板功能，所有首页字段可作为查询条件，拖动首页项可任意组合成查询条件模板保存或者直接进行查询。</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sz w:val="28"/>
                <w:szCs w:val="28"/>
                <w:lang w:val="en"/>
              </w:rPr>
              <w:t>具备设置排序字段功能，可设置按患者显示，按诊断多行显示，还是手术多行显示。</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具备所有首页字段作为查询结果展示功能，选择首页自动可任意组合成查询结果模板。</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数据字典管理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具备标准字典查询和维护功能，包括诊断字典、手术字典、地址字典、付款方式字典、关系字典、麻醉方式字典等。</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sz w:val="28"/>
                <w:szCs w:val="28"/>
                <w:lang w:val="en"/>
              </w:rPr>
              <w:t>自带多套标准字典版本，可根据时间段可启用不同版本。</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具备权限科室维护功能，包括操作人员在每个菜单下的权限科室、权限病区和工作科室。</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具备病案处理时效配置功能，包含病案首页录入、医生提交的及时、逾期天数维护。</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具体在病案主页中显示病案待办项和用户自己的常用功能，待办项包括本期首页提交和首页录入的待办项和数量，点击数量跳转到对应的数据列表。</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纸质病案回收</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支持与医院信息系统对接，查询出区/出院患者的基本信息。</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具备查询纸质病案回收情况、医生站病案首页是否提交状态功能。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具备多种签收方式功能，包括通过查询条件查询病案进行批量回收或扫码枪扫码病案条码一键回收，本次回收和今日回收的病案能分别直观展示。</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疾病汇总分析</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具备诊断汇总功能，对全院或者指定科室疾病，根据诊断类型，按照章节、类目、亚目、细目等展示排名情况表格和分布情况图表。</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具备疾病手术顺位结果导出功能。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具备患者明细显示字段配置功能。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手术汇总</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手术汇总功能，对全院或者指定科室手术，根据类目、亚目等查询手术排名情况。查询范围包括主要手术、所有手术、附加手术，手术类型包括手术、介入治疗、诊断性操作、治疗性操作，统计维度包括按台数、例数、人次，查询汇总结果包括编码、名称、总人数、总住院天数、住院总费用等。</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具体查询结果导出功能。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统计报表 </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日志管理</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支持从医院信息系统自动导入门诊和住院工作日志数据，包括门诊工作日志、病房工作日志等汇总和患者明细日志数据。</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具备各种工作日志的录入和修改功能。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sz w:val="28"/>
                <w:szCs w:val="28"/>
                <w:lang w:val="en"/>
              </w:rPr>
              <w:t>具备数据平衡功能，包括病案首页数据与病房动态日志数据间的平衡、日志自身的平衡关系。病房动态日志与病案首页数据之间平衡，可查看首页和日志的出院人数是否一致，可查看不一致数字差额的具体患者明细。日志自身的平衡，比如出院人数与死亡人数平衡等。</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具备多种日志输入方式功能，如按日期输入、按科室输入。</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具备日志查询功能，可按照日期和科室条件进行日志数据查询。</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门诊/住院报表统计</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具备多种类型报表直接汇总功能，包括：日、月、季、年报、增减表、台账、院内报表。</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具备日报、月报、季报、年报汇总后会自动保存汇总数据功能。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sz w:val="28"/>
                <w:szCs w:val="28"/>
                <w:lang w:val="en"/>
              </w:rPr>
              <w:t>具备报表加锁、解锁功能。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全指标报表统计</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提供不少于400个标准统计指标。</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具备通过自定义拖拽标准指标生成新报表功能。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具备报表多个常用维度，包括：科室维度、手术维度、病种维度、切口愈合等级维度、性别维度、时间维度等，并且可以组成多维度组。</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具备修改报表表头名称和调整列宽功能。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具备打印和导出所见即所得功能，打印和导出内容可随查询结果显示内容变化而变化。</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具备设置多表头显示、拖拽列进行排序、设置顺位表、设置固定值、添加序号列、设置排序列、添加总计行、添加冻结列等功能。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具备对已汇总过数据的报表加锁、解锁功能。</w:t>
            </w:r>
          </w:p>
          <w:p>
            <w:pPr>
              <w:pStyle w:val="55"/>
              <w:autoSpaceDE w:val="0"/>
              <w:ind w:firstLine="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病种管理</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具备病种分类设置功能，即自定义维护各种病种筛选条件。</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sz w:val="28"/>
                <w:szCs w:val="28"/>
                <w:lang w:val="en"/>
              </w:rPr>
              <w:t>具备病种筛选条件信息包含：按基本信息，如科室、住院天数、入院途径、年龄、住院次数。按诊断信息、按手术信息等条件组合而成，条件之间可自由组合成“且”“或”的单条件和条件组。</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具备病种报表的统计和病案首页查询功能。可通过维护的各种病种分类去配置成各种病种分类统计报表。病种报表中的病种分类基础数据可随政策要求变更，用户可以自定义维护变动的病种信息。</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(3) 国家网络直报系统 (卫统4表)上报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sz w:val="28"/>
                <w:szCs w:val="28"/>
                <w:lang w:val="en"/>
              </w:rPr>
              <w:t>具备根据国家网络直报出院病人调查表上报要求对病案首页进行批量核查功能，将核查出的错误列在列表上，包括首页基本信息、错误字段和值、错误提示和是否必改，可直接打开相应的病案首页进行修改。</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具备按照日期生成上报数据，导出卫统4通用的DBF格式文件，满足国家网络直报（卫统4表）的上报格式要求。</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sz w:val="28"/>
                <w:szCs w:val="28"/>
                <w:lang w:val="en"/>
              </w:rPr>
              <w:t>具备首页上报按照日期导出其他格式文件，包括CSV、Excel格式、Excel中文表头格式。</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具备对比原始值和生成值功能，生成结果中可对病案生成值和原始值进行导出前对比查看预览。</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具备上报字段和上报字典配置功能，管理员可新增上报字段、修改上报字段对应的病案字段，对应的字典等，</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具备维护上报字典是否必填、字段类型、长度和默认值功能。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(4) HQMS首页数据上报系统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sz w:val="28"/>
                <w:szCs w:val="28"/>
                <w:lang w:val="en"/>
              </w:rPr>
              <w:t>具备上报前进行病案首页数据验证功能，包括必填项、值域范围、接口标准(字段类型及长度等)的完整性验证结果。</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具备院内科室、手术、诊断等字典和上报要求标准字典进行对照设置功能，字典值名称相同，快速自动对照。</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具备生成满足HQMS上报格式要求的CSV文件进行导出功能。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具备首页上报按照日期导出其他格式文件，包括CSV、Excel格式、Excel中文表头格式。</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具备对比原始值和生成值功能，生成结果中可对病案生成值和原始值进行导出前对比查看预览。</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具备上报字段和上报字典配置功能，管理员可新增上报字段、修改上报字段对应的病案字段，对应的字典等。</w:t>
            </w:r>
          </w:p>
          <w:p>
            <w:pPr>
              <w:pStyle w:val="55"/>
              <w:autoSpaceDE w:val="0"/>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具备维护上报字典是否必填、字段类型、长度和默认值功能。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27</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医疗安全（不良）事件管理系统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不良事件上报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具备工作台事件统一处理界面，能快速进入上报事件功能以及待办事项实时提醒和处理功能。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具备权限管理功能，包括账号管理、账号权限管理、角色菜单管理。</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具备系统设置功能，包括字典项设置、参数设置、负责人设置。</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具备工作流设置功能，包括字段管理、表单管理、流程管理和环节管理。</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护理类不良事件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护理类不良事件的填报、处理、查询统计功能，包括烧烫伤事件、管路事件、跌倒/坠床事件、患者约束事件、误吸/误咽事件、营养与饮食事件、医疗安全事件、导管事件、标本事件、患者行为、压疮事件、输液不良反应、给药阶段错误、用血错误、病人财产事件、针刺伤事件、药品丢失、药物外渗、失禁相关性皮炎。</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具备对护理类不良事件表单模板进行调整功能。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具备匿名/非匿名上报以及跨级别上报。</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具体对事件进行分发、审核、驳回、跟踪、归档、作废、转送操作。</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支持与临床护理信息系统对接，实现自动获取压疮评分。</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医疗类不良事件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医疗类不良事件的填报、处理、查询统计功能，包括病人辨识事件、检查事件、手术事件、麻醉事件、医疗处置事件、非预期事件、医疗沟通事件、前术后诊断重大差异、信息传递错误事件、治疗错误事件、诊疗记录事件、方法/技术错误事件、手术相关并发症事件。</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具备对医疗类不良事件表单模板进行调整功能。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具备匿名/非匿名上报以及跨级别上报。</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具体对事件进行分发、审核、驳回、跟踪、归档、作废、转送操作。</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药品类不良事件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药品类不良事件的填报、处理、查询统计功能，包括药品不良反应、化妆品不良反应、药物医嘱开立错误、药物调剂错误、传送过程错误、信息流转错误、药品召回事件、贵重药品丢失及损毁事件、特殊药品事件。</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具备对药品类不良事件表单模板进行调整功能。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具备匿名/非匿名上报以及跨级别上报。</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具体对事件进行分发、审核、驳回、跟踪、归档、作废、转送操作。</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支持与医院管理信息系统对接，实现调阅用药信息功能。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输血类不良事件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具备输血类不良事件的填报、处理、查询统计功能，包括输血不良反应、输血不良事件。</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具备对输血类不良事件表单模板进行调整功能。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具备匿名/非匿名上报以及跨级别上报。</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具体对事件进行分发、审核、驳回、跟踪、归档、作废、转送操作。</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器械类不良事件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具备在不良事件管理工作台上，进行器械不良反应的填报、处理、查询统计功能。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具备对器械不良反应表单模板进行调整功能。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支持与物资管理系统对接，实现调阅医疗设备/医用耗材信息功能。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院感类不良事件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具备院感类不良事件的填报、处理、查询统计，包括聚集性医院感染、特殊医院感染事件、医院感染防控隐患、多重耐药菌事件、医疗废物事件。</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具备对院感类不良事件表单模板进行调整功能。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具备匿名/非匿名上报以及跨级别上报。</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具体对事件进行分发、审核、驳回、跟踪、归档、作废、转送操作。</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具备同时对多个患者、多个职工的感染情况进行上报功能。</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both"/>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28</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疾病监测报告管理系统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传染病报告卡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要求具备《中华人民共和国传染病报告卡》弹卡、填卡、校验、审核、查询、导出、打印功能。</w:t>
            </w:r>
          </w:p>
          <w:p>
            <w:pPr>
              <w:pStyle w:val="56"/>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传染病报告卡填报与审核 </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传染病报告卡填报</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具备传染病报告卡触发规则设置、过滤规则设置、强制填卡设置等功能。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具备自动触发传染病报告卡功能，也具备主动填卡功能。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具备填卡时自动获取患者基础信息（社会学信息、就诊信息、疾病信息）功能。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具备填卡时展示当前病例的历史传染病报告卡功能。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报卡提交时具备逻辑校验功能，不符合校验规则，则进行提示，提示项可集中展示。</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具备报告卡暂存/保存功能，暂存/保存不做逻辑校验。</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具备报告卡编号自动生成功能，且卡片编号规则可设置。</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传染病报告卡审核</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具备任务集中处理功能，待审核任务可下钻查看详情。</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具备报告卡审核通过、退卡、删卡、修订功能。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具备查看选中病例的报告卡详细信息功能。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具备批量审核、批量打印以及单张审核、单张打印功能。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具备报告卡筛选和查询功能，可根据报告卡状态（已保存未提交、已提交未审核、已审核、已退卡、已作废）、院区、科室/病区、时间进行筛选和查询。</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传染病报告卡登记簿</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具备传染病报告卡自动生成传染病登记簿功能。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具备登记簿病例筛选和查询功能，可根据日期、科室/病区等条件查询。</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具备传染病报告卡登记簿导出、打印功能。</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(2) 食源性疾病报告卡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要求具备食源性疾病报告卡弹卡、填卡、校验、审核、导出、打印功能。具体功能要求如下：</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食源性疾病报告卡填报</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具备食源性疾病监测哨点医院和非哨点医院的不同填报要求功能。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具备食源性疾病报告卡触发规则设置、过滤规则设置、强制填卡设置等功能。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具备根据触发规则自动触发食源性疾病报告卡功能，也具备主动填卡功能。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具备新增报告卡时自动获取患者基础信息（社会学信息、就诊信息、疾病信息）功能。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具备填报时展示当前病例历史报告卡功能。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具备报卡提交时进行逻辑校验功能，不符合校验规则，则进行提示，提示项可集中展示。</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具备报告卡暂存/保存功能，暂存/保存不做逻辑校验。</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具备报告卡编号自动生成功能，且卡片编号规则可设置。</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食源性疾病报告卡审核</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具备任务集中处理功能，待审核任务可下钻查看详情。</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具备报告卡审核通过、退卡、删卡、修订功能。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具备查看选中病例的报告卡详细信息功能。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具备批量审核、批量打印以及单张审核、单张打印功能。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具备报告卡筛选和查询功能，可根据报告卡状态（已保存未提交、已提交未审核、已审核、已退卡、已作废）、院区、科室/病区、时间进行筛选和查询。</w:t>
            </w:r>
          </w:p>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(3) 其他疾病报告卡 </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其他疾病报告卡填报</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具备根据触发规则自动触发相应的报告卡功能，也具备主动上报功能。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具备新增报卡时自动获取患者基础信息（社会学信息、就诊信息、疾病信息）功能。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具备填报时当前病例历史报告卡功能。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具备报卡提交时进行逻辑校验功能，不符合校验规则，则进行提示，提示项可集中展示。</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具备报告卡暂存/保存功能，暂存/保存不做逻辑校验。</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具备报告卡编号自动生成功能，且卡片编号规则可设置。</w:t>
            </w:r>
          </w:p>
          <w:p>
            <w:pPr>
              <w:pStyle w:val="55"/>
              <w:autoSpaceDE w:val="0"/>
              <w:ind w:left="0" w:leftChars="0" w:firstLine="0" w:firstLineChars="0"/>
              <w:rPr>
                <w:rFonts w:hint="eastAsia" w:ascii="仿宋" w:hAnsi="仿宋" w:eastAsia="仿宋" w:cs="仿宋"/>
                <w:color w:val="000000"/>
                <w:sz w:val="28"/>
                <w:szCs w:val="28"/>
                <w:lang w:val="en"/>
              </w:rPr>
            </w:pPr>
            <w:r>
              <w:rPr>
                <w:rStyle w:val="27"/>
                <w:rFonts w:hint="eastAsia" w:ascii="仿宋" w:hAnsi="仿宋" w:eastAsia="仿宋" w:cs="仿宋"/>
                <w:color w:val="000000"/>
                <w:sz w:val="28"/>
                <w:szCs w:val="28"/>
                <w:lang w:val="en"/>
              </w:rPr>
              <w:t>其他疾病报告卡审核</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具备任务集中处理功能，待审核任务可下钻查看详情。 </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具备报告卡审核通过、退卡、删卡、修订功能。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具备查看选中病例的报告卡详细信息功能。</w:t>
            </w:r>
          </w:p>
          <w:p>
            <w:pPr>
              <w:pStyle w:val="55"/>
              <w:autoSpaceDE w:val="0"/>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具备批量审核、批量打印以及单张审核、单张打印功能。</w:t>
            </w:r>
          </w:p>
          <w:p>
            <w:pPr>
              <w:pStyle w:val="55"/>
              <w:autoSpaceDE w:val="0"/>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 xml:space="preserve">具备报告卡筛选和查询功能，可根据报告卡状态（已保存未提交、已提交未审核、已审核、已退卡、已作废）、院区、科室/病区、时间进行筛选和查询。 </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29</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医疗统计报表系统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具备统计分析功能，包括：报表分析、对比分析。</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具备门急诊、住院、医技科室数据统计功能。</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具备门诊、急诊、病房统计报表功能，包括日报表、月报表、季报表等。</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具备病人分类统计功能。</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 xml:space="preserve">具备统计综合分析功能，包括门诊工作情况、出院病人分病种统计、工作量统计。 </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r>
        <w:tblPrEx>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adjustRightInd w:val="0"/>
              <w:snapToGrid w:val="0"/>
              <w:spacing w:line="240" w:lineRule="auto"/>
              <w:ind w:left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医疗保险接口</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pStyle w:val="54"/>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 xml:space="preserve">(1) 医疗保险接口 </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支持与医保结算系统对接。</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支持医院信息系统与上级医保部门的信息交换，包括下载、上传，支持实时结算。</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支持与全国各地区不同医保端接口对接。</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支持门诊挂号，门诊收费，出入院医保病人的登记和结算。</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支持医保数据上传和报表统计。</w:t>
            </w:r>
          </w:p>
          <w:p>
            <w:pPr>
              <w:pStyle w:val="55"/>
              <w:ind w:left="0" w:leftChars="0" w:firstLine="0" w:firstLineChars="0"/>
              <w:rPr>
                <w:rFonts w:hint="eastAsia" w:ascii="仿宋" w:hAnsi="仿宋" w:eastAsia="仿宋" w:cs="仿宋"/>
                <w:color w:val="000000"/>
                <w:sz w:val="28"/>
                <w:szCs w:val="28"/>
                <w:lang w:val="en"/>
              </w:rPr>
            </w:pPr>
            <w:r>
              <w:rPr>
                <w:rFonts w:hint="eastAsia" w:ascii="仿宋" w:hAnsi="仿宋" w:eastAsia="仿宋" w:cs="仿宋"/>
                <w:color w:val="000000"/>
                <w:sz w:val="28"/>
                <w:szCs w:val="28"/>
                <w:lang w:val="en"/>
              </w:rPr>
              <w:t>支持医保药品项目与院内药品项目对应。</w:t>
            </w:r>
          </w:p>
          <w:p>
            <w:pPr>
              <w:pStyle w:val="55"/>
              <w:ind w:left="0" w:leftChars="0" w:firstLine="0" w:firstLineChars="0"/>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lang w:val="en"/>
              </w:rPr>
              <w:t>支持医保相关信息查询。</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w:t>
            </w:r>
          </w:p>
        </w:tc>
      </w:tr>
    </w:tbl>
    <w:p>
      <w:pPr>
        <w:spacing w:line="360" w:lineRule="auto"/>
        <w:rPr>
          <w:rFonts w:hint="eastAsia" w:ascii="仿宋" w:hAnsi="仿宋" w:eastAsia="仿宋" w:cs="仿宋"/>
          <w:b/>
          <w:bCs/>
          <w:color w:val="000000" w:themeColor="text1"/>
          <w:sz w:val="24"/>
          <w:szCs w:val="24"/>
          <w:lang w:val="en-US" w:eastAsia="zh-CN"/>
        </w:rPr>
      </w:pPr>
    </w:p>
    <w:p>
      <w:pPr>
        <w:spacing w:line="360" w:lineRule="auto"/>
        <w:rPr>
          <w:rFonts w:hint="eastAsia" w:ascii="仿宋" w:hAnsi="仿宋" w:eastAsia="仿宋" w:cs="仿宋"/>
          <w:b/>
          <w:bCs/>
          <w:color w:val="000000" w:themeColor="text1"/>
          <w:sz w:val="24"/>
          <w:szCs w:val="24"/>
          <w:lang w:val="en-US" w:eastAsia="zh-CN"/>
        </w:rPr>
      </w:pPr>
    </w:p>
    <w:p>
      <w:pPr>
        <w:spacing w:line="360" w:lineRule="auto"/>
        <w:rPr>
          <w:rFonts w:hint="eastAsia" w:ascii="仿宋" w:hAnsi="仿宋" w:eastAsia="仿宋" w:cs="仿宋"/>
          <w:b/>
          <w:bCs/>
          <w:color w:val="000000" w:themeColor="text1"/>
          <w:sz w:val="24"/>
          <w:szCs w:val="24"/>
          <w:lang w:val="en-US" w:eastAsia="zh-CN"/>
        </w:rPr>
      </w:pPr>
    </w:p>
    <w:p>
      <w:pPr>
        <w:spacing w:line="360" w:lineRule="auto"/>
        <w:rPr>
          <w:rFonts w:hint="eastAsia" w:ascii="仿宋" w:hAnsi="仿宋" w:eastAsia="仿宋" w:cs="仿宋"/>
          <w:b/>
          <w:bCs/>
          <w:color w:val="000000" w:themeColor="text1"/>
          <w:sz w:val="24"/>
          <w:szCs w:val="24"/>
          <w:lang w:val="en-US" w:eastAsia="zh-CN"/>
        </w:rPr>
      </w:pPr>
    </w:p>
    <w:p>
      <w:pPr>
        <w:spacing w:line="360" w:lineRule="auto"/>
        <w:rPr>
          <w:rFonts w:hint="eastAsia" w:ascii="仿宋" w:hAnsi="仿宋" w:eastAsia="仿宋" w:cs="仿宋"/>
          <w:b/>
          <w:bCs/>
          <w:color w:val="000000" w:themeColor="text1"/>
          <w:sz w:val="24"/>
          <w:szCs w:val="24"/>
          <w:lang w:val="en-US" w:eastAsia="zh-CN"/>
        </w:rPr>
      </w:pPr>
    </w:p>
    <w:p>
      <w:pPr>
        <w:spacing w:line="360" w:lineRule="auto"/>
        <w:rPr>
          <w:rFonts w:hint="eastAsia" w:ascii="仿宋" w:hAnsi="仿宋" w:eastAsia="仿宋" w:cs="仿宋"/>
          <w:b/>
          <w:bCs/>
          <w:color w:val="000000" w:themeColor="text1"/>
          <w:sz w:val="24"/>
          <w:szCs w:val="24"/>
          <w:lang w:val="en-US" w:eastAsia="zh-CN"/>
        </w:rPr>
      </w:pPr>
    </w:p>
    <w:p>
      <w:pPr>
        <w:spacing w:line="360" w:lineRule="auto"/>
        <w:rPr>
          <w:rFonts w:hint="eastAsia" w:ascii="仿宋" w:hAnsi="仿宋" w:eastAsia="仿宋" w:cs="仿宋"/>
          <w:b/>
          <w:bCs/>
          <w:color w:val="000000" w:themeColor="text1"/>
          <w:sz w:val="24"/>
          <w:szCs w:val="24"/>
          <w:lang w:val="en-US" w:eastAsia="zh-CN"/>
        </w:rPr>
      </w:pPr>
    </w:p>
    <w:p>
      <w:pPr>
        <w:spacing w:line="360" w:lineRule="auto"/>
        <w:rPr>
          <w:rFonts w:hint="eastAsia" w:ascii="仿宋" w:hAnsi="仿宋" w:eastAsia="仿宋" w:cs="仿宋"/>
          <w:b/>
          <w:bCs/>
          <w:color w:val="000000" w:themeColor="text1"/>
          <w:sz w:val="24"/>
          <w:szCs w:val="24"/>
          <w:lang w:val="en-US" w:eastAsia="zh-CN"/>
        </w:rPr>
      </w:pPr>
    </w:p>
    <w:p>
      <w:pPr>
        <w:spacing w:line="360" w:lineRule="auto"/>
        <w:rPr>
          <w:rFonts w:hint="eastAsia" w:ascii="仿宋" w:hAnsi="仿宋" w:eastAsia="仿宋" w:cs="仿宋"/>
          <w:b/>
          <w:bCs/>
          <w:color w:val="000000" w:themeColor="text1"/>
          <w:sz w:val="24"/>
          <w:szCs w:val="24"/>
          <w:lang w:val="en-US" w:eastAsia="zh-CN"/>
        </w:rPr>
      </w:pPr>
    </w:p>
    <w:p>
      <w:pPr>
        <w:spacing w:line="360" w:lineRule="auto"/>
        <w:rPr>
          <w:rFonts w:hint="eastAsia" w:ascii="仿宋" w:hAnsi="仿宋" w:eastAsia="仿宋" w:cs="仿宋"/>
          <w:b/>
          <w:bCs/>
          <w:color w:val="000000" w:themeColor="text1"/>
          <w:sz w:val="24"/>
          <w:szCs w:val="24"/>
          <w:lang w:val="en-US" w:eastAsia="zh-CN"/>
        </w:rPr>
      </w:pPr>
    </w:p>
    <w:p>
      <w:pPr>
        <w:spacing w:line="360" w:lineRule="auto"/>
        <w:rPr>
          <w:rFonts w:hint="eastAsia" w:ascii="仿宋" w:hAnsi="仿宋" w:eastAsia="仿宋" w:cs="仿宋"/>
          <w:b/>
          <w:bCs/>
          <w:color w:val="000000" w:themeColor="text1"/>
          <w:sz w:val="24"/>
          <w:szCs w:val="24"/>
          <w:lang w:val="en-US" w:eastAsia="zh-CN"/>
        </w:rPr>
      </w:pPr>
    </w:p>
    <w:p>
      <w:pPr>
        <w:spacing w:line="360" w:lineRule="auto"/>
        <w:rPr>
          <w:rFonts w:hint="eastAsia" w:ascii="仿宋" w:hAnsi="仿宋" w:eastAsia="仿宋" w:cs="仿宋"/>
          <w:b/>
          <w:bCs/>
          <w:color w:val="000000" w:themeColor="text1"/>
          <w:sz w:val="24"/>
          <w:szCs w:val="24"/>
          <w:lang w:val="en-US" w:eastAsia="zh-CN"/>
        </w:rPr>
      </w:pPr>
    </w:p>
    <w:p>
      <w:pPr>
        <w:spacing w:line="360" w:lineRule="auto"/>
        <w:rPr>
          <w:rFonts w:hint="eastAsia" w:ascii="仿宋" w:hAnsi="仿宋" w:eastAsia="仿宋" w:cs="仿宋"/>
          <w:b/>
          <w:bCs/>
          <w:color w:val="000000" w:themeColor="text1"/>
          <w:sz w:val="24"/>
          <w:szCs w:val="24"/>
          <w:lang w:val="en-US" w:eastAsia="zh-CN"/>
        </w:rPr>
      </w:pPr>
    </w:p>
    <w:p>
      <w:pPr>
        <w:spacing w:line="360" w:lineRule="auto"/>
        <w:rPr>
          <w:rFonts w:hint="eastAsia" w:ascii="仿宋" w:hAnsi="仿宋" w:eastAsia="仿宋" w:cs="仿宋"/>
          <w:b/>
          <w:bCs/>
          <w:color w:val="000000" w:themeColor="text1"/>
          <w:sz w:val="24"/>
          <w:szCs w:val="24"/>
          <w:lang w:val="en-US" w:eastAsia="zh-CN"/>
        </w:rPr>
      </w:pPr>
    </w:p>
    <w:p>
      <w:pPr>
        <w:spacing w:line="360" w:lineRule="auto"/>
        <w:rPr>
          <w:rFonts w:hint="eastAsia" w:ascii="仿宋" w:hAnsi="仿宋" w:eastAsia="仿宋" w:cs="仿宋"/>
          <w:b/>
          <w:bCs/>
          <w:color w:val="000000" w:themeColor="text1"/>
          <w:sz w:val="24"/>
          <w:szCs w:val="24"/>
          <w:lang w:val="en-US" w:eastAsia="zh-CN"/>
        </w:rPr>
      </w:pPr>
    </w:p>
    <w:p>
      <w:pPr>
        <w:spacing w:line="360" w:lineRule="auto"/>
        <w:rPr>
          <w:rFonts w:hint="eastAsia" w:ascii="仿宋" w:hAnsi="仿宋" w:eastAsia="仿宋" w:cs="仿宋"/>
          <w:b/>
          <w:bCs/>
          <w:color w:val="000000" w:themeColor="text1"/>
          <w:sz w:val="24"/>
          <w:szCs w:val="24"/>
          <w:lang w:val="en-US" w:eastAsia="zh-CN"/>
        </w:rPr>
      </w:pPr>
    </w:p>
    <w:p>
      <w:pPr>
        <w:pStyle w:val="3"/>
        <w:numPr>
          <w:ilvl w:val="0"/>
          <w:numId w:val="0"/>
        </w:numPr>
        <w:spacing w:line="360" w:lineRule="auto"/>
        <w:ind w:leftChars="0"/>
        <w:rPr>
          <w:rFonts w:hint="default"/>
          <w:lang w:val="en-US" w:eastAsia="zh-CN"/>
        </w:rPr>
      </w:pPr>
      <w:r>
        <w:rPr>
          <w:rFonts w:hint="eastAsia" w:cs="宋体"/>
          <w:b/>
          <w:bCs/>
          <w:sz w:val="28"/>
          <w:lang w:val="en-US" w:eastAsia="zh-CN"/>
        </w:rPr>
        <w:t>硬件产品技术参数</w:t>
      </w:r>
    </w:p>
    <w:tbl>
      <w:tblPr>
        <w:tblStyle w:val="24"/>
        <w:tblW w:w="5462"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
        <w:gridCol w:w="1131"/>
        <w:gridCol w:w="7488"/>
        <w:gridCol w:w="760"/>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系统</w:t>
            </w:r>
          </w:p>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名称</w:t>
            </w:r>
          </w:p>
        </w:tc>
        <w:tc>
          <w:tcPr>
            <w:tcW w:w="3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规格及参数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服务器</w:t>
            </w:r>
          </w:p>
        </w:tc>
        <w:tc>
          <w:tcPr>
            <w:tcW w:w="3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CPU：数量≥  2、单颗主频≥  2.2GHz、单颗物理核数≥ 26C;</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内存：数量 ≥16、类型 DDR4 RDIMM、频率≥3200MHz、单块容量≥32GB;</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系统盘：数量≥ 2、类型 SSD、容量≥ 480GB;</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数据盘：数量 ≥ 6、类型NVME SSD、容量≥ 3.84TB;</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Raid卡：数量 ≥ 1、缓存 ≥ 2GB、支持Raid级别RAID 0,RAID 1,RAID 10,RAID 5,RAID 6,RAID 50,RAID 60,RAID 1ADM,RAID 10(ADM);</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接口：不少于4个千兆电接口，4个10GE光接口（满配光模块）</w:t>
            </w:r>
          </w:p>
          <w:p>
            <w:pPr>
              <w:keepNext w:val="0"/>
              <w:keepLines w:val="0"/>
              <w:widowControl/>
              <w:suppressLineNumbers w:val="0"/>
              <w:jc w:val="left"/>
              <w:textAlignment w:val="center"/>
              <w:rPr>
                <w:rFonts w:hint="eastAsia" w:ascii="仿宋" w:hAnsi="仿宋" w:eastAsia="仿宋" w:cs="仿宋"/>
                <w:i w:val="0"/>
                <w:iCs w:val="0"/>
                <w:color w:val="FF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电源：冗余交流&amp;240V高压直流电源模块；</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▲提供数据安全擦除功能，彻底删除NVDIMM、SD模块、HDD/SSD物理盘以及逻辑盘中的数据并恢复BIOS和BMC出厂默认值；</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▲为简化服务器的运维管理，服务器支持不依赖OS，可带外升级BIOS、BMC版本，可通过BMC界面带外一次升级多个部件的固件（如网卡部件、存储卡部件等），无需多次升级；</w:t>
            </w:r>
          </w:p>
          <w:p>
            <w:pPr>
              <w:keepNext w:val="0"/>
              <w:keepLines w:val="0"/>
              <w:widowControl/>
              <w:suppressLineNumbers w:val="0"/>
              <w:jc w:val="left"/>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▲支持通过服务U盘下载服务器设备故障诊断日志；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超融合软件</w:t>
            </w:r>
          </w:p>
        </w:tc>
        <w:tc>
          <w:tcPr>
            <w:tcW w:w="3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1、支持在通用的X86、arm架构服务器上安装超融合软件，支持飞腾、鲲鹏等业界主流的ARM平台，并且可以与原有的X86系统混合部署、统一管理；</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支持资源容量预测服务，内置时间序列模型，管理平台自动化实现数据检索预测，提供用户易用的数据预测服务，服务支持呈现实时的CPU、内存和存储容量资源使用数据信息展示，并给出基于AI机器学习算法预测分析得到的预警时间点的提示，帮助用户做好资源扩容、成本预算等，提升业务可靠性。</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3、文件存储支持协议包括：FTP、CIFS、NFS、HTTP；</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4、提供多种NAS增值服务功能，包括：权限管理、快照管理(WORM)、共享目录管理等；NAS服务可以采用多服务节点高可用，并支持负载均衡；</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5、支持存储QoS策略，根据业务压力，指定服务优先级；支持卷QOS、数据恢复QOS，支持以硬盘池为粒度设置数据恢复策略；</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▲6、支持使用一键鼠标按钮分析虚拟机、主机历史资源使用情况，提供规划决策数据支撑。</w:t>
            </w:r>
          </w:p>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b w:val="0"/>
                <w:bCs w:val="0"/>
                <w:i w:val="0"/>
                <w:iCs w:val="0"/>
                <w:color w:val="auto"/>
                <w:kern w:val="0"/>
                <w:sz w:val="28"/>
                <w:szCs w:val="28"/>
                <w:u w:val="none"/>
                <w:lang w:val="en-US" w:eastAsia="zh-CN" w:bidi="ar"/>
              </w:rPr>
              <w:t>7、提供3节点超融合双路服务器所需的 License授权许可及安装部署服务；</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auto"/>
                <w:kern w:val="0"/>
                <w:sz w:val="28"/>
                <w:szCs w:val="28"/>
                <w:u w:val="none"/>
                <w:lang w:val="en-US" w:eastAsia="zh-CN" w:bidi="ar"/>
              </w:rPr>
              <w:t>套</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万兆交换机</w:t>
            </w:r>
          </w:p>
        </w:tc>
        <w:tc>
          <w:tcPr>
            <w:tcW w:w="3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1、万兆三层交换机，高度不超过1U，支持前后、后前风道；</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2、交换容量≥2.56Tbps（官网最小值），包转发率≥1080Mpps（官网最小值），支持≥2个电源插槽（实配冗余交流电源）,≥2个风扇插槽,≥2个业务接口扩展槽位；</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3、提供≥48个1/10G SFP Plus端口，≥2个QSFP+端口，实配≥18个万兆多模模块；</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4、支持M-LAG（MultichassisLinkAggregationGroup）跨设备链路聚合技术；</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5、支持业界专业的10KV业务端口防雷能力；</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6、支持硬件层级双boot，采用两个FLASH芯片存储boot软件（系统引导程序），实现硬件级boot冗余备份；</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▲7、要求设备支持防火墙插卡；</w:t>
            </w:r>
          </w:p>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支持内置智能图形化管理功能，能够实现通过图形化界面设备配置及命令一键下发和版本智能升级，全局配置及网管口配置，设备升级备份、监控及设备故障替换，组网拓扑可视及管理、设备列表展示等功能。</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80" w:firstLineChars="10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千兆交换机</w:t>
            </w:r>
          </w:p>
        </w:tc>
        <w:tc>
          <w:tcPr>
            <w:tcW w:w="3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1、千兆三层交换机，高度不超过1U，支持前后、后前风道；</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2、交换容量≥688Gbps（官网最小值），包转发率≥174Mpps（官网最小值），支持≥2个电源插槽（实配冗余交流电源）；</w:t>
            </w:r>
          </w:p>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3、提供≥48个10/100/1000BASE-T以太网端口，≥6个1/10G BASE-X  SFP+万兆端口；</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r>
    </w:tbl>
    <w:p>
      <w:pPr>
        <w:rPr>
          <w:rFonts w:hint="default"/>
          <w:lang w:val="en-US" w:eastAsia="zh-CN"/>
        </w:rPr>
      </w:pPr>
    </w:p>
    <w:p>
      <w:pPr>
        <w:spacing w:line="360" w:lineRule="auto"/>
        <w:rPr>
          <w:rFonts w:hint="eastAsia"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二、商务要求：</w:t>
      </w:r>
    </w:p>
    <w:p>
      <w:pPr>
        <w:spacing w:line="360" w:lineRule="auto"/>
        <w:rPr>
          <w:rFonts w:hint="eastAsia" w:ascii="仿宋" w:hAnsi="仿宋" w:eastAsia="仿宋" w:cs="仿宋"/>
          <w:color w:val="0000FF"/>
          <w:lang w:val="en-US" w:eastAsia="zh-CN"/>
        </w:rPr>
      </w:pPr>
      <w:r>
        <w:rPr>
          <w:rFonts w:hint="eastAsia" w:ascii="仿宋" w:hAnsi="仿宋" w:eastAsia="仿宋" w:cs="仿宋"/>
          <w:lang w:val="en-US" w:eastAsia="zh-CN"/>
        </w:rPr>
        <w:t>实施（供货）期 ：</w:t>
      </w:r>
      <w:r>
        <w:rPr>
          <w:rFonts w:hint="eastAsia" w:ascii="仿宋" w:hAnsi="仿宋" w:eastAsia="仿宋" w:cs="仿宋"/>
          <w:b/>
          <w:bCs/>
          <w:color w:val="0000FF"/>
          <w:lang w:val="en-US" w:eastAsia="zh-CN"/>
        </w:rPr>
        <w:t>签订合同后30日内完成供货。</w:t>
      </w:r>
    </w:p>
    <w:p>
      <w:pPr>
        <w:spacing w:line="360" w:lineRule="auto"/>
        <w:rPr>
          <w:rFonts w:hint="eastAsia" w:ascii="仿宋" w:hAnsi="仿宋" w:eastAsia="仿宋" w:cs="仿宋"/>
          <w:color w:val="0000FF"/>
          <w:lang w:val="en-US" w:eastAsia="zh-CN"/>
        </w:rPr>
      </w:pPr>
      <w:r>
        <w:rPr>
          <w:rFonts w:hint="eastAsia" w:ascii="仿宋" w:hAnsi="仿宋" w:eastAsia="仿宋" w:cs="仿宋"/>
          <w:lang w:val="en-US" w:eastAsia="zh-CN"/>
        </w:rPr>
        <w:t xml:space="preserve">（二）实施（交货）地点 </w:t>
      </w:r>
      <w:r>
        <w:rPr>
          <w:rFonts w:hint="eastAsia" w:ascii="仿宋" w:hAnsi="仿宋" w:eastAsia="仿宋" w:cs="仿宋"/>
          <w:b/>
          <w:bCs/>
          <w:lang w:val="en-US" w:eastAsia="zh-CN"/>
        </w:rPr>
        <w:t>：</w:t>
      </w:r>
      <w:r>
        <w:rPr>
          <w:rFonts w:hint="eastAsia" w:ascii="仿宋" w:hAnsi="仿宋" w:eastAsia="仿宋" w:cs="仿宋"/>
          <w:b/>
          <w:bCs/>
          <w:color w:val="0000FF"/>
          <w:lang w:val="en-US" w:eastAsia="zh-CN"/>
        </w:rPr>
        <w:t>中标单位将货物送到甲方指定的任何地点</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（三）报价要求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（四）质保要求</w:t>
      </w:r>
    </w:p>
    <w:p>
      <w:pPr>
        <w:spacing w:line="360" w:lineRule="auto"/>
        <w:rPr>
          <w:rFonts w:hint="eastAsia" w:ascii="仿宋" w:hAnsi="仿宋" w:eastAsia="仿宋" w:cs="仿宋"/>
          <w:color w:val="0000FF"/>
          <w:lang w:val="en-US" w:eastAsia="zh-CN"/>
        </w:rPr>
      </w:pPr>
      <w:r>
        <w:rPr>
          <w:rFonts w:hint="eastAsia" w:ascii="仿宋" w:hAnsi="仿宋" w:eastAsia="仿宋" w:cs="仿宋"/>
          <w:lang w:val="en-US" w:eastAsia="zh-CN"/>
        </w:rPr>
        <w:t>1、质量保修期：</w:t>
      </w:r>
      <w:r>
        <w:rPr>
          <w:rFonts w:hint="eastAsia" w:ascii="仿宋" w:hAnsi="仿宋" w:eastAsia="仿宋" w:cs="仿宋"/>
          <w:b/>
          <w:bCs/>
          <w:color w:val="0000FF"/>
          <w:lang w:val="en-US" w:eastAsia="zh-CN"/>
        </w:rPr>
        <w:t>3年，保修期内供应商免费提供保修服务。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2、质保期内乙方负责设备免费维修及抢修。</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3.供应方在交付货物的同时应提供国家规定的检验合格证明等文件。</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2、售后服务内容</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投标人和制造商在质量保证期内应当为采购人提供以下技术支持和服务：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1、电话咨询：中标方和制造商应当为采购人提供技术援助电话，解答采购人在使用中遇到的问题，及时为采购人提出解决问题的建议。</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2、现场响应：如发生故障及技术问题后，电话咨询不能解决的，中标方需在2小时内响应，6小时内解决故障问题。6小时无法解决的，需在12小时内上门服务解决问题，使采购人能够正常使用。</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（五）质保期外服务要求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1、质量保证期过后，供应商和制造商应同样提供免费电话咨询服务，并应承诺提供产品维护服务。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2、质量保证期过后，采购人需要继续由原供应商和制造商提供售后服务的，该供应商和制造商应以优惠价格提供售后服务。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（六）培训要求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供应商对其提供产品的使用和操作应尽培训义务。供应商应提供对采购人的基本免费培训，使采购人使用人员能够正常操作。</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（七）验收保证的承诺</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1、此次招标内容严格按照中标供应商的投标文件中的技术规格、数量及质量要求进行验收（配置参数清单中明确设备等配件辅件的产地、厂家、品牌、型号、数量等）</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2、货物到达现场后，供应商应在使用单位人员在场情况下当面共同清点、检查，做出质量技术要求检查记录，双方签字确认；</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3、中标方应保证货物到达采购人所在地完好无损，如有缺漏、损坏，由供应商负责调换、补齐或赔偿。</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4、中标方应提供完备的技术资料、装箱单和合格证等，货物验收时，招标方向采购人提供生产厂家出具的验收报告、合格证、厂家资格证件等相关文件并派遣专业技术人员进行现场安装调试。验收合格条件如下：</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设备技术参数与采购合同一致，性能指标达到规定的标准。</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货物技术资料、装箱单、合格证等资料齐全。</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在系统试运行期间所出现的问题得到解决，并运行正常。</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在规定时间内完成交货并验收，并经采购人确认。</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5、产品在安装调试并试运行符合要求后，才作为最终验收，试运行期20天。</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6、供应商提供的货物未达到招标文件规定要求，且对采购人造成损失的，由供应商承担一切责任，并赔偿所造成的损失。</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7、乙方将根据本项目的技术要求提供相关的培训，须具备专业的培训团队为甲方提供系统的免费培训，同时还为乙方提供全面的技术支持和周到的跟踪服务；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8、产品质量：在合同期内，甲方正常使用乙方所供产品而出现质量问题时，乙方负责。产品使用：甲方在使用乙方所供产品中出现问题需乙方解决时，乙方应无偿解决（退换货）。</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（八）付款方式</w:t>
      </w:r>
    </w:p>
    <w:p>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甲乙双方签订合同约定。</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（九）知识产权</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（十）其他</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1、投标人必须在投标文件中对以上条款和服务承诺明确列出，承诺内容必须达到本篇及公开采购文件其他条款的要求。</w:t>
      </w:r>
    </w:p>
    <w:p>
      <w:pPr>
        <w:spacing w:line="360" w:lineRule="auto"/>
        <w:rPr>
          <w:rFonts w:hint="eastAsia" w:ascii="仿宋" w:hAnsi="仿宋" w:eastAsia="仿宋" w:cs="仿宋"/>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lang w:val="en-US" w:eastAsia="zh-CN"/>
        </w:rPr>
        <w:t>2、其他未尽事宜由供需双方在采购合同中详细约定。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000000" w:themeColor="text1"/>
          <w:sz w:val="30"/>
          <w:szCs w:val="30"/>
          <w:highlight w:val="none"/>
        </w:rPr>
      </w:pPr>
      <w:r>
        <w:rPr>
          <w:rFonts w:hint="eastAsia" w:ascii="宋体" w:hAnsi="Times New Roman" w:eastAsia="Times New Roman" w:cs="Times New Roman"/>
          <w:b/>
          <w:color w:val="000000" w:themeColor="text1"/>
          <w:sz w:val="30"/>
          <w:szCs w:val="30"/>
          <w:highlight w:val="none"/>
          <w:lang w:val="en-US" w:eastAsia="zh-CN"/>
        </w:rPr>
        <w:t>第五章</w:t>
      </w:r>
      <w:r>
        <w:rPr>
          <w:rFonts w:hint="eastAsia" w:ascii="宋体" w:hAnsi="Times New Roman" w:eastAsia="Times New Roman" w:cs="Times New Roman"/>
          <w:b/>
          <w:color w:val="000000" w:themeColor="text1"/>
          <w:sz w:val="30"/>
          <w:szCs w:val="30"/>
          <w:highlight w:val="none"/>
        </w:rPr>
        <w:t xml:space="preserve"> </w:t>
      </w:r>
      <w:r>
        <w:rPr>
          <w:rFonts w:hint="eastAsia" w:ascii="宋体"/>
          <w:b/>
          <w:color w:val="000000" w:themeColor="text1"/>
          <w:sz w:val="30"/>
          <w:szCs w:val="30"/>
          <w:highlight w:val="none"/>
        </w:rPr>
        <w:t xml:space="preserve"> 合同条款及格式</w:t>
      </w:r>
      <w:bookmarkStart w:id="46" w:name="_Toc20669"/>
    </w:p>
    <w:p>
      <w:pPr>
        <w:shd w:val="clear" w:color="auto" w:fill="auto"/>
        <w:spacing w:line="420" w:lineRule="exact"/>
        <w:ind w:firstLine="1458" w:firstLineChars="6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（本合同为合同样稿，最终稿由供需双方协商后确定）</w:t>
      </w:r>
      <w:bookmarkEnd w:id="46"/>
    </w:p>
    <w:p>
      <w:pPr>
        <w:widowControl/>
        <w:numPr>
          <w:ilvl w:val="0"/>
          <w:numId w:val="6"/>
        </w:numPr>
        <w:shd w:val="clear" w:color="auto" w:fill="auto"/>
        <w:spacing w:line="600" w:lineRule="exact"/>
        <w:jc w:val="center"/>
        <w:textAlignment w:val="baseline"/>
        <w:outlineLvl w:val="1"/>
        <w:rPr>
          <w:rFonts w:hint="eastAsia" w:ascii="宋体"/>
          <w:color w:val="000000" w:themeColor="text1"/>
          <w:sz w:val="24"/>
          <w:highlight w:val="none"/>
        </w:rPr>
      </w:pPr>
      <w:r>
        <w:rPr>
          <w:rFonts w:hint="eastAsia" w:ascii="宋体"/>
          <w:b/>
          <w:color w:val="000000" w:themeColor="text1"/>
          <w:sz w:val="30"/>
          <w:szCs w:val="30"/>
          <w:highlight w:val="none"/>
        </w:rPr>
        <w:t xml:space="preserve"> </w:t>
      </w:r>
      <w:bookmarkStart w:id="47" w:name="_Toc469495741"/>
      <w:r>
        <w:rPr>
          <w:rFonts w:hint="eastAsia" w:ascii="宋体"/>
          <w:b/>
          <w:color w:val="000000" w:themeColor="text1"/>
          <w:sz w:val="30"/>
          <w:szCs w:val="30"/>
          <w:highlight w:val="none"/>
        </w:rPr>
        <w:t>合同协议书</w:t>
      </w:r>
      <w:bookmarkEnd w:id="47"/>
      <w:r>
        <w:rPr>
          <w:rFonts w:hint="eastAsia" w:ascii="宋体" w:eastAsia="宋体"/>
          <w:b/>
          <w:color w:val="000000" w:themeColor="text1"/>
          <w:sz w:val="30"/>
          <w:szCs w:val="30"/>
          <w:highlight w:val="none"/>
          <w:lang w:val="en-US" w:eastAsia="zh-CN"/>
        </w:rPr>
        <w:t xml:space="preserve">      </w:t>
      </w:r>
      <w:r>
        <w:rPr>
          <w:rFonts w:hint="eastAsia" w:ascii="宋体"/>
          <w:b/>
          <w:color w:val="000000" w:themeColor="text1"/>
          <w:sz w:val="32"/>
          <w:szCs w:val="32"/>
          <w:highlight w:val="none"/>
        </w:rPr>
        <w:t>合同名称</w:t>
      </w:r>
      <w:r>
        <w:rPr>
          <w:rFonts w:hint="eastAsia" w:ascii="宋体"/>
          <w:b/>
          <w:color w:val="000000" w:themeColor="text1"/>
          <w:sz w:val="24"/>
          <w:highlight w:val="none"/>
        </w:rPr>
        <w:t xml:space="preserve">  </w:t>
      </w:r>
    </w:p>
    <w:p>
      <w:pPr>
        <w:widowControl/>
        <w:numPr>
          <w:ilvl w:val="0"/>
          <w:numId w:val="0"/>
        </w:numPr>
        <w:shd w:val="clear" w:color="auto" w:fill="auto"/>
        <w:spacing w:line="600" w:lineRule="exact"/>
        <w:ind w:leftChars="0" w:right="0" w:rightChars="0"/>
        <w:jc w:val="both"/>
        <w:textAlignment w:val="baseline"/>
        <w:outlineLvl w:val="1"/>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编号</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买    方：                                   卖    方：</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电    话：                                   电    话：</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住    所：                                   住    所：                       </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u w:val="single"/>
        </w:rPr>
        <w:t>（买方）</w:t>
      </w:r>
      <w:r>
        <w:rPr>
          <w:rFonts w:hint="eastAsia" w:ascii="仿宋" w:hAnsi="仿宋" w:eastAsia="仿宋" w:cs="仿宋"/>
          <w:color w:val="000000" w:themeColor="text1"/>
          <w:sz w:val="24"/>
          <w:szCs w:val="24"/>
          <w:highlight w:val="none"/>
        </w:rPr>
        <w:t>的</w:t>
      </w:r>
      <w:r>
        <w:rPr>
          <w:rFonts w:hint="eastAsia" w:ascii="仿宋" w:hAnsi="仿宋" w:eastAsia="仿宋" w:cs="仿宋"/>
          <w:color w:val="000000" w:themeColor="text1"/>
          <w:sz w:val="24"/>
          <w:szCs w:val="24"/>
          <w:highlight w:val="none"/>
          <w:u w:val="single"/>
        </w:rPr>
        <w:t>（项目名称）</w:t>
      </w:r>
      <w:r>
        <w:rPr>
          <w:rFonts w:hint="eastAsia" w:ascii="仿宋" w:hAnsi="仿宋" w:eastAsia="仿宋" w:cs="仿宋"/>
          <w:color w:val="000000" w:themeColor="text1"/>
          <w:sz w:val="24"/>
          <w:szCs w:val="24"/>
          <w:highlight w:val="none"/>
        </w:rPr>
        <w:t>中所需</w:t>
      </w:r>
      <w:r>
        <w:rPr>
          <w:rFonts w:hint="eastAsia" w:ascii="仿宋" w:hAnsi="仿宋" w:eastAsia="仿宋" w:cs="仿宋"/>
          <w:color w:val="000000" w:themeColor="text1"/>
          <w:sz w:val="24"/>
          <w:szCs w:val="24"/>
          <w:highlight w:val="none"/>
          <w:u w:val="single"/>
        </w:rPr>
        <w:t>（产品名称）</w:t>
      </w:r>
      <w:r>
        <w:rPr>
          <w:rFonts w:hint="eastAsia" w:ascii="仿宋" w:hAnsi="仿宋" w:eastAsia="仿宋" w:cs="仿宋"/>
          <w:color w:val="000000" w:themeColor="text1"/>
          <w:sz w:val="24"/>
          <w:szCs w:val="24"/>
          <w:highlight w:val="none"/>
        </w:rPr>
        <w:t xml:space="preserve"> 经公开招标，确定</w:t>
      </w:r>
      <w:r>
        <w:rPr>
          <w:rFonts w:hint="eastAsia" w:ascii="仿宋" w:hAnsi="仿宋" w:eastAsia="仿宋" w:cs="仿宋"/>
          <w:color w:val="000000" w:themeColor="text1"/>
          <w:sz w:val="24"/>
          <w:szCs w:val="24"/>
          <w:highlight w:val="none"/>
          <w:u w:val="single"/>
        </w:rPr>
        <w:t>（卖方）</w:t>
      </w:r>
      <w:r>
        <w:rPr>
          <w:rFonts w:hint="eastAsia" w:ascii="仿宋" w:hAnsi="仿宋" w:eastAsia="仿宋" w:cs="仿宋"/>
          <w:color w:val="000000" w:themeColor="text1"/>
          <w:sz w:val="24"/>
          <w:szCs w:val="24"/>
          <w:highlight w:val="none"/>
        </w:rPr>
        <w:t>为中标人。按照中华人民共和国合同法的规定，买卖双方同意按照下述的条款和条件，签署本合同。</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1、本合同文件</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下列每一文件均应作为合同的组成部分进行阅读和解释：</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eastAsia="zh-CN"/>
        </w:rPr>
        <w:t>采购文件</w:t>
      </w:r>
      <w:r>
        <w:rPr>
          <w:rFonts w:hint="eastAsia" w:ascii="仿宋" w:hAnsi="仿宋" w:eastAsia="仿宋" w:cs="仿宋"/>
          <w:color w:val="000000" w:themeColor="text1"/>
          <w:sz w:val="24"/>
          <w:szCs w:val="24"/>
          <w:highlight w:val="none"/>
        </w:rPr>
        <w:t>（2）投标文件（3）中标通知书</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（4）经双方确认进入合同的其它文件、补充条款或说明</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2、采购标的、数量、质量要求</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3、合同总价</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合同总价为 </w:t>
      </w:r>
      <w:r>
        <w:rPr>
          <w:rFonts w:hint="eastAsia" w:ascii="仿宋" w:hAnsi="仿宋" w:eastAsia="仿宋" w:cs="仿宋"/>
          <w:color w:val="000000" w:themeColor="text1"/>
          <w:sz w:val="24"/>
          <w:szCs w:val="24"/>
          <w:highlight w:val="none"/>
          <w:u w:val="single"/>
        </w:rPr>
        <w:t xml:space="preserve">              </w:t>
      </w:r>
      <w:r>
        <w:rPr>
          <w:rFonts w:hint="eastAsia" w:ascii="仿宋" w:hAnsi="仿宋" w:eastAsia="仿宋" w:cs="仿宋"/>
          <w:color w:val="000000" w:themeColor="text1"/>
          <w:sz w:val="24"/>
          <w:szCs w:val="24"/>
          <w:highlight w:val="none"/>
        </w:rPr>
        <w:t>元人民币。</w:t>
      </w:r>
    </w:p>
    <w:p>
      <w:pPr>
        <w:shd w:val="clear" w:color="auto" w:fill="auto"/>
        <w:spacing w:line="360" w:lineRule="auto"/>
        <w:ind w:firstLine="486"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4、付款方式</w:t>
      </w:r>
      <w:r>
        <w:rPr>
          <w:rFonts w:hint="eastAsia" w:ascii="仿宋" w:hAnsi="仿宋" w:eastAsia="仿宋" w:cs="仿宋"/>
          <w:b/>
          <w:bCs/>
          <w:color w:val="000000" w:themeColor="text1"/>
          <w:sz w:val="24"/>
          <w:szCs w:val="24"/>
          <w:highlight w:val="none"/>
        </w:rPr>
        <w:t>：</w:t>
      </w:r>
      <w:r>
        <w:rPr>
          <w:rFonts w:hint="eastAsia" w:ascii="仿宋" w:hAnsi="仿宋" w:eastAsia="仿宋" w:cs="仿宋"/>
          <w:b/>
          <w:bCs/>
          <w:color w:val="000000" w:themeColor="text1"/>
          <w:sz w:val="24"/>
          <w:szCs w:val="24"/>
          <w:highlight w:val="none"/>
          <w:lang w:val="en-US" w:eastAsia="zh-CN"/>
        </w:rPr>
        <w:t>以甲乙双方签定的合同为准。</w:t>
      </w:r>
    </w:p>
    <w:p>
      <w:pPr>
        <w:shd w:val="clear" w:color="auto" w:fill="auto"/>
        <w:spacing w:line="360" w:lineRule="auto"/>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5、合同供货（服务）期限及地点和方式</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6、验收要求及违约责任</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7、违约责任及解决争议方法</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8、合同的生效</w:t>
      </w:r>
    </w:p>
    <w:p>
      <w:pPr>
        <w:pStyle w:val="11"/>
        <w:shd w:val="clear" w:color="auto" w:fill="auto"/>
        <w:spacing w:after="0" w:line="420" w:lineRule="exact"/>
        <w:ind w:left="0" w:leftChars="0" w:firstLine="486" w:firstLineChars="200"/>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合同经双方授权代表签署，买卖双方加盖印章之后生效。</w:t>
      </w:r>
    </w:p>
    <w:p>
      <w:pPr>
        <w:pStyle w:val="11"/>
        <w:shd w:val="clear" w:color="auto" w:fill="auto"/>
        <w:spacing w:after="0" w:line="420" w:lineRule="exact"/>
        <w:ind w:left="0" w:leftChars="0" w:firstLine="486" w:firstLineChars="200"/>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本合同一式     份，双方各执     份。</w:t>
      </w:r>
    </w:p>
    <w:p>
      <w:pPr>
        <w:pStyle w:val="11"/>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买  方：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卖  方：</w:t>
      </w:r>
    </w:p>
    <w:p>
      <w:pPr>
        <w:pStyle w:val="11"/>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名  称：（盖章）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名  称：（盖章）</w:t>
      </w:r>
    </w:p>
    <w:p>
      <w:pPr>
        <w:pStyle w:val="11"/>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法定代表人（或委托代理人签</w:t>
      </w:r>
      <w:r>
        <w:rPr>
          <w:rFonts w:hint="eastAsia" w:ascii="仿宋" w:hAnsi="仿宋" w:eastAsia="仿宋" w:cs="仿宋"/>
          <w:color w:val="000000" w:themeColor="text1"/>
          <w:kern w:val="0"/>
          <w:sz w:val="24"/>
          <w:szCs w:val="24"/>
          <w:highlight w:val="none"/>
          <w:u w:val="none" w:color="000000"/>
          <w:lang w:eastAsia="zh-CN"/>
        </w:rPr>
        <w:t>章</w:t>
      </w:r>
      <w:r>
        <w:rPr>
          <w:rFonts w:hint="eastAsia" w:ascii="仿宋" w:hAnsi="仿宋" w:eastAsia="仿宋" w:cs="仿宋"/>
          <w:color w:val="000000" w:themeColor="text1"/>
          <w:kern w:val="0"/>
          <w:sz w:val="24"/>
          <w:szCs w:val="24"/>
          <w:highlight w:val="none"/>
          <w:u w:val="none" w:color="000000"/>
        </w:rPr>
        <w:t xml:space="preserve">）：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法定代表人（或委托代理人签</w:t>
      </w:r>
      <w:r>
        <w:rPr>
          <w:rFonts w:hint="eastAsia" w:ascii="仿宋" w:hAnsi="仿宋" w:eastAsia="仿宋" w:cs="仿宋"/>
          <w:color w:val="000000" w:themeColor="text1"/>
          <w:kern w:val="0"/>
          <w:sz w:val="24"/>
          <w:szCs w:val="24"/>
          <w:highlight w:val="none"/>
          <w:u w:val="none" w:color="000000"/>
          <w:lang w:eastAsia="zh-CN"/>
        </w:rPr>
        <w:t>章</w:t>
      </w:r>
      <w:r>
        <w:rPr>
          <w:rFonts w:hint="eastAsia" w:ascii="仿宋" w:hAnsi="仿宋" w:eastAsia="仿宋" w:cs="仿宋"/>
          <w:color w:val="000000" w:themeColor="text1"/>
          <w:kern w:val="0"/>
          <w:sz w:val="24"/>
          <w:szCs w:val="24"/>
          <w:highlight w:val="none"/>
          <w:u w:val="none" w:color="000000"/>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地    址：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地    址：</w:t>
      </w:r>
    </w:p>
    <w:p>
      <w:pPr>
        <w:pStyle w:val="11"/>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邮政编码：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邮政编码：</w:t>
      </w:r>
    </w:p>
    <w:p>
      <w:pPr>
        <w:pStyle w:val="11"/>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电    话：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电    话：</w:t>
      </w:r>
    </w:p>
    <w:p>
      <w:pPr>
        <w:pStyle w:val="11"/>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开户银行：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开户银行：</w:t>
      </w:r>
    </w:p>
    <w:p>
      <w:pPr>
        <w:pStyle w:val="11"/>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b/>
          <w:color w:val="000000" w:themeColor="text1"/>
          <w:sz w:val="30"/>
          <w:szCs w:val="30"/>
          <w:highlight w:val="none"/>
        </w:rPr>
      </w:pPr>
      <w:r>
        <w:rPr>
          <w:rFonts w:hint="eastAsia" w:ascii="仿宋" w:hAnsi="仿宋" w:eastAsia="仿宋" w:cs="仿宋"/>
          <w:color w:val="000000" w:themeColor="text1"/>
          <w:kern w:val="0"/>
          <w:sz w:val="24"/>
          <w:szCs w:val="24"/>
          <w:highlight w:val="none"/>
          <w:u w:val="none" w:color="000000"/>
        </w:rPr>
        <w:t xml:space="preserve">帐    号：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帐    号：</w:t>
      </w:r>
    </w:p>
    <w:p>
      <w:pPr>
        <w:pStyle w:val="11"/>
        <w:shd w:val="clear" w:color="auto" w:fill="auto"/>
        <w:spacing w:after="0" w:line="420" w:lineRule="exact"/>
        <w:ind w:left="0" w:leftChars="0" w:firstLine="606" w:firstLineChars="200"/>
        <w:jc w:val="center"/>
        <w:rPr>
          <w:rFonts w:hint="eastAsia" w:ascii="仿宋" w:hAnsi="仿宋" w:eastAsia="仿宋" w:cs="仿宋"/>
          <w:b/>
          <w:color w:val="000000" w:themeColor="text1"/>
          <w:sz w:val="30"/>
          <w:szCs w:val="30"/>
          <w:highlight w:val="none"/>
        </w:rPr>
      </w:pPr>
      <w:r>
        <w:rPr>
          <w:rFonts w:hint="eastAsia" w:ascii="仿宋" w:hAnsi="仿宋" w:eastAsia="仿宋" w:cs="仿宋"/>
          <w:b/>
          <w:color w:val="000000" w:themeColor="text1"/>
          <w:sz w:val="30"/>
          <w:szCs w:val="30"/>
          <w:highlight w:val="none"/>
        </w:rPr>
        <w:t>二  合同条款</w:t>
      </w:r>
    </w:p>
    <w:p>
      <w:pPr>
        <w:shd w:val="clear" w:color="auto" w:fill="auto"/>
        <w:spacing w:line="440" w:lineRule="exact"/>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一.  合同文件</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1、合同文件适用法律</w:t>
      </w:r>
    </w:p>
    <w:p>
      <w:pPr>
        <w:shd w:val="clear" w:color="auto" w:fill="auto"/>
        <w:spacing w:line="440" w:lineRule="exact"/>
        <w:ind w:firstLine="729" w:firstLineChars="3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适用于合同文件的法律是中华人民共和国现行法律、法规及招标人所在地的地方性法规。</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2、合同文件组成和解释顺序</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(1)合同文件的组成和解释顺序如下：</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&lt;1&gt;合同的主要条款；</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&lt;2&gt;合同的一般性条款；</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&lt;3&gt;洽商、变更等明确双方权利义务的纪要、协议；</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&lt;4&gt;中标通知书、投标文件和</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&lt;5&gt;有关图纸、标准、规范和其它有关技术资料、技术要求。</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&lt;6&gt;合同的主要条款的效力优于合同的一般性条款的效力。</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3、合同文件使用文字</w:t>
      </w:r>
    </w:p>
    <w:p>
      <w:pPr>
        <w:pStyle w:val="7"/>
        <w:shd w:val="clear" w:color="auto" w:fill="auto"/>
        <w:spacing w:line="440" w:lineRule="exact"/>
        <w:ind w:firstLine="607" w:firstLineChars="250"/>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(1)合同文件使用中文书写、解释和说明。</w:t>
      </w:r>
    </w:p>
    <w:p>
      <w:pPr>
        <w:pStyle w:val="7"/>
        <w:shd w:val="clear" w:color="auto" w:fill="auto"/>
        <w:overflowPunct w:val="0"/>
        <w:spacing w:line="440" w:lineRule="exact"/>
        <w:ind w:firstLine="607" w:firstLineChars="250"/>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二.  标的物的一般条款</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4、完整物权</w:t>
      </w:r>
    </w:p>
    <w:p>
      <w:pPr>
        <w:shd w:val="clear" w:color="auto" w:fill="auto"/>
        <w:tabs>
          <w:tab w:val="left" w:pos="660"/>
        </w:tabs>
        <w:spacing w:line="440" w:lineRule="exact"/>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rPr>
        <w:tab/>
      </w: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对于出卖的标的物，卖方应当拥有完整物权，并且卖方负有保证第三人不得向买方主张任何权利（包括知识产权）的义务。</w:t>
      </w:r>
    </w:p>
    <w:p>
      <w:pPr>
        <w:shd w:val="clear" w:color="auto" w:fill="auto"/>
        <w:spacing w:line="440" w:lineRule="exact"/>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5、质量保证</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7"/>
        <w:shd w:val="clear" w:color="auto" w:fill="auto"/>
        <w:tabs>
          <w:tab w:val="left" w:pos="900"/>
        </w:tabs>
        <w:overflowPunct w:val="0"/>
        <w:spacing w:line="440" w:lineRule="exact"/>
        <w:ind w:firstLine="607" w:firstLineChars="250"/>
        <w:rPr>
          <w:rFonts w:hint="eastAsia" w:ascii="宋体" w:cs="宋体"/>
          <w:color w:val="000000" w:themeColor="text1"/>
          <w:sz w:val="21"/>
          <w:szCs w:val="21"/>
          <w:highlight w:val="none"/>
          <w:u w:val="none" w:color="000000"/>
        </w:rPr>
      </w:pPr>
      <w:r>
        <w:rPr>
          <w:rFonts w:hint="eastAsia" w:ascii="仿宋" w:hAnsi="仿宋" w:eastAsia="仿宋" w:cs="仿宋"/>
          <w:color w:val="000000" w:themeColor="text1"/>
          <w:sz w:val="24"/>
          <w:szCs w:val="24"/>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ascii="宋体" w:cs="宋体"/>
          <w:color w:val="000000" w:themeColor="text1"/>
          <w:sz w:val="21"/>
          <w:szCs w:val="21"/>
          <w:highlight w:val="none"/>
          <w:u w:val="none" w:color="000000"/>
        </w:rPr>
        <w:t>外）。</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6、包装</w:t>
      </w:r>
    </w:p>
    <w:p>
      <w:pPr>
        <w:pStyle w:val="7"/>
        <w:shd w:val="clear" w:color="auto" w:fill="auto"/>
        <w:tabs>
          <w:tab w:val="left" w:pos="900"/>
        </w:tabs>
        <w:spacing w:line="440" w:lineRule="exact"/>
        <w:ind w:firstLine="546" w:firstLineChars="225"/>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7、伴随服务</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(1)卖方除应履行按期按量交付合格标的物的义务之外，还应提供下列服务：</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&lt;1&gt;标的物的现场安装或指导安装、启动、调试、监督（如果必须安装、调试的话）；</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&lt;2&gt;提供标的物组装和一般维修所必须的工具；</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&lt;3&gt;在合同规定的期限内对所提供标的物实行运行监督、维修服务的前提条件是该服务并不能免除卖方在质量保证期内所承担的义务；</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&lt;4&gt;对买方技术人员的技术指导或培训。</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(2)除合同另有规定之外，伴随服务的费用均已含在合同价款中，买方不再另行进行支付。</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三.  标的物的交付、检验和验收</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8、标的物的交付</w:t>
      </w:r>
    </w:p>
    <w:p>
      <w:pPr>
        <w:pStyle w:val="7"/>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(1)标的物的所有权自标的物交付时转移。</w:t>
      </w:r>
    </w:p>
    <w:p>
      <w:pPr>
        <w:pStyle w:val="7"/>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(2)卖方应当按照约定的期限和约定的地点交付符合</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要求的标的物。</w:t>
      </w:r>
    </w:p>
    <w:p>
      <w:pPr>
        <w:pStyle w:val="7"/>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(3)卖方应当按照约定或者交易习惯向招标人交付提取标的物单证以外的有关单证和资料。</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9、检验和验收</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(2)买方根据合同规定的内容和验收标准进行验收，经检验无误后出具验收合格证明，该证明作为最终付款所需文件的组成部分。</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(3)验收期限自标的物交付之日起三十天内。特殊情况需延长的，双方应在合同条款中约定。</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四. 对标的物提出异议的时间和办法</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10、对标的物提出异议的时间和办法 </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(1)买方在验收过程中，应当于双方约定的检验期间内将标的物的数量或质量不符合约定的情形及处理方式以书面形式通知卖方。</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(2)如买方在验收期满后既不出具验收合格证明又未提出书面异议的视为卖方所交标的物符合合同规定。</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(3)卖方应在收到买方书面异议后七天内负责处理问题，否则将视为默认买方提出的异议和处理意见。</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五. 合同价款和支付</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11、合同价款和支付</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(1)本合同的结算货币为人民币，单位元。</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(2)卖方应按照双方签订的合同规定交货并在合同主要条款规定的期限内持下列单据结算货款：</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&lt;1&gt;合格的销售发票；</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&lt;2&gt;买方盖章签收后的送货回单和验收合格证明。</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(3)买方应按合同主要条款规定的期限和方式付款。</w:t>
      </w:r>
    </w:p>
    <w:p>
      <w:pPr>
        <w:pStyle w:val="7"/>
        <w:shd w:val="clear" w:color="auto" w:fill="auto"/>
        <w:tabs>
          <w:tab w:val="left" w:pos="540"/>
        </w:tabs>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六. 违约责任</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12、违约责任</w:t>
      </w:r>
    </w:p>
    <w:p>
      <w:pPr>
        <w:pStyle w:val="7"/>
        <w:shd w:val="clear" w:color="auto" w:fill="auto"/>
        <w:spacing w:line="440" w:lineRule="exact"/>
        <w:ind w:firstLine="546" w:firstLineChars="225"/>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13、买方违约责任</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(1)在合同生效后，买方要求退货的，应向卖方偿付合同总价款的5%，作为违约金，违约金不足以补偿损失的，卖方有权要求甲方补足。</w:t>
      </w:r>
    </w:p>
    <w:p>
      <w:pPr>
        <w:pStyle w:val="7"/>
        <w:shd w:val="clear" w:color="auto" w:fill="auto"/>
        <w:overflowPunct w:val="0"/>
        <w:spacing w:line="440" w:lineRule="exact"/>
        <w:ind w:right="-386" w:rightChars="-159"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(2)买方逾期付款的应按照逾期付款金额的每天万分之四支付逾期付款违约金。</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(3)买方违反合同规定，拒绝接收卖方交付的符合</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要求的合格标的物，应当承担卖方由此造成的损失。</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14、卖方违约责任</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15、不可抗力</w:t>
      </w:r>
    </w:p>
    <w:p>
      <w:pPr>
        <w:pStyle w:val="7"/>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(1)因水灾、火灾、地震、战争等不可抗力不能履行合同的，根据不可抗力的影响，部分或者全部免除责任。但合同一方迟延履行后发生不可抗力的，不能免除责任。</w:t>
      </w:r>
    </w:p>
    <w:p>
      <w:pPr>
        <w:pStyle w:val="7"/>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(2)合同一方因不可抗力不能履行合同的，应当及时通知对方，以减轻可能给对方造成的损失，并应当在合理期限内提供证明。</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七. 索赔</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16、索赔</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(1)买方有权根据当地产品质量检验机构或其它有权威部门出具的检验证书向卖方提出索赔。</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(2)在本合同规定的检验期和质量保证期内，如果卖方对买方提出的索赔或差异有责任，则卖方应按买方同意的下列一种或多种方式解决索赔事宜：</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&lt;2&gt;根据标的物的低劣程度、损坏程度以及甲方遭受损失的数额，经双方协商确定降低标的物的价格；</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八. 履约保证金</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17、履约保证金</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(1)卖方应在本合同签订时，按</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的约定提供相应的履约保证金，保证金的有效期应不低于合同有效期。</w:t>
      </w:r>
    </w:p>
    <w:p>
      <w:pPr>
        <w:pStyle w:val="7"/>
        <w:shd w:val="clear" w:color="auto" w:fill="auto"/>
        <w:overflowPunct w:val="0"/>
        <w:spacing w:line="440" w:lineRule="exact"/>
        <w:ind w:right="-386" w:rightChars="-159"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(2)如果卖方未能履行合同规定的任何义务，买方有权从履约保证金中取得补偿。</w:t>
      </w:r>
    </w:p>
    <w:p>
      <w:pPr>
        <w:pStyle w:val="7"/>
        <w:shd w:val="clear" w:color="auto" w:fill="auto"/>
        <w:overflowPunct w:val="0"/>
        <w:spacing w:line="440" w:lineRule="exact"/>
        <w:ind w:right="-1010" w:rightChars="-416"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(3)履约保证金（无息）将在卖方履行完合同义务，买方支付合同价款的五天内</w:t>
      </w:r>
    </w:p>
    <w:p>
      <w:pPr>
        <w:pStyle w:val="7"/>
        <w:shd w:val="clear" w:color="auto" w:fill="auto"/>
        <w:overflowPunct w:val="0"/>
        <w:spacing w:line="440" w:lineRule="exact"/>
        <w:ind w:right="-1010" w:rightChars="-416" w:firstLine="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退回。</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九.  合同的解除和转让</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18、合同的解除</w:t>
      </w:r>
    </w:p>
    <w:p>
      <w:pPr>
        <w:pStyle w:val="7"/>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(1)买方和卖方协商一致，可以解除合同。</w:t>
      </w:r>
    </w:p>
    <w:p>
      <w:pPr>
        <w:pStyle w:val="7"/>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(2)有下列情形之一，合同一方可以解除合同：</w:t>
      </w:r>
    </w:p>
    <w:p>
      <w:pPr>
        <w:pStyle w:val="7"/>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&lt;1&gt;因不可抗力致使不能实现合同目的，未受不可抗力影响的一方有权解除合同；</w:t>
      </w:r>
    </w:p>
    <w:p>
      <w:pPr>
        <w:pStyle w:val="7"/>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&lt;2&gt;因合同一方违约导致合同不能履行，另一方有权解除合同。</w:t>
      </w:r>
    </w:p>
    <w:p>
      <w:pPr>
        <w:pStyle w:val="7"/>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19、合同的转让</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合同的部分和全部都不得转让。</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 合同的生效</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20、合同的生效</w:t>
      </w:r>
    </w:p>
    <w:p>
      <w:pPr>
        <w:shd w:val="clear" w:color="auto" w:fill="auto"/>
        <w:spacing w:line="440" w:lineRule="exact"/>
        <w:ind w:firstLine="672" w:firstLineChars="277"/>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本合同在双方签字盖章并在招标人收到中标人提交的履约保证金后，经招标采购管理部门备案后生效。</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十一. 争议解决</w:t>
      </w:r>
    </w:p>
    <w:p>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21、争议解决</w:t>
      </w:r>
    </w:p>
    <w:p>
      <w:pPr>
        <w:pStyle w:val="7"/>
        <w:shd w:val="clear" w:color="auto" w:fill="auto"/>
        <w:overflowPunct w:val="0"/>
        <w:spacing w:line="440" w:lineRule="exact"/>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 xml:space="preserve"> 买卖双方因合同发生争议，进行调解，协商不成，可选择：</w:t>
      </w:r>
    </w:p>
    <w:p>
      <w:pPr>
        <w:pStyle w:val="7"/>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(1)双方同时申请仲裁；</w:t>
      </w:r>
    </w:p>
    <w:p>
      <w:pPr>
        <w:pStyle w:val="7"/>
        <w:shd w:val="clear" w:color="auto" w:fill="auto"/>
        <w:tabs>
          <w:tab w:val="left" w:pos="900"/>
        </w:tabs>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(2)向买方所在地人民法院提起诉讼。</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十二 .附则</w:t>
      </w:r>
    </w:p>
    <w:p>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22、合同份数。</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 xml:space="preserve">  本合同一式陆份，买卖双方各执二份，招标代理机构一份，招标采购管理部门一份。</w:t>
      </w:r>
    </w:p>
    <w:p>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23、未尽事宜</w:t>
      </w:r>
    </w:p>
    <w:p>
      <w:pPr>
        <w:shd w:val="clear" w:color="auto" w:fill="auto"/>
        <w:spacing w:line="440" w:lineRule="exact"/>
        <w:ind w:firstLine="607" w:firstLineChars="250"/>
        <w:rPr>
          <w:rFonts w:hint="eastAsia" w:ascii="仿宋" w:hAnsi="仿宋" w:eastAsia="仿宋" w:cs="仿宋"/>
          <w:b/>
          <w:bCs/>
          <w:color w:val="000000" w:themeColor="text1"/>
          <w:spacing w:val="0"/>
          <w:w w:val="100"/>
          <w:position w:val="0"/>
          <w:sz w:val="36"/>
          <w:szCs w:val="36"/>
        </w:rPr>
      </w:pPr>
      <w:r>
        <w:rPr>
          <w:rFonts w:hint="eastAsia" w:ascii="仿宋" w:hAnsi="仿宋" w:eastAsia="仿宋" w:cs="仿宋"/>
          <w:color w:val="000000" w:themeColor="text1"/>
          <w:sz w:val="24"/>
          <w:szCs w:val="24"/>
          <w:highlight w:val="none"/>
        </w:rPr>
        <w:t>本合同未尽事宜应按《中华人民共和国政府采购法》、《中华人民共和国合同法》、《中华人民共和国产品质量法》之规定解释。</w:t>
      </w:r>
      <w:bookmarkStart w:id="48" w:name="bookmark196"/>
    </w:p>
    <w:p>
      <w:pPr>
        <w:pStyle w:val="36"/>
        <w:keepNext/>
        <w:keepLines/>
        <w:widowControl w:val="0"/>
        <w:shd w:val="clear" w:color="auto" w:fill="auto"/>
        <w:bidi w:val="0"/>
        <w:spacing w:before="0" w:after="1160" w:line="240" w:lineRule="auto"/>
        <w:ind w:right="0"/>
        <w:jc w:val="both"/>
        <w:rPr>
          <w:rFonts w:hint="eastAsia" w:ascii="仿宋" w:hAnsi="仿宋" w:eastAsia="仿宋" w:cs="仿宋"/>
          <w:b/>
          <w:bCs/>
          <w:color w:val="000000" w:themeColor="text1"/>
          <w:spacing w:val="0"/>
          <w:w w:val="100"/>
          <w:position w:val="0"/>
          <w:sz w:val="36"/>
          <w:szCs w:val="36"/>
        </w:rPr>
      </w:pPr>
    </w:p>
    <w:p>
      <w:pPr>
        <w:pStyle w:val="36"/>
        <w:keepNext/>
        <w:keepLines/>
        <w:widowControl w:val="0"/>
        <w:shd w:val="clear" w:color="auto" w:fill="auto"/>
        <w:bidi w:val="0"/>
        <w:spacing w:before="0" w:after="1160" w:line="240" w:lineRule="auto"/>
        <w:ind w:right="0"/>
        <w:jc w:val="both"/>
        <w:rPr>
          <w:rFonts w:hint="eastAsia" w:ascii="仿宋" w:hAnsi="仿宋" w:eastAsia="仿宋" w:cs="仿宋"/>
          <w:b/>
          <w:bCs/>
          <w:color w:val="000000" w:themeColor="text1"/>
          <w:spacing w:val="0"/>
          <w:w w:val="100"/>
          <w:position w:val="0"/>
          <w:sz w:val="36"/>
          <w:szCs w:val="36"/>
        </w:rPr>
      </w:pPr>
    </w:p>
    <w:p>
      <w:pPr>
        <w:pStyle w:val="36"/>
        <w:keepNext/>
        <w:keepLines/>
        <w:widowControl w:val="0"/>
        <w:shd w:val="clear" w:color="auto" w:fill="auto"/>
        <w:bidi w:val="0"/>
        <w:spacing w:before="0" w:after="1160" w:line="240" w:lineRule="auto"/>
        <w:ind w:right="0"/>
        <w:jc w:val="both"/>
        <w:rPr>
          <w:rFonts w:hint="eastAsia" w:ascii="仿宋" w:hAnsi="仿宋" w:eastAsia="仿宋" w:cs="仿宋"/>
          <w:b/>
          <w:bCs/>
          <w:color w:val="000000" w:themeColor="text1"/>
          <w:spacing w:val="0"/>
          <w:w w:val="100"/>
          <w:position w:val="0"/>
          <w:sz w:val="36"/>
          <w:szCs w:val="36"/>
        </w:rPr>
      </w:pPr>
    </w:p>
    <w:p>
      <w:pPr>
        <w:pStyle w:val="36"/>
        <w:keepNext/>
        <w:keepLines/>
        <w:widowControl w:val="0"/>
        <w:shd w:val="clear" w:color="auto" w:fill="auto"/>
        <w:bidi w:val="0"/>
        <w:spacing w:before="0" w:after="1160" w:line="240" w:lineRule="auto"/>
        <w:ind w:right="0"/>
        <w:jc w:val="both"/>
        <w:rPr>
          <w:rFonts w:hint="eastAsia" w:ascii="仿宋" w:hAnsi="仿宋" w:eastAsia="仿宋" w:cs="仿宋"/>
          <w:b/>
          <w:bCs/>
          <w:color w:val="000000" w:themeColor="text1"/>
          <w:spacing w:val="0"/>
          <w:w w:val="100"/>
          <w:position w:val="0"/>
          <w:sz w:val="36"/>
          <w:szCs w:val="36"/>
        </w:rPr>
      </w:pPr>
    </w:p>
    <w:p>
      <w:pPr>
        <w:adjustRightInd w:val="0"/>
        <w:snapToGrid w:val="0"/>
        <w:spacing w:line="360" w:lineRule="auto"/>
        <w:ind w:left="602" w:right="70" w:hanging="602"/>
        <w:jc w:val="right"/>
        <w:rPr>
          <w:rFonts w:hint="eastAsia" w:ascii="仿宋" w:hAnsi="仿宋" w:eastAsia="仿宋" w:cs="仿宋"/>
          <w:b/>
          <w:bCs/>
          <w:color w:val="000000" w:themeColor="text1"/>
          <w:sz w:val="28"/>
          <w:szCs w:val="28"/>
          <w:bdr w:val="single" w:color="auto" w:sz="4" w:space="0"/>
        </w:rPr>
      </w:pPr>
    </w:p>
    <w:p>
      <w:pPr>
        <w:pStyle w:val="23"/>
        <w:rPr>
          <w:rFonts w:hint="eastAsia" w:ascii="仿宋" w:hAnsi="仿宋" w:eastAsia="仿宋" w:cs="仿宋"/>
          <w:b/>
          <w:bCs/>
          <w:color w:val="000000" w:themeColor="text1"/>
          <w:sz w:val="28"/>
          <w:szCs w:val="28"/>
          <w:bdr w:val="single" w:color="auto" w:sz="4" w:space="0"/>
        </w:rPr>
      </w:pPr>
    </w:p>
    <w:p>
      <w:pPr>
        <w:pStyle w:val="23"/>
        <w:rPr>
          <w:rFonts w:hint="eastAsia" w:ascii="仿宋" w:hAnsi="仿宋" w:eastAsia="仿宋" w:cs="仿宋"/>
          <w:b/>
          <w:bCs/>
          <w:color w:val="000000" w:themeColor="text1"/>
          <w:sz w:val="28"/>
          <w:szCs w:val="28"/>
          <w:bdr w:val="single" w:color="auto" w:sz="4" w:space="0"/>
        </w:rPr>
      </w:pPr>
    </w:p>
    <w:p>
      <w:pPr>
        <w:pStyle w:val="36"/>
        <w:keepNext/>
        <w:keepLines/>
        <w:widowControl w:val="0"/>
        <w:shd w:val="clear" w:color="auto" w:fill="auto"/>
        <w:bidi w:val="0"/>
        <w:spacing w:before="0" w:after="1160" w:line="240" w:lineRule="auto"/>
        <w:ind w:right="0"/>
        <w:jc w:val="center"/>
        <w:rPr>
          <w:rFonts w:hint="eastAsia" w:ascii="仿宋" w:hAnsi="仿宋" w:eastAsia="仿宋" w:cs="仿宋"/>
          <w:b/>
          <w:bCs/>
          <w:color w:val="000000" w:themeColor="text1"/>
          <w:sz w:val="28"/>
          <w:szCs w:val="28"/>
          <w:bdr w:val="single" w:color="auto" w:sz="4" w:space="0"/>
        </w:rPr>
      </w:pPr>
      <w:r>
        <w:rPr>
          <w:rFonts w:hint="eastAsia" w:ascii="仿宋" w:hAnsi="仿宋" w:eastAsia="仿宋" w:cs="仿宋"/>
          <w:b/>
          <w:bCs/>
          <w:color w:val="000000" w:themeColor="text1"/>
          <w:spacing w:val="0"/>
          <w:w w:val="100"/>
          <w:position w:val="0"/>
          <w:sz w:val="36"/>
          <w:szCs w:val="36"/>
        </w:rPr>
        <w:t>第</w:t>
      </w:r>
      <w:r>
        <w:rPr>
          <w:rFonts w:hint="eastAsia" w:ascii="仿宋" w:hAnsi="仿宋" w:eastAsia="仿宋" w:cs="仿宋"/>
          <w:b/>
          <w:bCs/>
          <w:color w:val="000000" w:themeColor="text1"/>
          <w:spacing w:val="0"/>
          <w:w w:val="100"/>
          <w:position w:val="0"/>
          <w:sz w:val="36"/>
          <w:szCs w:val="36"/>
          <w:lang w:eastAsia="zh-CN"/>
        </w:rPr>
        <w:t>六</w:t>
      </w:r>
      <w:r>
        <w:rPr>
          <w:rFonts w:hint="eastAsia" w:ascii="仿宋" w:hAnsi="仿宋" w:eastAsia="仿宋" w:cs="仿宋"/>
          <w:b/>
          <w:bCs/>
          <w:color w:val="000000" w:themeColor="text1"/>
          <w:spacing w:val="0"/>
          <w:w w:val="100"/>
          <w:position w:val="0"/>
          <w:sz w:val="36"/>
          <w:szCs w:val="36"/>
        </w:rPr>
        <w:t>部分</w:t>
      </w:r>
      <w:r>
        <w:rPr>
          <w:rFonts w:hint="eastAsia" w:ascii="仿宋" w:hAnsi="仿宋" w:eastAsia="仿宋" w:cs="仿宋"/>
          <w:b/>
          <w:bCs/>
          <w:color w:val="000000" w:themeColor="text1"/>
          <w:spacing w:val="0"/>
          <w:w w:val="100"/>
          <w:position w:val="0"/>
          <w:sz w:val="36"/>
          <w:szCs w:val="36"/>
          <w:lang w:val="en-US" w:eastAsia="zh-CN"/>
        </w:rPr>
        <w:t xml:space="preserve">  </w:t>
      </w:r>
      <w:r>
        <w:rPr>
          <w:rFonts w:hint="eastAsia" w:ascii="仿宋" w:hAnsi="仿宋" w:eastAsia="仿宋" w:cs="仿宋"/>
          <w:b/>
          <w:bCs/>
          <w:color w:val="000000" w:themeColor="text1"/>
          <w:spacing w:val="0"/>
          <w:w w:val="100"/>
          <w:position w:val="0"/>
          <w:sz w:val="36"/>
          <w:szCs w:val="36"/>
        </w:rPr>
        <w:t>投标文件格式</w:t>
      </w:r>
    </w:p>
    <w:p>
      <w:pPr>
        <w:adjustRightInd w:val="0"/>
        <w:snapToGrid w:val="0"/>
        <w:spacing w:line="360" w:lineRule="auto"/>
        <w:ind w:left="602" w:right="70" w:hanging="602"/>
        <w:jc w:val="right"/>
        <w:rPr>
          <w:rFonts w:hint="eastAsia" w:ascii="仿宋" w:hAnsi="仿宋" w:eastAsia="仿宋" w:cs="仿宋"/>
          <w:b/>
          <w:caps/>
          <w:color w:val="000000" w:themeColor="text1"/>
          <w:sz w:val="24"/>
          <w:szCs w:val="24"/>
        </w:rPr>
      </w:pPr>
      <w:r>
        <w:rPr>
          <w:rFonts w:hint="eastAsia" w:ascii="仿宋" w:hAnsi="仿宋" w:eastAsia="仿宋" w:cs="仿宋"/>
          <w:b/>
          <w:bCs/>
          <w:color w:val="000000" w:themeColor="text1"/>
          <w:sz w:val="28"/>
          <w:szCs w:val="28"/>
          <w:bdr w:val="single" w:color="auto" w:sz="4" w:space="0"/>
        </w:rPr>
        <w:t>正/副 本</w:t>
      </w:r>
    </w:p>
    <w:p>
      <w:pPr>
        <w:pStyle w:val="23"/>
        <w:rPr>
          <w:rFonts w:hint="eastAsia" w:ascii="仿宋" w:hAnsi="仿宋" w:eastAsia="仿宋" w:cs="仿宋"/>
          <w:b/>
          <w:caps/>
          <w:color w:val="000000" w:themeColor="text1"/>
          <w:sz w:val="24"/>
          <w:szCs w:val="24"/>
        </w:rPr>
      </w:pPr>
    </w:p>
    <w:p>
      <w:pPr>
        <w:adjustRightInd w:val="0"/>
        <w:snapToGrid w:val="0"/>
        <w:spacing w:line="360" w:lineRule="auto"/>
        <w:jc w:val="center"/>
        <w:rPr>
          <w:rFonts w:hint="eastAsia" w:ascii="仿宋" w:hAnsi="仿宋" w:eastAsia="仿宋" w:cs="仿宋"/>
          <w:bCs/>
          <w:color w:val="000000" w:themeColor="text1"/>
          <w:sz w:val="32"/>
          <w:szCs w:val="32"/>
        </w:rPr>
      </w:pPr>
      <w:r>
        <w:rPr>
          <w:rFonts w:hint="eastAsia" w:ascii="仿宋" w:hAnsi="仿宋" w:eastAsia="仿宋" w:cs="仿宋"/>
          <w:b/>
          <w:caps/>
          <w:color w:val="000000" w:themeColor="text1"/>
          <w:sz w:val="32"/>
          <w:szCs w:val="32"/>
        </w:rPr>
        <w:t>（项目名称）</w:t>
      </w:r>
    </w:p>
    <w:p>
      <w:pPr>
        <w:adjustRightInd w:val="0"/>
        <w:snapToGrid w:val="0"/>
        <w:spacing w:line="360" w:lineRule="auto"/>
        <w:jc w:val="both"/>
        <w:rPr>
          <w:rFonts w:hint="eastAsia" w:ascii="仿宋" w:hAnsi="仿宋" w:eastAsia="仿宋" w:cs="仿宋"/>
          <w:bCs/>
          <w:color w:val="000000" w:themeColor="text1"/>
          <w:sz w:val="32"/>
          <w:szCs w:val="32"/>
        </w:rPr>
      </w:pPr>
    </w:p>
    <w:p>
      <w:pPr>
        <w:adjustRightInd w:val="0"/>
        <w:snapToGrid w:val="0"/>
        <w:spacing w:line="360" w:lineRule="auto"/>
        <w:jc w:val="center"/>
        <w:rPr>
          <w:rFonts w:hint="eastAsia" w:ascii="仿宋" w:hAnsi="仿宋" w:eastAsia="仿宋" w:cs="仿宋"/>
          <w:bCs/>
          <w:color w:val="000000" w:themeColor="text1"/>
          <w:sz w:val="32"/>
          <w:szCs w:val="32"/>
        </w:rPr>
      </w:pPr>
    </w:p>
    <w:p>
      <w:pPr>
        <w:adjustRightInd w:val="0"/>
        <w:snapToGrid w:val="0"/>
        <w:spacing w:line="360" w:lineRule="auto"/>
        <w:jc w:val="center"/>
        <w:rPr>
          <w:rFonts w:hint="eastAsia" w:ascii="仿宋" w:hAnsi="仿宋" w:eastAsia="仿宋" w:cs="仿宋"/>
          <w:bCs/>
          <w:color w:val="000000" w:themeColor="text1"/>
          <w:sz w:val="32"/>
          <w:szCs w:val="32"/>
        </w:rPr>
      </w:pPr>
      <w:r>
        <w:rPr>
          <w:rFonts w:hint="eastAsia" w:ascii="仿宋" w:hAnsi="仿宋" w:eastAsia="仿宋" w:cs="仿宋"/>
          <w:b/>
          <w:bCs/>
          <w:color w:val="000000" w:themeColor="text1"/>
          <w:sz w:val="44"/>
          <w:szCs w:val="44"/>
          <w:lang w:eastAsia="zh-CN"/>
        </w:rPr>
        <w:t>投标文件</w:t>
      </w:r>
    </w:p>
    <w:p>
      <w:pPr>
        <w:pStyle w:val="13"/>
        <w:rPr>
          <w:rFonts w:hint="eastAsia" w:ascii="仿宋" w:hAnsi="仿宋" w:eastAsia="仿宋" w:cs="仿宋"/>
          <w:bCs/>
          <w:color w:val="000000" w:themeColor="text1"/>
          <w:sz w:val="32"/>
          <w:szCs w:val="32"/>
        </w:rPr>
      </w:pPr>
    </w:p>
    <w:p>
      <w:pPr>
        <w:rPr>
          <w:rFonts w:hint="eastAsia" w:ascii="仿宋" w:hAnsi="仿宋" w:eastAsia="仿宋" w:cs="仿宋"/>
          <w:bCs/>
          <w:color w:val="000000" w:themeColor="text1"/>
          <w:sz w:val="32"/>
          <w:szCs w:val="32"/>
        </w:rPr>
      </w:pPr>
    </w:p>
    <w:p>
      <w:pPr>
        <w:pStyle w:val="12"/>
        <w:rPr>
          <w:rFonts w:hint="eastAsia"/>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kern w:val="0"/>
          <w:sz w:val="28"/>
          <w:szCs w:val="28"/>
          <w:fitText w:val="2810" w:id="1607212411"/>
        </w:rPr>
        <w:t>供应商名称（公章）：</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w w:val="77"/>
          <w:kern w:val="0"/>
          <w:sz w:val="28"/>
          <w:szCs w:val="28"/>
          <w:fitText w:val="2810" w:id="1678262609"/>
        </w:rPr>
        <w:t>法定代表人（</w:t>
      </w:r>
      <w:r>
        <w:rPr>
          <w:rFonts w:hint="eastAsia" w:ascii="仿宋" w:hAnsi="仿宋" w:eastAsia="仿宋" w:cs="仿宋"/>
          <w:b/>
          <w:caps/>
          <w:color w:val="000000" w:themeColor="text1"/>
          <w:spacing w:val="0"/>
          <w:w w:val="77"/>
          <w:kern w:val="0"/>
          <w:sz w:val="28"/>
          <w:szCs w:val="28"/>
          <w:fitText w:val="2810" w:id="1678262609"/>
          <w:lang w:eastAsia="zh-CN"/>
        </w:rPr>
        <w:t>签章</w:t>
      </w:r>
      <w:r>
        <w:rPr>
          <w:rFonts w:hint="eastAsia" w:ascii="仿宋" w:hAnsi="仿宋" w:eastAsia="仿宋" w:cs="仿宋"/>
          <w:b/>
          <w:caps/>
          <w:color w:val="000000" w:themeColor="text1"/>
          <w:spacing w:val="0"/>
          <w:w w:val="77"/>
          <w:kern w:val="0"/>
          <w:sz w:val="28"/>
          <w:szCs w:val="28"/>
          <w:fitText w:val="2810" w:id="1678262609"/>
        </w:rPr>
        <w:t>或盖章）</w:t>
      </w:r>
      <w:r>
        <w:rPr>
          <w:rFonts w:hint="eastAsia" w:ascii="仿宋" w:hAnsi="仿宋" w:eastAsia="仿宋" w:cs="仿宋"/>
          <w:b/>
          <w:caps/>
          <w:color w:val="000000" w:themeColor="text1"/>
          <w:spacing w:val="-1"/>
          <w:w w:val="77"/>
          <w:kern w:val="0"/>
          <w:sz w:val="28"/>
          <w:szCs w:val="28"/>
          <w:fitText w:val="2810" w:id="1678262609"/>
        </w:rPr>
        <w:t>：</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13"/>
          <w:kern w:val="0"/>
          <w:sz w:val="28"/>
          <w:szCs w:val="28"/>
          <w:fitText w:val="2810" w:id="838214655"/>
        </w:rPr>
        <w:t>供应商地址</w:t>
      </w:r>
      <w:r>
        <w:rPr>
          <w:rFonts w:hint="eastAsia" w:ascii="仿宋" w:hAnsi="仿宋" w:eastAsia="仿宋" w:cs="仿宋"/>
          <w:b/>
          <w:caps/>
          <w:color w:val="000000" w:themeColor="text1"/>
          <w:spacing w:val="0"/>
          <w:kern w:val="0"/>
          <w:sz w:val="28"/>
          <w:szCs w:val="28"/>
          <w:fitText w:val="2810" w:id="838214655"/>
        </w:rPr>
        <w:t>：</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281"/>
          <w:kern w:val="0"/>
          <w:sz w:val="28"/>
          <w:szCs w:val="28"/>
          <w:fitText w:val="2810" w:id="1781337067"/>
        </w:rPr>
        <w:t>联系人</w:t>
      </w:r>
      <w:r>
        <w:rPr>
          <w:rFonts w:hint="eastAsia" w:ascii="仿宋" w:hAnsi="仿宋" w:eastAsia="仿宋" w:cs="仿宋"/>
          <w:b/>
          <w:caps/>
          <w:color w:val="000000" w:themeColor="text1"/>
          <w:spacing w:val="2"/>
          <w:kern w:val="0"/>
          <w:sz w:val="28"/>
          <w:szCs w:val="28"/>
          <w:fitText w:val="2810" w:id="1781337067"/>
        </w:rPr>
        <w:t>：</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76"/>
          <w:kern w:val="0"/>
          <w:sz w:val="28"/>
          <w:szCs w:val="28"/>
          <w:fitText w:val="2810" w:id="1848534003"/>
        </w:rPr>
        <w:t>联系电话</w:t>
      </w:r>
      <w:r>
        <w:rPr>
          <w:rFonts w:hint="eastAsia" w:ascii="仿宋" w:hAnsi="仿宋" w:eastAsia="仿宋" w:cs="仿宋"/>
          <w:b/>
          <w:caps/>
          <w:color w:val="000000" w:themeColor="text1"/>
          <w:spacing w:val="1"/>
          <w:kern w:val="0"/>
          <w:sz w:val="28"/>
          <w:szCs w:val="28"/>
          <w:fitText w:val="2810" w:id="1848534003"/>
        </w:rPr>
        <w:t>：</w:t>
      </w:r>
    </w:p>
    <w:p>
      <w:pPr>
        <w:adjustRightInd w:val="0"/>
        <w:snapToGrid w:val="0"/>
        <w:spacing w:line="360" w:lineRule="auto"/>
        <w:jc w:val="center"/>
        <w:rPr>
          <w:rFonts w:hint="eastAsia" w:ascii="仿宋" w:hAnsi="仿宋" w:eastAsia="仿宋" w:cs="仿宋"/>
          <w:b/>
          <w:caps/>
          <w:color w:val="000000" w:themeColor="text1"/>
          <w:sz w:val="28"/>
          <w:szCs w:val="28"/>
        </w:rPr>
      </w:pPr>
    </w:p>
    <w:p>
      <w:pPr>
        <w:adjustRightInd w:val="0"/>
        <w:snapToGrid w:val="0"/>
        <w:spacing w:line="360" w:lineRule="auto"/>
        <w:jc w:val="center"/>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rPr>
        <w:t>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_年__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_月__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_日</w:t>
      </w:r>
    </w:p>
    <w:bookmarkEnd w:id="48"/>
    <w:p>
      <w:pPr>
        <w:pStyle w:val="4"/>
        <w:spacing w:line="240" w:lineRule="atLeast"/>
        <w:jc w:val="both"/>
        <w:rPr>
          <w:rFonts w:hint="eastAsia" w:ascii="仿宋" w:hAnsi="仿宋" w:eastAsia="仿宋" w:cs="仿宋"/>
          <w:bCs/>
          <w:color w:val="000000" w:themeColor="text1"/>
          <w:szCs w:val="21"/>
          <w:lang w:eastAsia="zh-CN"/>
        </w:rPr>
      </w:pPr>
      <w:bookmarkStart w:id="49" w:name="_Toc18694"/>
      <w:bookmarkStart w:id="50" w:name="_Toc18974"/>
      <w:bookmarkStart w:id="51" w:name="_Toc515647803"/>
      <w:bookmarkStart w:id="52" w:name="_Toc8919"/>
    </w:p>
    <w:p>
      <w:pPr>
        <w:pStyle w:val="4"/>
        <w:spacing w:line="240" w:lineRule="atLeast"/>
        <w:ind w:firstLine="2264" w:firstLineChars="800"/>
        <w:jc w:val="both"/>
        <w:rPr>
          <w:rFonts w:hint="eastAsia" w:ascii="仿宋" w:hAnsi="仿宋" w:eastAsia="仿宋" w:cs="仿宋"/>
          <w:bCs/>
          <w:color w:val="000000" w:themeColor="text1"/>
          <w:szCs w:val="21"/>
          <w:lang w:eastAsia="zh-CN"/>
        </w:rPr>
      </w:pPr>
    </w:p>
    <w:p>
      <w:pPr>
        <w:pStyle w:val="4"/>
        <w:spacing w:line="240" w:lineRule="atLeast"/>
        <w:ind w:firstLine="2264" w:firstLineChars="800"/>
        <w:jc w:val="both"/>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第一部分 资格证明文件</w:t>
      </w:r>
      <w:bookmarkEnd w:id="49"/>
      <w:bookmarkEnd w:id="50"/>
      <w:bookmarkEnd w:id="51"/>
      <w:bookmarkEnd w:id="52"/>
    </w:p>
    <w:p>
      <w:pPr>
        <w:spacing w:line="240" w:lineRule="atLeast"/>
        <w:ind w:left="717" w:hanging="716" w:hangingChars="295"/>
        <w:jc w:val="center"/>
        <w:rPr>
          <w:rFonts w:ascii="仿宋" w:hAnsi="仿宋" w:eastAsia="仿宋" w:cs="仿宋"/>
          <w:color w:val="000000" w:themeColor="text1"/>
          <w:lang w:eastAsia="zh-CN"/>
        </w:rPr>
      </w:pPr>
    </w:p>
    <w:p>
      <w:pPr>
        <w:pStyle w:val="4"/>
        <w:numPr>
          <w:ilvl w:val="0"/>
          <w:numId w:val="0"/>
        </w:numPr>
        <w:shd w:val="clear" w:color="auto" w:fill="auto"/>
        <w:spacing w:before="0" w:line="240" w:lineRule="atLeast"/>
        <w:rPr>
          <w:rFonts w:hint="eastAsia" w:ascii="仿宋" w:hAnsi="仿宋" w:eastAsia="仿宋" w:cs="仿宋"/>
          <w:color w:val="000000" w:themeColor="text1"/>
          <w:sz w:val="28"/>
          <w:szCs w:val="21"/>
          <w:highlight w:val="none"/>
        </w:rPr>
      </w:pPr>
      <w:r>
        <w:rPr>
          <w:rFonts w:hint="eastAsia" w:ascii="仿宋" w:hAnsi="仿宋" w:eastAsia="仿宋" w:cs="仿宋"/>
          <w:b/>
          <w:bCs/>
          <w:color w:val="000000" w:themeColor="text1"/>
          <w:sz w:val="28"/>
          <w:szCs w:val="21"/>
          <w:highlight w:val="none"/>
        </w:rPr>
        <w:t>第一部分 资格证明文件</w:t>
      </w:r>
    </w:p>
    <w:p>
      <w:pPr>
        <w:shd w:val="clear" w:color="auto" w:fill="auto"/>
        <w:spacing w:line="240" w:lineRule="atLeast"/>
        <w:ind w:left="708" w:hanging="716" w:hangingChars="295"/>
        <w:jc w:val="center"/>
        <w:rPr>
          <w:rFonts w:hint="eastAsia" w:ascii="仿宋" w:hAnsi="仿宋" w:eastAsia="仿宋" w:cs="仿宋"/>
          <w:color w:val="000000" w:themeColor="text1"/>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1</w:t>
      </w:r>
      <w:r>
        <w:rPr>
          <w:rFonts w:hint="eastAsia" w:ascii="仿宋" w:hAnsi="仿宋" w:eastAsia="仿宋" w:cs="仿宋"/>
          <w:color w:val="000000" w:themeColor="text1"/>
          <w:sz w:val="24"/>
          <w:highlight w:val="none"/>
        </w:rPr>
        <w:t>、法人或者非法人组织的营业执照等证明文件复印件（须加盖本单位章）或自然人的身份证明复印件;</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rPr>
        <w:t>、法定代表人资格证明书</w:t>
      </w:r>
      <w:r>
        <w:rPr>
          <w:rFonts w:hint="eastAsia" w:ascii="仿宋" w:hAnsi="仿宋" w:eastAsia="仿宋" w:cs="仿宋"/>
          <w:color w:val="000000" w:themeColor="text1"/>
          <w:sz w:val="24"/>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3、</w:t>
      </w:r>
      <w:r>
        <w:rPr>
          <w:rFonts w:hint="eastAsia" w:ascii="仿宋" w:hAnsi="仿宋" w:eastAsia="仿宋" w:cs="仿宋"/>
          <w:color w:val="000000" w:themeColor="text1"/>
          <w:sz w:val="24"/>
          <w:highlight w:val="none"/>
        </w:rPr>
        <w:t>法定代表人授权</w:t>
      </w:r>
      <w:r>
        <w:rPr>
          <w:rFonts w:hint="eastAsia" w:ascii="仿宋" w:hAnsi="仿宋" w:eastAsia="仿宋" w:cs="仿宋"/>
          <w:color w:val="000000" w:themeColor="text1"/>
          <w:sz w:val="24"/>
          <w:highlight w:val="none"/>
          <w:lang w:val="en-US" w:eastAsia="zh-CN"/>
        </w:rPr>
        <w:t>委托</w:t>
      </w:r>
      <w:r>
        <w:rPr>
          <w:rFonts w:hint="eastAsia" w:ascii="仿宋" w:hAnsi="仿宋" w:eastAsia="仿宋" w:cs="仿宋"/>
          <w:color w:val="000000" w:themeColor="text1"/>
          <w:sz w:val="24"/>
          <w:highlight w:val="none"/>
        </w:rPr>
        <w:t>书</w:t>
      </w:r>
      <w:r>
        <w:rPr>
          <w:rFonts w:hint="eastAsia" w:ascii="仿宋" w:hAnsi="仿宋" w:eastAsia="仿宋" w:cs="仿宋"/>
          <w:color w:val="000000" w:themeColor="text1"/>
          <w:sz w:val="24"/>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4、投标保证金缴纳依据（汇款凭证）或保函等票据；</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5</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eastAsia="zh-CN"/>
        </w:rPr>
        <w:t>投</w:t>
      </w:r>
      <w:r>
        <w:rPr>
          <w:rFonts w:hint="eastAsia" w:ascii="仿宋" w:hAnsi="仿宋" w:eastAsia="仿宋" w:cs="仿宋"/>
          <w:color w:val="000000" w:themeColor="text1"/>
          <w:sz w:val="24"/>
          <w:highlight w:val="none"/>
        </w:rPr>
        <w:t>标企业须提供投标人（</w:t>
      </w:r>
      <w:r>
        <w:rPr>
          <w:rFonts w:hint="eastAsia" w:ascii="仿宋" w:hAnsi="仿宋" w:eastAsia="仿宋" w:cs="仿宋"/>
          <w:color w:val="000000" w:themeColor="text1"/>
          <w:sz w:val="24"/>
          <w:highlight w:val="none"/>
          <w:lang w:eastAsia="zh-CN"/>
        </w:rPr>
        <w:t>被授权本单位在职人员</w:t>
      </w:r>
      <w:r>
        <w:rPr>
          <w:rFonts w:hint="eastAsia" w:ascii="仿宋" w:hAnsi="仿宋" w:eastAsia="仿宋" w:cs="仿宋"/>
          <w:color w:val="000000" w:themeColor="text1"/>
          <w:sz w:val="24"/>
          <w:highlight w:val="none"/>
        </w:rPr>
        <w:t>）近</w:t>
      </w:r>
      <w:r>
        <w:rPr>
          <w:rFonts w:hint="eastAsia" w:ascii="仿宋" w:hAnsi="仿宋" w:eastAsia="仿宋" w:cs="仿宋"/>
          <w:color w:val="000000" w:themeColor="text1"/>
          <w:sz w:val="24"/>
          <w:highlight w:val="none"/>
          <w:lang w:val="en-US" w:eastAsia="zh-CN"/>
        </w:rPr>
        <w:t>期</w:t>
      </w:r>
      <w:r>
        <w:rPr>
          <w:rFonts w:hint="eastAsia" w:ascii="仿宋" w:hAnsi="仿宋" w:eastAsia="仿宋" w:cs="仿宋"/>
          <w:color w:val="000000" w:themeColor="text1"/>
          <w:sz w:val="24"/>
          <w:highlight w:val="none"/>
        </w:rPr>
        <w:t>有效的社保证明;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6</w:t>
      </w:r>
      <w:r>
        <w:rPr>
          <w:rFonts w:hint="eastAsia" w:ascii="仿宋" w:hAnsi="仿宋" w:eastAsia="仿宋" w:cs="仿宋"/>
          <w:color w:val="000000" w:themeColor="text1"/>
          <w:sz w:val="24"/>
          <w:highlight w:val="none"/>
        </w:rPr>
        <w:t>、参加政府采购活动前3年内在经营活动中没有重大违法记录的书面声明;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pP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7、未被</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en-US" w:bidi="en-US"/>
        </w:rPr>
        <w:t xml:space="preserve"> “信用中国”网站（http://www.creditchina.gov.cn/）、“中国政府采购网”网站（http://www.ccgp.gov.cn）无违法违规行为的查询纪录</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 xml:space="preserve">；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8</w:t>
      </w:r>
      <w:r>
        <w:rPr>
          <w:rFonts w:hint="eastAsia" w:ascii="仿宋" w:hAnsi="仿宋" w:eastAsia="仿宋" w:cs="仿宋"/>
          <w:color w:val="000000" w:themeColor="text1"/>
          <w:sz w:val="24"/>
          <w:highlight w:val="none"/>
        </w:rPr>
        <w:t>、投标人须知资料表要求的其他资格证明文件</w:t>
      </w:r>
      <w:r>
        <w:rPr>
          <w:rFonts w:hint="eastAsia" w:ascii="仿宋" w:hAnsi="仿宋" w:eastAsia="仿宋" w:cs="仿宋"/>
          <w:color w:val="000000" w:themeColor="text1"/>
          <w:sz w:val="24"/>
          <w:highlight w:val="none"/>
          <w:lang w:eastAsia="zh-CN"/>
        </w:rPr>
        <w:t>。</w:t>
      </w: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pPr>
        <w:rPr>
          <w:rFonts w:ascii="仿宋" w:hAnsi="仿宋" w:eastAsia="仿宋" w:cs="仿宋"/>
          <w:b/>
          <w:bCs/>
          <w:color w:val="000000" w:themeColor="text1"/>
          <w:sz w:val="36"/>
          <w:szCs w:val="36"/>
          <w:lang w:eastAsia="zh-CN"/>
        </w:rPr>
      </w:pPr>
    </w:p>
    <w:p>
      <w:pPr>
        <w:rPr>
          <w:rFonts w:hint="eastAsia"/>
          <w:lang w:eastAsia="zh-CN"/>
        </w:rPr>
      </w:pPr>
      <w:bookmarkStart w:id="53" w:name="_Toc29899"/>
      <w:bookmarkStart w:id="54" w:name="_Toc17577"/>
      <w:bookmarkStart w:id="55" w:name="_Toc4844"/>
      <w:bookmarkStart w:id="56" w:name="_Toc515647805"/>
    </w:p>
    <w:p>
      <w:pPr>
        <w:pStyle w:val="12"/>
        <w:rPr>
          <w:rFonts w:hint="eastAsia"/>
          <w:lang w:eastAsia="zh-CN"/>
        </w:rPr>
      </w:pPr>
    </w:p>
    <w:p>
      <w:pPr>
        <w:pStyle w:val="13"/>
        <w:rPr>
          <w:rFonts w:hint="eastAsia"/>
          <w:lang w:eastAsia="zh-CN"/>
        </w:rPr>
      </w:pPr>
    </w:p>
    <w:p>
      <w:pPr>
        <w:rPr>
          <w:rFonts w:hint="eastAsia"/>
          <w:lang w:eastAsia="zh-CN"/>
        </w:rPr>
      </w:pPr>
    </w:p>
    <w:p>
      <w:pPr>
        <w:pStyle w:val="12"/>
        <w:rPr>
          <w:rFonts w:hint="eastAsia"/>
          <w:lang w:eastAsia="zh-CN"/>
        </w:rPr>
      </w:pPr>
    </w:p>
    <w:p>
      <w:pPr>
        <w:pStyle w:val="13"/>
        <w:rPr>
          <w:rFonts w:hint="eastAsia"/>
          <w:lang w:eastAsia="zh-CN"/>
        </w:rPr>
      </w:pPr>
    </w:p>
    <w:bookmarkEnd w:id="53"/>
    <w:bookmarkEnd w:id="54"/>
    <w:bookmarkEnd w:id="55"/>
    <w:bookmarkEnd w:id="56"/>
    <w:p>
      <w:pPr>
        <w:pStyle w:val="10"/>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pPr>
        <w:pStyle w:val="10"/>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pPr>
        <w:pStyle w:val="10"/>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pPr>
        <w:pStyle w:val="10"/>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r>
        <w:rPr>
          <w:rFonts w:hint="eastAsia" w:ascii="仿宋" w:hAnsi="仿宋" w:eastAsia="仿宋" w:cs="仿宋"/>
          <w:b/>
          <w:bCs/>
          <w:color w:val="000000" w:themeColor="text1"/>
          <w:sz w:val="36"/>
          <w:szCs w:val="36"/>
          <w:lang w:val="en-US" w:eastAsia="zh-CN"/>
        </w:rPr>
        <w:t>1、 法人或者非法人组织的营业执照等证明文件</w:t>
      </w:r>
      <w:bookmarkStart w:id="57" w:name="_Toc515647806"/>
      <w:r>
        <w:rPr>
          <w:rFonts w:hint="eastAsia" w:ascii="仿宋" w:hAnsi="仿宋" w:eastAsia="仿宋" w:cs="仿宋"/>
          <w:b/>
          <w:bCs/>
          <w:color w:val="000000" w:themeColor="text1"/>
          <w:sz w:val="36"/>
          <w:szCs w:val="36"/>
          <w:lang w:val="en-US" w:eastAsia="zh-CN"/>
        </w:rPr>
        <w:t>或自然人的身份证明</w:t>
      </w:r>
      <w:bookmarkEnd w:id="57"/>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000000" w:themeColor="text1"/>
          <w:sz w:val="24"/>
          <w:highlight w:val="none"/>
        </w:rPr>
      </w:pP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说明：1.提供有效的营业执照等证明文件复印件，复印件上应加盖本单位章。</w:t>
      </w: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2. 投标人为自然人的，应提供身份证明的复印件。</w:t>
      </w:r>
    </w:p>
    <w:p>
      <w:pPr>
        <w:pStyle w:val="10"/>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5"/>
        <w:rPr>
          <w:rFonts w:hint="eastAsia"/>
          <w:lang w:eastAsia="zh-CN"/>
        </w:rPr>
      </w:pPr>
    </w:p>
    <w:p>
      <w:pPr>
        <w:rPr>
          <w:rFonts w:hint="eastAsia"/>
          <w:lang w:eastAsia="zh-CN"/>
        </w:rPr>
      </w:pPr>
    </w:p>
    <w:p>
      <w:pPr>
        <w:rPr>
          <w:rFonts w:hint="eastAsia"/>
          <w:lang w:eastAsia="zh-CN"/>
        </w:rPr>
      </w:pPr>
    </w:p>
    <w:p>
      <w:pPr>
        <w:pStyle w:val="12"/>
        <w:rPr>
          <w:rFonts w:hint="eastAsia"/>
          <w:lang w:eastAsia="zh-CN"/>
        </w:rPr>
      </w:pPr>
    </w:p>
    <w:p>
      <w:pPr>
        <w:pStyle w:val="13"/>
        <w:rPr>
          <w:rFonts w:hint="eastAsia"/>
          <w:lang w:eastAsia="zh-CN"/>
        </w:rPr>
      </w:pPr>
    </w:p>
    <w:p>
      <w:pPr>
        <w:rPr>
          <w:rFonts w:hint="eastAsia"/>
          <w:lang w:eastAsia="zh-CN"/>
        </w:rPr>
      </w:pPr>
    </w:p>
    <w:p>
      <w:pPr>
        <w:rPr>
          <w:rFonts w:hint="eastAsia"/>
          <w:lang w:eastAsia="zh-CN"/>
        </w:rPr>
      </w:pPr>
    </w:p>
    <w:p>
      <w:pPr>
        <w:pStyle w:val="10"/>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000000" w:themeColor="text1"/>
          <w:sz w:val="36"/>
          <w:szCs w:val="36"/>
        </w:rPr>
      </w:pPr>
      <w:r>
        <w:rPr>
          <w:rFonts w:hint="eastAsia" w:ascii="仿宋" w:hAnsi="仿宋" w:eastAsia="仿宋" w:cs="仿宋"/>
          <w:b/>
          <w:bCs/>
          <w:color w:val="000000" w:themeColor="text1"/>
          <w:sz w:val="36"/>
          <w:szCs w:val="36"/>
          <w:lang w:val="en-US" w:eastAsia="zh-CN"/>
        </w:rPr>
        <w:t>2</w:t>
      </w:r>
      <w:r>
        <w:rPr>
          <w:rFonts w:hint="eastAsia" w:ascii="仿宋" w:hAnsi="仿宋" w:eastAsia="仿宋" w:cs="仿宋"/>
          <w:b/>
          <w:bCs/>
          <w:color w:val="000000" w:themeColor="text1"/>
          <w:sz w:val="36"/>
          <w:szCs w:val="36"/>
        </w:rPr>
        <w:t>、法定代表人身份证明</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投标单位名称：</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单位性质：</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地址：</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成立时间：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日</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经营期限：</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姓名：</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性别：</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年龄：</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职务：</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身份证号码：</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u w:val="single"/>
          <w:lang w:val="en-US" w:eastAsia="zh-CN"/>
        </w:rPr>
        <w:t xml:space="preserve">                   </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系</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（投标单位名称）的法定代表人。</w:t>
      </w:r>
    </w:p>
    <w:p>
      <w:pPr>
        <w:spacing w:line="420" w:lineRule="exact"/>
        <w:ind w:firstLine="972" w:firstLineChars="4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特此证明。</w:t>
      </w:r>
    </w:p>
    <w:p>
      <w:pPr>
        <w:pStyle w:val="10"/>
        <w:numPr>
          <w:ilvl w:val="0"/>
          <w:numId w:val="0"/>
        </w:numPr>
        <w:kinsoku w:val="0"/>
        <w:overflowPunct w:val="0"/>
        <w:ind w:leftChars="0" w:right="0" w:rightChars="0"/>
        <w:rPr>
          <w:rFonts w:hint="eastAsia" w:ascii="仿宋" w:hAnsi="仿宋" w:eastAsia="仿宋" w:cs="仿宋"/>
          <w:color w:val="000000" w:themeColor="text1"/>
          <w:sz w:val="20"/>
          <w:szCs w:val="20"/>
        </w:rPr>
      </w:pPr>
    </w:p>
    <w:p>
      <w:pPr>
        <w:pStyle w:val="10"/>
        <w:numPr>
          <w:ilvl w:val="0"/>
          <w:numId w:val="0"/>
        </w:numPr>
        <w:kinsoku w:val="0"/>
        <w:overflowPunct w:val="0"/>
        <w:spacing w:before="7"/>
        <w:ind w:leftChars="0" w:right="0" w:rightChars="0"/>
        <w:rPr>
          <w:rFonts w:hint="eastAsia" w:ascii="仿宋" w:hAnsi="仿宋" w:eastAsia="仿宋" w:cs="仿宋"/>
          <w:color w:val="000000" w:themeColor="text1"/>
          <w:sz w:val="25"/>
          <w:szCs w:val="25"/>
        </w:rPr>
      </w:pPr>
    </w:p>
    <w:p>
      <w:pPr>
        <w:pStyle w:val="10"/>
        <w:numPr>
          <w:ilvl w:val="0"/>
          <w:numId w:val="0"/>
        </w:numPr>
        <w:kinsoku w:val="0"/>
        <w:overflowPunct w:val="0"/>
        <w:spacing w:line="200" w:lineRule="atLeast"/>
        <w:ind w:right="0" w:rightChars="0"/>
        <w:rPr>
          <w:rFonts w:hint="eastAsia" w:ascii="仿宋" w:hAnsi="仿宋" w:eastAsia="仿宋" w:cs="仿宋"/>
          <w:color w:val="000000" w:themeColor="text1"/>
          <w:sz w:val="20"/>
          <w:szCs w:val="20"/>
        </w:rPr>
      </w:pPr>
      <w:r>
        <w:rPr>
          <w:rFonts w:hint="eastAsia" w:ascii="仿宋" w:hAnsi="仿宋" w:eastAsia="仿宋" w:cs="仿宋"/>
          <w:color w:val="000000" w:themeColor="text1"/>
          <w:sz w:val="20"/>
          <w:szCs w:val="20"/>
        </w:rPr>
        <w:pict>
          <v:group id="组合 34" o:spid="_x0000_s1128"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任意多边形 14" o:spid="_x0000_s1116"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5" o:spid="_x0000_s1117"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118"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119"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12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任意多边形 20" o:spid="_x0000_s1121"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21" o:spid="_x0000_s1122"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2" o:spid="_x0000_s1123"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3" o:spid="_x0000_s1124"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125"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1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pPr>
                      <w:pStyle w:val="10"/>
                      <w:numPr>
                        <w:ilvl w:val="0"/>
                        <w:numId w:val="0"/>
                      </w:numPr>
                      <w:kinsoku w:val="0"/>
                      <w:overflowPunct w:val="0"/>
                      <w:spacing w:before="13"/>
                      <w:ind w:leftChars="0" w:right="0" w:rightChars="0"/>
                      <w:rPr>
                        <w:rFonts w:hint="eastAsia"/>
                        <w:sz w:val="28"/>
                        <w:szCs w:val="28"/>
                      </w:rPr>
                    </w:pPr>
                  </w:p>
                  <w:p>
                    <w:pPr>
                      <w:pStyle w:val="10"/>
                      <w:numPr>
                        <w:ilvl w:val="0"/>
                        <w:numId w:val="0"/>
                      </w:numPr>
                      <w:kinsoku w:val="0"/>
                      <w:overflowPunct w:val="0"/>
                      <w:ind w:right="0" w:rightChars="0"/>
                      <w:jc w:val="center"/>
                    </w:pPr>
                    <w:r>
                      <w:rPr>
                        <w:rFonts w:hint="eastAsia"/>
                      </w:rPr>
                      <w:t>法定代表人身份证复印件（正面）</w:t>
                    </w:r>
                  </w:p>
                </w:txbxContent>
              </v:textbox>
            </v:shape>
            <v:shape id="文本框 32" o:spid="_x0000_s1127"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10"/>
                      <w:numPr>
                        <w:ilvl w:val="0"/>
                        <w:numId w:val="0"/>
                      </w:numPr>
                      <w:kinsoku w:val="0"/>
                      <w:overflowPunct w:val="0"/>
                      <w:spacing w:before="13"/>
                      <w:ind w:leftChars="0" w:right="0" w:rightChars="0"/>
                      <w:rPr>
                        <w:rFonts w:hint="eastAsia"/>
                        <w:sz w:val="28"/>
                        <w:szCs w:val="28"/>
                      </w:rPr>
                    </w:pPr>
                  </w:p>
                  <w:p>
                    <w:pPr>
                      <w:pStyle w:val="10"/>
                      <w:numPr>
                        <w:ilvl w:val="0"/>
                        <w:numId w:val="0"/>
                      </w:numPr>
                      <w:kinsoku w:val="0"/>
                      <w:overflowPunct w:val="0"/>
                      <w:ind w:right="0" w:rightChars="0"/>
                    </w:pPr>
                    <w:r>
                      <w:rPr>
                        <w:rFonts w:hint="eastAsia"/>
                      </w:rPr>
                      <w:t>法定代表人身份证复印件（反面）</w:t>
                    </w:r>
                  </w:p>
                </w:txbxContent>
              </v:textbox>
            </v:shape>
            <w10:wrap type="none"/>
            <w10:anchorlock/>
          </v:group>
        </w:pict>
      </w:r>
    </w:p>
    <w:p>
      <w:pPr>
        <w:wordWrap w:val="0"/>
        <w:spacing w:line="420" w:lineRule="exact"/>
        <w:ind w:firstLine="486" w:firstLineChars="200"/>
        <w:jc w:val="right"/>
        <w:rPr>
          <w:rFonts w:hint="eastAsia" w:ascii="仿宋" w:hAnsi="仿宋" w:eastAsia="仿宋" w:cs="仿宋"/>
          <w:color w:val="000000" w:themeColor="text1"/>
          <w:kern w:val="0"/>
          <w:sz w:val="24"/>
        </w:rPr>
      </w:pPr>
    </w:p>
    <w:p>
      <w:pPr>
        <w:spacing w:line="420" w:lineRule="exact"/>
        <w:ind w:firstLine="486" w:firstLineChars="200"/>
        <w:jc w:val="right"/>
        <w:rPr>
          <w:rFonts w:hint="eastAsia" w:ascii="仿宋" w:hAnsi="仿宋" w:eastAsia="仿宋" w:cs="仿宋"/>
          <w:color w:val="000000" w:themeColor="text1"/>
          <w:kern w:val="0"/>
          <w:sz w:val="24"/>
        </w:rPr>
      </w:pPr>
    </w:p>
    <w:p>
      <w:pPr>
        <w:spacing w:line="420" w:lineRule="exact"/>
        <w:ind w:firstLine="486" w:firstLineChars="200"/>
        <w:jc w:val="righ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投标人：</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（公章）</w:t>
      </w:r>
    </w:p>
    <w:p>
      <w:pPr>
        <w:wordWrap w:val="0"/>
        <w:spacing w:line="420" w:lineRule="exact"/>
        <w:ind w:right="480" w:firstLine="486" w:firstLineChars="200"/>
        <w:jc w:val="center"/>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                                          </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日 </w:t>
      </w:r>
    </w:p>
    <w:p>
      <w:pPr>
        <w:pStyle w:val="10"/>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pStyle w:val="10"/>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 w:val="36"/>
          <w:szCs w:val="36"/>
          <w:lang w:val="en-US" w:eastAsia="zh-CN"/>
        </w:rPr>
      </w:pPr>
    </w:p>
    <w:p>
      <w:pPr>
        <w:rPr>
          <w:rFonts w:hint="eastAsia"/>
          <w:lang w:val="en-US" w:eastAsia="zh-CN"/>
        </w:rPr>
      </w:pPr>
    </w:p>
    <w:p>
      <w:pPr>
        <w:pStyle w:val="10"/>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Cs w:val="21"/>
        </w:rPr>
      </w:pPr>
      <w:r>
        <w:rPr>
          <w:rFonts w:hint="eastAsia" w:ascii="仿宋" w:hAnsi="仿宋" w:eastAsia="仿宋" w:cs="仿宋"/>
          <w:b/>
          <w:bCs/>
          <w:color w:val="000000" w:themeColor="text1"/>
          <w:sz w:val="36"/>
          <w:szCs w:val="36"/>
          <w:lang w:val="en-US" w:eastAsia="zh-CN"/>
        </w:rPr>
        <w:t>3</w:t>
      </w:r>
      <w:r>
        <w:rPr>
          <w:rFonts w:hint="eastAsia" w:ascii="仿宋" w:hAnsi="仿宋" w:eastAsia="仿宋" w:cs="仿宋"/>
          <w:b/>
          <w:bCs/>
          <w:color w:val="000000" w:themeColor="text1"/>
          <w:sz w:val="36"/>
          <w:szCs w:val="36"/>
        </w:rPr>
        <w:t>、授权委托书</w:t>
      </w:r>
    </w:p>
    <w:p>
      <w:pPr>
        <w:spacing w:line="420" w:lineRule="exac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致：采购人名称 </w:t>
      </w:r>
    </w:p>
    <w:p>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本授权书声明：注册于</w:t>
      </w:r>
      <w:r>
        <w:rPr>
          <w:rFonts w:hint="eastAsia" w:ascii="仿宋" w:hAnsi="仿宋" w:eastAsia="仿宋" w:cs="仿宋"/>
          <w:color w:val="000000" w:themeColor="text1"/>
          <w:kern w:val="0"/>
          <w:sz w:val="24"/>
          <w:u w:val="single"/>
        </w:rPr>
        <w:t>（投标人地址）</w:t>
      </w:r>
      <w:r>
        <w:rPr>
          <w:rFonts w:hint="eastAsia" w:ascii="仿宋" w:hAnsi="仿宋" w:eastAsia="仿宋" w:cs="仿宋"/>
          <w:color w:val="000000" w:themeColor="text1"/>
          <w:kern w:val="0"/>
          <w:sz w:val="24"/>
        </w:rPr>
        <w:t>的</w:t>
      </w:r>
      <w:r>
        <w:rPr>
          <w:rFonts w:hint="eastAsia" w:ascii="仿宋" w:hAnsi="仿宋" w:eastAsia="仿宋" w:cs="仿宋"/>
          <w:color w:val="000000" w:themeColor="text1"/>
          <w:kern w:val="0"/>
          <w:sz w:val="24"/>
          <w:u w:val="single"/>
        </w:rPr>
        <w:t>（投标人名称）</w:t>
      </w:r>
      <w:r>
        <w:rPr>
          <w:rFonts w:hint="eastAsia" w:ascii="仿宋" w:hAnsi="仿宋" w:eastAsia="仿宋" w:cs="仿宋"/>
          <w:color w:val="000000" w:themeColor="text1"/>
          <w:kern w:val="0"/>
          <w:sz w:val="24"/>
        </w:rPr>
        <w:t>法定代表人（负责人）</w:t>
      </w:r>
      <w:r>
        <w:rPr>
          <w:rFonts w:hint="eastAsia" w:ascii="仿宋" w:hAnsi="仿宋" w:eastAsia="仿宋" w:cs="仿宋"/>
          <w:color w:val="000000" w:themeColor="text1"/>
          <w:kern w:val="0"/>
          <w:sz w:val="24"/>
          <w:u w:val="single"/>
        </w:rPr>
        <w:t>姓名、职务或职称）</w:t>
      </w:r>
      <w:r>
        <w:rPr>
          <w:rFonts w:hint="eastAsia" w:ascii="仿宋" w:hAnsi="仿宋" w:eastAsia="仿宋" w:cs="仿宋"/>
          <w:color w:val="000000" w:themeColor="text1"/>
          <w:kern w:val="0"/>
          <w:sz w:val="24"/>
        </w:rPr>
        <w:t>代表本公司授权</w:t>
      </w:r>
      <w:r>
        <w:rPr>
          <w:rFonts w:hint="eastAsia" w:ascii="仿宋" w:hAnsi="仿宋" w:eastAsia="仿宋" w:cs="仿宋"/>
          <w:color w:val="000000" w:themeColor="text1"/>
          <w:kern w:val="0"/>
          <w:sz w:val="24"/>
          <w:u w:val="single"/>
        </w:rPr>
        <w:t>（姓名）</w:t>
      </w:r>
      <w:r>
        <w:rPr>
          <w:rFonts w:hint="eastAsia" w:ascii="仿宋" w:hAnsi="仿宋" w:eastAsia="仿宋" w:cs="仿宋"/>
          <w:color w:val="000000" w:themeColor="text1"/>
          <w:kern w:val="0"/>
          <w:sz w:val="24"/>
        </w:rPr>
        <w:t>为本单位的合法代理人，参与贵方组织的</w:t>
      </w:r>
      <w:r>
        <w:rPr>
          <w:rFonts w:hint="eastAsia" w:ascii="仿宋" w:hAnsi="仿宋" w:eastAsia="仿宋" w:cs="仿宋"/>
          <w:color w:val="000000" w:themeColor="text1"/>
          <w:kern w:val="0"/>
          <w:sz w:val="24"/>
          <w:u w:val="single"/>
        </w:rPr>
        <w:t>（项目名称及项目编号）</w:t>
      </w:r>
      <w:r>
        <w:rPr>
          <w:rFonts w:hint="eastAsia" w:ascii="仿宋" w:hAnsi="仿宋" w:eastAsia="仿宋" w:cs="仿宋"/>
          <w:color w:val="000000" w:themeColor="text1"/>
          <w:kern w:val="0"/>
          <w:sz w:val="24"/>
        </w:rPr>
        <w:t xml:space="preserve"> 的投标、谈判、签约等具体工作，并签署全部有关文件、协议及合同。</w:t>
      </w:r>
    </w:p>
    <w:p>
      <w:pPr>
        <w:adjustRightInd w:val="0"/>
        <w:snapToGrid w:val="0"/>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我单位对被授权人的上述经济活动负全部责任。在撤销授权的书面通知前，本授权书一直有效。被授权人在授权书有效期内签署的所有文件不因授权的撤消而失效。</w:t>
      </w:r>
    </w:p>
    <w:p>
      <w:pPr>
        <w:pStyle w:val="10"/>
        <w:kinsoku w:val="0"/>
        <w:overflowPunct w:val="0"/>
        <w:adjustRightInd w:val="0"/>
        <w:snapToGrid w:val="0"/>
        <w:spacing w:before="12"/>
        <w:rPr>
          <w:rFonts w:hint="eastAsia" w:ascii="仿宋" w:hAnsi="仿宋" w:eastAsia="仿宋" w:cs="仿宋"/>
          <w:color w:val="000000" w:themeColor="text1"/>
          <w:sz w:val="4"/>
          <w:szCs w:val="4"/>
        </w:rPr>
      </w:pPr>
    </w:p>
    <w:p>
      <w:pPr>
        <w:pStyle w:val="10"/>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5" o:spid="_x0000_s1141"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">
            <o:lock v:ext="edit" rotation="t" aspectratio="f"/>
            <v:shape id="任意多边形 1" o:spid="_x0000_s1129"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 o:spid="_x0000_s113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 o:spid="_x0000_s1131" style="position:absolute;left:24;top:2267;height:20;width:8041;" filled="f" stroked="t" coordsize="8041,20" o:gfxdata="UEsDBAoAAAAAAIdO4kAAAAAAAAAAAAAAAAAEAAAAZHJzL1BLAwQUAAAACACHTuJA5n73KrwAAADa&#10;AAAADwAAAGRycy9kb3ducmV2LnhtbEWPQWsCMRSE7wX/Q3iCt5qs2K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9yq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4" o:spid="_x0000_s1132" style="position:absolute;left:4;top:2286;height:20;width:8079;" filled="f" stroked="t" coordsize="8079,20" o:gfxdata="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4WHrsAAADa&#10;AAAADwAAAAAAAAABACAAAAAiAAAAZHJzL2Rvd25yZXYueG1sUEsBAhQAFAAAAAgAh07iQDMvBZ47&#10;AAAAOQAAABAAAAAAAAAAAQAgAAAACgEAAGRycy9zaGFwZXhtbC54bWxQSwUGAAAAAAYABgBbAQAA&#10;tAMAAAAA&#10;" path="m0,0l8078,0e">
              <v:fill on="f" focussize="0,0"/>
              <v:stroke weight="0.48pt" color="#000000" joinstyle="round"/>
              <v:imagedata o:title=""/>
              <o:lock v:ext="edit" aspectratio="f"/>
            </v:shape>
            <v:shape id="任意多边形 5" o:spid="_x0000_s1133" style="position:absolute;left:9;top:4;height:2287;width:20;" filled="f" stroked="t" coordsize="20,2287" o:gfxdata="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GIb7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任意多边形 6" o:spid="_x0000_s1134" style="position:absolute;left:28;top:24;height:2249;width:20;" filled="f" stroked="t" coordsize="20,2249" o:gfxdata="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65ry/&#10;AAAA2gAAAA8AAAAAAAAAAQAgAAAAIgAAAGRycy9kb3ducmV2LnhtbFBLAQIUABQAAAAIAIdO4kAz&#10;LwWeOwAAADkAAAAQAAAAAAAAAAEAIAAAAA4BAABkcnMvc2hhcGV4bWwueG1sUEsFBgAAAAAGAAYA&#10;WwEAALgDAAAAAA==&#10;" path="m0,0l0,2248e">
              <v:fill on="f" focussize="0,0"/>
              <v:stroke weight="0.48pt" color="#000000" joinstyle="round"/>
              <v:imagedata o:title=""/>
              <o:lock v:ext="edit" aspectratio="f"/>
            </v:shape>
            <v:shape id="任意多边形 7" o:spid="_x0000_s1135" style="position:absolute;left:4034;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任意多边形 8" o:spid="_x0000_s1136" style="position:absolute;left:4053;top:24;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9" o:spid="_x0000_s1137" style="position:absolute;left:8059;top:33;height:2239;width:20;" filled="f" stroked="t" coordsize="20,2239" o:gfxdata="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6Ni7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10" o:spid="_x0000_s1138" style="position:absolute;left:8078;top:14;height:2278;width:20;" filled="f" stroked="t" coordsize="20,2278" o:gfxdata="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chR68AAAA&#10;2wAAAA8AAAAAAAAAAQAgAAAAIgAAAGRycy9kb3ducmV2LnhtbFBLAQIUABQAAAAIAIdO4kAzLwWe&#10;OwAAADkAAAAQAAAAAAAAAAEAIAAAAAsBAABkcnMvc2hhcGV4bWwueG1sUEsFBgAAAAAGAAYAWwEA&#10;ALUDAAAAAA==&#10;" path="m0,0l0,2277e">
              <v:fill on="f" focussize="0,0"/>
              <v:stroke weight="0.48pt" color="#000000" joinstyle="round"/>
              <v:imagedata o:title=""/>
              <o:lock v:ext="edit" aspectratio="f"/>
            </v:shape>
            <v:shape id="文本框 11" o:spid="_x0000_s1139" o:spt="202" type="#_x0000_t202" style="position:absolute;left:19;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pPr>
                      <w:pStyle w:val="10"/>
                      <w:numPr>
                        <w:ilvl w:val="0"/>
                        <w:numId w:val="0"/>
                      </w:numPr>
                      <w:kinsoku w:val="0"/>
                      <w:overflowPunct w:val="0"/>
                      <w:spacing w:before="12"/>
                      <w:ind w:leftChars="0" w:right="0" w:rightChars="0"/>
                      <w:rPr>
                        <w:rFonts w:hint="eastAsia"/>
                        <w:sz w:val="28"/>
                        <w:szCs w:val="28"/>
                      </w:rPr>
                    </w:pPr>
                  </w:p>
                  <w:p>
                    <w:pPr>
                      <w:pStyle w:val="10"/>
                      <w:numPr>
                        <w:ilvl w:val="0"/>
                        <w:numId w:val="0"/>
                      </w:numPr>
                      <w:kinsoku w:val="0"/>
                      <w:overflowPunct w:val="0"/>
                      <w:ind w:right="0" w:rightChars="0"/>
                      <w:jc w:val="center"/>
                      <w:rPr>
                        <w:rFonts w:hint="eastAsia"/>
                      </w:rPr>
                    </w:pPr>
                  </w:p>
                  <w:p>
                    <w:pPr>
                      <w:pStyle w:val="10"/>
                      <w:numPr>
                        <w:ilvl w:val="0"/>
                        <w:numId w:val="0"/>
                      </w:numPr>
                      <w:kinsoku w:val="0"/>
                      <w:overflowPunct w:val="0"/>
                      <w:ind w:right="0" w:rightChars="0"/>
                      <w:jc w:val="center"/>
                    </w:pPr>
                    <w:r>
                      <w:rPr>
                        <w:rFonts w:hint="eastAsia"/>
                      </w:rPr>
                      <w:t>授权人身份证复印件（正面）</w:t>
                    </w:r>
                  </w:p>
                </w:txbxContent>
              </v:textbox>
            </v:shape>
            <v:shape id="文本框 12" o:spid="_x0000_s1140" o:spt="202" type="#_x0000_t202" style="position:absolute;left:4044;top:19;height:2258;width:4025;"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pPr>
                      <w:pStyle w:val="10"/>
                      <w:numPr>
                        <w:ilvl w:val="0"/>
                        <w:numId w:val="0"/>
                      </w:numPr>
                      <w:kinsoku w:val="0"/>
                      <w:overflowPunct w:val="0"/>
                      <w:ind w:right="0" w:rightChars="0"/>
                      <w:rPr>
                        <w:rFonts w:hint="eastAsia"/>
                      </w:rPr>
                    </w:pPr>
                  </w:p>
                  <w:p>
                    <w:pPr>
                      <w:pStyle w:val="10"/>
                      <w:numPr>
                        <w:ilvl w:val="0"/>
                        <w:numId w:val="0"/>
                      </w:numPr>
                      <w:kinsoku w:val="0"/>
                      <w:overflowPunct w:val="0"/>
                      <w:ind w:right="0" w:rightChars="0"/>
                      <w:rPr>
                        <w:rFonts w:hint="eastAsia"/>
                      </w:rPr>
                    </w:pPr>
                  </w:p>
                  <w:p>
                    <w:pPr>
                      <w:pStyle w:val="10"/>
                      <w:numPr>
                        <w:ilvl w:val="0"/>
                        <w:numId w:val="0"/>
                      </w:numPr>
                      <w:kinsoku w:val="0"/>
                      <w:overflowPunct w:val="0"/>
                      <w:ind w:right="0" w:rightChars="0"/>
                      <w:rPr>
                        <w:rFonts w:hint="eastAsia"/>
                      </w:rPr>
                    </w:pPr>
                  </w:p>
                  <w:p>
                    <w:pPr>
                      <w:pStyle w:val="10"/>
                      <w:numPr>
                        <w:ilvl w:val="0"/>
                        <w:numId w:val="0"/>
                      </w:numPr>
                      <w:kinsoku w:val="0"/>
                      <w:overflowPunct w:val="0"/>
                      <w:ind w:right="0" w:rightChars="0"/>
                    </w:pPr>
                    <w:r>
                      <w:rPr>
                        <w:rFonts w:hint="eastAsia"/>
                      </w:rPr>
                      <w:t>授权人身份证复印件（反面）</w:t>
                    </w:r>
                  </w:p>
                </w:txbxContent>
              </v:textbox>
            </v:shape>
            <w10:wrap type="none"/>
            <w10:anchorlock/>
          </v:group>
        </w:pict>
      </w:r>
    </w:p>
    <w:p>
      <w:pPr>
        <w:pStyle w:val="10"/>
        <w:numPr>
          <w:ilvl w:val="0"/>
          <w:numId w:val="0"/>
        </w:numPr>
        <w:kinsoku w:val="0"/>
        <w:overflowPunct w:val="0"/>
        <w:adjustRightInd w:val="0"/>
        <w:snapToGrid w:val="0"/>
        <w:spacing w:line="200" w:lineRule="atLeast"/>
        <w:ind w:right="0" w:rightChars="0"/>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6" o:spid="_x0000_s1154"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142"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143"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144"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145"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146"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147"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148"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149"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15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151"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152"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10"/>
                      <w:numPr>
                        <w:ilvl w:val="0"/>
                        <w:numId w:val="0"/>
                      </w:numPr>
                      <w:kinsoku w:val="0"/>
                      <w:overflowPunct w:val="0"/>
                      <w:ind w:right="0" w:rightChars="0"/>
                      <w:rPr>
                        <w:rFonts w:hint="eastAsia"/>
                      </w:rPr>
                    </w:pPr>
                  </w:p>
                  <w:p>
                    <w:pPr>
                      <w:pStyle w:val="10"/>
                      <w:numPr>
                        <w:ilvl w:val="0"/>
                        <w:numId w:val="0"/>
                      </w:numPr>
                      <w:kinsoku w:val="0"/>
                      <w:overflowPunct w:val="0"/>
                      <w:ind w:right="0" w:rightChars="0"/>
                      <w:rPr>
                        <w:rFonts w:hint="eastAsia"/>
                      </w:rPr>
                    </w:pPr>
                  </w:p>
                  <w:p>
                    <w:pPr>
                      <w:pStyle w:val="10"/>
                      <w:numPr>
                        <w:ilvl w:val="0"/>
                        <w:numId w:val="0"/>
                      </w:numPr>
                      <w:kinsoku w:val="0"/>
                      <w:overflowPunct w:val="0"/>
                      <w:ind w:right="0" w:rightChars="0"/>
                      <w:jc w:val="center"/>
                    </w:pPr>
                    <w:r>
                      <w:rPr>
                        <w:rFonts w:hint="eastAsia"/>
                      </w:rPr>
                      <w:t>被授权代表身份证复印件（正面）</w:t>
                    </w:r>
                  </w:p>
                </w:txbxContent>
              </v:textbox>
            </v:shape>
            <v:shape id="文本框 45" o:spid="_x0000_s1153"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path/>
              <v:fill on="f" focussize="0,0"/>
              <v:stroke on="f"/>
              <v:imagedata o:title=""/>
              <o:lock v:ext="edit" aspectratio="f"/>
              <v:textbox inset="0mm,0mm,0mm,0mm">
                <w:txbxContent>
                  <w:p>
                    <w:pPr>
                      <w:pStyle w:val="10"/>
                      <w:numPr>
                        <w:ilvl w:val="0"/>
                        <w:numId w:val="0"/>
                      </w:numPr>
                      <w:kinsoku w:val="0"/>
                      <w:overflowPunct w:val="0"/>
                      <w:ind w:right="0" w:rightChars="0"/>
                      <w:rPr>
                        <w:rFonts w:hint="eastAsia"/>
                      </w:rPr>
                    </w:pPr>
                  </w:p>
                  <w:p>
                    <w:pPr>
                      <w:pStyle w:val="10"/>
                      <w:numPr>
                        <w:ilvl w:val="0"/>
                        <w:numId w:val="0"/>
                      </w:numPr>
                      <w:kinsoku w:val="0"/>
                      <w:overflowPunct w:val="0"/>
                      <w:ind w:right="0" w:rightChars="0"/>
                      <w:rPr>
                        <w:rFonts w:hint="eastAsia"/>
                      </w:rPr>
                    </w:pPr>
                  </w:p>
                  <w:p>
                    <w:pPr>
                      <w:pStyle w:val="10"/>
                      <w:numPr>
                        <w:ilvl w:val="0"/>
                        <w:numId w:val="0"/>
                      </w:numPr>
                      <w:kinsoku w:val="0"/>
                      <w:overflowPunct w:val="0"/>
                      <w:ind w:right="0" w:rightChars="0"/>
                    </w:pPr>
                    <w:r>
                      <w:rPr>
                        <w:rFonts w:hint="eastAsia"/>
                      </w:rPr>
                      <w:t>被授权代表身份证复印件（反面）</w:t>
                    </w:r>
                  </w:p>
                </w:txbxContent>
              </v:textbox>
            </v:shape>
            <w10:wrap type="none"/>
            <w10:anchorlock/>
          </v:group>
        </w:pict>
      </w:r>
    </w:p>
    <w:p>
      <w:pPr>
        <w:pStyle w:val="10"/>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被授权代表（</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投标人法定代表人（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p>
    <w:p>
      <w:pPr>
        <w:pStyle w:val="10"/>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p>
    <w:p>
      <w:pPr>
        <w:pStyle w:val="10"/>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p>
    <w:p>
      <w:pPr>
        <w:pStyle w:val="10"/>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w:t>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rPr>
        <w:t>（盖章）</w:t>
      </w:r>
    </w:p>
    <w:p>
      <w:pPr>
        <w:pStyle w:val="10"/>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000000" w:themeColor="text1"/>
          <w:sz w:val="20"/>
        </w:rPr>
      </w:pPr>
      <w:r>
        <w:rPr>
          <w:rFonts w:hint="eastAsia" w:ascii="仿宋" w:hAnsi="仿宋" w:eastAsia="仿宋" w:cs="仿宋"/>
          <w:color w:val="000000" w:themeColor="text1"/>
          <w:sz w:val="24"/>
        </w:rPr>
        <w:t xml:space="preserve"> 日期：</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月</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日 </w:t>
      </w:r>
      <w:r>
        <w:rPr>
          <w:rFonts w:hint="eastAsia" w:ascii="仿宋" w:hAnsi="仿宋" w:eastAsia="仿宋" w:cs="仿宋"/>
          <w:color w:val="000000" w:themeColor="text1"/>
          <w:sz w:val="20"/>
        </w:rPr>
        <w:t xml:space="preserve">               </w:t>
      </w:r>
    </w:p>
    <w:p>
      <w:pPr>
        <w:pStyle w:val="32"/>
        <w:rPr>
          <w:rFonts w:hint="eastAsia" w:ascii="仿宋" w:hAnsi="仿宋" w:eastAsia="仿宋" w:cs="仿宋"/>
          <w:b/>
          <w:color w:val="000000" w:themeColor="text1"/>
          <w:sz w:val="24"/>
          <w:szCs w:val="20"/>
          <w:highlight w:val="none"/>
          <w:lang w:val="en-US" w:eastAsia="zh-CN" w:bidi="en-US"/>
        </w:rPr>
      </w:pPr>
      <w:r>
        <w:rPr>
          <w:rFonts w:hint="eastAsia" w:ascii="仿宋" w:hAnsi="仿宋" w:eastAsia="仿宋" w:cs="仿宋"/>
          <w:color w:val="000000" w:themeColor="text1"/>
        </w:rPr>
        <w:br w:type="page"/>
      </w:r>
    </w:p>
    <w:p>
      <w:pPr>
        <w:widowControl/>
        <w:spacing w:before="100" w:beforeAutospacing="1" w:after="100" w:afterAutospacing="1" w:line="360" w:lineRule="auto"/>
        <w:jc w:val="left"/>
        <w:rPr>
          <w:rFonts w:hint="eastAsia" w:ascii="仿宋" w:hAnsi="仿宋" w:eastAsia="仿宋" w:cs="仿宋"/>
          <w:b/>
          <w:color w:val="000000" w:themeColor="text1"/>
          <w:sz w:val="32"/>
          <w:szCs w:val="22"/>
          <w:highlight w:val="none"/>
          <w:lang w:val="en-US" w:eastAsia="zh-CN" w:bidi="en-US"/>
        </w:rPr>
      </w:pPr>
      <w:r>
        <w:rPr>
          <w:rFonts w:hint="eastAsia" w:ascii="仿宋" w:hAnsi="仿宋" w:eastAsia="仿宋" w:cs="仿宋"/>
          <w:b/>
          <w:color w:val="000000" w:themeColor="text1"/>
          <w:sz w:val="32"/>
          <w:szCs w:val="22"/>
          <w:highlight w:val="none"/>
          <w:lang w:val="en-US" w:eastAsia="zh-CN" w:bidi="en-US"/>
        </w:rPr>
        <w:t>4、投标保证金缴纳依据（汇款凭证）或保函等票据</w:t>
      </w:r>
    </w:p>
    <w:tbl>
      <w:tblPr>
        <w:tblStyle w:val="25"/>
        <w:tblpPr w:leftFromText="180" w:rightFromText="180" w:vertAnchor="text" w:horzAnchor="page" w:tblpX="1919"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7360" w:type="dxa"/>
            <w:noWrap w:val="0"/>
            <w:vAlign w:val="top"/>
          </w:tcPr>
          <w:p>
            <w:pPr>
              <w:jc w:val="both"/>
              <w:rPr>
                <w:rFonts w:hint="eastAsia" w:ascii="宋体" w:hAnsi="宋体" w:cs="宋体"/>
                <w:b/>
                <w:color w:val="FF0000"/>
                <w:sz w:val="30"/>
                <w:szCs w:val="30"/>
              </w:rPr>
            </w:pPr>
          </w:p>
          <w:p>
            <w:pPr>
              <w:jc w:val="center"/>
              <w:rPr>
                <w:rFonts w:hint="default" w:ascii="宋体" w:hAnsi="宋体" w:eastAsia="宋体" w:cs="宋体"/>
                <w:b/>
                <w:color w:val="FF0000"/>
                <w:sz w:val="30"/>
                <w:szCs w:val="30"/>
                <w:vertAlign w:val="baseline"/>
                <w:lang w:val="en-US" w:eastAsia="zh-CN"/>
              </w:rPr>
            </w:pPr>
            <w:r>
              <w:rPr>
                <w:rFonts w:hint="eastAsia" w:ascii="宋体" w:hAnsi="宋体" w:cs="宋体"/>
                <w:b/>
                <w:color w:val="FF0000"/>
                <w:sz w:val="30"/>
                <w:szCs w:val="30"/>
              </w:rPr>
              <w:t>投标保证金</w:t>
            </w:r>
            <w:r>
              <w:rPr>
                <w:rFonts w:hint="eastAsia" w:ascii="宋体" w:hAnsi="宋体" w:cs="宋体"/>
                <w:b/>
                <w:color w:val="FF0000"/>
                <w:sz w:val="30"/>
                <w:szCs w:val="30"/>
                <w:lang w:val="en-US" w:eastAsia="zh-CN"/>
              </w:rPr>
              <w:t>缴纳依据（汇款凭证）</w:t>
            </w:r>
          </w:p>
        </w:tc>
      </w:tr>
    </w:tbl>
    <w:p>
      <w:pPr>
        <w:rPr>
          <w:rFonts w:ascii="仿宋" w:hAnsi="仿宋" w:eastAsia="仿宋" w:cs="仿宋"/>
          <w:color w:val="000000" w:themeColor="text1"/>
          <w:sz w:val="20"/>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ind w:left="0" w:leftChars="0" w:firstLine="0" w:firstLineChars="0"/>
        <w:rPr>
          <w:rFonts w:ascii="仿宋" w:hAnsi="仿宋" w:eastAsia="仿宋" w:cs="仿宋"/>
          <w:color w:val="000000" w:themeColor="text1"/>
          <w:lang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5、投标企业须提供投标人（被授权本单位在职人员）近期有效的社保证明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说明：复印件上应加盖本单位章</w:t>
      </w:r>
    </w:p>
    <w:p>
      <w:pPr>
        <w:pStyle w:val="32"/>
        <w:rPr>
          <w:rFonts w:ascii="仿宋" w:hAnsi="仿宋" w:eastAsia="仿宋" w:cs="仿宋"/>
          <w:color w:val="000000" w:themeColor="text1"/>
          <w:lang w:eastAsia="zh-CN"/>
        </w:rPr>
      </w:pPr>
    </w:p>
    <w:p>
      <w:pPr>
        <w:pStyle w:val="32"/>
        <w:rPr>
          <w:rFonts w:ascii="仿宋" w:hAnsi="仿宋" w:eastAsia="仿宋" w:cs="仿宋"/>
          <w:color w:val="000000" w:themeColor="text1"/>
          <w:lang w:eastAsia="zh-CN"/>
        </w:rPr>
      </w:pPr>
    </w:p>
    <w:p>
      <w:pPr>
        <w:pStyle w:val="32"/>
        <w:ind w:left="0" w:leftChars="0" w:firstLine="0" w:firstLineChars="0"/>
        <w:rPr>
          <w:rFonts w:ascii="仿宋" w:hAnsi="仿宋" w:eastAsia="仿宋" w:cs="仿宋"/>
          <w:color w:val="000000" w:themeColor="text1"/>
          <w:lang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lang w:val="en-US" w:eastAsia="zh-CN"/>
        </w:rPr>
      </w:pPr>
    </w:p>
    <w:p>
      <w:pPr>
        <w:pStyle w:val="4"/>
        <w:numPr>
          <w:ilvl w:val="0"/>
          <w:numId w:val="0"/>
        </w:numPr>
        <w:shd w:val="clear" w:color="auto" w:fill="auto"/>
        <w:spacing w:before="0" w:line="240" w:lineRule="atLeast"/>
        <w:jc w:val="both"/>
        <w:rPr>
          <w:rFonts w:hint="eastAsia" w:ascii="仿宋" w:hAnsi="仿宋" w:eastAsia="仿宋" w:cs="仿宋"/>
          <w:color w:val="000000" w:themeColor="text1"/>
          <w:sz w:val="32"/>
          <w:szCs w:val="22"/>
          <w:highlight w:val="none"/>
        </w:rPr>
      </w:pPr>
      <w:r>
        <w:rPr>
          <w:rFonts w:hint="eastAsia" w:ascii="仿宋" w:hAnsi="仿宋" w:eastAsia="仿宋" w:cs="仿宋"/>
          <w:color w:val="000000" w:themeColor="text1"/>
          <w:sz w:val="32"/>
          <w:szCs w:val="22"/>
          <w:highlight w:val="none"/>
          <w:lang w:val="en-US" w:eastAsia="zh-CN"/>
        </w:rPr>
        <w:t>6、</w:t>
      </w:r>
      <w:r>
        <w:rPr>
          <w:rFonts w:hint="eastAsia" w:ascii="仿宋" w:hAnsi="仿宋" w:eastAsia="仿宋" w:cs="仿宋"/>
          <w:color w:val="000000" w:themeColor="text1"/>
          <w:sz w:val="32"/>
          <w:szCs w:val="22"/>
          <w:highlight w:val="none"/>
        </w:rPr>
        <w:t>参加政府采购活动前3年内在经营活动中没有重大违法记录的书面声明</w:t>
      </w:r>
    </w:p>
    <w:p>
      <w:pPr>
        <w:pStyle w:val="12"/>
        <w:shd w:val="clear" w:color="auto" w:fill="auto"/>
        <w:tabs>
          <w:tab w:val="left" w:pos="5580"/>
        </w:tabs>
        <w:spacing w:line="240" w:lineRule="atLeast"/>
        <w:ind w:left="1164" w:leftChars="257" w:hanging="540"/>
        <w:jc w:val="center"/>
        <w:rPr>
          <w:rFonts w:hint="eastAsia" w:ascii="仿宋" w:hAnsi="仿宋" w:eastAsia="仿宋" w:cs="仿宋"/>
          <w:b/>
          <w:color w:val="000000" w:themeColor="text1"/>
          <w:sz w:val="24"/>
          <w:highlight w:val="none"/>
        </w:rPr>
      </w:pPr>
    </w:p>
    <w:p>
      <w:pPr>
        <w:pStyle w:val="12"/>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rPr>
      </w:pPr>
    </w:p>
    <w:p>
      <w:pPr>
        <w:pStyle w:val="12"/>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rPr>
      </w:pPr>
    </w:p>
    <w:p>
      <w:pPr>
        <w:pStyle w:val="12"/>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说明：1.投标人应按照相关法规规定如实作出说明。</w:t>
      </w:r>
    </w:p>
    <w:p>
      <w:pPr>
        <w:pStyle w:val="12"/>
        <w:shd w:val="clear" w:color="auto" w:fill="auto"/>
        <w:tabs>
          <w:tab w:val="left" w:pos="5580"/>
        </w:tabs>
        <w:spacing w:line="240" w:lineRule="atLeast"/>
        <w:ind w:left="746" w:leftChars="307" w:firstLine="607" w:firstLineChars="25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2．按照招标文件的规定加盖单位章（自然人投标的无需盖章，需要签字）。</w:t>
      </w:r>
    </w:p>
    <w:p>
      <w:pPr>
        <w:pStyle w:val="12"/>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646" w:firstLineChars="200"/>
        <w:jc w:val="left"/>
        <w:textAlignment w:val="auto"/>
        <w:rPr>
          <w:rFonts w:hint="eastAsia" w:ascii="仿宋" w:hAnsi="仿宋" w:eastAsia="仿宋" w:cs="仿宋"/>
          <w:color w:val="000000" w:themeColor="text1"/>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646" w:firstLineChars="200"/>
        <w:jc w:val="left"/>
        <w:textAlignment w:val="auto"/>
        <w:rPr>
          <w:rFonts w:hint="eastAsia" w:ascii="仿宋" w:hAnsi="仿宋" w:eastAsia="仿宋" w:cs="仿宋"/>
          <w:color w:val="000000" w:themeColor="text1"/>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646" w:firstLineChars="200"/>
        <w:jc w:val="left"/>
        <w:textAlignment w:val="auto"/>
        <w:rPr>
          <w:rFonts w:hint="eastAsia" w:ascii="仿宋" w:hAnsi="仿宋" w:eastAsia="仿宋" w:cs="仿宋"/>
          <w:color w:val="000000" w:themeColor="text1"/>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color w:val="000000" w:themeColor="text1"/>
          <w:sz w:val="32"/>
          <w:szCs w:val="32"/>
          <w:highlight w:val="none"/>
          <w:lang w:val="en-US" w:eastAsia="zh-CN"/>
        </w:rPr>
        <w:t>7</w:t>
      </w:r>
      <w:r>
        <w:rPr>
          <w:rFonts w:hint="eastAsia" w:ascii="仿宋" w:hAnsi="仿宋" w:eastAsia="仿宋" w:cs="仿宋"/>
          <w:b/>
          <w:bCs/>
          <w:color w:val="000000" w:themeColor="text1"/>
          <w:sz w:val="32"/>
          <w:szCs w:val="32"/>
          <w:lang w:val="en-US" w:eastAsia="zh-CN"/>
        </w:rPr>
        <w:t>、未被“信用中国”（www.creditchina.gov.cn）、中国政府采购网（www.ccgp.gov.cn）列入失信被执行人、重大税收违法案件当事人名单、政府采购严重违法失信行为记录名单。.</w:t>
      </w:r>
    </w:p>
    <w:p>
      <w:pPr>
        <w:pStyle w:val="32"/>
        <w:ind w:left="0" w:leftChars="0" w:firstLine="0" w:firstLineChars="0"/>
        <w:rPr>
          <w:rFonts w:hint="eastAsia" w:ascii="仿宋" w:hAnsi="仿宋" w:eastAsia="仿宋" w:cs="仿宋"/>
          <w:b/>
          <w:bCs/>
          <w:color w:val="000000" w:themeColor="text1"/>
          <w:sz w:val="32"/>
          <w:szCs w:val="32"/>
        </w:rPr>
      </w:pPr>
    </w:p>
    <w:p>
      <w:pPr>
        <w:rPr>
          <w:rFonts w:hint="eastAsia" w:ascii="仿宋" w:hAnsi="仿宋" w:eastAsia="仿宋" w:cs="仿宋"/>
          <w:color w:val="000000" w:themeColor="text1"/>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lang w:val="en-US" w:eastAsia="zh-CN"/>
        </w:rPr>
        <w:t>8、</w:t>
      </w:r>
      <w:r>
        <w:rPr>
          <w:rFonts w:hint="eastAsia" w:ascii="仿宋" w:hAnsi="仿宋" w:eastAsia="仿宋" w:cs="仿宋"/>
          <w:b/>
          <w:bCs/>
          <w:color w:val="000000" w:themeColor="text1"/>
          <w:sz w:val="32"/>
          <w:szCs w:val="32"/>
        </w:rPr>
        <w:t>投标人须知资料表要求的其他资格证明文件</w:t>
      </w:r>
    </w:p>
    <w:p>
      <w:pPr>
        <w:pStyle w:val="5"/>
        <w:rPr>
          <w:rFonts w:hint="eastAsia" w:ascii="仿宋" w:hAnsi="仿宋" w:eastAsia="仿宋" w:cs="仿宋"/>
          <w:b/>
          <w:bCs/>
          <w:color w:val="000000" w:themeColor="text1"/>
          <w:sz w:val="40"/>
          <w:szCs w:val="40"/>
        </w:rPr>
      </w:pPr>
    </w:p>
    <w:p>
      <w:pPr>
        <w:rPr>
          <w:rFonts w:ascii="仿宋" w:hAnsi="仿宋" w:eastAsia="仿宋" w:cs="仿宋"/>
          <w:b/>
          <w:bCs/>
          <w:color w:val="000000" w:themeColor="text1"/>
          <w:sz w:val="36"/>
          <w:szCs w:val="36"/>
          <w:lang w:eastAsia="zh-CN"/>
        </w:rPr>
      </w:pPr>
    </w:p>
    <w:p>
      <w:pPr>
        <w:pStyle w:val="5"/>
        <w:rPr>
          <w:rFonts w:ascii="仿宋" w:hAnsi="仿宋" w:eastAsia="仿宋" w:cs="仿宋"/>
          <w:color w:val="000000" w:themeColor="text1"/>
          <w:sz w:val="36"/>
          <w:szCs w:val="36"/>
          <w:lang w:eastAsia="zh-CN"/>
        </w:rPr>
      </w:pPr>
    </w:p>
    <w:p>
      <w:pPr>
        <w:rPr>
          <w:rFonts w:ascii="仿宋" w:hAnsi="仿宋" w:eastAsia="仿宋" w:cs="仿宋"/>
          <w:color w:val="000000" w:themeColor="text1"/>
          <w:sz w:val="36"/>
          <w:szCs w:val="36"/>
          <w:lang w:eastAsia="zh-CN"/>
        </w:rPr>
      </w:pPr>
    </w:p>
    <w:p>
      <w:pPr>
        <w:pStyle w:val="10"/>
        <w:numPr>
          <w:ilvl w:val="0"/>
          <w:numId w:val="0"/>
        </w:numPr>
        <w:ind w:leftChars="0"/>
        <w:rPr>
          <w:lang w:eastAsia="zh-CN"/>
        </w:rPr>
      </w:pPr>
    </w:p>
    <w:p>
      <w:pPr>
        <w:rPr>
          <w:lang w:eastAsia="zh-CN"/>
        </w:rPr>
      </w:pPr>
    </w:p>
    <w:p>
      <w:pPr>
        <w:pStyle w:val="32"/>
        <w:ind w:left="0" w:leftChars="0" w:firstLine="0" w:firstLineChars="0"/>
        <w:rPr>
          <w:rFonts w:ascii="仿宋" w:hAnsi="仿宋" w:eastAsia="仿宋" w:cs="仿宋"/>
          <w:color w:val="000000" w:themeColor="text1"/>
          <w:lang w:eastAsia="zh-CN"/>
        </w:rPr>
      </w:pPr>
      <w:bookmarkStart w:id="58" w:name="_Toc11180"/>
      <w:bookmarkStart w:id="59" w:name="_Toc515647816"/>
      <w:bookmarkStart w:id="60" w:name="_Toc5695"/>
      <w:bookmarkStart w:id="61" w:name="_Toc22967"/>
    </w:p>
    <w:p>
      <w:pPr>
        <w:pStyle w:val="32"/>
        <w:ind w:left="0" w:leftChars="0" w:firstLine="0" w:firstLineChars="0"/>
        <w:rPr>
          <w:rFonts w:ascii="仿宋" w:hAnsi="仿宋" w:eastAsia="仿宋" w:cs="仿宋"/>
          <w:color w:val="000000" w:themeColor="text1"/>
          <w:lang w:eastAsia="zh-CN"/>
        </w:rPr>
      </w:pPr>
    </w:p>
    <w:p>
      <w:pPr>
        <w:pStyle w:val="32"/>
        <w:ind w:left="0" w:leftChars="0" w:firstLine="0" w:firstLineChars="0"/>
        <w:rPr>
          <w:rFonts w:ascii="仿宋" w:hAnsi="仿宋" w:eastAsia="仿宋" w:cs="仿宋"/>
          <w:color w:val="000000" w:themeColor="text1"/>
          <w:lang w:eastAsia="zh-CN"/>
        </w:rPr>
      </w:pPr>
    </w:p>
    <w:p>
      <w:pPr>
        <w:pStyle w:val="32"/>
        <w:ind w:left="0" w:leftChars="0" w:firstLine="0" w:firstLineChars="0"/>
        <w:rPr>
          <w:rFonts w:ascii="仿宋" w:hAnsi="仿宋" w:eastAsia="仿宋" w:cs="仿宋"/>
          <w:color w:val="000000" w:themeColor="text1"/>
          <w:lang w:eastAsia="zh-CN"/>
        </w:rPr>
      </w:pPr>
    </w:p>
    <w:p>
      <w:pPr>
        <w:pStyle w:val="32"/>
        <w:ind w:left="0" w:leftChars="0" w:firstLine="0" w:firstLineChars="0"/>
        <w:rPr>
          <w:rFonts w:ascii="仿宋" w:hAnsi="仿宋" w:eastAsia="仿宋" w:cs="仿宋"/>
          <w:color w:val="000000" w:themeColor="text1"/>
          <w:lang w:eastAsia="zh-CN"/>
        </w:rPr>
      </w:pPr>
    </w:p>
    <w:p>
      <w:pPr>
        <w:pStyle w:val="32"/>
        <w:ind w:left="0" w:leftChars="0" w:firstLine="0" w:firstLineChars="0"/>
        <w:rPr>
          <w:rFonts w:ascii="仿宋" w:hAnsi="仿宋" w:eastAsia="仿宋" w:cs="仿宋"/>
          <w:color w:val="000000" w:themeColor="text1"/>
          <w:lang w:eastAsia="zh-CN"/>
        </w:rPr>
      </w:pPr>
    </w:p>
    <w:p>
      <w:pPr>
        <w:pStyle w:val="3"/>
        <w:spacing w:before="40" w:after="40" w:line="579" w:lineRule="auto"/>
        <w:ind w:firstLine="2261" w:firstLineChars="700"/>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第二部分  商务及技术文件</w:t>
      </w:r>
      <w:bookmarkEnd w:id="58"/>
      <w:bookmarkEnd w:id="59"/>
      <w:bookmarkEnd w:id="60"/>
      <w:bookmarkEnd w:id="61"/>
    </w:p>
    <w:p>
      <w:pPr>
        <w:pStyle w:val="12"/>
        <w:spacing w:line="400" w:lineRule="exact"/>
        <w:ind w:left="1164" w:leftChars="257" w:hanging="540"/>
        <w:jc w:val="left"/>
        <w:rPr>
          <w:rFonts w:ascii="仿宋" w:hAnsi="仿宋" w:eastAsia="仿宋" w:cs="仿宋"/>
          <w:color w:val="000000" w:themeColor="text1"/>
          <w:lang w:eastAsia="zh-CN"/>
        </w:rPr>
      </w:pPr>
      <w:r>
        <w:rPr>
          <w:rFonts w:hint="eastAsia" w:ascii="仿宋" w:hAnsi="仿宋" w:eastAsia="仿宋" w:cs="仿宋"/>
          <w:color w:val="000000" w:themeColor="text1"/>
          <w:lang w:eastAsia="zh-CN"/>
        </w:rPr>
        <w:t>1、投标函</w:t>
      </w:r>
    </w:p>
    <w:p>
      <w:pPr>
        <w:pStyle w:val="12"/>
        <w:spacing w:line="400" w:lineRule="exact"/>
        <w:ind w:left="1164" w:leftChars="257" w:hanging="540"/>
        <w:jc w:val="left"/>
        <w:rPr>
          <w:rFonts w:ascii="仿宋" w:hAnsi="仿宋" w:eastAsia="仿宋" w:cs="仿宋"/>
          <w:color w:val="000000" w:themeColor="text1"/>
          <w:lang w:eastAsia="zh-CN"/>
        </w:rPr>
      </w:pPr>
      <w:r>
        <w:rPr>
          <w:rFonts w:hint="eastAsia" w:ascii="仿宋" w:hAnsi="仿宋" w:eastAsia="仿宋" w:cs="仿宋"/>
          <w:color w:val="000000" w:themeColor="text1"/>
          <w:lang w:eastAsia="zh-CN"/>
        </w:rPr>
        <w:t>2、开标一览表</w:t>
      </w:r>
    </w:p>
    <w:p>
      <w:pPr>
        <w:pStyle w:val="12"/>
        <w:spacing w:line="400" w:lineRule="exact"/>
        <w:ind w:left="1164" w:leftChars="257" w:hanging="540"/>
        <w:jc w:val="left"/>
        <w:rPr>
          <w:rFonts w:hint="eastAsia" w:ascii="仿宋" w:hAnsi="仿宋" w:eastAsia="仿宋" w:cs="仿宋"/>
          <w:color w:val="000000" w:themeColor="text1"/>
          <w:lang w:val="en-US" w:eastAsia="zh-CN"/>
        </w:rPr>
      </w:pPr>
      <w:r>
        <w:rPr>
          <w:rFonts w:hint="eastAsia" w:ascii="仿宋" w:hAnsi="仿宋" w:eastAsia="仿宋" w:cs="仿宋"/>
          <w:color w:val="000000" w:themeColor="text1"/>
          <w:lang w:eastAsia="zh-CN"/>
        </w:rPr>
        <w:t>3、</w:t>
      </w:r>
      <w:r>
        <w:rPr>
          <w:rFonts w:hint="eastAsia" w:ascii="仿宋" w:hAnsi="仿宋" w:eastAsia="仿宋" w:cs="仿宋"/>
          <w:color w:val="000000" w:themeColor="text1"/>
          <w:lang w:val="en-US" w:eastAsia="zh-CN"/>
        </w:rPr>
        <w:t>货物说明一览表</w:t>
      </w:r>
    </w:p>
    <w:p>
      <w:pPr>
        <w:pStyle w:val="12"/>
        <w:spacing w:line="400" w:lineRule="exact"/>
        <w:ind w:left="1164" w:leftChars="257" w:hanging="540"/>
        <w:jc w:val="left"/>
        <w:rPr>
          <w:rFonts w:hint="default"/>
          <w:lang w:val="en-US" w:eastAsia="zh-CN"/>
        </w:rPr>
      </w:pPr>
      <w:r>
        <w:rPr>
          <w:rFonts w:hint="eastAsia" w:ascii="仿宋" w:hAnsi="仿宋" w:eastAsia="仿宋" w:cs="仿宋"/>
          <w:color w:val="000000" w:themeColor="text1"/>
          <w:lang w:val="en-US" w:eastAsia="zh-CN"/>
        </w:rPr>
        <w:t>4、投标报价明细表</w:t>
      </w:r>
    </w:p>
    <w:p>
      <w:pPr>
        <w:pStyle w:val="12"/>
        <w:spacing w:line="400" w:lineRule="exact"/>
        <w:ind w:left="1164" w:leftChars="257" w:hanging="540"/>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、技术规格偏离表</w:t>
      </w:r>
    </w:p>
    <w:p>
      <w:pPr>
        <w:pStyle w:val="12"/>
        <w:spacing w:line="400" w:lineRule="exact"/>
        <w:ind w:left="1164" w:leftChars="257" w:hanging="540"/>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、商务条款偏离表</w:t>
      </w:r>
    </w:p>
    <w:p>
      <w:pPr>
        <w:pStyle w:val="12"/>
        <w:spacing w:line="400" w:lineRule="exact"/>
        <w:ind w:left="1164" w:leftChars="257" w:hanging="540"/>
        <w:jc w:val="left"/>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7</w:t>
      </w:r>
      <w:r>
        <w:rPr>
          <w:rFonts w:hint="eastAsia" w:ascii="仿宋" w:hAnsi="仿宋" w:eastAsia="仿宋" w:cs="仿宋"/>
          <w:color w:val="000000" w:themeColor="text1"/>
          <w:lang w:eastAsia="zh-CN"/>
        </w:rPr>
        <w:t>、供应商基本情况表</w:t>
      </w:r>
    </w:p>
    <w:p>
      <w:pPr>
        <w:pStyle w:val="12"/>
        <w:spacing w:line="400" w:lineRule="exact"/>
        <w:ind w:left="359" w:leftChars="148" w:firstLine="228"/>
        <w:jc w:val="left"/>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、近三年类似项目业绩表</w:t>
      </w:r>
    </w:p>
    <w:p>
      <w:pPr>
        <w:pStyle w:val="12"/>
        <w:spacing w:line="400" w:lineRule="exact"/>
        <w:ind w:left="359" w:leftChars="148" w:firstLine="228"/>
        <w:jc w:val="left"/>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9</w:t>
      </w:r>
      <w:r>
        <w:rPr>
          <w:rFonts w:hint="eastAsia" w:ascii="仿宋" w:hAnsi="仿宋" w:eastAsia="仿宋" w:cs="仿宋"/>
          <w:color w:val="000000" w:themeColor="text1"/>
          <w:lang w:eastAsia="zh-CN"/>
        </w:rPr>
        <w:t>、中小企业声明函(</w:t>
      </w:r>
      <w:r>
        <w:rPr>
          <w:rFonts w:hint="eastAsia" w:ascii="仿宋" w:hAnsi="仿宋" w:eastAsia="仿宋" w:cs="仿宋"/>
          <w:color w:val="000000" w:themeColor="text1"/>
          <w:lang w:val="en-US" w:eastAsia="zh-CN"/>
        </w:rPr>
        <w:t>工程、货物</w:t>
      </w:r>
      <w:r>
        <w:rPr>
          <w:rFonts w:hint="eastAsia" w:ascii="仿宋" w:hAnsi="仿宋" w:eastAsia="仿宋" w:cs="仿宋"/>
          <w:color w:val="000000" w:themeColor="text1"/>
          <w:lang w:eastAsia="zh-CN"/>
        </w:rPr>
        <w:t>)</w:t>
      </w:r>
    </w:p>
    <w:p>
      <w:pPr>
        <w:pStyle w:val="12"/>
        <w:spacing w:line="400" w:lineRule="exact"/>
        <w:ind w:left="359" w:leftChars="148" w:firstLine="228"/>
        <w:jc w:val="left"/>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10、投标人关联单位的说明（格式自拟）</w:t>
      </w:r>
    </w:p>
    <w:p>
      <w:pPr>
        <w:pStyle w:val="12"/>
        <w:spacing w:line="400" w:lineRule="exact"/>
        <w:ind w:left="359" w:leftChars="148" w:firstLine="228"/>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11</w:t>
      </w:r>
      <w:r>
        <w:rPr>
          <w:rFonts w:hint="eastAsia" w:ascii="仿宋" w:hAnsi="仿宋" w:eastAsia="仿宋" w:cs="仿宋"/>
          <w:color w:val="000000" w:themeColor="text1"/>
          <w:lang w:eastAsia="zh-CN"/>
        </w:rPr>
        <w:t>、评分标准和细则中技术部分证明材料</w:t>
      </w:r>
    </w:p>
    <w:p>
      <w:pPr>
        <w:pStyle w:val="12"/>
        <w:spacing w:line="400" w:lineRule="exact"/>
        <w:ind w:left="359" w:leftChars="148" w:firstLine="228"/>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12</w:t>
      </w:r>
      <w:r>
        <w:rPr>
          <w:rFonts w:hint="eastAsia" w:ascii="仿宋" w:hAnsi="仿宋" w:eastAsia="仿宋" w:cs="仿宋"/>
          <w:color w:val="000000" w:themeColor="text1"/>
          <w:lang w:eastAsia="zh-CN"/>
        </w:rPr>
        <w:t>、评分标准和细则中</w:t>
      </w:r>
      <w:r>
        <w:rPr>
          <w:rFonts w:hint="eastAsia" w:ascii="仿宋" w:hAnsi="仿宋" w:eastAsia="仿宋" w:cs="仿宋"/>
          <w:color w:val="000000" w:themeColor="text1"/>
          <w:lang w:val="en-US" w:eastAsia="zh-CN"/>
        </w:rPr>
        <w:t>商务</w:t>
      </w:r>
      <w:r>
        <w:rPr>
          <w:rFonts w:hint="eastAsia" w:ascii="仿宋" w:hAnsi="仿宋" w:eastAsia="仿宋" w:cs="仿宋"/>
          <w:color w:val="000000" w:themeColor="text1"/>
          <w:lang w:eastAsia="zh-CN"/>
        </w:rPr>
        <w:t>部分证明材料（格式自拟）</w:t>
      </w:r>
    </w:p>
    <w:p>
      <w:pPr>
        <w:pStyle w:val="12"/>
        <w:spacing w:line="400" w:lineRule="exact"/>
        <w:ind w:left="359" w:leftChars="148" w:firstLine="228"/>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13</w:t>
      </w:r>
      <w:r>
        <w:rPr>
          <w:rFonts w:hint="eastAsia" w:ascii="仿宋" w:hAnsi="仿宋" w:eastAsia="仿宋" w:cs="仿宋"/>
          <w:color w:val="000000" w:themeColor="text1"/>
          <w:lang w:eastAsia="zh-CN"/>
        </w:rPr>
        <w:t>、供应商认为有必要提供的其他证明材料（格式自拟）</w:t>
      </w:r>
    </w:p>
    <w:p>
      <w:pPr>
        <w:pStyle w:val="12"/>
        <w:tabs>
          <w:tab w:val="left" w:pos="5580"/>
        </w:tabs>
        <w:spacing w:line="400" w:lineRule="exact"/>
        <w:ind w:left="648" w:leftChars="267"/>
        <w:rPr>
          <w:rFonts w:ascii="仿宋" w:hAnsi="仿宋" w:eastAsia="仿宋" w:cs="仿宋"/>
          <w:color w:val="000000" w:themeColor="text1"/>
          <w:sz w:val="21"/>
          <w:szCs w:val="21"/>
          <w:lang w:eastAsia="zh-CN"/>
        </w:rPr>
      </w:pPr>
      <w:r>
        <w:rPr>
          <w:rFonts w:hint="eastAsia" w:ascii="仿宋" w:hAnsi="仿宋" w:eastAsia="仿宋" w:cs="仿宋"/>
          <w:color w:val="000000" w:themeColor="text1"/>
          <w:lang w:eastAsia="zh-CN"/>
        </w:rPr>
        <w:br w:type="page"/>
      </w:r>
    </w:p>
    <w:p>
      <w:pPr>
        <w:pStyle w:val="10"/>
        <w:numPr>
          <w:ilvl w:val="0"/>
          <w:numId w:val="0"/>
        </w:numPr>
        <w:tabs>
          <w:tab w:val="clear" w:pos="780"/>
        </w:tabs>
        <w:kinsoku w:val="0"/>
        <w:overflowPunct w:val="0"/>
        <w:spacing w:before="130" w:line="355" w:lineRule="auto"/>
        <w:ind w:left="480" w:right="7"/>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eastAsia="zh-CN"/>
        </w:rPr>
        <w:t>1、投标函</w:t>
      </w:r>
    </w:p>
    <w:p>
      <w:pPr>
        <w:spacing w:line="440" w:lineRule="exact"/>
        <w:rPr>
          <w:rFonts w:ascii="仿宋" w:hAnsi="仿宋" w:eastAsia="仿宋" w:cs="仿宋"/>
          <w:color w:val="000000" w:themeColor="text1"/>
          <w:u w:val="single"/>
          <w:lang w:eastAsia="zh-CN"/>
        </w:rPr>
      </w:pPr>
      <w:r>
        <w:rPr>
          <w:rFonts w:hint="eastAsia" w:ascii="仿宋" w:hAnsi="仿宋" w:eastAsia="仿宋" w:cs="仿宋"/>
          <w:color w:val="000000" w:themeColor="text1"/>
          <w:lang w:eastAsia="zh-CN"/>
        </w:rPr>
        <w:t>致：</w:t>
      </w:r>
      <w:r>
        <w:rPr>
          <w:rFonts w:hint="eastAsia" w:ascii="仿宋" w:hAnsi="仿宋" w:eastAsia="仿宋" w:cs="仿宋"/>
          <w:color w:val="000000" w:themeColor="text1"/>
          <w:u w:val="single"/>
          <w:lang w:eastAsia="zh-CN"/>
        </w:rPr>
        <w:t xml:space="preserve">                     </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为响应你方组织的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项目的招标[项目编号为：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]，我方愿参与投标。</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我方确认收到贵方提供的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招标文件的全部内容。</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 xml:space="preserve">      (供应商名称)      </w:t>
      </w:r>
      <w:r>
        <w:rPr>
          <w:rFonts w:hint="eastAsia" w:ascii="仿宋" w:hAnsi="仿宋" w:eastAsia="仿宋" w:cs="仿宋"/>
          <w:color w:val="000000" w:themeColor="text1"/>
          <w:lang w:eastAsia="zh-CN"/>
        </w:rPr>
        <w:t>作为供应商正式授权</w:t>
      </w:r>
      <w:r>
        <w:rPr>
          <w:rFonts w:hint="eastAsia" w:ascii="仿宋" w:hAnsi="仿宋" w:eastAsia="仿宋" w:cs="仿宋"/>
          <w:color w:val="000000" w:themeColor="text1"/>
          <w:u w:val="single"/>
          <w:lang w:eastAsia="zh-CN"/>
        </w:rPr>
        <w:t xml:space="preserve">  (授权代表全名, 职务)  </w:t>
      </w:r>
      <w:r>
        <w:rPr>
          <w:rFonts w:hint="eastAsia" w:ascii="仿宋" w:hAnsi="仿宋" w:eastAsia="仿宋" w:cs="仿宋"/>
          <w:color w:val="000000" w:themeColor="text1"/>
          <w:lang w:eastAsia="zh-CN"/>
        </w:rPr>
        <w:t>代表我方全权处理有关本报价的一切事宜。</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我方已完全明白招标文件的所有条款要求，并申明如下：</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（一）按招标文件提供的全部货物与相关服务的投标总价详见《报价一览表》。</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（二）本投标文件的有效期为投标截止时间起</w:t>
      </w:r>
      <w:r>
        <w:rPr>
          <w:rFonts w:hint="eastAsia" w:ascii="仿宋" w:hAnsi="仿宋" w:eastAsia="仿宋" w:cs="仿宋"/>
          <w:color w:val="000000" w:themeColor="text1"/>
          <w:u w:val="single"/>
          <w:lang w:eastAsia="zh-CN"/>
        </w:rPr>
        <w:t>60</w:t>
      </w:r>
      <w:r>
        <w:rPr>
          <w:rFonts w:hint="eastAsia" w:ascii="仿宋" w:hAnsi="仿宋" w:eastAsia="仿宋" w:cs="仿宋"/>
          <w:color w:val="000000" w:themeColor="text1"/>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（三）我方同意按照贵方可能提出的要求而提供与投标有关的任何其它数据、信息或资料。</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（四）我方理解贵方不一定接受最低投标价或任何贵方可能收到的投标。</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（五）我方如果中标，将保证履行招标文件及其澄清、修改文件（如果有）中的全部责任和义务，按质、按量、按期完成《招标内容》及《合同书》中的全部任务。</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（六）如我方被授予合同，我方承诺支付就本次招标应支付或将支付的中标服务费（详见按招标文件要求格式填写的《中标服务费支付承诺书》）。</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（七）我方作为在法律、财务和运作上独立于采购人、招标代理机构的供应商，在此保证所提交的所有文件和全部说明是真实的和正确的。</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（九）我方与其他供应商不存在单位负责人为同一人或者存在直接控股、管理关系。</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（十）我方承诺未为本项目提供整体设计、规范编制或者项目管理、监理、检测等服务。</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（十一）我方具备《政府采购法》第二十二条规定的条件，承诺如下：</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（1）我方已依法缴纳了各项税费及社会保险费用，如有需要，可随时向采购人提供近三个月内的相关缴费证明，以便核查。</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（2）我方已依法建立健全的财务会计制度，如有需要，可随时向采购人提供相关的证明材料，以便核查。</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（3）我方参加本项目政府采购活动前3年内在经营活动中没有重大违法记录。</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（4）我方具备履行合同所必需的设备和专业技术能力。</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（5）我方符合法律、行政法规规定的其他条件。</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以上内容如有虚假或与事实不符的，评审委员会可将我方做无效投标处理，我方愿意承担相应的法律责任。</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（十三）我方对在本函及投标文件中所作的所有承诺承担法律责任。</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（十四）所有与本招标有关的函件请发往下列地址：</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.邮政编码：</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电    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传    真：</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代表姓名：</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.职    务：</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ind w:right="48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（公章） </w:t>
      </w:r>
    </w:p>
    <w:p>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法定代表人或委托人：</w:t>
      </w:r>
      <w:r>
        <w:rPr>
          <w:rFonts w:hint="eastAsia" w:ascii="仿宋" w:hAnsi="仿宋" w:eastAsia="仿宋" w:cs="仿宋"/>
          <w:color w:val="000000" w:themeColor="text1"/>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（签章）  </w:t>
      </w:r>
    </w:p>
    <w:p>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w:t>
      </w:r>
    </w:p>
    <w:p>
      <w:pPr>
        <w:pStyle w:val="32"/>
        <w:rPr>
          <w:rFonts w:ascii="仿宋" w:hAnsi="仿宋" w:eastAsia="仿宋" w:cs="仿宋"/>
          <w:color w:val="000000" w:themeColor="text1"/>
          <w:lang w:eastAsia="zh-CN"/>
        </w:rPr>
      </w:pPr>
      <w:r>
        <w:rPr>
          <w:rFonts w:hint="eastAsia" w:ascii="仿宋" w:hAnsi="仿宋" w:eastAsia="仿宋" w:cs="仿宋"/>
          <w:color w:val="000000" w:themeColor="text1"/>
          <w:lang w:eastAsia="zh-CN"/>
        </w:rPr>
        <w:br w:type="page"/>
      </w:r>
    </w:p>
    <w:p>
      <w:pPr>
        <w:pStyle w:val="7"/>
        <w:tabs>
          <w:tab w:val="left" w:pos="5580"/>
        </w:tabs>
        <w:spacing w:line="240" w:lineRule="atLeast"/>
        <w:ind w:firstLine="3364" w:firstLineChars="927"/>
        <w:jc w:val="both"/>
        <w:rPr>
          <w:rFonts w:ascii="仿宋" w:hAnsi="仿宋" w:eastAsia="仿宋" w:cs="仿宋"/>
          <w:color w:val="000000" w:themeColor="text1"/>
          <w:lang w:eastAsia="zh-CN"/>
        </w:rPr>
      </w:pPr>
      <w:r>
        <w:rPr>
          <w:rFonts w:hint="eastAsia" w:ascii="仿宋" w:hAnsi="仿宋" w:eastAsia="仿宋" w:cs="仿宋"/>
          <w:b/>
          <w:color w:val="000000" w:themeColor="text1"/>
          <w:sz w:val="36"/>
          <w:szCs w:val="24"/>
          <w:lang w:eastAsia="zh-CN"/>
        </w:rPr>
        <w:t>2、开标一览表</w:t>
      </w:r>
      <w:r>
        <w:rPr>
          <w:rFonts w:hint="eastAsia" w:ascii="仿宋" w:hAnsi="仿宋" w:eastAsia="仿宋" w:cs="仿宋"/>
          <w:b/>
          <w:color w:val="000000" w:themeColor="text1"/>
          <w:sz w:val="36"/>
          <w:szCs w:val="24"/>
          <w:lang w:eastAsia="zh-CN"/>
        </w:rPr>
        <w:cr/>
      </w:r>
    </w:p>
    <w:p>
      <w:pPr>
        <w:adjustRightInd w:val="0"/>
        <w:snapToGrid w:val="0"/>
        <w:spacing w:line="50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招标项目名称： </w:t>
      </w:r>
      <w:r>
        <w:rPr>
          <w:rFonts w:hint="eastAsia" w:ascii="仿宋" w:hAnsi="仿宋" w:eastAsia="仿宋" w:cs="仿宋"/>
          <w:color w:val="000000" w:themeColor="text1"/>
          <w:szCs w:val="21"/>
          <w:u w:val="single"/>
          <w:lang w:eastAsia="zh-CN"/>
        </w:rPr>
        <w:t xml:space="preserve">                         </w:t>
      </w:r>
    </w:p>
    <w:p>
      <w:pPr>
        <w:adjustRightInd w:val="0"/>
        <w:snapToGrid w:val="0"/>
        <w:spacing w:line="500" w:lineRule="exact"/>
        <w:rPr>
          <w:rFonts w:ascii="仿宋" w:hAnsi="仿宋" w:eastAsia="仿宋" w:cs="仿宋"/>
          <w:i/>
          <w:iCs/>
          <w:color w:val="000000" w:themeColor="text1"/>
          <w:szCs w:val="21"/>
          <w:lang w:eastAsia="zh-CN"/>
        </w:rPr>
      </w:pPr>
      <w:r>
        <w:rPr>
          <w:rFonts w:hint="eastAsia" w:ascii="仿宋" w:hAnsi="仿宋" w:eastAsia="仿宋" w:cs="仿宋"/>
          <w:color w:val="000000" w:themeColor="text1"/>
          <w:szCs w:val="21"/>
          <w:lang w:eastAsia="zh-CN"/>
        </w:rPr>
        <w:t>招标项目编号：</w:t>
      </w:r>
      <w:r>
        <w:rPr>
          <w:rFonts w:hint="eastAsia" w:ascii="仿宋" w:hAnsi="仿宋" w:eastAsia="仿宋" w:cs="仿宋"/>
          <w:i/>
          <w:iCs/>
          <w:color w:val="000000" w:themeColor="text1"/>
          <w:szCs w:val="21"/>
          <w:lang w:eastAsia="zh-CN"/>
        </w:rPr>
        <w:t xml:space="preserve"> </w:t>
      </w:r>
      <w:r>
        <w:rPr>
          <w:rFonts w:hint="eastAsia" w:ascii="仿宋" w:hAnsi="仿宋" w:eastAsia="仿宋" w:cs="仿宋"/>
          <w:color w:val="000000" w:themeColor="text1"/>
          <w:szCs w:val="21"/>
          <w:u w:val="single"/>
          <w:lang w:eastAsia="zh-CN"/>
        </w:rPr>
        <w:t xml:space="preserve">                         </w:t>
      </w:r>
    </w:p>
    <w:p>
      <w:pPr>
        <w:spacing w:line="5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单位：元（人民币）</w:t>
      </w:r>
    </w:p>
    <w:tbl>
      <w:tblPr>
        <w:tblStyle w:val="24"/>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ind w:firstLine="486" w:firstLineChars="200"/>
              <w:jc w:val="both"/>
              <w:rPr>
                <w:rFonts w:ascii="仿宋" w:hAnsi="仿宋" w:eastAsia="仿宋" w:cs="仿宋"/>
                <w:color w:val="000000" w:themeColor="text1"/>
                <w:szCs w:val="21"/>
              </w:rPr>
            </w:pPr>
            <w:r>
              <w:rPr>
                <w:rFonts w:hint="eastAsia" w:ascii="仿宋" w:hAnsi="仿宋" w:eastAsia="仿宋" w:cs="仿宋"/>
                <w:color w:val="000000" w:themeColor="text1"/>
                <w:szCs w:val="21"/>
              </w:rPr>
              <w:t>项目名称</w:t>
            </w:r>
          </w:p>
        </w:tc>
        <w:tc>
          <w:tcPr>
            <w:tcW w:w="6185" w:type="dxa"/>
            <w:vAlign w:val="center"/>
          </w:tcPr>
          <w:p>
            <w:pPr>
              <w:rPr>
                <w:rFonts w:ascii="仿宋" w:hAnsi="仿宋" w:eastAsia="仿宋"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供货期</w:t>
            </w:r>
            <w:r>
              <w:rPr>
                <w:rFonts w:hint="eastAsia" w:ascii="仿宋" w:hAnsi="仿宋" w:eastAsia="仿宋" w:cs="仿宋"/>
                <w:color w:val="000000" w:themeColor="text1"/>
                <w:szCs w:val="21"/>
                <w:lang w:eastAsia="zh-CN"/>
              </w:rPr>
              <w:t>（</w:t>
            </w:r>
            <w:r>
              <w:rPr>
                <w:rFonts w:hint="eastAsia" w:ascii="仿宋" w:hAnsi="仿宋" w:eastAsia="仿宋" w:cs="仿宋"/>
                <w:color w:val="000000" w:themeColor="text1"/>
                <w:szCs w:val="21"/>
                <w:lang w:val="en-US" w:eastAsia="zh-CN"/>
              </w:rPr>
              <w:t>天</w:t>
            </w:r>
            <w:r>
              <w:rPr>
                <w:rFonts w:hint="eastAsia" w:ascii="仿宋" w:hAnsi="仿宋" w:eastAsia="仿宋" w:cs="仿宋"/>
                <w:color w:val="000000" w:themeColor="text1"/>
                <w:szCs w:val="21"/>
                <w:lang w:eastAsia="zh-CN"/>
              </w:rPr>
              <w:t>）</w:t>
            </w:r>
          </w:p>
        </w:tc>
        <w:tc>
          <w:tcPr>
            <w:tcW w:w="618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highlight w:val="none"/>
                <w:lang w:eastAsia="zh-CN"/>
              </w:rPr>
              <w:t>中标后</w:t>
            </w:r>
            <w:r>
              <w:rPr>
                <w:rFonts w:hint="eastAsia" w:ascii="仿宋" w:hAnsi="仿宋" w:eastAsia="仿宋" w:cs="仿宋"/>
                <w:color w:val="000000" w:themeColor="text1"/>
                <w:szCs w:val="21"/>
                <w:highlight w:val="none"/>
                <w:u w:val="single"/>
                <w:lang w:val="en-US" w:eastAsia="zh-CN"/>
              </w:rPr>
              <w:t xml:space="preserve">   </w:t>
            </w:r>
            <w:r>
              <w:rPr>
                <w:rFonts w:hint="eastAsia" w:ascii="仿宋" w:hAnsi="仿宋" w:eastAsia="仿宋" w:cs="仿宋"/>
                <w:color w:val="000000" w:themeColor="text1"/>
                <w:szCs w:val="21"/>
                <w:highlight w:val="none"/>
                <w:lang w:val="en-US" w:eastAsia="zh-CN"/>
              </w:rPr>
              <w:t>天内供货完成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投标有效期</w:t>
            </w:r>
          </w:p>
        </w:tc>
        <w:tc>
          <w:tcPr>
            <w:tcW w:w="618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投标报价</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（人民币）</w:t>
            </w: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小写</w:t>
            </w:r>
          </w:p>
        </w:tc>
        <w:tc>
          <w:tcPr>
            <w:tcW w:w="6185" w:type="dxa"/>
            <w:vAlign w:val="center"/>
          </w:tcPr>
          <w:p>
            <w:pPr>
              <w:jc w:val="center"/>
              <w:rPr>
                <w:rFonts w:ascii="仿宋" w:hAnsi="仿宋" w:eastAsia="仿宋"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ascii="仿宋" w:hAnsi="仿宋" w:eastAsia="仿宋" w:cs="仿宋"/>
                <w:color w:val="000000" w:themeColor="text1"/>
                <w:szCs w:val="21"/>
              </w:rPr>
            </w:pP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大写</w:t>
            </w:r>
          </w:p>
        </w:tc>
        <w:tc>
          <w:tcPr>
            <w:tcW w:w="6185" w:type="dxa"/>
            <w:vAlign w:val="center"/>
          </w:tcPr>
          <w:p>
            <w:pPr>
              <w:jc w:val="center"/>
              <w:rPr>
                <w:rFonts w:ascii="仿宋" w:hAnsi="仿宋" w:eastAsia="仿宋" w:cs="仿宋"/>
                <w:color w:val="000000" w:themeColor="text1"/>
                <w:szCs w:val="21"/>
              </w:rPr>
            </w:pPr>
          </w:p>
        </w:tc>
      </w:tr>
    </w:tbl>
    <w:p>
      <w:pPr>
        <w:spacing w:line="500" w:lineRule="exact"/>
        <w:ind w:firstLine="475" w:firstLineChars="196"/>
        <w:rPr>
          <w:rFonts w:ascii="仿宋" w:hAnsi="仿宋" w:eastAsia="仿宋" w:cs="仿宋"/>
          <w:color w:val="000000" w:themeColor="text1"/>
          <w:szCs w:val="21"/>
        </w:rPr>
      </w:pPr>
      <w:r>
        <w:rPr>
          <w:rFonts w:hint="eastAsia" w:ascii="仿宋" w:hAnsi="仿宋" w:eastAsia="仿宋" w:cs="仿宋"/>
          <w:color w:val="000000" w:themeColor="text1"/>
          <w:szCs w:val="21"/>
        </w:rPr>
        <w:t>填写说明：</w:t>
      </w:r>
    </w:p>
    <w:p>
      <w:pPr>
        <w:spacing w:line="500" w:lineRule="exact"/>
        <w:ind w:firstLine="475" w:firstLineChars="196"/>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1.为方便开标唱标，供应商应将开标一览表单独密封，并在信封上标明“开标一览表”字样，然后在递交投标文件时单独递交</w:t>
      </w:r>
      <w:r>
        <w:rPr>
          <w:rFonts w:hint="eastAsia" w:ascii="仿宋" w:hAnsi="仿宋" w:eastAsia="仿宋" w:cs="仿宋"/>
          <w:b/>
          <w:bCs/>
          <w:color w:val="000000" w:themeColor="text1"/>
          <w:lang w:eastAsia="zh-CN"/>
        </w:rPr>
        <w:t>。</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3.投标总价为招标范围所列全部招标项目的报价总和，并应与投标报价明细表及分项价格表保持一致。</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4.必须在投标文件中装订。</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5.投标报价不得填报选择性报价。</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供应商名称：</w:t>
      </w:r>
      <w:r>
        <w:rPr>
          <w:rFonts w:hint="eastAsia" w:ascii="仿宋" w:hAnsi="仿宋" w:eastAsia="仿宋" w:cs="仿宋"/>
          <w:color w:val="000000" w:themeColor="text1"/>
          <w:szCs w:val="21"/>
          <w:u w:val="single"/>
          <w:lang w:eastAsia="zh-CN"/>
        </w:rPr>
        <w:t xml:space="preserve">    （加盖公章）     </w:t>
      </w:r>
      <w:r>
        <w:rPr>
          <w:rFonts w:hint="eastAsia" w:ascii="仿宋" w:hAnsi="仿宋" w:eastAsia="仿宋" w:cs="仿宋"/>
          <w:color w:val="000000" w:themeColor="text1"/>
          <w:szCs w:val="21"/>
          <w:lang w:eastAsia="zh-CN"/>
        </w:rPr>
        <w:t xml:space="preserve">       </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法定代表人签字或盖章：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授权代表签字或盖章：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签署日期：</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年</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月 </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日</w:t>
      </w:r>
    </w:p>
    <w:p>
      <w:pPr>
        <w:pStyle w:val="4"/>
        <w:spacing w:line="240" w:lineRule="atLeast"/>
        <w:rPr>
          <w:rFonts w:ascii="仿宋" w:hAnsi="仿宋" w:eastAsia="仿宋" w:cs="仿宋"/>
          <w:bCs/>
          <w:color w:val="000000" w:themeColor="text1"/>
          <w:sz w:val="24"/>
          <w:lang w:eastAsia="zh-CN"/>
        </w:rPr>
      </w:pPr>
    </w:p>
    <w:p>
      <w:pPr>
        <w:pStyle w:val="4"/>
        <w:spacing w:line="240" w:lineRule="atLeast"/>
        <w:rPr>
          <w:rFonts w:ascii="仿宋" w:hAnsi="仿宋" w:eastAsia="仿宋" w:cs="仿宋"/>
          <w:bCs/>
          <w:color w:val="000000" w:themeColor="text1"/>
          <w:sz w:val="24"/>
          <w:lang w:eastAsia="zh-CN"/>
        </w:rPr>
      </w:pPr>
    </w:p>
    <w:p>
      <w:pPr>
        <w:pStyle w:val="36"/>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themeColor="text1"/>
          <w:spacing w:val="0"/>
          <w:w w:val="100"/>
          <w:position w:val="0"/>
          <w:lang w:val="en-US" w:eastAsia="zh-CN"/>
        </w:rPr>
      </w:pPr>
      <w:r>
        <w:rPr>
          <w:rFonts w:hint="eastAsia" w:ascii="仿宋" w:hAnsi="仿宋" w:eastAsia="仿宋" w:cs="仿宋"/>
          <w:b/>
          <w:bCs/>
          <w:color w:val="000000" w:themeColor="text1"/>
          <w:spacing w:val="0"/>
          <w:w w:val="100"/>
          <w:position w:val="0"/>
          <w:lang w:val="en-US" w:eastAsia="zh-CN"/>
        </w:rPr>
        <w:t>3、货物说明一览表</w:t>
      </w:r>
    </w:p>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rPr>
      </w:pPr>
    </w:p>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包号:                      </w:t>
      </w:r>
    </w:p>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序号</w:t>
            </w:r>
          </w:p>
        </w:tc>
        <w:tc>
          <w:tcPr>
            <w:tcW w:w="1601"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货物名称</w:t>
            </w:r>
          </w:p>
        </w:tc>
        <w:tc>
          <w:tcPr>
            <w:tcW w:w="1225"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主要规格</w:t>
            </w:r>
          </w:p>
        </w:tc>
        <w:tc>
          <w:tcPr>
            <w:tcW w:w="1138"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数量</w:t>
            </w:r>
          </w:p>
        </w:tc>
        <w:tc>
          <w:tcPr>
            <w:tcW w:w="1275"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交货期</w:t>
            </w:r>
          </w:p>
        </w:tc>
        <w:tc>
          <w:tcPr>
            <w:tcW w:w="1250"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交货地点</w:t>
            </w:r>
          </w:p>
        </w:tc>
        <w:tc>
          <w:tcPr>
            <w:tcW w:w="1690"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bl>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rPr>
      </w:pPr>
    </w:p>
    <w:p>
      <w:pPr>
        <w:pStyle w:val="12"/>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法定代表人或其委托代理人签字:</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 xml:space="preserve">        </w:t>
      </w:r>
      <w:r>
        <w:rPr>
          <w:rFonts w:hint="eastAsia" w:ascii="宋体" w:hAnsi="宋体" w:eastAsia="宋体" w:cs="宋体"/>
          <w:color w:val="000000" w:themeColor="text1"/>
          <w:sz w:val="24"/>
          <w:highlight w:val="none"/>
          <w:u w:val="single"/>
        </w:rPr>
        <w:t xml:space="preserve">         </w:t>
      </w:r>
    </w:p>
    <w:p>
      <w:pPr>
        <w:pStyle w:val="12"/>
        <w:shd w:val="clear" w:color="auto" w:fill="auto"/>
        <w:tabs>
          <w:tab w:val="left" w:pos="5370"/>
        </w:tabs>
        <w:spacing w:line="240" w:lineRule="atLeast"/>
        <w:ind w:left="1164" w:leftChars="257" w:hanging="540"/>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投标人(盖单位章):</w:t>
      </w:r>
      <w:r>
        <w:rPr>
          <w:rFonts w:hint="eastAsia" w:ascii="仿宋" w:hAnsi="仿宋" w:eastAsia="仿宋" w:cs="仿宋"/>
          <w:color w:val="000000" w:themeColor="text1"/>
          <w:sz w:val="24"/>
          <w:highlight w:val="none"/>
          <w:u w:val="single"/>
        </w:rPr>
        <w:tab/>
      </w:r>
    </w:p>
    <w:p>
      <w:pPr>
        <w:pStyle w:val="12"/>
        <w:shd w:val="clear" w:color="auto" w:fill="auto"/>
        <w:spacing w:line="240" w:lineRule="atLeast"/>
        <w:ind w:left="1164" w:leftChars="257" w:hanging="540"/>
        <w:rPr>
          <w:rFonts w:hint="eastAsia" w:ascii="仿宋" w:hAnsi="仿宋" w:eastAsia="仿宋" w:cs="仿宋"/>
          <w:color w:val="000000" w:themeColor="text1"/>
          <w:sz w:val="24"/>
          <w:highlight w:val="none"/>
        </w:rPr>
      </w:pPr>
    </w:p>
    <w:p>
      <w:pPr>
        <w:pStyle w:val="12"/>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注: 各项货物详细技术性能应另页描述</w:t>
      </w:r>
      <w:r>
        <w:rPr>
          <w:rFonts w:hint="eastAsia" w:ascii="宋体" w:hAnsi="宋体" w:eastAsia="宋体" w:cs="宋体"/>
          <w:color w:val="000000" w:themeColor="text1"/>
          <w:sz w:val="24"/>
          <w:highlight w:val="none"/>
        </w:rPr>
        <w:t>。</w:t>
      </w:r>
    </w:p>
    <w:p>
      <w:pPr>
        <w:pStyle w:val="12"/>
        <w:shd w:val="clear" w:color="auto" w:fill="auto"/>
        <w:spacing w:line="240" w:lineRule="atLeast"/>
        <w:ind w:left="1164" w:leftChars="257" w:hanging="540"/>
        <w:jc w:val="center"/>
        <w:rPr>
          <w:rFonts w:hint="eastAsia" w:ascii="宋体" w:hAnsi="宋体" w:eastAsia="宋体" w:cs="宋体"/>
          <w:color w:val="000000" w:themeColor="text1"/>
          <w:sz w:val="24"/>
          <w:highlight w:val="none"/>
        </w:rPr>
        <w:sectPr>
          <w:footerReference r:id="rId12" w:type="default"/>
          <w:pgSz w:w="11905" w:h="16838"/>
          <w:pgMar w:top="1440" w:right="1797" w:bottom="1440" w:left="1797" w:header="850" w:footer="992" w:gutter="0"/>
          <w:pgNumType w:fmt="decimal"/>
          <w:cols w:space="720" w:num="1"/>
          <w:rtlGutter w:val="0"/>
          <w:docGrid w:type="linesAndChars" w:linePitch="325" w:charSpace="635"/>
        </w:sectPr>
      </w:pPr>
    </w:p>
    <w:p>
      <w:pPr>
        <w:pStyle w:val="36"/>
        <w:keepNext/>
        <w:keepLines/>
        <w:widowControl w:val="0"/>
        <w:numPr>
          <w:ilvl w:val="0"/>
          <w:numId w:val="0"/>
        </w:numPr>
        <w:shd w:val="clear" w:color="auto" w:fill="auto"/>
        <w:bidi w:val="0"/>
        <w:spacing w:before="0" w:after="220" w:line="240" w:lineRule="auto"/>
        <w:ind w:right="0" w:rightChars="0" w:firstLine="3253" w:firstLineChars="900"/>
        <w:jc w:val="both"/>
        <w:rPr>
          <w:rFonts w:hint="eastAsia" w:ascii="仿宋" w:hAnsi="仿宋" w:eastAsia="仿宋" w:cs="仿宋"/>
          <w:b/>
          <w:bCs/>
          <w:color w:val="000000" w:themeColor="text1"/>
          <w:spacing w:val="0"/>
          <w:w w:val="100"/>
          <w:position w:val="0"/>
        </w:rPr>
      </w:pPr>
      <w:r>
        <w:rPr>
          <w:rFonts w:hint="eastAsia" w:ascii="仿宋" w:hAnsi="仿宋" w:eastAsia="仿宋" w:cs="仿宋"/>
          <w:b/>
          <w:bCs/>
          <w:color w:val="000000" w:themeColor="text1"/>
          <w:spacing w:val="0"/>
          <w:w w:val="100"/>
          <w:position w:val="0"/>
          <w:lang w:val="en-US" w:eastAsia="zh-CN"/>
        </w:rPr>
        <w:t>4</w:t>
      </w:r>
      <w:r>
        <w:rPr>
          <w:rFonts w:hint="eastAsia" w:ascii="仿宋" w:hAnsi="仿宋" w:eastAsia="仿宋" w:cs="仿宋"/>
          <w:b/>
          <w:bCs/>
          <w:color w:val="000000" w:themeColor="text1"/>
          <w:spacing w:val="0"/>
          <w:w w:val="100"/>
          <w:position w:val="0"/>
          <w:lang w:eastAsia="zh-CN"/>
        </w:rPr>
        <w:t>、</w:t>
      </w:r>
      <w:r>
        <w:rPr>
          <w:rFonts w:hint="eastAsia" w:ascii="仿宋" w:hAnsi="仿宋" w:eastAsia="仿宋" w:cs="仿宋"/>
          <w:b/>
          <w:bCs/>
          <w:color w:val="000000" w:themeColor="text1"/>
          <w:spacing w:val="0"/>
          <w:w w:val="100"/>
          <w:position w:val="0"/>
        </w:rPr>
        <w:t>投标报价明细表</w:t>
      </w:r>
    </w:p>
    <w:p>
      <w:pPr>
        <w:pStyle w:val="36"/>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pPr>
        <w:pStyle w:val="36"/>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xml:space="preserve">   包号: 　 </w:t>
      </w:r>
    </w:p>
    <w:p>
      <w:pPr>
        <w:pStyle w:val="12"/>
        <w:shd w:val="clear" w:color="auto" w:fill="auto"/>
        <w:spacing w:line="240" w:lineRule="atLeast"/>
        <w:ind w:left="1157" w:leftChars="257" w:hanging="540"/>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szCs w:val="21"/>
        </w:rPr>
        <w:t>元（人民币）</w:t>
      </w:r>
    </w:p>
    <w:tbl>
      <w:tblPr>
        <w:tblStyle w:val="24"/>
        <w:tblW w:w="97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664"/>
        <w:gridCol w:w="664"/>
        <w:gridCol w:w="818"/>
        <w:gridCol w:w="818"/>
        <w:gridCol w:w="8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品牌</w:t>
            </w:r>
          </w:p>
        </w:tc>
        <w:tc>
          <w:tcPr>
            <w:tcW w:w="1267"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规格</w:t>
            </w:r>
            <w:r>
              <w:rPr>
                <w:rFonts w:hint="eastAsia" w:ascii="仿宋" w:hAnsi="仿宋" w:eastAsia="仿宋" w:cs="仿宋"/>
                <w:color w:val="000000" w:themeColor="text1"/>
                <w:szCs w:val="21"/>
                <w:lang w:eastAsia="zh-CN"/>
              </w:rPr>
              <w:t>型号</w:t>
            </w:r>
          </w:p>
        </w:tc>
        <w:tc>
          <w:tcPr>
            <w:tcW w:w="833"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交货时间</w:t>
            </w:r>
          </w:p>
        </w:tc>
        <w:tc>
          <w:tcPr>
            <w:tcW w:w="1336" w:type="dxa"/>
            <w:tcBorders>
              <w:top w:val="single" w:color="auto" w:sz="12"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交货地点</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lang w:eastAsia="zh-CN"/>
              </w:rPr>
              <w:t>单位</w:t>
            </w:r>
          </w:p>
        </w:tc>
        <w:tc>
          <w:tcPr>
            <w:tcW w:w="818"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单价</w:t>
            </w:r>
          </w:p>
        </w:tc>
        <w:tc>
          <w:tcPr>
            <w:tcW w:w="818"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总价</w:t>
            </w:r>
          </w:p>
        </w:tc>
        <w:tc>
          <w:tcPr>
            <w:tcW w:w="818"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bl>
    <w:p>
      <w:pPr>
        <w:pStyle w:val="40"/>
        <w:keepNext w:val="0"/>
        <w:keepLines w:val="0"/>
        <w:widowControl w:val="0"/>
        <w:shd w:val="clear" w:color="auto" w:fill="auto"/>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说明：</w:t>
      </w:r>
      <w:r>
        <w:rPr>
          <w:rFonts w:hint="eastAsia" w:ascii="仿宋" w:hAnsi="仿宋" w:eastAsia="仿宋" w:cs="仿宋"/>
          <w:color w:val="000000" w:themeColor="text1"/>
          <w:spacing w:val="0"/>
          <w:w w:val="100"/>
          <w:position w:val="0"/>
          <w:sz w:val="24"/>
          <w:szCs w:val="24"/>
          <w:lang w:val="en-US" w:eastAsia="en-US" w:bidi="en-US"/>
        </w:rPr>
        <w:t>1.</w:t>
      </w:r>
      <w:r>
        <w:rPr>
          <w:rFonts w:hint="eastAsia" w:ascii="仿宋" w:hAnsi="仿宋" w:eastAsia="仿宋" w:cs="仿宋"/>
          <w:color w:val="000000" w:themeColor="text1"/>
          <w:spacing w:val="0"/>
          <w:w w:val="100"/>
          <w:position w:val="0"/>
          <w:sz w:val="24"/>
          <w:szCs w:val="24"/>
        </w:rPr>
        <w:t>所有价格均用人民币表示，单位为元。</w:t>
      </w:r>
    </w:p>
    <w:p>
      <w:pPr>
        <w:pStyle w:val="40"/>
        <w:keepNext w:val="0"/>
        <w:keepLines w:val="0"/>
        <w:widowControl w:val="0"/>
        <w:numPr>
          <w:ilvl w:val="0"/>
          <w:numId w:val="7"/>
        </w:numPr>
        <w:shd w:val="clear" w:color="auto" w:fill="auto"/>
        <w:tabs>
          <w:tab w:val="left" w:pos="378"/>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报价总计价格必须与《</w:t>
      </w:r>
      <w:r>
        <w:rPr>
          <w:rFonts w:hint="eastAsia" w:ascii="仿宋" w:hAnsi="仿宋" w:eastAsia="仿宋" w:cs="仿宋"/>
          <w:color w:val="000000" w:themeColor="text1"/>
          <w:spacing w:val="0"/>
          <w:w w:val="100"/>
          <w:position w:val="0"/>
          <w:sz w:val="24"/>
          <w:szCs w:val="24"/>
          <w:lang w:eastAsia="zh-CN"/>
        </w:rPr>
        <w:t>投标报价单</w:t>
      </w:r>
      <w:r>
        <w:rPr>
          <w:rFonts w:hint="eastAsia" w:ascii="仿宋" w:hAnsi="仿宋" w:eastAsia="仿宋" w:cs="仿宋"/>
          <w:color w:val="000000" w:themeColor="text1"/>
          <w:spacing w:val="0"/>
          <w:w w:val="100"/>
          <w:position w:val="0"/>
          <w:sz w:val="24"/>
          <w:szCs w:val="24"/>
        </w:rPr>
        <w:t>》报价一致。</w:t>
      </w:r>
    </w:p>
    <w:p>
      <w:pPr>
        <w:pStyle w:val="40"/>
        <w:keepNext w:val="0"/>
        <w:keepLines w:val="0"/>
        <w:widowControl w:val="0"/>
        <w:numPr>
          <w:ilvl w:val="0"/>
          <w:numId w:val="7"/>
        </w:numPr>
        <w:shd w:val="clear" w:color="auto" w:fill="auto"/>
        <w:tabs>
          <w:tab w:val="left" w:pos="490"/>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如果不提供详细的分项报价表将被视为没有实质性</w:t>
      </w:r>
      <w:r>
        <w:rPr>
          <w:rFonts w:hint="eastAsia" w:ascii="仿宋" w:hAnsi="仿宋" w:eastAsia="仿宋" w:cs="仿宋"/>
          <w:color w:val="000000" w:themeColor="text1"/>
          <w:spacing w:val="0"/>
          <w:w w:val="100"/>
          <w:position w:val="0"/>
          <w:sz w:val="24"/>
          <w:szCs w:val="24"/>
          <w:lang w:eastAsia="zh-CN"/>
        </w:rPr>
        <w:t>投标文件</w:t>
      </w:r>
      <w:r>
        <w:rPr>
          <w:rFonts w:hint="eastAsia" w:ascii="仿宋" w:hAnsi="仿宋" w:eastAsia="仿宋" w:cs="仿宋"/>
          <w:color w:val="000000" w:themeColor="text1"/>
          <w:spacing w:val="0"/>
          <w:w w:val="100"/>
          <w:position w:val="0"/>
          <w:sz w:val="24"/>
          <w:szCs w:val="24"/>
        </w:rPr>
        <w:t>。</w:t>
      </w:r>
    </w:p>
    <w:p>
      <w:pPr>
        <w:pStyle w:val="40"/>
        <w:keepNext w:val="0"/>
        <w:keepLines w:val="0"/>
        <w:widowControl w:val="0"/>
        <w:numPr>
          <w:ilvl w:val="0"/>
          <w:numId w:val="7"/>
        </w:numPr>
        <w:shd w:val="clear" w:color="auto" w:fill="auto"/>
        <w:tabs>
          <w:tab w:val="left" w:pos="493"/>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投标人必须按此表格式中的对应栏目内容填写，若需增加栏目，请在栏目</w:t>
      </w:r>
      <w:r>
        <w:rPr>
          <w:rFonts w:hint="eastAsia" w:ascii="仿宋" w:hAnsi="仿宋" w:eastAsia="仿宋" w:cs="仿宋"/>
          <w:color w:val="000000" w:themeColor="text1"/>
          <w:spacing w:val="0"/>
          <w:w w:val="100"/>
          <w:position w:val="0"/>
          <w:sz w:val="24"/>
          <w:szCs w:val="24"/>
          <w:lang w:val="zh-CN" w:eastAsia="zh-CN" w:bidi="zh-CN"/>
        </w:rPr>
        <w:t>“其</w:t>
      </w:r>
      <w:r>
        <w:rPr>
          <w:rFonts w:hint="eastAsia" w:ascii="仿宋" w:hAnsi="仿宋" w:eastAsia="仿宋" w:cs="仿宋"/>
          <w:color w:val="000000" w:themeColor="text1"/>
          <w:spacing w:val="0"/>
          <w:w w:val="100"/>
          <w:position w:val="0"/>
          <w:sz w:val="24"/>
          <w:szCs w:val="24"/>
        </w:rPr>
        <w:t>它”中填写，并作详细说明。</w:t>
      </w:r>
    </w:p>
    <w:p>
      <w:pPr>
        <w:pStyle w:val="40"/>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pPr>
        <w:pStyle w:val="40"/>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pPr>
        <w:pStyle w:val="10"/>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pPr>
        <w:pStyle w:val="10"/>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pPr>
        <w:pStyle w:val="10"/>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pPr>
        <w:rPr>
          <w:rFonts w:ascii="仿宋" w:hAnsi="仿宋" w:eastAsia="仿宋" w:cs="仿宋"/>
          <w:color w:val="000000" w:themeColor="text1"/>
          <w:lang w:eastAsia="zh-CN"/>
        </w:rPr>
      </w:pPr>
    </w:p>
    <w:p>
      <w:pPr>
        <w:spacing w:line="360" w:lineRule="auto"/>
        <w:jc w:val="both"/>
        <w:rPr>
          <w:rFonts w:hint="eastAsia" w:ascii="仿宋" w:hAnsi="仿宋" w:eastAsia="仿宋" w:cs="仿宋"/>
          <w:b/>
          <w:color w:val="000000" w:themeColor="text1"/>
          <w:kern w:val="0"/>
          <w:sz w:val="36"/>
          <w:szCs w:val="36"/>
          <w:lang w:val="en-US" w:eastAsia="zh-CN"/>
        </w:rPr>
      </w:pPr>
    </w:p>
    <w:p>
      <w:pPr>
        <w:spacing w:line="360" w:lineRule="auto"/>
        <w:jc w:val="center"/>
        <w:rPr>
          <w:rFonts w:hint="eastAsia" w:ascii="仿宋" w:hAnsi="仿宋" w:eastAsia="仿宋" w:cs="仿宋"/>
          <w:b/>
          <w:bCs/>
          <w:color w:val="000000" w:themeColor="text1"/>
          <w:sz w:val="32"/>
          <w:szCs w:val="32"/>
        </w:rPr>
      </w:pPr>
      <w:r>
        <w:rPr>
          <w:rFonts w:hint="eastAsia" w:ascii="仿宋" w:hAnsi="仿宋" w:eastAsia="仿宋" w:cs="仿宋"/>
          <w:b/>
          <w:color w:val="000000" w:themeColor="text1"/>
          <w:kern w:val="0"/>
          <w:sz w:val="36"/>
          <w:szCs w:val="36"/>
          <w:lang w:val="en-US" w:eastAsia="zh-CN"/>
        </w:rPr>
        <w:t>5</w:t>
      </w:r>
      <w:r>
        <w:rPr>
          <w:rFonts w:hint="eastAsia" w:ascii="仿宋" w:hAnsi="仿宋" w:eastAsia="仿宋" w:cs="仿宋"/>
          <w:b/>
          <w:color w:val="000000" w:themeColor="text1"/>
          <w:kern w:val="0"/>
          <w:sz w:val="36"/>
          <w:szCs w:val="36"/>
          <w:lang w:eastAsia="zh-CN"/>
        </w:rPr>
        <w:t>、</w:t>
      </w:r>
      <w:r>
        <w:rPr>
          <w:rFonts w:hint="eastAsia" w:ascii="仿宋" w:hAnsi="仿宋" w:eastAsia="仿宋" w:cs="仿宋"/>
          <w:b/>
          <w:bCs/>
          <w:color w:val="000000" w:themeColor="text1"/>
          <w:sz w:val="32"/>
          <w:szCs w:val="32"/>
        </w:rPr>
        <w:t>技术条款偏离表</w:t>
      </w:r>
    </w:p>
    <w:tbl>
      <w:tblPr>
        <w:tblStyle w:val="24"/>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序号</w:t>
            </w:r>
          </w:p>
        </w:tc>
        <w:tc>
          <w:tcPr>
            <w:tcW w:w="1357"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货物名称</w:t>
            </w:r>
          </w:p>
        </w:tc>
        <w:tc>
          <w:tcPr>
            <w:tcW w:w="1326"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招标文件条目号</w:t>
            </w:r>
          </w:p>
        </w:tc>
        <w:tc>
          <w:tcPr>
            <w:tcW w:w="1326"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招标文件要求规格</w:t>
            </w:r>
          </w:p>
        </w:tc>
        <w:tc>
          <w:tcPr>
            <w:tcW w:w="1326"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投标规格</w:t>
            </w:r>
          </w:p>
        </w:tc>
        <w:tc>
          <w:tcPr>
            <w:tcW w:w="1327"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偏离</w:t>
            </w:r>
          </w:p>
        </w:tc>
        <w:tc>
          <w:tcPr>
            <w:tcW w:w="1327"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color w:val="000000" w:themeColor="text1"/>
                <w:sz w:val="24"/>
                <w:szCs w:val="24"/>
              </w:rPr>
            </w:pPr>
          </w:p>
        </w:tc>
        <w:tc>
          <w:tcPr>
            <w:tcW w:w="1357"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r>
              <w:rPr>
                <w:rFonts w:hint="eastAsia" w:ascii="仿宋" w:hAnsi="仿宋" w:eastAsia="仿宋" w:cs="仿宋"/>
                <w:bCs/>
                <w:color w:val="000000" w:themeColor="text1"/>
                <w:sz w:val="24"/>
                <w:szCs w:val="24"/>
                <w:lang w:val="en-US" w:eastAsia="zh-CN"/>
              </w:rPr>
              <w:t>如有正偏离需提供证明材料，证明材料附后(并注明页码)</w:t>
            </w:r>
          </w:p>
        </w:tc>
        <w:tc>
          <w:tcPr>
            <w:tcW w:w="1327" w:type="dxa"/>
            <w:noWrap w:val="0"/>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905" w:type="dxa"/>
            <w:noWrap w:val="0"/>
            <w:vAlign w:val="top"/>
          </w:tcPr>
          <w:p>
            <w:pPr>
              <w:jc w:val="center"/>
              <w:rPr>
                <w:rFonts w:hint="eastAsia" w:ascii="仿宋" w:hAnsi="仿宋" w:eastAsia="仿宋" w:cs="仿宋"/>
                <w:b/>
                <w:bCs/>
                <w:color w:val="000000" w:themeColor="text1"/>
                <w:sz w:val="24"/>
                <w:szCs w:val="24"/>
              </w:rPr>
            </w:pPr>
          </w:p>
        </w:tc>
        <w:tc>
          <w:tcPr>
            <w:tcW w:w="1357"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05" w:type="dxa"/>
            <w:noWrap w:val="0"/>
            <w:vAlign w:val="top"/>
          </w:tcPr>
          <w:p>
            <w:pPr>
              <w:jc w:val="center"/>
              <w:rPr>
                <w:rFonts w:hint="eastAsia" w:ascii="仿宋" w:hAnsi="仿宋" w:eastAsia="仿宋" w:cs="仿宋"/>
                <w:b/>
                <w:bCs/>
                <w:color w:val="000000" w:themeColor="text1"/>
                <w:sz w:val="24"/>
                <w:szCs w:val="24"/>
              </w:rPr>
            </w:pPr>
          </w:p>
        </w:tc>
        <w:tc>
          <w:tcPr>
            <w:tcW w:w="1357"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05" w:type="dxa"/>
            <w:noWrap w:val="0"/>
            <w:vAlign w:val="top"/>
          </w:tcPr>
          <w:p>
            <w:pPr>
              <w:jc w:val="center"/>
              <w:rPr>
                <w:rFonts w:hint="eastAsia" w:ascii="仿宋" w:hAnsi="仿宋" w:eastAsia="仿宋" w:cs="仿宋"/>
                <w:b/>
                <w:bCs/>
                <w:color w:val="000000" w:themeColor="text1"/>
                <w:sz w:val="24"/>
                <w:szCs w:val="24"/>
              </w:rPr>
            </w:pPr>
          </w:p>
        </w:tc>
        <w:tc>
          <w:tcPr>
            <w:tcW w:w="1357"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905" w:type="dxa"/>
            <w:noWrap w:val="0"/>
            <w:vAlign w:val="top"/>
          </w:tcPr>
          <w:p>
            <w:pPr>
              <w:jc w:val="center"/>
              <w:rPr>
                <w:rFonts w:hint="eastAsia" w:ascii="仿宋" w:hAnsi="仿宋" w:eastAsia="仿宋" w:cs="仿宋"/>
                <w:b/>
                <w:bCs/>
                <w:color w:val="000000" w:themeColor="text1"/>
                <w:sz w:val="24"/>
                <w:szCs w:val="24"/>
              </w:rPr>
            </w:pPr>
          </w:p>
        </w:tc>
        <w:tc>
          <w:tcPr>
            <w:tcW w:w="1357"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r>
    </w:tbl>
    <w:p>
      <w:pPr>
        <w:spacing w:line="360" w:lineRule="auto"/>
        <w:ind w:firstLine="475" w:firstLineChars="198"/>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2"/>
        <w:tabs>
          <w:tab w:val="left" w:pos="5580"/>
        </w:tabs>
        <w:spacing w:line="360" w:lineRule="auto"/>
        <w:ind w:firstLine="3120" w:firstLineChars="1300"/>
        <w:rPr>
          <w:rFonts w:hint="eastAsia" w:ascii="仿宋" w:hAnsi="仿宋" w:eastAsia="仿宋" w:cs="仿宋"/>
          <w:color w:val="000000" w:themeColor="text1"/>
          <w:sz w:val="24"/>
        </w:rPr>
      </w:pPr>
    </w:p>
    <w:p>
      <w:pPr>
        <w:pStyle w:val="12"/>
        <w:tabs>
          <w:tab w:val="left" w:pos="5580"/>
        </w:tabs>
        <w:spacing w:line="360" w:lineRule="auto"/>
        <w:ind w:firstLine="3120" w:firstLineChars="130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投标人（盖章）：</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                    </w:t>
      </w:r>
    </w:p>
    <w:p>
      <w:pPr>
        <w:pStyle w:val="12"/>
        <w:tabs>
          <w:tab w:val="left" w:pos="5580"/>
        </w:tabs>
        <w:spacing w:line="360" w:lineRule="auto"/>
        <w:ind w:firstLine="3120" w:firstLineChars="1300"/>
        <w:rPr>
          <w:rFonts w:hint="eastAsia" w:ascii="仿宋" w:hAnsi="仿宋" w:eastAsia="仿宋" w:cs="仿宋"/>
          <w:color w:val="000000" w:themeColor="text1"/>
          <w:kern w:val="0"/>
          <w:sz w:val="24"/>
          <w:szCs w:val="24"/>
          <w:u w:val="single"/>
          <w:lang w:val="en-US" w:eastAsia="zh-CN"/>
        </w:rPr>
      </w:pPr>
      <w:r>
        <w:rPr>
          <w:rFonts w:hint="eastAsia" w:ascii="仿宋" w:hAnsi="仿宋" w:eastAsia="仿宋" w:cs="仿宋"/>
          <w:color w:val="000000" w:themeColor="text1"/>
          <w:sz w:val="24"/>
          <w:lang w:eastAsia="zh-CN"/>
        </w:rPr>
        <w:t>法定代表人或</w:t>
      </w:r>
      <w:r>
        <w:rPr>
          <w:rFonts w:hint="eastAsia" w:ascii="仿宋" w:hAnsi="仿宋" w:eastAsia="仿宋" w:cs="仿宋"/>
          <w:color w:val="000000" w:themeColor="text1"/>
          <w:kern w:val="0"/>
          <w:sz w:val="24"/>
          <w:szCs w:val="24"/>
        </w:rPr>
        <w:t>委托代理人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kern w:val="0"/>
          <w:sz w:val="24"/>
          <w:szCs w:val="24"/>
          <w:lang w:eastAsia="zh-CN"/>
        </w:rPr>
        <w:t>：</w:t>
      </w:r>
      <w:r>
        <w:rPr>
          <w:rFonts w:hint="eastAsia" w:ascii="仿宋" w:hAnsi="仿宋" w:eastAsia="仿宋" w:cs="仿宋"/>
          <w:color w:val="000000" w:themeColor="text1"/>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       年   月   日</w:t>
      </w:r>
    </w:p>
    <w:p>
      <w:pPr>
        <w:pStyle w:val="5"/>
        <w:rPr>
          <w:rFonts w:hint="eastAsia" w:ascii="仿宋" w:hAnsi="仿宋" w:eastAsia="仿宋" w:cs="仿宋"/>
          <w:b/>
          <w:bCs/>
          <w:color w:val="000000" w:themeColor="text1"/>
          <w:sz w:val="36"/>
          <w:szCs w:val="36"/>
        </w:rPr>
      </w:pPr>
    </w:p>
    <w:p>
      <w:pPr>
        <w:pStyle w:val="38"/>
        <w:tabs>
          <w:tab w:val="left" w:pos="826"/>
        </w:tabs>
        <w:spacing w:line="470" w:lineRule="exact"/>
        <w:ind w:firstLine="0"/>
        <w:jc w:val="center"/>
        <w:rPr>
          <w:rFonts w:ascii="仿宋" w:hAnsi="仿宋" w:eastAsia="仿宋" w:cs="仿宋"/>
          <w:color w:val="000000" w:themeColor="text1"/>
          <w:sz w:val="21"/>
          <w:szCs w:val="21"/>
        </w:rPr>
      </w:pPr>
    </w:p>
    <w:p>
      <w:pPr>
        <w:pStyle w:val="38"/>
        <w:tabs>
          <w:tab w:val="left" w:pos="826"/>
        </w:tabs>
        <w:spacing w:line="470" w:lineRule="exact"/>
        <w:ind w:firstLine="0"/>
        <w:jc w:val="center"/>
        <w:rPr>
          <w:rFonts w:ascii="仿宋" w:hAnsi="仿宋" w:eastAsia="仿宋" w:cs="仿宋"/>
          <w:color w:val="000000" w:themeColor="text1"/>
          <w:sz w:val="21"/>
          <w:szCs w:val="21"/>
        </w:rPr>
      </w:pPr>
    </w:p>
    <w:p>
      <w:pPr>
        <w:pStyle w:val="38"/>
        <w:tabs>
          <w:tab w:val="left" w:pos="826"/>
        </w:tabs>
        <w:spacing w:line="470" w:lineRule="exact"/>
        <w:ind w:firstLine="0"/>
        <w:jc w:val="center"/>
        <w:rPr>
          <w:rFonts w:ascii="仿宋" w:hAnsi="仿宋" w:eastAsia="仿宋" w:cs="仿宋"/>
          <w:color w:val="000000" w:themeColor="text1"/>
          <w:sz w:val="21"/>
          <w:szCs w:val="21"/>
        </w:rPr>
      </w:pPr>
    </w:p>
    <w:p>
      <w:pPr>
        <w:pStyle w:val="38"/>
        <w:tabs>
          <w:tab w:val="left" w:pos="826"/>
        </w:tabs>
        <w:spacing w:line="470" w:lineRule="exact"/>
        <w:ind w:firstLine="0"/>
        <w:jc w:val="center"/>
        <w:rPr>
          <w:rFonts w:ascii="仿宋" w:hAnsi="仿宋" w:eastAsia="仿宋" w:cs="仿宋"/>
          <w:color w:val="000000" w:themeColor="text1"/>
          <w:sz w:val="21"/>
          <w:szCs w:val="21"/>
        </w:rPr>
      </w:pPr>
    </w:p>
    <w:p>
      <w:pPr>
        <w:pStyle w:val="38"/>
        <w:tabs>
          <w:tab w:val="left" w:pos="826"/>
        </w:tabs>
        <w:spacing w:line="470" w:lineRule="exact"/>
        <w:ind w:firstLine="0"/>
        <w:jc w:val="both"/>
        <w:rPr>
          <w:rFonts w:ascii="仿宋" w:hAnsi="仿宋" w:eastAsia="仿宋" w:cs="仿宋"/>
          <w:color w:val="000000" w:themeColor="text1"/>
          <w:sz w:val="21"/>
          <w:szCs w:val="21"/>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shd w:val="clear" w:color="auto" w:fill="auto"/>
        <w:jc w:val="center"/>
        <w:rPr>
          <w:rFonts w:hint="eastAsia" w:ascii="仿宋" w:hAnsi="仿宋" w:eastAsia="仿宋" w:cs="仿宋"/>
          <w:b/>
          <w:bCs/>
          <w:color w:val="000000" w:themeColor="text1"/>
          <w:sz w:val="30"/>
          <w:szCs w:val="30"/>
          <w:lang w:val="en-US" w:eastAsia="zh-CN"/>
        </w:rPr>
      </w:pPr>
      <w:r>
        <w:rPr>
          <w:rFonts w:hint="eastAsia" w:ascii="仿宋" w:hAnsi="仿宋" w:eastAsia="仿宋" w:cs="仿宋"/>
          <w:b/>
          <w:bCs/>
          <w:color w:val="000000" w:themeColor="text1"/>
          <w:sz w:val="30"/>
          <w:szCs w:val="30"/>
          <w:lang w:val="en-US" w:eastAsia="zh-CN"/>
        </w:rPr>
        <w:t>6、商务条款偏离表</w:t>
      </w:r>
    </w:p>
    <w:tbl>
      <w:tblPr>
        <w:tblStyle w:val="24"/>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序号</w:t>
            </w:r>
          </w:p>
        </w:tc>
        <w:tc>
          <w:tcPr>
            <w:tcW w:w="2154" w:type="dxa"/>
            <w:noWrap w:val="0"/>
            <w:vAlign w:val="top"/>
          </w:tcPr>
          <w:p>
            <w:pPr>
              <w:pStyle w:val="12"/>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招标文件条款号</w:t>
            </w:r>
          </w:p>
        </w:tc>
        <w:tc>
          <w:tcPr>
            <w:tcW w:w="2477" w:type="dxa"/>
            <w:noWrap w:val="0"/>
            <w:vAlign w:val="top"/>
          </w:tcPr>
          <w:p>
            <w:pPr>
              <w:pStyle w:val="12"/>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招标文件的商务条款</w:t>
            </w:r>
          </w:p>
        </w:tc>
        <w:tc>
          <w:tcPr>
            <w:tcW w:w="2454" w:type="dxa"/>
            <w:noWrap w:val="0"/>
            <w:vAlign w:val="top"/>
          </w:tcPr>
          <w:p>
            <w:pPr>
              <w:pStyle w:val="12"/>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投标文件的商务条款</w:t>
            </w:r>
          </w:p>
        </w:tc>
        <w:tc>
          <w:tcPr>
            <w:tcW w:w="1130" w:type="dxa"/>
            <w:noWrap w:val="0"/>
            <w:vAlign w:val="top"/>
          </w:tcPr>
          <w:p>
            <w:pPr>
              <w:pStyle w:val="12"/>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2</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3</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4</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5</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6</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7</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8</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9</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10</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11</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12</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13</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14</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15</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bl>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注：请在“偏离说明”栏内扼要说明偏离情况，如无偏离则不需列明。</w:t>
      </w:r>
    </w:p>
    <w:p>
      <w:pPr>
        <w:pStyle w:val="10"/>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pPr>
        <w:pStyle w:val="10"/>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pPr>
        <w:pStyle w:val="10"/>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10"/>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pPr>
        <w:pStyle w:val="10"/>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pPr>
        <w:pStyle w:val="3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pPr>
        <w:pStyle w:val="3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jc w:val="both"/>
        <w:rPr>
          <w:rFonts w:hint="eastAsia" w:ascii="仿宋" w:hAnsi="仿宋" w:eastAsia="仿宋" w:cs="仿宋"/>
          <w:b/>
          <w:bCs/>
          <w:color w:val="000000" w:themeColor="text1"/>
          <w:sz w:val="30"/>
          <w:szCs w:val="30"/>
          <w:lang w:eastAsia="zh-CN"/>
        </w:rPr>
      </w:pPr>
    </w:p>
    <w:p>
      <w:pPr>
        <w:jc w:val="center"/>
        <w:rPr>
          <w:rFonts w:ascii="仿宋" w:hAnsi="仿宋" w:eastAsia="仿宋" w:cs="仿宋"/>
          <w:color w:val="000000" w:themeColor="text1"/>
          <w:sz w:val="30"/>
          <w:szCs w:val="30"/>
          <w:lang w:eastAsia="zh-CN"/>
        </w:rPr>
      </w:pPr>
      <w:r>
        <w:rPr>
          <w:rFonts w:hint="eastAsia" w:ascii="仿宋" w:hAnsi="仿宋" w:eastAsia="仿宋" w:cs="仿宋"/>
          <w:b/>
          <w:bCs/>
          <w:color w:val="000000" w:themeColor="text1"/>
          <w:sz w:val="30"/>
          <w:szCs w:val="30"/>
          <w:lang w:val="en-US" w:eastAsia="zh-CN"/>
        </w:rPr>
        <w:t>7</w:t>
      </w:r>
      <w:r>
        <w:rPr>
          <w:rFonts w:hint="eastAsia" w:ascii="仿宋" w:hAnsi="仿宋" w:eastAsia="仿宋" w:cs="仿宋"/>
          <w:b/>
          <w:bCs/>
          <w:color w:val="000000" w:themeColor="text1"/>
          <w:sz w:val="30"/>
          <w:szCs w:val="30"/>
          <w:lang w:eastAsia="zh-CN"/>
        </w:rPr>
        <w:t>、供应商基本情况表</w:t>
      </w:r>
    </w:p>
    <w:p>
      <w:pPr>
        <w:pStyle w:val="10"/>
        <w:numPr>
          <w:ilvl w:val="0"/>
          <w:numId w:val="0"/>
        </w:numPr>
        <w:tabs>
          <w:tab w:val="clear" w:pos="780"/>
        </w:tabs>
        <w:kinsoku w:val="0"/>
        <w:overflowPunct w:val="0"/>
        <w:spacing w:before="5"/>
        <w:rPr>
          <w:rFonts w:ascii="仿宋" w:hAnsi="仿宋" w:eastAsia="仿宋" w:cs="仿宋"/>
          <w:b/>
          <w:bCs/>
          <w:color w:val="000000" w:themeColor="text1"/>
          <w:sz w:val="6"/>
          <w:szCs w:val="6"/>
          <w:lang w:eastAsia="zh-CN"/>
        </w:rPr>
      </w:pPr>
    </w:p>
    <w:tbl>
      <w:tblPr>
        <w:tblStyle w:val="24"/>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1"/>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1"/>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1"/>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1"/>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41"/>
              <w:kinsoku w:val="0"/>
              <w:overflowPunct w:val="0"/>
              <w:spacing w:before="145"/>
              <w:ind w:left="181"/>
              <w:rPr>
                <w:rFonts w:ascii="仿宋" w:hAnsi="仿宋" w:eastAsia="仿宋" w:cs="仿宋"/>
                <w:color w:val="000000" w:themeColor="text1"/>
              </w:rPr>
            </w:pPr>
            <w:r>
              <w:rPr>
                <w:rFonts w:hint="eastAsia" w:ascii="仿宋" w:hAnsi="仿宋" w:eastAsia="仿宋" w:cs="仿宋"/>
                <w:color w:val="000000" w:themeColor="text1"/>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1"/>
              <w:kinsoku w:val="0"/>
              <w:overflowPunct w:val="0"/>
              <w:spacing w:before="146"/>
              <w:ind w:left="137"/>
              <w:rPr>
                <w:rFonts w:ascii="仿宋" w:hAnsi="仿宋" w:eastAsia="仿宋" w:cs="仿宋"/>
                <w:color w:val="000000" w:themeColor="text1"/>
              </w:rPr>
            </w:pPr>
            <w:r>
              <w:rPr>
                <w:rFonts w:hint="eastAsia" w:ascii="仿宋" w:hAnsi="仿宋" w:eastAsia="仿宋" w:cs="仿宋"/>
                <w:color w:val="000000" w:themeColor="text1"/>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1"/>
              <w:kinsoku w:val="0"/>
              <w:overflowPunct w:val="0"/>
              <w:spacing w:before="141" w:line="312" w:lineRule="exact"/>
              <w:ind w:left="257" w:right="133" w:hanging="120"/>
              <w:rPr>
                <w:rFonts w:ascii="仿宋" w:hAnsi="仿宋" w:eastAsia="仿宋" w:cs="仿宋"/>
                <w:color w:val="000000" w:themeColor="text1"/>
              </w:rPr>
            </w:pPr>
            <w:r>
              <w:rPr>
                <w:rFonts w:hint="eastAsia" w:ascii="仿宋" w:hAnsi="仿宋" w:eastAsia="仿宋" w:cs="仿宋"/>
                <w:color w:val="000000" w:themeColor="text1"/>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41"/>
              <w:kinsoku w:val="0"/>
              <w:overflowPunct w:val="0"/>
              <w:spacing w:before="4"/>
              <w:rPr>
                <w:rFonts w:ascii="仿宋" w:hAnsi="仿宋" w:eastAsia="仿宋" w:cs="仿宋"/>
                <w:b/>
                <w:bCs/>
                <w:color w:val="000000" w:themeColor="text1"/>
                <w:sz w:val="20"/>
                <w:szCs w:val="20"/>
              </w:rPr>
            </w:pPr>
          </w:p>
          <w:p>
            <w:pPr>
              <w:pStyle w:val="41"/>
              <w:kinsoku w:val="0"/>
              <w:overflowPunct w:val="0"/>
              <w:ind w:left="366"/>
              <w:rPr>
                <w:rFonts w:ascii="仿宋" w:hAnsi="仿宋" w:eastAsia="仿宋" w:cs="仿宋"/>
                <w:color w:val="000000" w:themeColor="text1"/>
              </w:rPr>
            </w:pPr>
            <w:r>
              <w:rPr>
                <w:rFonts w:hint="eastAsia" w:ascii="仿宋" w:hAnsi="仿宋" w:eastAsia="仿宋" w:cs="仿宋"/>
                <w:color w:val="000000" w:themeColor="text1"/>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41"/>
              <w:kinsoku w:val="0"/>
              <w:overflowPunct w:val="0"/>
              <w:spacing w:before="4"/>
              <w:rPr>
                <w:rFonts w:ascii="仿宋" w:hAnsi="仿宋" w:eastAsia="仿宋" w:cs="仿宋"/>
                <w:b/>
                <w:bCs/>
                <w:color w:val="000000" w:themeColor="text1"/>
                <w:sz w:val="20"/>
                <w:szCs w:val="20"/>
              </w:rPr>
            </w:pPr>
          </w:p>
          <w:p>
            <w:pPr>
              <w:pStyle w:val="41"/>
              <w:kinsoku w:val="0"/>
              <w:overflowPunct w:val="0"/>
              <w:ind w:left="383"/>
              <w:rPr>
                <w:rFonts w:ascii="仿宋" w:hAnsi="仿宋" w:eastAsia="仿宋" w:cs="仿宋"/>
                <w:color w:val="000000" w:themeColor="text1"/>
              </w:rPr>
            </w:pPr>
            <w:r>
              <w:rPr>
                <w:rFonts w:hint="eastAsia" w:ascii="仿宋" w:hAnsi="仿宋" w:eastAsia="仿宋" w:cs="仿宋"/>
                <w:color w:val="000000" w:themeColor="text1"/>
              </w:rPr>
              <w:t>传 真</w:t>
            </w:r>
          </w:p>
        </w:tc>
        <w:tc>
          <w:tcPr>
            <w:tcW w:w="196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41"/>
              <w:kinsoku w:val="0"/>
              <w:overflowPunct w:val="0"/>
              <w:rPr>
                <w:rFonts w:ascii="仿宋" w:hAnsi="仿宋" w:eastAsia="仿宋" w:cs="仿宋"/>
                <w:b/>
                <w:bCs/>
                <w:color w:val="000000" w:themeColor="text1"/>
              </w:rPr>
            </w:pPr>
          </w:p>
          <w:p>
            <w:pPr>
              <w:pStyle w:val="41"/>
              <w:kinsoku w:val="0"/>
              <w:overflowPunct w:val="0"/>
              <w:rPr>
                <w:rFonts w:ascii="仿宋" w:hAnsi="仿宋" w:eastAsia="仿宋" w:cs="仿宋"/>
                <w:b/>
                <w:bCs/>
                <w:color w:val="000000" w:themeColor="text1"/>
              </w:rPr>
            </w:pPr>
          </w:p>
          <w:p>
            <w:pPr>
              <w:pStyle w:val="41"/>
              <w:kinsoku w:val="0"/>
              <w:overflowPunct w:val="0"/>
              <w:rPr>
                <w:rFonts w:ascii="仿宋" w:hAnsi="仿宋" w:eastAsia="仿宋" w:cs="仿宋"/>
                <w:b/>
                <w:bCs/>
                <w:color w:val="000000" w:themeColor="text1"/>
              </w:rPr>
            </w:pPr>
          </w:p>
          <w:p>
            <w:pPr>
              <w:pStyle w:val="41"/>
              <w:kinsoku w:val="0"/>
              <w:overflowPunct w:val="0"/>
              <w:spacing w:line="475"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职 工 概 况</w:t>
            </w:r>
          </w:p>
        </w:tc>
        <w:tc>
          <w:tcPr>
            <w:tcW w:w="1445" w:type="dxa"/>
            <w:tcBorders>
              <w:top w:val="single" w:color="000000" w:sz="4" w:space="0"/>
              <w:left w:val="single" w:color="000000" w:sz="4" w:space="0"/>
              <w:bottom w:val="single" w:color="000000" w:sz="4" w:space="0"/>
              <w:right w:val="single" w:color="000000" w:sz="4" w:space="0"/>
            </w:tcBorders>
          </w:tcPr>
          <w:p>
            <w:pPr>
              <w:pStyle w:val="41"/>
              <w:kinsoku w:val="0"/>
              <w:overflowPunct w:val="0"/>
              <w:spacing w:before="144"/>
              <w:ind w:left="236"/>
              <w:rPr>
                <w:rFonts w:ascii="仿宋" w:hAnsi="仿宋" w:eastAsia="仿宋" w:cs="仿宋"/>
                <w:color w:val="000000" w:themeColor="text1"/>
              </w:rPr>
            </w:pPr>
            <w:r>
              <w:rPr>
                <w:rFonts w:hint="eastAsia" w:ascii="仿宋" w:hAnsi="仿宋" w:eastAsia="仿宋" w:cs="仿宋"/>
                <w:color w:val="000000" w:themeColor="text1"/>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41"/>
              <w:kinsoku w:val="0"/>
              <w:overflowPunct w:val="0"/>
              <w:spacing w:before="144"/>
              <w:ind w:left="118"/>
              <w:rPr>
                <w:rFonts w:ascii="仿宋" w:hAnsi="仿宋" w:eastAsia="仿宋" w:cs="仿宋"/>
                <w:color w:val="000000" w:themeColor="text1"/>
              </w:rPr>
            </w:pPr>
            <w:r>
              <w:rPr>
                <w:rFonts w:hint="eastAsia" w:ascii="仿宋" w:hAnsi="仿宋" w:eastAsia="仿宋" w:cs="仿宋"/>
                <w:color w:val="000000" w:themeColor="text1"/>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41"/>
              <w:kinsoku w:val="0"/>
              <w:overflowPunct w:val="0"/>
              <w:spacing w:before="145"/>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41"/>
              <w:kinsoku w:val="0"/>
              <w:overflowPunct w:val="0"/>
              <w:spacing w:before="145"/>
              <w:jc w:val="center"/>
              <w:rPr>
                <w:rFonts w:ascii="仿宋" w:hAnsi="仿宋" w:eastAsia="仿宋" w:cs="仿宋"/>
                <w:color w:val="000000" w:themeColor="text1"/>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41"/>
              <w:kinsoku w:val="0"/>
              <w:overflowPunct w:val="0"/>
              <w:spacing w:before="145"/>
              <w:ind w:left="416"/>
              <w:rPr>
                <w:rFonts w:ascii="仿宋" w:hAnsi="仿宋" w:eastAsia="仿宋" w:cs="仿宋"/>
                <w:color w:val="000000" w:themeColor="text1"/>
              </w:rPr>
            </w:pPr>
            <w:r>
              <w:rPr>
                <w:rFonts w:hint="eastAsia" w:ascii="仿宋" w:hAnsi="仿宋" w:eastAsia="仿宋" w:cs="仿宋"/>
                <w:color w:val="000000" w:themeColor="text1"/>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41"/>
              <w:kinsoku w:val="0"/>
              <w:overflowPunct w:val="0"/>
              <w:spacing w:before="145"/>
              <w:ind w:left="452"/>
              <w:rPr>
                <w:rFonts w:ascii="仿宋" w:hAnsi="仿宋" w:eastAsia="仿宋" w:cs="仿宋"/>
                <w:color w:val="000000" w:themeColor="text1"/>
              </w:rPr>
            </w:pPr>
            <w:r>
              <w:rPr>
                <w:rFonts w:hint="eastAsia" w:ascii="仿宋" w:hAnsi="仿宋" w:eastAsia="仿宋" w:cs="仿宋"/>
                <w:color w:val="000000" w:themeColor="text1"/>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41"/>
              <w:kinsoku w:val="0"/>
              <w:overflowPunct w:val="0"/>
              <w:spacing w:before="145"/>
              <w:ind w:left="450"/>
              <w:rPr>
                <w:rFonts w:ascii="仿宋" w:hAnsi="仿宋" w:eastAsia="仿宋" w:cs="仿宋"/>
                <w:color w:val="000000" w:themeColor="text1"/>
              </w:rPr>
            </w:pPr>
            <w:r>
              <w:rPr>
                <w:rFonts w:hint="eastAsia" w:ascii="仿宋" w:hAnsi="仿宋" w:eastAsia="仿宋" w:cs="仿宋"/>
                <w:color w:val="000000" w:themeColor="text1"/>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41"/>
              <w:tabs>
                <w:tab w:val="left" w:pos="479"/>
              </w:tabs>
              <w:kinsoku w:val="0"/>
              <w:overflowPunct w:val="0"/>
              <w:spacing w:before="145"/>
              <w:ind w:right="1"/>
              <w:jc w:val="center"/>
              <w:rPr>
                <w:rFonts w:ascii="仿宋" w:hAnsi="仿宋" w:eastAsia="仿宋" w:cs="仿宋"/>
                <w:color w:val="000000" w:themeColor="text1"/>
              </w:rPr>
            </w:pPr>
            <w:r>
              <w:rPr>
                <w:rFonts w:hint="eastAsia" w:ascii="仿宋" w:hAnsi="仿宋" w:eastAsia="仿宋" w:cs="仿宋"/>
                <w:color w:val="000000" w:themeColor="text1"/>
              </w:rPr>
              <w:t>专</w:t>
            </w:r>
            <w:r>
              <w:rPr>
                <w:rFonts w:hint="eastAsia" w:ascii="仿宋" w:hAnsi="仿宋" w:eastAsia="仿宋" w:cs="仿宋"/>
                <w:color w:val="000000" w:themeColor="text1"/>
              </w:rPr>
              <w:tab/>
            </w:r>
            <w:r>
              <w:rPr>
                <w:rFonts w:hint="eastAsia" w:ascii="仿宋" w:hAnsi="仿宋" w:eastAsia="仿宋" w:cs="仿宋"/>
                <w:color w:val="000000" w:themeColor="text1"/>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41"/>
              <w:tabs>
                <w:tab w:val="left" w:pos="479"/>
              </w:tabs>
              <w:kinsoku w:val="0"/>
              <w:overflowPunct w:val="0"/>
              <w:spacing w:before="145"/>
              <w:ind w:right="1"/>
              <w:jc w:val="cente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1"/>
              <w:kinsoku w:val="0"/>
              <w:overflowPunct w:val="0"/>
              <w:spacing w:before="1"/>
              <w:rPr>
                <w:rFonts w:ascii="仿宋" w:hAnsi="仿宋" w:eastAsia="仿宋" w:cs="仿宋"/>
                <w:b/>
                <w:bCs/>
                <w:color w:val="000000" w:themeColor="text1"/>
                <w:sz w:val="23"/>
                <w:szCs w:val="23"/>
              </w:rPr>
            </w:pPr>
          </w:p>
          <w:p>
            <w:pPr>
              <w:pStyle w:val="41"/>
              <w:kinsoku w:val="0"/>
              <w:overflowPunct w:val="0"/>
              <w:spacing w:line="237"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bl>
    <w:p>
      <w:pPr>
        <w:pStyle w:val="38"/>
        <w:spacing w:line="440" w:lineRule="exact"/>
        <w:ind w:firstLine="0"/>
        <w:jc w:val="both"/>
        <w:rPr>
          <w:rFonts w:ascii="仿宋" w:hAnsi="仿宋" w:eastAsia="仿宋" w:cs="仿宋"/>
          <w:b/>
          <w:color w:val="000000" w:themeColor="text1"/>
          <w:sz w:val="30"/>
          <w:szCs w:val="30"/>
        </w:rPr>
      </w:pPr>
    </w:p>
    <w:p>
      <w:pPr>
        <w:pStyle w:val="38"/>
        <w:spacing w:line="440" w:lineRule="exact"/>
        <w:ind w:firstLine="0"/>
        <w:jc w:val="both"/>
        <w:rPr>
          <w:rFonts w:ascii="仿宋" w:hAnsi="仿宋" w:eastAsia="仿宋" w:cs="仿宋"/>
          <w:b/>
          <w:color w:val="000000" w:themeColor="text1"/>
          <w:sz w:val="30"/>
          <w:szCs w:val="30"/>
        </w:rPr>
      </w:pPr>
    </w:p>
    <w:p>
      <w:pPr>
        <w:pStyle w:val="38"/>
        <w:spacing w:line="440" w:lineRule="exact"/>
        <w:ind w:firstLine="0"/>
        <w:jc w:val="both"/>
        <w:rPr>
          <w:rFonts w:ascii="仿宋" w:hAnsi="仿宋" w:eastAsia="仿宋" w:cs="仿宋"/>
          <w:b/>
          <w:color w:val="000000" w:themeColor="text1"/>
          <w:sz w:val="30"/>
          <w:szCs w:val="30"/>
        </w:rPr>
      </w:pPr>
    </w:p>
    <w:p>
      <w:pPr>
        <w:pStyle w:val="38"/>
        <w:spacing w:line="440" w:lineRule="exact"/>
        <w:ind w:firstLine="0"/>
        <w:jc w:val="both"/>
        <w:rPr>
          <w:rFonts w:ascii="仿宋" w:hAnsi="仿宋" w:eastAsia="仿宋" w:cs="仿宋"/>
          <w:b/>
          <w:color w:val="000000" w:themeColor="text1"/>
          <w:sz w:val="30"/>
          <w:szCs w:val="30"/>
        </w:rPr>
      </w:pPr>
    </w:p>
    <w:p>
      <w:pPr>
        <w:pStyle w:val="38"/>
        <w:spacing w:line="440" w:lineRule="exact"/>
        <w:ind w:firstLine="0"/>
        <w:jc w:val="both"/>
        <w:rPr>
          <w:rFonts w:ascii="仿宋" w:hAnsi="仿宋" w:eastAsia="仿宋" w:cs="仿宋"/>
          <w:b/>
          <w:color w:val="000000" w:themeColor="text1"/>
          <w:sz w:val="30"/>
          <w:szCs w:val="30"/>
        </w:rPr>
      </w:pPr>
    </w:p>
    <w:p>
      <w:pPr>
        <w:pStyle w:val="38"/>
        <w:spacing w:line="440" w:lineRule="exact"/>
        <w:ind w:firstLine="0"/>
        <w:jc w:val="both"/>
        <w:rPr>
          <w:rFonts w:ascii="仿宋" w:hAnsi="仿宋" w:eastAsia="仿宋" w:cs="仿宋"/>
          <w:b/>
          <w:color w:val="000000" w:themeColor="text1"/>
          <w:sz w:val="30"/>
          <w:szCs w:val="30"/>
        </w:rPr>
      </w:pPr>
    </w:p>
    <w:p>
      <w:pPr>
        <w:pStyle w:val="10"/>
        <w:numPr>
          <w:ilvl w:val="0"/>
          <w:numId w:val="0"/>
        </w:numPr>
        <w:kinsoku w:val="0"/>
        <w:overflowPunct w:val="0"/>
        <w:spacing w:before="34" w:line="357" w:lineRule="auto"/>
        <w:ind w:right="126" w:rightChars="0"/>
        <w:jc w:val="both"/>
        <w:rPr>
          <w:rFonts w:hint="eastAsia" w:ascii="仿宋" w:hAnsi="仿宋" w:eastAsia="仿宋" w:cs="仿宋"/>
          <w:b w:val="0"/>
          <w:bCs/>
          <w:color w:val="000000" w:themeColor="text1"/>
          <w:kern w:val="0"/>
          <w:sz w:val="36"/>
          <w:szCs w:val="36"/>
          <w:lang w:val="en-US" w:eastAsia="zh-CN"/>
        </w:rPr>
      </w:pPr>
    </w:p>
    <w:p>
      <w:pPr>
        <w:pStyle w:val="10"/>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w w:val="90"/>
          <w:lang w:eastAsia="zh-CN"/>
        </w:rPr>
      </w:pPr>
      <w:r>
        <w:rPr>
          <w:rFonts w:hint="eastAsia" w:ascii="仿宋" w:hAnsi="仿宋" w:eastAsia="仿宋" w:cs="仿宋"/>
          <w:b w:val="0"/>
          <w:bCs/>
          <w:color w:val="000000" w:themeColor="text1"/>
          <w:kern w:val="0"/>
          <w:sz w:val="36"/>
          <w:szCs w:val="36"/>
          <w:lang w:val="en-US" w:eastAsia="zh-CN"/>
        </w:rPr>
        <w:t>8、</w:t>
      </w:r>
      <w:r>
        <w:rPr>
          <w:rFonts w:hint="eastAsia" w:ascii="仿宋" w:hAnsi="仿宋" w:eastAsia="仿宋" w:cs="仿宋"/>
          <w:b/>
          <w:bCs/>
          <w:color w:val="000000" w:themeColor="text1"/>
          <w:w w:val="90"/>
          <w:sz w:val="36"/>
          <w:szCs w:val="36"/>
        </w:rPr>
        <w:t>近三年类似项目业绩</w:t>
      </w:r>
      <w:r>
        <w:rPr>
          <w:rFonts w:hint="eastAsia" w:ascii="仿宋" w:hAnsi="仿宋" w:eastAsia="仿宋" w:cs="仿宋"/>
          <w:b/>
          <w:bCs/>
          <w:color w:val="000000" w:themeColor="text1"/>
          <w:w w:val="90"/>
          <w:sz w:val="36"/>
          <w:szCs w:val="36"/>
          <w:lang w:eastAsia="zh-CN"/>
        </w:rPr>
        <w:t>表</w:t>
      </w:r>
    </w:p>
    <w:p>
      <w:pPr>
        <w:pStyle w:val="10"/>
        <w:numPr>
          <w:ilvl w:val="0"/>
          <w:numId w:val="0"/>
        </w:numPr>
        <w:kinsoku w:val="0"/>
        <w:overflowPunct w:val="0"/>
        <w:ind w:leftChars="0" w:right="0" w:rightChars="0"/>
        <w:rPr>
          <w:rFonts w:hint="eastAsia" w:ascii="仿宋" w:hAnsi="仿宋" w:eastAsia="仿宋" w:cs="仿宋"/>
          <w:b/>
          <w:bCs/>
          <w:color w:val="000000" w:themeColor="text1"/>
          <w:sz w:val="20"/>
          <w:szCs w:val="20"/>
        </w:rPr>
      </w:pPr>
    </w:p>
    <w:tbl>
      <w:tblPr>
        <w:tblStyle w:val="24"/>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39"/>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vAlign w:val="top"/>
          </w:tcPr>
          <w:p>
            <w:pPr>
              <w:pStyle w:val="39"/>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合同金额</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top"/>
          </w:tcPr>
          <w:p>
            <w:pPr>
              <w:pStyle w:val="39"/>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39"/>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项目实施时间</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bl>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注：每个</w:t>
      </w:r>
      <w:r>
        <w:rPr>
          <w:rFonts w:hint="eastAsia" w:ascii="仿宋" w:hAnsi="仿宋" w:eastAsia="仿宋" w:cs="仿宋"/>
          <w:color w:val="000000" w:themeColor="text1"/>
          <w:spacing w:val="-1"/>
          <w:kern w:val="0"/>
          <w:sz w:val="24"/>
          <w:lang w:eastAsia="zh-CN"/>
        </w:rPr>
        <w:t>业绩</w:t>
      </w:r>
      <w:r>
        <w:rPr>
          <w:rFonts w:hint="eastAsia" w:ascii="仿宋" w:hAnsi="仿宋" w:eastAsia="仿宋" w:cs="仿宋"/>
          <w:color w:val="000000" w:themeColor="text1"/>
          <w:spacing w:val="-1"/>
          <w:kern w:val="0"/>
          <w:sz w:val="24"/>
        </w:rPr>
        <w:t>须单独附表，并附上</w:t>
      </w:r>
      <w:r>
        <w:rPr>
          <w:rFonts w:hint="eastAsia" w:ascii="仿宋" w:hAnsi="仿宋" w:eastAsia="仿宋" w:cs="仿宋"/>
          <w:color w:val="000000" w:themeColor="text1"/>
          <w:spacing w:val="-1"/>
          <w:kern w:val="0"/>
          <w:sz w:val="24"/>
          <w:lang w:eastAsia="zh-CN"/>
        </w:rPr>
        <w:t>合同或中标通知书</w:t>
      </w:r>
      <w:r>
        <w:rPr>
          <w:rFonts w:hint="eastAsia" w:ascii="仿宋" w:hAnsi="仿宋" w:eastAsia="仿宋" w:cs="仿宋"/>
          <w:color w:val="000000" w:themeColor="text1"/>
          <w:spacing w:val="-1"/>
          <w:kern w:val="0"/>
          <w:sz w:val="24"/>
        </w:rPr>
        <w:t>相关证明材料，否则专家在评审时将不予采信。</w:t>
      </w:r>
    </w:p>
    <w:p>
      <w:pPr>
        <w:pStyle w:val="10"/>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10"/>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10"/>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10"/>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pPr>
        <w:pStyle w:val="10"/>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u w:val="single"/>
          <w:lang w:val="en-US" w:eastAsia="zh-CN"/>
        </w:rPr>
        <w:t>(</w:t>
      </w:r>
      <w:r>
        <w:rPr>
          <w:rFonts w:hint="eastAsia" w:ascii="仿宋" w:hAnsi="仿宋" w:eastAsia="仿宋" w:cs="仿宋"/>
          <w:color w:val="000000" w:themeColor="text1"/>
          <w:w w:val="95"/>
          <w:sz w:val="24"/>
          <w:szCs w:val="24"/>
        </w:rPr>
        <w:t>签</w:t>
      </w:r>
      <w:r>
        <w:rPr>
          <w:rFonts w:hint="eastAsia" w:ascii="仿宋" w:hAnsi="仿宋" w:eastAsia="仿宋" w:cs="仿宋"/>
          <w:color w:val="000000" w:themeColor="text1"/>
          <w:w w:val="95"/>
          <w:sz w:val="24"/>
          <w:szCs w:val="24"/>
          <w:lang w:eastAsia="zh-CN"/>
        </w:rPr>
        <w:t>章</w:t>
      </w:r>
      <w:r>
        <w:rPr>
          <w:rFonts w:hint="eastAsia" w:ascii="仿宋" w:hAnsi="仿宋" w:eastAsia="仿宋" w:cs="仿宋"/>
          <w:color w:val="000000" w:themeColor="text1"/>
          <w:w w:val="95"/>
          <w:sz w:val="24"/>
          <w:szCs w:val="24"/>
        </w:rPr>
        <w:t>）</w:t>
      </w:r>
    </w:p>
    <w:p>
      <w:pPr>
        <w:pStyle w:val="10"/>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pPr>
        <w:pStyle w:val="37"/>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000000" w:themeColor="text1"/>
          <w:spacing w:val="0"/>
          <w:w w:val="100"/>
          <w:position w:val="0"/>
        </w:rPr>
      </w:pPr>
    </w:p>
    <w:p>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spacing w:line="360" w:lineRule="auto"/>
        <w:jc w:val="both"/>
        <w:rPr>
          <w:rFonts w:hint="eastAsia" w:ascii="仿宋" w:hAnsi="仿宋" w:eastAsia="仿宋" w:cs="仿宋"/>
          <w:b/>
          <w:color w:val="000000" w:themeColor="text1"/>
          <w:sz w:val="36"/>
          <w:szCs w:val="36"/>
          <w:lang w:val="en-US" w:eastAsia="zh-CN"/>
        </w:rPr>
      </w:pPr>
    </w:p>
    <w:p>
      <w:pPr>
        <w:numPr>
          <w:ilvl w:val="0"/>
          <w:numId w:val="0"/>
        </w:numPr>
        <w:spacing w:line="360" w:lineRule="auto"/>
        <w:ind w:left="720" w:leftChars="0" w:firstLine="723" w:firstLineChars="200"/>
        <w:jc w:val="both"/>
        <w:rPr>
          <w:lang w:eastAsia="zh-CN"/>
        </w:rPr>
      </w:pPr>
      <w:r>
        <w:rPr>
          <w:rFonts w:hint="eastAsia" w:ascii="仿宋" w:hAnsi="仿宋" w:eastAsia="仿宋" w:cs="仿宋"/>
          <w:b/>
          <w:color w:val="000000" w:themeColor="text1"/>
          <w:sz w:val="36"/>
          <w:szCs w:val="36"/>
          <w:lang w:val="en-US" w:eastAsia="zh-CN"/>
        </w:rPr>
        <w:t>9、</w:t>
      </w:r>
      <w:r>
        <w:rPr>
          <w:rFonts w:hint="eastAsia" w:ascii="仿宋" w:hAnsi="仿宋" w:eastAsia="仿宋" w:cs="仿宋"/>
          <w:b/>
          <w:color w:val="000000" w:themeColor="text1"/>
          <w:sz w:val="36"/>
          <w:szCs w:val="36"/>
          <w:lang w:eastAsia="zh-CN"/>
        </w:rPr>
        <w:t>中小企业声明函(</w:t>
      </w:r>
      <w:r>
        <w:rPr>
          <w:rFonts w:hint="eastAsia" w:ascii="仿宋" w:hAnsi="仿宋" w:eastAsia="仿宋" w:cs="仿宋"/>
          <w:b/>
          <w:color w:val="000000" w:themeColor="text1"/>
          <w:sz w:val="36"/>
          <w:szCs w:val="36"/>
          <w:lang w:val="en-US" w:eastAsia="zh-CN"/>
        </w:rPr>
        <w:t>工程、货物</w:t>
      </w:r>
      <w:r>
        <w:rPr>
          <w:rFonts w:hint="eastAsia" w:ascii="仿宋" w:hAnsi="仿宋" w:eastAsia="仿宋" w:cs="仿宋"/>
          <w:b/>
          <w:color w:val="000000" w:themeColor="text1"/>
          <w:sz w:val="36"/>
          <w:szCs w:val="36"/>
          <w:lang w:eastAsia="zh-CN"/>
        </w:rPr>
        <w:t>)</w:t>
      </w:r>
    </w:p>
    <w:p>
      <w:pPr>
        <w:rPr>
          <w:rFonts w:hint="eastAsia" w:ascii="仿宋" w:hAnsi="仿宋" w:eastAsia="仿宋" w:cs="仿宋"/>
          <w:color w:val="000000" w:themeColor="text1"/>
          <w:sz w:val="32"/>
          <w:szCs w:val="32"/>
        </w:rPr>
      </w:pP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numPr>
          <w:ilvl w:val="0"/>
          <w:numId w:val="8"/>
        </w:num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人，营业收入为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2.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人</w:t>
      </w:r>
      <w:r>
        <w:rPr>
          <w:rFonts w:hint="eastAsia" w:ascii="仿宋" w:hAnsi="仿宋" w:eastAsia="仿宋" w:cs="仿宋"/>
          <w:color w:val="000000" w:themeColor="text1"/>
          <w:kern w:val="0"/>
          <w:sz w:val="24"/>
          <w:szCs w:val="24"/>
        </w:rPr>
        <w:t>，营业收入为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以上企业，不属于大企业的分支机构，不存在控股股东为大企业的情形，也不存在与大企业的负责人为同一人的情形。</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本企业对上述声明内容的真实性负责。如有虚假，将依法承担相应责任。</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p>
    <w:p>
      <w:pPr>
        <w:shd w:val="clear" w:color="auto" w:fill="auto"/>
        <w:spacing w:line="360" w:lineRule="auto"/>
        <w:ind w:firstLine="4560" w:firstLineChars="19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企业名称（盖章）：</w:t>
      </w:r>
    </w:p>
    <w:p>
      <w:pPr>
        <w:shd w:val="clear" w:color="auto" w:fill="auto"/>
        <w:spacing w:line="360" w:lineRule="auto"/>
        <w:ind w:firstLine="480" w:firstLineChars="200"/>
        <w:rPr>
          <w:lang w:eastAsia="zh-CN"/>
        </w:rPr>
      </w:pPr>
      <w:r>
        <w:rPr>
          <w:rFonts w:hint="eastAsia" w:ascii="仿宋" w:hAnsi="仿宋" w:eastAsia="仿宋" w:cs="仿宋"/>
          <w:color w:val="000000" w:themeColor="text1"/>
          <w:kern w:val="0"/>
          <w:sz w:val="24"/>
          <w:szCs w:val="24"/>
        </w:rPr>
        <w:t xml:space="preserve">                     </w:t>
      </w:r>
      <w:r>
        <w:rPr>
          <w:rFonts w:hint="eastAsia" w:ascii="仿宋" w:hAnsi="仿宋" w:eastAsia="仿宋" w:cs="仿宋"/>
          <w:color w:val="000000" w:themeColor="text1"/>
          <w:kern w:val="0"/>
          <w:sz w:val="24"/>
          <w:szCs w:val="24"/>
          <w:lang w:val="en-US" w:eastAsia="zh-CN"/>
        </w:rPr>
        <w:t xml:space="preserve">                         </w:t>
      </w:r>
      <w:r>
        <w:rPr>
          <w:rFonts w:hint="eastAsia" w:ascii="仿宋" w:hAnsi="仿宋" w:eastAsia="仿宋" w:cs="仿宋"/>
          <w:color w:val="000000" w:themeColor="text1"/>
          <w:kern w:val="0"/>
          <w:sz w:val="24"/>
          <w:szCs w:val="24"/>
        </w:rPr>
        <w:t xml:space="preserve"> 日期：</w:t>
      </w: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both"/>
        <w:rPr>
          <w:rFonts w:hint="eastAsia" w:ascii="仿宋" w:hAnsi="仿宋" w:eastAsia="仿宋" w:cs="仿宋"/>
          <w:b/>
          <w:bCs/>
          <w:color w:val="000000" w:themeColor="text1"/>
          <w:sz w:val="36"/>
          <w:szCs w:val="36"/>
          <w:lang w:val="en-US" w:eastAsia="zh-CN"/>
        </w:rPr>
      </w:pPr>
      <w:r>
        <w:rPr>
          <w:rFonts w:hint="eastAsia" w:ascii="仿宋" w:hAnsi="仿宋" w:eastAsia="仿宋" w:cs="仿宋"/>
          <w:b/>
          <w:bCs/>
          <w:color w:val="000000" w:themeColor="text1"/>
          <w:sz w:val="36"/>
          <w:szCs w:val="36"/>
          <w:lang w:val="en-US" w:eastAsia="zh-CN"/>
        </w:rPr>
        <w:t>10、投标人关联单位的说明（格式自拟）</w:t>
      </w:r>
    </w:p>
    <w:p>
      <w:pPr>
        <w:spacing w:line="440" w:lineRule="exact"/>
        <w:rPr>
          <w:rFonts w:hint="eastAsia" w:ascii="仿宋" w:hAnsi="仿宋" w:eastAsia="仿宋" w:cs="仿宋"/>
          <w:color w:val="000000" w:themeColor="text1"/>
          <w:lang w:val="en-US" w:eastAsia="zh-CN"/>
        </w:rPr>
      </w:pPr>
    </w:p>
    <w:p>
      <w:pPr>
        <w:spacing w:line="44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说明：复印件上应加盖本单位章（自然人投标的无需盖章，需要签字）。</w:t>
      </w: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ascii="仿宋" w:hAnsi="仿宋" w:eastAsia="仿宋" w:cs="仿宋"/>
          <w:color w:val="000000" w:themeColor="text1"/>
          <w:sz w:val="36"/>
          <w:szCs w:val="36"/>
          <w:lang w:eastAsia="zh-CN"/>
        </w:rPr>
      </w:pPr>
      <w:r>
        <w:rPr>
          <w:rFonts w:hint="eastAsia" w:ascii="仿宋" w:hAnsi="仿宋" w:eastAsia="仿宋" w:cs="仿宋"/>
          <w:b/>
          <w:bCs/>
          <w:color w:val="000000" w:themeColor="text1"/>
          <w:sz w:val="36"/>
          <w:szCs w:val="36"/>
          <w:lang w:val="en-US" w:eastAsia="zh-CN"/>
        </w:rPr>
        <w:t>11</w:t>
      </w:r>
      <w:r>
        <w:rPr>
          <w:rFonts w:hint="eastAsia" w:ascii="仿宋" w:hAnsi="仿宋" w:eastAsia="仿宋" w:cs="仿宋"/>
          <w:b/>
          <w:bCs/>
          <w:color w:val="000000" w:themeColor="text1"/>
          <w:sz w:val="36"/>
          <w:szCs w:val="36"/>
          <w:lang w:eastAsia="zh-CN"/>
        </w:rPr>
        <w:t>、评分标准和细则中技术部分证明材料（格式自拟</w:t>
      </w:r>
      <w:r>
        <w:rPr>
          <w:rFonts w:hint="eastAsia" w:ascii="仿宋" w:hAnsi="仿宋" w:eastAsia="仿宋" w:cs="仿宋"/>
          <w:color w:val="000000" w:themeColor="text1"/>
          <w:sz w:val="36"/>
          <w:szCs w:val="36"/>
          <w:lang w:eastAsia="zh-CN"/>
        </w:rPr>
        <w:t>）</w:t>
      </w:r>
    </w:p>
    <w:p>
      <w:pPr>
        <w:pStyle w:val="4"/>
        <w:numPr>
          <w:ilvl w:val="1"/>
          <w:numId w:val="0"/>
        </w:numPr>
        <w:spacing w:line="240" w:lineRule="atLeast"/>
        <w:ind w:left="617" w:leftChars="257"/>
        <w:rPr>
          <w:rFonts w:ascii="仿宋" w:hAnsi="仿宋" w:eastAsia="仿宋" w:cs="仿宋"/>
          <w:color w:val="000000" w:themeColor="text1"/>
          <w:sz w:val="24"/>
          <w:lang w:eastAsia="zh-CN"/>
        </w:rPr>
      </w:pP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评分标准和细则中技术部分</w:t>
      </w:r>
      <w:r>
        <w:rPr>
          <w:rFonts w:hint="eastAsia" w:ascii="仿宋" w:hAnsi="仿宋" w:eastAsia="仿宋" w:cs="仿宋"/>
          <w:color w:val="000000" w:themeColor="text1"/>
          <w:lang w:eastAsia="zh-CN"/>
        </w:rPr>
        <w:t>要求的其他资格证明文件（主要包括：技术指标参数响应情况、</w:t>
      </w:r>
      <w:r>
        <w:rPr>
          <w:rFonts w:hint="eastAsia" w:ascii="仿宋" w:hAnsi="仿宋" w:eastAsia="仿宋" w:cs="仿宋"/>
          <w:color w:val="000000" w:themeColor="text1"/>
          <w:lang w:val="en-US" w:eastAsia="zh-CN"/>
        </w:rPr>
        <w:t>项目配置专职人员</w:t>
      </w:r>
      <w:r>
        <w:rPr>
          <w:rFonts w:hint="eastAsia" w:ascii="仿宋" w:hAnsi="仿宋" w:eastAsia="仿宋" w:cs="仿宋"/>
          <w:color w:val="000000" w:themeColor="text1"/>
          <w:szCs w:val="21"/>
          <w:lang w:eastAsia="zh-CN" w:bidi="ar-SA"/>
        </w:rPr>
        <w:t>等</w:t>
      </w:r>
      <w:r>
        <w:rPr>
          <w:rFonts w:hint="eastAsia" w:ascii="仿宋" w:hAnsi="仿宋" w:eastAsia="仿宋" w:cs="仿宋"/>
          <w:color w:val="000000" w:themeColor="text1"/>
          <w:lang w:eastAsia="zh-CN"/>
        </w:rPr>
        <w:t>）。</w:t>
      </w:r>
    </w:p>
    <w:p>
      <w:pPr>
        <w:pStyle w:val="12"/>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pPr>
        <w:pStyle w:val="5"/>
        <w:rPr>
          <w:rFonts w:ascii="仿宋" w:hAnsi="仿宋" w:eastAsia="仿宋" w:cs="仿宋"/>
          <w:color w:val="000000" w:themeColor="text1"/>
          <w:sz w:val="24"/>
          <w:lang w:eastAsia="zh-CN"/>
        </w:rPr>
      </w:pPr>
      <w:r>
        <w:rPr>
          <w:rFonts w:hint="eastAsia" w:ascii="仿宋" w:hAnsi="仿宋" w:eastAsia="仿宋" w:cs="仿宋"/>
          <w:color w:val="000000" w:themeColor="text1"/>
          <w:sz w:val="24"/>
          <w:lang w:eastAsia="zh-CN"/>
        </w:rPr>
        <w:t xml:space="preserve">   </w:t>
      </w:r>
    </w:p>
    <w:p>
      <w:pPr>
        <w:rPr>
          <w:rFonts w:ascii="仿宋" w:hAnsi="仿宋" w:eastAsia="仿宋" w:cs="仿宋"/>
          <w:color w:val="000000" w:themeColor="text1"/>
          <w:lang w:eastAsia="zh-CN"/>
        </w:rPr>
      </w:pPr>
    </w:p>
    <w:p>
      <w:pPr>
        <w:tabs>
          <w:tab w:val="left" w:pos="3600"/>
        </w:tabs>
        <w:adjustRightInd w:val="0"/>
        <w:snapToGrid w:val="0"/>
        <w:spacing w:line="440" w:lineRule="exact"/>
        <w:jc w:val="both"/>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val="en-US" w:eastAsia="zh-CN"/>
        </w:rPr>
        <w:t>12</w:t>
      </w:r>
      <w:r>
        <w:rPr>
          <w:rFonts w:hint="eastAsia" w:ascii="仿宋" w:hAnsi="仿宋" w:eastAsia="仿宋" w:cs="仿宋"/>
          <w:b/>
          <w:bCs/>
          <w:color w:val="000000" w:themeColor="text1"/>
          <w:sz w:val="36"/>
          <w:szCs w:val="36"/>
          <w:lang w:eastAsia="zh-CN"/>
        </w:rPr>
        <w:t>、评分标准和细则中商务部分证明材料（格式自拟）</w:t>
      </w:r>
    </w:p>
    <w:p>
      <w:pPr>
        <w:pStyle w:val="12"/>
        <w:tabs>
          <w:tab w:val="left" w:pos="5580"/>
        </w:tabs>
        <w:spacing w:line="240" w:lineRule="atLeast"/>
        <w:rPr>
          <w:rFonts w:ascii="仿宋" w:hAnsi="仿宋" w:eastAsia="仿宋" w:cs="仿宋"/>
          <w:color w:val="000000" w:themeColor="text1"/>
          <w:lang w:eastAsia="zh-CN"/>
        </w:rPr>
      </w:pP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评分标准和细则中商务部分</w:t>
      </w:r>
      <w:r>
        <w:rPr>
          <w:rFonts w:hint="eastAsia" w:ascii="仿宋" w:hAnsi="仿宋" w:eastAsia="仿宋" w:cs="仿宋"/>
          <w:color w:val="000000" w:themeColor="text1"/>
          <w:lang w:eastAsia="zh-CN"/>
        </w:rPr>
        <w:t>要求的其他资格证明文件（主要包括：</w:t>
      </w:r>
      <w:r>
        <w:rPr>
          <w:rFonts w:hint="eastAsia" w:ascii="仿宋" w:hAnsi="仿宋" w:eastAsia="仿宋" w:cs="仿宋"/>
          <w:color w:val="000000" w:themeColor="text1"/>
          <w:szCs w:val="21"/>
          <w:lang w:eastAsia="zh-CN" w:bidi="ar-SA"/>
        </w:rPr>
        <w:t>抗风险能力</w:t>
      </w:r>
      <w:r>
        <w:rPr>
          <w:rFonts w:hint="eastAsia" w:ascii="仿宋" w:hAnsi="仿宋" w:eastAsia="仿宋" w:cs="仿宋"/>
          <w:color w:val="000000" w:themeColor="text1"/>
          <w:lang w:eastAsia="zh-CN"/>
        </w:rPr>
        <w:t>、企业实力、服务评级、企业信誉等）。</w:t>
      </w:r>
    </w:p>
    <w:p>
      <w:pPr>
        <w:pStyle w:val="12"/>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pPr>
        <w:pStyle w:val="4"/>
        <w:numPr>
          <w:ilvl w:val="1"/>
          <w:numId w:val="0"/>
        </w:numPr>
        <w:spacing w:line="240" w:lineRule="atLeast"/>
        <w:jc w:val="left"/>
        <w:rPr>
          <w:rFonts w:ascii="仿宋" w:hAnsi="仿宋" w:eastAsia="仿宋" w:cs="仿宋"/>
          <w:bCs/>
          <w:color w:val="000000" w:themeColor="text1"/>
          <w:sz w:val="24"/>
          <w:lang w:eastAsia="zh-CN"/>
        </w:rPr>
      </w:pPr>
      <w:r>
        <w:rPr>
          <w:rFonts w:hint="eastAsia" w:ascii="仿宋" w:hAnsi="仿宋" w:eastAsia="仿宋" w:cs="仿宋"/>
          <w:color w:val="000000" w:themeColor="text1"/>
          <w:sz w:val="24"/>
          <w:lang w:eastAsia="zh-CN"/>
        </w:rPr>
        <w:t xml:space="preserve">    </w:t>
      </w:r>
    </w:p>
    <w:p>
      <w:pPr>
        <w:pStyle w:val="4"/>
        <w:numPr>
          <w:ilvl w:val="1"/>
          <w:numId w:val="0"/>
        </w:numPr>
        <w:spacing w:line="240" w:lineRule="atLeast"/>
        <w:jc w:val="left"/>
        <w:rPr>
          <w:rFonts w:ascii="仿宋" w:hAnsi="仿宋" w:eastAsia="仿宋" w:cs="仿宋"/>
          <w:bCs/>
          <w:color w:val="000000" w:themeColor="text1"/>
          <w:sz w:val="24"/>
          <w:lang w:eastAsia="zh-CN"/>
        </w:rPr>
      </w:pPr>
    </w:p>
    <w:p>
      <w:pPr>
        <w:pStyle w:val="4"/>
        <w:numPr>
          <w:ilvl w:val="1"/>
          <w:numId w:val="0"/>
        </w:numPr>
        <w:spacing w:line="240" w:lineRule="atLeast"/>
        <w:jc w:val="left"/>
        <w:rPr>
          <w:rFonts w:ascii="仿宋" w:hAnsi="仿宋" w:eastAsia="仿宋" w:cs="仿宋"/>
          <w:bCs/>
          <w:color w:val="000000" w:themeColor="text1"/>
          <w:sz w:val="24"/>
          <w:lang w:eastAsia="zh-CN"/>
        </w:rPr>
      </w:pPr>
    </w:p>
    <w:p>
      <w:pPr>
        <w:rPr>
          <w:rFonts w:ascii="仿宋" w:hAnsi="仿宋" w:eastAsia="仿宋" w:cs="仿宋"/>
          <w:color w:val="000000" w:themeColor="text1"/>
          <w:lang w:eastAsia="zh-CN"/>
        </w:rPr>
      </w:pPr>
    </w:p>
    <w:p>
      <w:pPr>
        <w:tabs>
          <w:tab w:val="left" w:pos="3600"/>
        </w:tabs>
        <w:adjustRightInd w:val="0"/>
        <w:snapToGrid w:val="0"/>
        <w:spacing w:line="440" w:lineRule="exact"/>
        <w:jc w:val="both"/>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ascii="仿宋" w:hAnsi="仿宋" w:eastAsia="仿宋" w:cs="仿宋"/>
          <w:b/>
          <w:bCs/>
          <w:color w:val="000000" w:themeColor="text1"/>
          <w:w w:val="90"/>
          <w:sz w:val="36"/>
          <w:szCs w:val="36"/>
          <w:lang w:eastAsia="zh-CN"/>
        </w:rPr>
      </w:pPr>
      <w:r>
        <w:rPr>
          <w:rFonts w:hint="eastAsia" w:ascii="仿宋" w:hAnsi="仿宋" w:eastAsia="仿宋" w:cs="仿宋"/>
          <w:b/>
          <w:bCs/>
          <w:color w:val="000000" w:themeColor="text1"/>
          <w:sz w:val="36"/>
          <w:szCs w:val="36"/>
          <w:lang w:val="en-US" w:eastAsia="zh-CN"/>
        </w:rPr>
        <w:t>13</w:t>
      </w:r>
      <w:r>
        <w:rPr>
          <w:rFonts w:hint="eastAsia" w:ascii="仿宋" w:hAnsi="仿宋" w:eastAsia="仿宋" w:cs="仿宋"/>
          <w:b/>
          <w:bCs/>
          <w:color w:val="000000" w:themeColor="text1"/>
          <w:sz w:val="36"/>
          <w:szCs w:val="36"/>
          <w:lang w:eastAsia="zh-CN"/>
        </w:rPr>
        <w:t>、</w:t>
      </w:r>
      <w:r>
        <w:rPr>
          <w:rFonts w:hint="eastAsia" w:ascii="仿宋" w:hAnsi="仿宋" w:eastAsia="仿宋" w:cs="仿宋"/>
          <w:b/>
          <w:bCs/>
          <w:color w:val="000000" w:themeColor="text1"/>
          <w:w w:val="90"/>
          <w:sz w:val="36"/>
          <w:szCs w:val="36"/>
          <w:lang w:eastAsia="zh-CN"/>
        </w:rPr>
        <w:t>供应商认为有必要提供的其他证明材料（格式自拟）</w:t>
      </w:r>
    </w:p>
    <w:p>
      <w:pPr>
        <w:pStyle w:val="12"/>
        <w:tabs>
          <w:tab w:val="left" w:pos="5580"/>
        </w:tabs>
        <w:spacing w:line="240" w:lineRule="atLeast"/>
        <w:ind w:firstLine="480" w:firstLineChars="200"/>
        <w:rPr>
          <w:rFonts w:ascii="仿宋" w:hAnsi="仿宋" w:eastAsia="仿宋" w:cs="仿宋"/>
          <w:color w:val="000000" w:themeColor="text1"/>
          <w:lang w:eastAsia="zh-CN"/>
        </w:rPr>
      </w:pPr>
    </w:p>
    <w:p>
      <w:pPr>
        <w:pStyle w:val="12"/>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说明：复印件上应加盖本单位章（自然人投标的无需盖章，需要签字）。</w:t>
      </w:r>
    </w:p>
    <w:p>
      <w:pPr>
        <w:pStyle w:val="13"/>
        <w:ind w:left="2880"/>
        <w:rPr>
          <w:rFonts w:ascii="仿宋" w:hAnsi="仿宋" w:eastAsia="仿宋" w:cs="仿宋"/>
          <w:color w:val="000000" w:themeColor="text1"/>
          <w:lang w:eastAsia="zh-CN"/>
        </w:rPr>
      </w:pP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_x000B__x000C_">
    <w:altName w:val="Courier New"/>
    <w:panose1 w:val="00000000000000000000"/>
    <w:charset w:val="00"/>
    <w:family w:val="decorative"/>
    <w:pitch w:val="default"/>
    <w:sig w:usb0="00000000" w:usb1="00000000" w:usb2="00000000" w:usb3="00000000" w:csb0="00040001" w:csb1="00000000"/>
  </w:font>
  <w:font w:name="Arial Unicode MS">
    <w:altName w:val="Arial"/>
    <w:panose1 w:val="020B0604020202020204"/>
    <w:charset w:val="00"/>
    <w:family w:val="decorative"/>
    <w:pitch w:val="default"/>
    <w:sig w:usb0="00000000" w:usb1="00000000" w:usb2="00000000" w:usb3="00000000" w:csb0="00000001" w:csb1="00000000"/>
  </w:font>
  <w:font w:name="MingLiU">
    <w:altName w:val="PMingLiU-ExtB"/>
    <w:panose1 w:val="02020509000000000000"/>
    <w:charset w:val="88"/>
    <w:family w:val="roman"/>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5175"/>
        <w:tab w:val="clear" w:pos="4153"/>
      </w:tabs>
      <w:ind w:right="360"/>
      <w:jc w:val="both"/>
    </w:pPr>
    <w:r>
      <w:rPr>
        <w:sz w:val="16"/>
      </w:rPr>
      <w:pict>
        <v:shape id="_x0000_s2220" o:spid="_x0000_s2220"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r>
      <w:rPr>
        <w:sz w:val="16"/>
        <w:lang w:eastAsia="zh-CN" w:bidi="ar-SA"/>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w:txbxContent>
              <w:p>
                <w:pPr>
                  <w:rPr>
                    <w:rFonts w:hint="eastAsia" w:eastAsia="宋体"/>
                    <w:lang w:val="en-US"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434"/>
        <w:tab w:val="clear" w:pos="4153"/>
      </w:tabs>
      <w:ind w:right="0"/>
      <w:jc w:val="both"/>
    </w:pPr>
    <w:r>
      <w:rPr>
        <w:sz w:val="16"/>
      </w:rPr>
      <w:pict>
        <v:shape id="_x0000_s2221" o:spid="_x0000_s2221"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r>
      <w:rPr>
        <w:sz w:val="16"/>
      </w:rPr>
      <w:pict>
        <v:shape id="_x0000_s2157" o:spid="_x0000_s2157" o:spt="202" type="#_x0000_t202" style="position:absolute;left:0pt;margin-top:0pt;height:144pt;width:144pt;mso-position-horizontal:center;mso-position-horizontal-relative:margin;mso-wrap-style:none;z-index:251665408;mso-width-relative:page;mso-height-relative:page;" filled="f" stroked="f" coordsize="21600,21600" o:allowoverlap="f">
          <v:path/>
          <v:fill on="f" focussize="0,0"/>
          <v:stroke on="f"/>
          <v:imagedata o:title=""/>
          <o:lock v:ext="edit" aspectratio="f"/>
          <v:textbox inset="0mm,0mm,0mm,0mm">
            <w:txbxContent>
              <w:p/>
            </w:txbxContent>
          </v:textbox>
        </v:shape>
      </w:pict>
    </w:r>
    <w:r>
      <w:rPr>
        <w:sz w:val="16"/>
        <w:lang w:eastAsia="zh-CN" w:bidi="ar-SA"/>
      </w:rPr>
      <w:pict>
        <v:shape id="_x0000_s2121" o:spid="_x0000_s212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w:txbxContent>
              <w:p>
                <w:pPr>
                  <w:pStyle w:val="10"/>
                  <w:numPr>
                    <w:ilvl w:val="0"/>
                    <w:numId w:val="0"/>
                  </w:numPr>
                  <w:ind w:leftChars="0"/>
                  <w:rPr>
                    <w:rFonts w:hint="default"/>
                    <w:lang w:val="en-US"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16"/>
      </w:rPr>
      <w:pict>
        <v:shape id="_x0000_s2216" o:spid="_x0000_s221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r>
      <w:rPr>
        <w:sz w:val="16"/>
        <w:lang w:eastAsia="zh-CN" w:bidi="ar-SA"/>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path/>
          <v:fill on="f" focussize="0,0"/>
          <v:stroke on="f" joinstyle="miter"/>
          <v:imagedata o:title=""/>
          <o:lock v:ext="edit"/>
          <v:textbox inset="0mm,0mm,0mm,0mm" style="mso-fit-shape-to-text:t;">
            <w:txbxContent>
              <w:p>
                <w:pPr>
                  <w:pStyle w:val="16"/>
                </w:pPr>
              </w:p>
            </w:txbxContent>
          </v:textbox>
        </v:shape>
      </w:pict>
    </w:r>
    <w:r>
      <w:rPr>
        <w:rFonts w:hint="eastAsia"/>
        <w:sz w:val="16"/>
        <w:szCs w:val="16"/>
      </w:rPr>
      <w:t xml:space="preserve"> </w:t>
    </w:r>
    <w:r>
      <w:rPr>
        <w:rFonts w:hint="eastAsia"/>
        <w:color w:val="800000"/>
        <w:sz w:val="16"/>
        <w:szCs w:val="20"/>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5266"/>
        <w:tab w:val="clear" w:pos="4153"/>
      </w:tabs>
      <w:ind w:right="360"/>
      <w:jc w:val="both"/>
      <w:rPr>
        <w:rFonts w:hint="default"/>
        <w:lang w:val="en-US"/>
      </w:rPr>
    </w:pPr>
    <w:r>
      <w:rPr>
        <w:sz w:val="16"/>
      </w:rPr>
      <w:pict>
        <v:shape id="_x0000_s2217" o:spid="_x0000_s221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r>
      <w:rPr>
        <w:sz w:val="16"/>
      </w:rPr>
      <w:pict>
        <v:shape id="_x0000_s2106" o:spid="_x0000_s210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w:txbxContent>
              <w:p>
                <w:pPr>
                  <w:pStyle w:val="16"/>
                  <w:rPr>
                    <w:rFonts w:hint="default" w:eastAsia="宋体"/>
                    <w:lang w:val="en-US" w:eastAsia="zh-CN"/>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5266"/>
        <w:tab w:val="clear" w:pos="4153"/>
      </w:tabs>
      <w:ind w:right="360"/>
      <w:jc w:val="both"/>
      <w:rPr>
        <w:rFonts w:hint="default"/>
        <w:lang w:val="en-US"/>
      </w:rPr>
    </w:pPr>
    <w:r>
      <w:rPr>
        <w:sz w:val="16"/>
      </w:rPr>
      <w:pict>
        <v:shape id="_x0000_s2218" o:spid="_x0000_s221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w:r>
    <w:r>
      <w:rPr>
        <w:sz w:val="16"/>
      </w:rPr>
      <w:pict>
        <v:shape id="_x0000_s2165" o:spid="_x0000_s2165"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w:txbxContent>
              <w:p>
                <w:pPr>
                  <w:pStyle w:val="16"/>
                  <w:rPr>
                    <w:rFonts w:hint="default" w:eastAsia="宋体"/>
                    <w:lang w:val="en-US" w:eastAsia="zh-CN"/>
                  </w:rPr>
                </w:pPr>
              </w:p>
            </w:txbxContent>
          </v:textbox>
        </v:shape>
      </w:pict>
    </w:r>
    <w:r>
      <w:rPr>
        <w:rFonts w:hint="eastAsia" w:eastAsia="宋体"/>
        <w:lang w:val="en-US"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5266"/>
        <w:tab w:val="clear" w:pos="4153"/>
      </w:tabs>
      <w:ind w:right="360"/>
      <w:jc w:val="both"/>
      <w:rPr>
        <w:rFonts w:hint="default"/>
        <w:lang w:val="en-US"/>
      </w:rPr>
    </w:pPr>
    <w:r>
      <w:rPr>
        <w:sz w:val="16"/>
      </w:rPr>
      <w:pict>
        <v:shape id="_x0000_s2219" o:spid="_x0000_s2219"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w:t>
                </w:r>
                <w:r>
                  <w:fldChar w:fldCharType="end"/>
                </w:r>
              </w:p>
            </w:txbxContent>
          </v:textbox>
        </v:shape>
      </w:pict>
    </w:r>
    <w:r>
      <w:rPr>
        <w:sz w:val="16"/>
      </w:rPr>
      <w:pict>
        <v:shape id="_x0000_s2167" o:spid="_x0000_s216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w:txbxContent>
              <w:p>
                <w:pPr>
                  <w:pStyle w:val="16"/>
                  <w:rPr>
                    <w:rFonts w:hint="default" w:eastAsia="宋体"/>
                    <w:lang w:val="en-US" w:eastAsia="zh-CN"/>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73"/>
        <w:tab w:val="clear" w:pos="4153"/>
      </w:tabs>
      <w:ind w:right="101" w:rightChars="0"/>
      <w:jc w:val="both"/>
      <w:rPr>
        <w:rFonts w:hint="default"/>
        <w:lang w:val="en-US"/>
      </w:rPr>
    </w:pPr>
    <w:r>
      <w:rPr>
        <w:sz w:val="16"/>
      </w:rPr>
      <w:pict>
        <v:shape id="_x0000_s2222" o:spid="_x0000_s2222"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36</w:t>
                </w:r>
                <w:r>
                  <w:fldChar w:fldCharType="end"/>
                </w:r>
              </w:p>
            </w:txbxContent>
          </v:textbox>
        </v:shape>
      </w:pict>
    </w:r>
    <w:r>
      <w:rPr>
        <w:sz w:val="16"/>
      </w:rPr>
      <w:pict>
        <v:shape id="_x0000_s2140" o:spid="_x0000_s2140" o:spt="202" type="#_x0000_t202" style="position:absolute;left:0pt;margin-top:0pt;height:144pt;width:6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w:txbxContent>
              <w:p>
                <w:pPr>
                  <w:pStyle w:val="16"/>
                  <w:rPr>
                    <w:rFonts w:hint="eastAsia" w:eastAsia="宋体"/>
                    <w:lang w:val="en-US" w:eastAsia="zh-CN"/>
                  </w:rPr>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sz w:val="24"/>
      </w:rPr>
      <w:pict>
        <v:shape id="_x0000_s2223" o:spid="_x0000_s2223"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42</w:t>
                </w:r>
                <w:r>
                  <w:fldChar w:fldCharType="end"/>
                </w:r>
              </w:p>
            </w:txbxContent>
          </v:textbox>
        </v:shape>
      </w:pic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6"/>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6"/>
      <w:ind w:right="360"/>
      <w:jc w:val="right"/>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pict>
        <v:shape id="_x0000_s2224" o:spid="_x0000_s2224"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89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lear" w:pos="4153"/>
        <w:tab w:val="clear" w:pos="8306"/>
      </w:tabs>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CF0DAD01"/>
    <w:multiLevelType w:val="singleLevel"/>
    <w:tmpl w:val="CF0DAD01"/>
    <w:lvl w:ilvl="0" w:tentative="0">
      <w:start w:val="1"/>
      <w:numFmt w:val="decimal"/>
      <w:suff w:val="space"/>
      <w:lvlText w:val="%1."/>
      <w:lvlJc w:val="left"/>
    </w:lvl>
  </w:abstractNum>
  <w:abstractNum w:abstractNumId="2">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D"/>
    <w:multiLevelType w:val="multilevel"/>
    <w:tmpl w:val="0000000D"/>
    <w:lvl w:ilvl="0" w:tentative="0">
      <w:start w:val="1"/>
      <w:numFmt w:val="decimal"/>
      <w:pStyle w:val="10"/>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90BF51A"/>
    <w:multiLevelType w:val="singleLevel"/>
    <w:tmpl w:val="190BF51A"/>
    <w:lvl w:ilvl="0" w:tentative="0">
      <w:start w:val="6"/>
      <w:numFmt w:val="chineseCounting"/>
      <w:suff w:val="nothing"/>
      <w:lvlText w:val="%1、"/>
      <w:lvlJc w:val="left"/>
      <w:rPr>
        <w:rFonts w:hint="eastAsia"/>
      </w:rPr>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5"/>
  </w:num>
  <w:num w:numId="3">
    <w:abstractNumId w:val="6"/>
  </w:num>
  <w:num w:numId="4">
    <w:abstractNumId w:val="4"/>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Q3ZjY2OTczOWM5YTk0Mzk0ZTMxZGMxOWNkODA4MmYifQ=="/>
  </w:docVars>
  <w:rsids>
    <w:rsidRoot w:val="430832B2"/>
    <w:rsid w:val="00036274"/>
    <w:rsid w:val="00065F1A"/>
    <w:rsid w:val="000E4DA7"/>
    <w:rsid w:val="000E7277"/>
    <w:rsid w:val="00153D08"/>
    <w:rsid w:val="001909B2"/>
    <w:rsid w:val="001E67F0"/>
    <w:rsid w:val="00232484"/>
    <w:rsid w:val="00366967"/>
    <w:rsid w:val="00370057"/>
    <w:rsid w:val="003B3386"/>
    <w:rsid w:val="004259D8"/>
    <w:rsid w:val="00432DFD"/>
    <w:rsid w:val="00450906"/>
    <w:rsid w:val="00461E17"/>
    <w:rsid w:val="00471CA4"/>
    <w:rsid w:val="005364B9"/>
    <w:rsid w:val="00562077"/>
    <w:rsid w:val="00597163"/>
    <w:rsid w:val="005D4E0B"/>
    <w:rsid w:val="00643BE3"/>
    <w:rsid w:val="006761BB"/>
    <w:rsid w:val="00697881"/>
    <w:rsid w:val="006D00E3"/>
    <w:rsid w:val="0076445C"/>
    <w:rsid w:val="00783ABB"/>
    <w:rsid w:val="007A3406"/>
    <w:rsid w:val="007E068D"/>
    <w:rsid w:val="007F0E39"/>
    <w:rsid w:val="008276FA"/>
    <w:rsid w:val="008422C4"/>
    <w:rsid w:val="00876956"/>
    <w:rsid w:val="008849F7"/>
    <w:rsid w:val="008D1783"/>
    <w:rsid w:val="008D66BB"/>
    <w:rsid w:val="009143D6"/>
    <w:rsid w:val="009E0D3F"/>
    <w:rsid w:val="00A329DF"/>
    <w:rsid w:val="00A703E4"/>
    <w:rsid w:val="00A75CA8"/>
    <w:rsid w:val="00AA277B"/>
    <w:rsid w:val="00AB0B74"/>
    <w:rsid w:val="00AF420A"/>
    <w:rsid w:val="00B6614A"/>
    <w:rsid w:val="00B8657E"/>
    <w:rsid w:val="00BA4013"/>
    <w:rsid w:val="00C26A7F"/>
    <w:rsid w:val="00C377E4"/>
    <w:rsid w:val="00C57AF5"/>
    <w:rsid w:val="00C74FD6"/>
    <w:rsid w:val="00D00791"/>
    <w:rsid w:val="00D00D67"/>
    <w:rsid w:val="00D03DFD"/>
    <w:rsid w:val="00D127F2"/>
    <w:rsid w:val="00D42D81"/>
    <w:rsid w:val="00D84377"/>
    <w:rsid w:val="00DB7FE1"/>
    <w:rsid w:val="00DE0124"/>
    <w:rsid w:val="00E56748"/>
    <w:rsid w:val="00E63692"/>
    <w:rsid w:val="00EB29FB"/>
    <w:rsid w:val="00ED05CA"/>
    <w:rsid w:val="00F050C2"/>
    <w:rsid w:val="00F70359"/>
    <w:rsid w:val="00FB6C7A"/>
    <w:rsid w:val="00FE2AAE"/>
    <w:rsid w:val="0123584C"/>
    <w:rsid w:val="0144795E"/>
    <w:rsid w:val="014631E4"/>
    <w:rsid w:val="014F6266"/>
    <w:rsid w:val="01E44B68"/>
    <w:rsid w:val="02376DA4"/>
    <w:rsid w:val="02614ACA"/>
    <w:rsid w:val="02E7054D"/>
    <w:rsid w:val="03120DC1"/>
    <w:rsid w:val="03152839"/>
    <w:rsid w:val="03531E23"/>
    <w:rsid w:val="035508BA"/>
    <w:rsid w:val="03735124"/>
    <w:rsid w:val="039D2197"/>
    <w:rsid w:val="042A106A"/>
    <w:rsid w:val="043C12C1"/>
    <w:rsid w:val="04471D7D"/>
    <w:rsid w:val="04B46F75"/>
    <w:rsid w:val="05083E45"/>
    <w:rsid w:val="050F221F"/>
    <w:rsid w:val="051E7B81"/>
    <w:rsid w:val="05284124"/>
    <w:rsid w:val="0591547A"/>
    <w:rsid w:val="05CE725F"/>
    <w:rsid w:val="05D26519"/>
    <w:rsid w:val="05E43238"/>
    <w:rsid w:val="06091D63"/>
    <w:rsid w:val="06141E47"/>
    <w:rsid w:val="062E44A1"/>
    <w:rsid w:val="06385AA9"/>
    <w:rsid w:val="063B7194"/>
    <w:rsid w:val="068D7DAD"/>
    <w:rsid w:val="068F23C3"/>
    <w:rsid w:val="06A20D46"/>
    <w:rsid w:val="070B6F74"/>
    <w:rsid w:val="071811DB"/>
    <w:rsid w:val="072C60C0"/>
    <w:rsid w:val="073826E5"/>
    <w:rsid w:val="074F6B51"/>
    <w:rsid w:val="07581523"/>
    <w:rsid w:val="07D75CBB"/>
    <w:rsid w:val="0804766D"/>
    <w:rsid w:val="08253C96"/>
    <w:rsid w:val="08323FEC"/>
    <w:rsid w:val="0845254C"/>
    <w:rsid w:val="085D5AE7"/>
    <w:rsid w:val="086504F8"/>
    <w:rsid w:val="08986B20"/>
    <w:rsid w:val="08A37CA5"/>
    <w:rsid w:val="08C2594B"/>
    <w:rsid w:val="091D420B"/>
    <w:rsid w:val="09231976"/>
    <w:rsid w:val="093F2ABC"/>
    <w:rsid w:val="09406633"/>
    <w:rsid w:val="094D1093"/>
    <w:rsid w:val="095073FA"/>
    <w:rsid w:val="0958005D"/>
    <w:rsid w:val="09B17236"/>
    <w:rsid w:val="09E92566"/>
    <w:rsid w:val="0A007485"/>
    <w:rsid w:val="0A226110"/>
    <w:rsid w:val="0A271261"/>
    <w:rsid w:val="0A622E54"/>
    <w:rsid w:val="0A982D0F"/>
    <w:rsid w:val="0AEC1713"/>
    <w:rsid w:val="0AFE7394"/>
    <w:rsid w:val="0B213EE8"/>
    <w:rsid w:val="0B2F3756"/>
    <w:rsid w:val="0B472137"/>
    <w:rsid w:val="0B641CFB"/>
    <w:rsid w:val="0B70168E"/>
    <w:rsid w:val="0B941400"/>
    <w:rsid w:val="0B9E39F1"/>
    <w:rsid w:val="0BB54396"/>
    <w:rsid w:val="0BF26C44"/>
    <w:rsid w:val="0C1429D4"/>
    <w:rsid w:val="0C6732CD"/>
    <w:rsid w:val="0C924C7F"/>
    <w:rsid w:val="0CAC15BE"/>
    <w:rsid w:val="0CC872A8"/>
    <w:rsid w:val="0D533015"/>
    <w:rsid w:val="0D9030DE"/>
    <w:rsid w:val="0D9378B6"/>
    <w:rsid w:val="0DE35329"/>
    <w:rsid w:val="0E3E1813"/>
    <w:rsid w:val="0E5B66D1"/>
    <w:rsid w:val="0F1C4CB4"/>
    <w:rsid w:val="0F2405B3"/>
    <w:rsid w:val="0F42217E"/>
    <w:rsid w:val="0F4F5A5E"/>
    <w:rsid w:val="0F9A54F8"/>
    <w:rsid w:val="0FA22205"/>
    <w:rsid w:val="0FCE58B0"/>
    <w:rsid w:val="10015291"/>
    <w:rsid w:val="10685029"/>
    <w:rsid w:val="11074842"/>
    <w:rsid w:val="112C2E1C"/>
    <w:rsid w:val="114227C7"/>
    <w:rsid w:val="116457F1"/>
    <w:rsid w:val="12143671"/>
    <w:rsid w:val="12326DC2"/>
    <w:rsid w:val="12891287"/>
    <w:rsid w:val="128E72ED"/>
    <w:rsid w:val="12FF5684"/>
    <w:rsid w:val="130308CA"/>
    <w:rsid w:val="1312560D"/>
    <w:rsid w:val="132C218A"/>
    <w:rsid w:val="13337B71"/>
    <w:rsid w:val="13B81ECA"/>
    <w:rsid w:val="13BE19A7"/>
    <w:rsid w:val="13CD729B"/>
    <w:rsid w:val="13D55805"/>
    <w:rsid w:val="13F84D28"/>
    <w:rsid w:val="142B46CE"/>
    <w:rsid w:val="144C729A"/>
    <w:rsid w:val="14602089"/>
    <w:rsid w:val="14841E5F"/>
    <w:rsid w:val="14953EB8"/>
    <w:rsid w:val="14964A58"/>
    <w:rsid w:val="14CD6092"/>
    <w:rsid w:val="14D970D8"/>
    <w:rsid w:val="1525173B"/>
    <w:rsid w:val="153C6A85"/>
    <w:rsid w:val="156D1711"/>
    <w:rsid w:val="157F0D4F"/>
    <w:rsid w:val="159F732A"/>
    <w:rsid w:val="15C31338"/>
    <w:rsid w:val="15E839EB"/>
    <w:rsid w:val="16010E59"/>
    <w:rsid w:val="161727D5"/>
    <w:rsid w:val="167B61DA"/>
    <w:rsid w:val="16A31AA6"/>
    <w:rsid w:val="16D231F0"/>
    <w:rsid w:val="16D6182B"/>
    <w:rsid w:val="171F0B4E"/>
    <w:rsid w:val="172577D0"/>
    <w:rsid w:val="178644DD"/>
    <w:rsid w:val="17881C02"/>
    <w:rsid w:val="17A51045"/>
    <w:rsid w:val="17EB3771"/>
    <w:rsid w:val="18002259"/>
    <w:rsid w:val="189F02F4"/>
    <w:rsid w:val="18AD2644"/>
    <w:rsid w:val="18F8040C"/>
    <w:rsid w:val="18FE29CF"/>
    <w:rsid w:val="19047F61"/>
    <w:rsid w:val="1910625E"/>
    <w:rsid w:val="19445F08"/>
    <w:rsid w:val="19624046"/>
    <w:rsid w:val="19791440"/>
    <w:rsid w:val="198D3D53"/>
    <w:rsid w:val="19D24BCD"/>
    <w:rsid w:val="19F35DD2"/>
    <w:rsid w:val="1A5E3F75"/>
    <w:rsid w:val="1A6A7BF0"/>
    <w:rsid w:val="1A6C043C"/>
    <w:rsid w:val="1A991A95"/>
    <w:rsid w:val="1AA14F3E"/>
    <w:rsid w:val="1ACD57BB"/>
    <w:rsid w:val="1AFE16C7"/>
    <w:rsid w:val="1B132A5A"/>
    <w:rsid w:val="1B2772DC"/>
    <w:rsid w:val="1B2938B4"/>
    <w:rsid w:val="1B3867B7"/>
    <w:rsid w:val="1B526E30"/>
    <w:rsid w:val="1B5A42F2"/>
    <w:rsid w:val="1BA46EB4"/>
    <w:rsid w:val="1BE65325"/>
    <w:rsid w:val="1BF54431"/>
    <w:rsid w:val="1C03767B"/>
    <w:rsid w:val="1C641A5B"/>
    <w:rsid w:val="1C65230B"/>
    <w:rsid w:val="1C770BAC"/>
    <w:rsid w:val="1C8812E8"/>
    <w:rsid w:val="1CBF4223"/>
    <w:rsid w:val="1CC048D1"/>
    <w:rsid w:val="1CFF3DC8"/>
    <w:rsid w:val="1D28001A"/>
    <w:rsid w:val="1D6F5759"/>
    <w:rsid w:val="1DDE4B7D"/>
    <w:rsid w:val="1E435DE1"/>
    <w:rsid w:val="1E6813A9"/>
    <w:rsid w:val="1E6D1634"/>
    <w:rsid w:val="1EC96796"/>
    <w:rsid w:val="1ECE4F82"/>
    <w:rsid w:val="1EE5064C"/>
    <w:rsid w:val="1F262D19"/>
    <w:rsid w:val="1F5B26D6"/>
    <w:rsid w:val="1F6007D8"/>
    <w:rsid w:val="1FB748C5"/>
    <w:rsid w:val="203828DD"/>
    <w:rsid w:val="20746CEC"/>
    <w:rsid w:val="209D4381"/>
    <w:rsid w:val="20C57552"/>
    <w:rsid w:val="213649FD"/>
    <w:rsid w:val="218454A5"/>
    <w:rsid w:val="21F7470F"/>
    <w:rsid w:val="220E65E1"/>
    <w:rsid w:val="22561186"/>
    <w:rsid w:val="22965E6B"/>
    <w:rsid w:val="22AE28BF"/>
    <w:rsid w:val="22D700DE"/>
    <w:rsid w:val="22F917C9"/>
    <w:rsid w:val="23226B91"/>
    <w:rsid w:val="23287712"/>
    <w:rsid w:val="23463622"/>
    <w:rsid w:val="235B1AD6"/>
    <w:rsid w:val="23874BA3"/>
    <w:rsid w:val="242923FE"/>
    <w:rsid w:val="245B2E54"/>
    <w:rsid w:val="247B3126"/>
    <w:rsid w:val="24BD1F5B"/>
    <w:rsid w:val="24D053AA"/>
    <w:rsid w:val="24D9339D"/>
    <w:rsid w:val="24EC7364"/>
    <w:rsid w:val="25002F8D"/>
    <w:rsid w:val="25546BA5"/>
    <w:rsid w:val="25550156"/>
    <w:rsid w:val="256D43FD"/>
    <w:rsid w:val="25C1100C"/>
    <w:rsid w:val="25FB512C"/>
    <w:rsid w:val="262B2929"/>
    <w:rsid w:val="265C0D35"/>
    <w:rsid w:val="267D2FA7"/>
    <w:rsid w:val="26A077E1"/>
    <w:rsid w:val="26C508E6"/>
    <w:rsid w:val="26D37563"/>
    <w:rsid w:val="26FD55E8"/>
    <w:rsid w:val="27013906"/>
    <w:rsid w:val="27147AA3"/>
    <w:rsid w:val="274B4345"/>
    <w:rsid w:val="2759752E"/>
    <w:rsid w:val="27641FEC"/>
    <w:rsid w:val="27F201DE"/>
    <w:rsid w:val="283D072F"/>
    <w:rsid w:val="286B44D3"/>
    <w:rsid w:val="28894FF8"/>
    <w:rsid w:val="290F6532"/>
    <w:rsid w:val="291C049E"/>
    <w:rsid w:val="291F0973"/>
    <w:rsid w:val="293710DF"/>
    <w:rsid w:val="29384AB9"/>
    <w:rsid w:val="29390EB5"/>
    <w:rsid w:val="29477A7A"/>
    <w:rsid w:val="294E1863"/>
    <w:rsid w:val="29B10DBC"/>
    <w:rsid w:val="29EC3DAC"/>
    <w:rsid w:val="29F20F87"/>
    <w:rsid w:val="2A015314"/>
    <w:rsid w:val="2A2953D2"/>
    <w:rsid w:val="2A6F2C28"/>
    <w:rsid w:val="2AA9424E"/>
    <w:rsid w:val="2AB303AA"/>
    <w:rsid w:val="2ADC5AFD"/>
    <w:rsid w:val="2AE56C24"/>
    <w:rsid w:val="2AF23A16"/>
    <w:rsid w:val="2AF552B4"/>
    <w:rsid w:val="2AF9470D"/>
    <w:rsid w:val="2B2A724C"/>
    <w:rsid w:val="2B762634"/>
    <w:rsid w:val="2B97636B"/>
    <w:rsid w:val="2C154A52"/>
    <w:rsid w:val="2C302A48"/>
    <w:rsid w:val="2C5031C9"/>
    <w:rsid w:val="2CBE5289"/>
    <w:rsid w:val="2D107FD9"/>
    <w:rsid w:val="2D1B0C53"/>
    <w:rsid w:val="2D1F486A"/>
    <w:rsid w:val="2D261D28"/>
    <w:rsid w:val="2D380A40"/>
    <w:rsid w:val="2D7E66F1"/>
    <w:rsid w:val="2D92668D"/>
    <w:rsid w:val="2D95546D"/>
    <w:rsid w:val="2DB43A1E"/>
    <w:rsid w:val="2DF1140A"/>
    <w:rsid w:val="2E1B0C2F"/>
    <w:rsid w:val="2E2D19AE"/>
    <w:rsid w:val="2E3662A3"/>
    <w:rsid w:val="2E764B34"/>
    <w:rsid w:val="2F265E4E"/>
    <w:rsid w:val="2F5A7DDB"/>
    <w:rsid w:val="2F664B0F"/>
    <w:rsid w:val="2FA50B1C"/>
    <w:rsid w:val="2FAD33C2"/>
    <w:rsid w:val="303A25D0"/>
    <w:rsid w:val="3088418B"/>
    <w:rsid w:val="30C751A3"/>
    <w:rsid w:val="30D57C5D"/>
    <w:rsid w:val="30DA154E"/>
    <w:rsid w:val="312352B9"/>
    <w:rsid w:val="31C54436"/>
    <w:rsid w:val="31DE4CF4"/>
    <w:rsid w:val="3221486C"/>
    <w:rsid w:val="32387E25"/>
    <w:rsid w:val="331A1D5C"/>
    <w:rsid w:val="333A4AD5"/>
    <w:rsid w:val="335B1D88"/>
    <w:rsid w:val="335C76C1"/>
    <w:rsid w:val="33815A7E"/>
    <w:rsid w:val="33C022CF"/>
    <w:rsid w:val="34041D40"/>
    <w:rsid w:val="34085961"/>
    <w:rsid w:val="34163F53"/>
    <w:rsid w:val="3464452F"/>
    <w:rsid w:val="34851143"/>
    <w:rsid w:val="34AC63E7"/>
    <w:rsid w:val="34F903B8"/>
    <w:rsid w:val="351A6043"/>
    <w:rsid w:val="35427B0F"/>
    <w:rsid w:val="35447AEC"/>
    <w:rsid w:val="356B5D1D"/>
    <w:rsid w:val="357F49FA"/>
    <w:rsid w:val="358B081F"/>
    <w:rsid w:val="35C04C25"/>
    <w:rsid w:val="35FC548C"/>
    <w:rsid w:val="360B129A"/>
    <w:rsid w:val="36A4475E"/>
    <w:rsid w:val="36AA5E0A"/>
    <w:rsid w:val="36CA0C5E"/>
    <w:rsid w:val="36E032BC"/>
    <w:rsid w:val="36E9620D"/>
    <w:rsid w:val="36F6488E"/>
    <w:rsid w:val="371C74DF"/>
    <w:rsid w:val="372E04CB"/>
    <w:rsid w:val="374E6478"/>
    <w:rsid w:val="37520F41"/>
    <w:rsid w:val="3762161D"/>
    <w:rsid w:val="377060FE"/>
    <w:rsid w:val="378679C0"/>
    <w:rsid w:val="378F65A8"/>
    <w:rsid w:val="37A12630"/>
    <w:rsid w:val="37AC319E"/>
    <w:rsid w:val="37D00869"/>
    <w:rsid w:val="37D44BCF"/>
    <w:rsid w:val="37DA7D0B"/>
    <w:rsid w:val="37EE3E36"/>
    <w:rsid w:val="38083993"/>
    <w:rsid w:val="384F1883"/>
    <w:rsid w:val="385E5C62"/>
    <w:rsid w:val="387448E3"/>
    <w:rsid w:val="38895400"/>
    <w:rsid w:val="38B062BB"/>
    <w:rsid w:val="38B3500B"/>
    <w:rsid w:val="38BD4DB8"/>
    <w:rsid w:val="38C56C0D"/>
    <w:rsid w:val="38D46E50"/>
    <w:rsid w:val="38DE52AC"/>
    <w:rsid w:val="38E946D1"/>
    <w:rsid w:val="391A096E"/>
    <w:rsid w:val="39251006"/>
    <w:rsid w:val="39A77BA6"/>
    <w:rsid w:val="39C07B4A"/>
    <w:rsid w:val="39E45DE4"/>
    <w:rsid w:val="3A1273C6"/>
    <w:rsid w:val="3A451F82"/>
    <w:rsid w:val="3A493A3A"/>
    <w:rsid w:val="3A5E2E76"/>
    <w:rsid w:val="3A6D6A80"/>
    <w:rsid w:val="3A76310C"/>
    <w:rsid w:val="3A9C4892"/>
    <w:rsid w:val="3AE06945"/>
    <w:rsid w:val="3B1339F6"/>
    <w:rsid w:val="3B356279"/>
    <w:rsid w:val="3B5C6947"/>
    <w:rsid w:val="3B7F7C46"/>
    <w:rsid w:val="3B88795E"/>
    <w:rsid w:val="3BBA063F"/>
    <w:rsid w:val="3BDE19D1"/>
    <w:rsid w:val="3C6B74E7"/>
    <w:rsid w:val="3C893FAF"/>
    <w:rsid w:val="3CA827C1"/>
    <w:rsid w:val="3CAD59EE"/>
    <w:rsid w:val="3CDA4418"/>
    <w:rsid w:val="3CE753A4"/>
    <w:rsid w:val="3D2D2A65"/>
    <w:rsid w:val="3D38095E"/>
    <w:rsid w:val="3D413E5D"/>
    <w:rsid w:val="3D723DD3"/>
    <w:rsid w:val="3D751F42"/>
    <w:rsid w:val="3DA87F4F"/>
    <w:rsid w:val="3DE21EFD"/>
    <w:rsid w:val="3E0C4997"/>
    <w:rsid w:val="3E1E0BD5"/>
    <w:rsid w:val="3E2919ED"/>
    <w:rsid w:val="3E941710"/>
    <w:rsid w:val="3EF05606"/>
    <w:rsid w:val="3F6A3151"/>
    <w:rsid w:val="3F874C1D"/>
    <w:rsid w:val="400A4EA6"/>
    <w:rsid w:val="40153FD6"/>
    <w:rsid w:val="402757C1"/>
    <w:rsid w:val="403F2E01"/>
    <w:rsid w:val="40814B23"/>
    <w:rsid w:val="4083151E"/>
    <w:rsid w:val="408E72C3"/>
    <w:rsid w:val="408E7BCF"/>
    <w:rsid w:val="40AB15B8"/>
    <w:rsid w:val="40B26236"/>
    <w:rsid w:val="40C14C05"/>
    <w:rsid w:val="40F04347"/>
    <w:rsid w:val="41073554"/>
    <w:rsid w:val="416359C8"/>
    <w:rsid w:val="41681350"/>
    <w:rsid w:val="416F668A"/>
    <w:rsid w:val="41851F76"/>
    <w:rsid w:val="419378A9"/>
    <w:rsid w:val="419F6662"/>
    <w:rsid w:val="41A72D03"/>
    <w:rsid w:val="41BC55E0"/>
    <w:rsid w:val="41BF069E"/>
    <w:rsid w:val="41DD3F9B"/>
    <w:rsid w:val="41EB75CF"/>
    <w:rsid w:val="420B7389"/>
    <w:rsid w:val="42246FB6"/>
    <w:rsid w:val="423563C7"/>
    <w:rsid w:val="427B2293"/>
    <w:rsid w:val="42C57370"/>
    <w:rsid w:val="430832B2"/>
    <w:rsid w:val="43144276"/>
    <w:rsid w:val="43264088"/>
    <w:rsid w:val="432E4A0D"/>
    <w:rsid w:val="43333AFF"/>
    <w:rsid w:val="434966C0"/>
    <w:rsid w:val="434C4B79"/>
    <w:rsid w:val="43603D96"/>
    <w:rsid w:val="437C4518"/>
    <w:rsid w:val="438B5013"/>
    <w:rsid w:val="43900453"/>
    <w:rsid w:val="43BC29BB"/>
    <w:rsid w:val="43CB7C06"/>
    <w:rsid w:val="43CE514A"/>
    <w:rsid w:val="43F26816"/>
    <w:rsid w:val="44024872"/>
    <w:rsid w:val="445769C9"/>
    <w:rsid w:val="44637696"/>
    <w:rsid w:val="44740DA7"/>
    <w:rsid w:val="448E1A8C"/>
    <w:rsid w:val="44C7578F"/>
    <w:rsid w:val="44D134AD"/>
    <w:rsid w:val="44D31AB8"/>
    <w:rsid w:val="44EF728A"/>
    <w:rsid w:val="45111167"/>
    <w:rsid w:val="4517597F"/>
    <w:rsid w:val="453864C5"/>
    <w:rsid w:val="45442C68"/>
    <w:rsid w:val="454815E5"/>
    <w:rsid w:val="457C2033"/>
    <w:rsid w:val="465313B5"/>
    <w:rsid w:val="46625C68"/>
    <w:rsid w:val="466A125B"/>
    <w:rsid w:val="466C2819"/>
    <w:rsid w:val="466D3A64"/>
    <w:rsid w:val="467632F5"/>
    <w:rsid w:val="46994235"/>
    <w:rsid w:val="46A2549B"/>
    <w:rsid w:val="46A95479"/>
    <w:rsid w:val="46B856BC"/>
    <w:rsid w:val="46F77B89"/>
    <w:rsid w:val="46FD7572"/>
    <w:rsid w:val="4743767B"/>
    <w:rsid w:val="4757256C"/>
    <w:rsid w:val="47777325"/>
    <w:rsid w:val="479E023F"/>
    <w:rsid w:val="47F15329"/>
    <w:rsid w:val="47FC6E81"/>
    <w:rsid w:val="487B3318"/>
    <w:rsid w:val="48AD5394"/>
    <w:rsid w:val="48B43184"/>
    <w:rsid w:val="48B93029"/>
    <w:rsid w:val="48DB14EE"/>
    <w:rsid w:val="493F1574"/>
    <w:rsid w:val="49726A4B"/>
    <w:rsid w:val="49C5554F"/>
    <w:rsid w:val="4A076C56"/>
    <w:rsid w:val="4A431F7F"/>
    <w:rsid w:val="4A711501"/>
    <w:rsid w:val="4A916162"/>
    <w:rsid w:val="4AAF0341"/>
    <w:rsid w:val="4ADE5F63"/>
    <w:rsid w:val="4AE253FD"/>
    <w:rsid w:val="4B097E96"/>
    <w:rsid w:val="4B105AC6"/>
    <w:rsid w:val="4B3E34E1"/>
    <w:rsid w:val="4B7B64DF"/>
    <w:rsid w:val="4B906F4F"/>
    <w:rsid w:val="4BA10E14"/>
    <w:rsid w:val="4BB73B85"/>
    <w:rsid w:val="4BD01C29"/>
    <w:rsid w:val="4BF478AD"/>
    <w:rsid w:val="4C0C77BC"/>
    <w:rsid w:val="4C0D38CD"/>
    <w:rsid w:val="4C17384D"/>
    <w:rsid w:val="4C257A37"/>
    <w:rsid w:val="4C2707A1"/>
    <w:rsid w:val="4C64712B"/>
    <w:rsid w:val="4C700EF1"/>
    <w:rsid w:val="4C760354"/>
    <w:rsid w:val="4C9C1570"/>
    <w:rsid w:val="4CC17176"/>
    <w:rsid w:val="4CC67CE3"/>
    <w:rsid w:val="4D7F6F33"/>
    <w:rsid w:val="4DCA5BD8"/>
    <w:rsid w:val="4DDD4EEC"/>
    <w:rsid w:val="4DF50B78"/>
    <w:rsid w:val="4DF616CB"/>
    <w:rsid w:val="4E5A1331"/>
    <w:rsid w:val="4E5A5ADC"/>
    <w:rsid w:val="4E6938E7"/>
    <w:rsid w:val="4E6A5759"/>
    <w:rsid w:val="4E701DC0"/>
    <w:rsid w:val="4E93713A"/>
    <w:rsid w:val="4EAB5FD9"/>
    <w:rsid w:val="4EBB21ED"/>
    <w:rsid w:val="4ECA741E"/>
    <w:rsid w:val="4EDA6A05"/>
    <w:rsid w:val="4F006719"/>
    <w:rsid w:val="4F2E489B"/>
    <w:rsid w:val="4F4C72E9"/>
    <w:rsid w:val="4F5166AD"/>
    <w:rsid w:val="4F5D25FD"/>
    <w:rsid w:val="4F6121B7"/>
    <w:rsid w:val="4F643265"/>
    <w:rsid w:val="4F741231"/>
    <w:rsid w:val="4FB41D44"/>
    <w:rsid w:val="4FB93303"/>
    <w:rsid w:val="4FBC32D6"/>
    <w:rsid w:val="50105D76"/>
    <w:rsid w:val="507A4445"/>
    <w:rsid w:val="50BF6E81"/>
    <w:rsid w:val="50FF0870"/>
    <w:rsid w:val="5131339E"/>
    <w:rsid w:val="513D513B"/>
    <w:rsid w:val="513F080C"/>
    <w:rsid w:val="518E2B89"/>
    <w:rsid w:val="51F64B4D"/>
    <w:rsid w:val="52627693"/>
    <w:rsid w:val="52654DCD"/>
    <w:rsid w:val="52A43369"/>
    <w:rsid w:val="52DA541F"/>
    <w:rsid w:val="5306542C"/>
    <w:rsid w:val="5328270F"/>
    <w:rsid w:val="532B582C"/>
    <w:rsid w:val="533662E6"/>
    <w:rsid w:val="53390376"/>
    <w:rsid w:val="533B37EB"/>
    <w:rsid w:val="533C1C56"/>
    <w:rsid w:val="5357579E"/>
    <w:rsid w:val="53842532"/>
    <w:rsid w:val="54027A71"/>
    <w:rsid w:val="540A24A6"/>
    <w:rsid w:val="541D6439"/>
    <w:rsid w:val="546A09A4"/>
    <w:rsid w:val="549E4143"/>
    <w:rsid w:val="552535BC"/>
    <w:rsid w:val="553813F1"/>
    <w:rsid w:val="557E3F74"/>
    <w:rsid w:val="55821076"/>
    <w:rsid w:val="563B53DB"/>
    <w:rsid w:val="56493792"/>
    <w:rsid w:val="56777341"/>
    <w:rsid w:val="56943A17"/>
    <w:rsid w:val="56AA3DFF"/>
    <w:rsid w:val="56D402F0"/>
    <w:rsid w:val="572F4B71"/>
    <w:rsid w:val="575329D5"/>
    <w:rsid w:val="57AA1D79"/>
    <w:rsid w:val="57D01595"/>
    <w:rsid w:val="57DA4441"/>
    <w:rsid w:val="58317C08"/>
    <w:rsid w:val="594015B1"/>
    <w:rsid w:val="59554FEC"/>
    <w:rsid w:val="595A0DC1"/>
    <w:rsid w:val="596D4A2C"/>
    <w:rsid w:val="599B0EFC"/>
    <w:rsid w:val="59BD150F"/>
    <w:rsid w:val="5A130C2C"/>
    <w:rsid w:val="5A19326D"/>
    <w:rsid w:val="5A39563D"/>
    <w:rsid w:val="5A47370B"/>
    <w:rsid w:val="5AE0581C"/>
    <w:rsid w:val="5AE96334"/>
    <w:rsid w:val="5AF30F60"/>
    <w:rsid w:val="5B31213F"/>
    <w:rsid w:val="5B5F738D"/>
    <w:rsid w:val="5BA54009"/>
    <w:rsid w:val="5BB26481"/>
    <w:rsid w:val="5BB32D18"/>
    <w:rsid w:val="5BE43388"/>
    <w:rsid w:val="5C5C591B"/>
    <w:rsid w:val="5C643EC4"/>
    <w:rsid w:val="5CCF1148"/>
    <w:rsid w:val="5CD4114D"/>
    <w:rsid w:val="5CD53D28"/>
    <w:rsid w:val="5D0460DC"/>
    <w:rsid w:val="5D2366CB"/>
    <w:rsid w:val="5D3331A6"/>
    <w:rsid w:val="5D552356"/>
    <w:rsid w:val="5D625800"/>
    <w:rsid w:val="5D8A153C"/>
    <w:rsid w:val="5DE1497B"/>
    <w:rsid w:val="5E135BA1"/>
    <w:rsid w:val="5E150554"/>
    <w:rsid w:val="5E1D1079"/>
    <w:rsid w:val="5E211941"/>
    <w:rsid w:val="5E4C4EB1"/>
    <w:rsid w:val="5E6D59C3"/>
    <w:rsid w:val="5E9341CF"/>
    <w:rsid w:val="5E9C0CBE"/>
    <w:rsid w:val="5EDA6373"/>
    <w:rsid w:val="5EF46D8B"/>
    <w:rsid w:val="5F180162"/>
    <w:rsid w:val="5F514BE2"/>
    <w:rsid w:val="5F5A15AE"/>
    <w:rsid w:val="5F9C1BC7"/>
    <w:rsid w:val="5FDD555A"/>
    <w:rsid w:val="5FFB68ED"/>
    <w:rsid w:val="601F4136"/>
    <w:rsid w:val="6022031E"/>
    <w:rsid w:val="60AA69DE"/>
    <w:rsid w:val="60DB6DDC"/>
    <w:rsid w:val="61137122"/>
    <w:rsid w:val="61151C31"/>
    <w:rsid w:val="61183C2B"/>
    <w:rsid w:val="617D1400"/>
    <w:rsid w:val="61876670"/>
    <w:rsid w:val="61903A3C"/>
    <w:rsid w:val="61905523"/>
    <w:rsid w:val="6196533C"/>
    <w:rsid w:val="61C24BFD"/>
    <w:rsid w:val="61C81C8C"/>
    <w:rsid w:val="61DB0771"/>
    <w:rsid w:val="620774EF"/>
    <w:rsid w:val="626F41F4"/>
    <w:rsid w:val="63153AD6"/>
    <w:rsid w:val="634A483E"/>
    <w:rsid w:val="637A3FCD"/>
    <w:rsid w:val="63AB4186"/>
    <w:rsid w:val="63C51B85"/>
    <w:rsid w:val="63C81B89"/>
    <w:rsid w:val="63C87510"/>
    <w:rsid w:val="64027360"/>
    <w:rsid w:val="642B45E0"/>
    <w:rsid w:val="64604EAC"/>
    <w:rsid w:val="64740A1C"/>
    <w:rsid w:val="64805FF8"/>
    <w:rsid w:val="64D7429C"/>
    <w:rsid w:val="64FD3DCA"/>
    <w:rsid w:val="650002E7"/>
    <w:rsid w:val="6507415B"/>
    <w:rsid w:val="65434447"/>
    <w:rsid w:val="65D200F0"/>
    <w:rsid w:val="65F73581"/>
    <w:rsid w:val="66457796"/>
    <w:rsid w:val="669453A6"/>
    <w:rsid w:val="66A5387A"/>
    <w:rsid w:val="66BF5FFF"/>
    <w:rsid w:val="66C2621A"/>
    <w:rsid w:val="66CA2F85"/>
    <w:rsid w:val="66F10A4A"/>
    <w:rsid w:val="674F7545"/>
    <w:rsid w:val="67537CF0"/>
    <w:rsid w:val="67656B1B"/>
    <w:rsid w:val="677775A8"/>
    <w:rsid w:val="679542C8"/>
    <w:rsid w:val="67AE419D"/>
    <w:rsid w:val="67B22635"/>
    <w:rsid w:val="67BE74C9"/>
    <w:rsid w:val="67F3389E"/>
    <w:rsid w:val="683769EB"/>
    <w:rsid w:val="684F37DE"/>
    <w:rsid w:val="68B2669E"/>
    <w:rsid w:val="68E22B52"/>
    <w:rsid w:val="68EB131E"/>
    <w:rsid w:val="69182A19"/>
    <w:rsid w:val="69764EE6"/>
    <w:rsid w:val="698C50B9"/>
    <w:rsid w:val="698E1753"/>
    <w:rsid w:val="69983F39"/>
    <w:rsid w:val="69CA10DE"/>
    <w:rsid w:val="69CE3E97"/>
    <w:rsid w:val="69D47128"/>
    <w:rsid w:val="69F07ED0"/>
    <w:rsid w:val="69F274C7"/>
    <w:rsid w:val="69FE3890"/>
    <w:rsid w:val="6A10379F"/>
    <w:rsid w:val="6A7A0A2B"/>
    <w:rsid w:val="6A7F636D"/>
    <w:rsid w:val="6ACA4D44"/>
    <w:rsid w:val="6ADE7537"/>
    <w:rsid w:val="6AF05382"/>
    <w:rsid w:val="6B133F99"/>
    <w:rsid w:val="6B221B0E"/>
    <w:rsid w:val="6B2C5213"/>
    <w:rsid w:val="6B426B13"/>
    <w:rsid w:val="6B6E6411"/>
    <w:rsid w:val="6B855E16"/>
    <w:rsid w:val="6B9419A4"/>
    <w:rsid w:val="6BC4672D"/>
    <w:rsid w:val="6BFA2464"/>
    <w:rsid w:val="6C364F34"/>
    <w:rsid w:val="6C3A4520"/>
    <w:rsid w:val="6C565BAA"/>
    <w:rsid w:val="6C6204DD"/>
    <w:rsid w:val="6C7543E1"/>
    <w:rsid w:val="6C7D42B4"/>
    <w:rsid w:val="6C8A3E98"/>
    <w:rsid w:val="6C963B87"/>
    <w:rsid w:val="6CA96079"/>
    <w:rsid w:val="6CAC1F8A"/>
    <w:rsid w:val="6CAD0F6F"/>
    <w:rsid w:val="6CC81EA4"/>
    <w:rsid w:val="6D37776E"/>
    <w:rsid w:val="6D69517B"/>
    <w:rsid w:val="6D69756C"/>
    <w:rsid w:val="6DD644F6"/>
    <w:rsid w:val="6DDA65C4"/>
    <w:rsid w:val="6E920594"/>
    <w:rsid w:val="6EC8214A"/>
    <w:rsid w:val="6F1976C8"/>
    <w:rsid w:val="6FFC5967"/>
    <w:rsid w:val="70021CEB"/>
    <w:rsid w:val="702D75AC"/>
    <w:rsid w:val="703412AA"/>
    <w:rsid w:val="704838FD"/>
    <w:rsid w:val="707F6878"/>
    <w:rsid w:val="709119F6"/>
    <w:rsid w:val="70AF7F0C"/>
    <w:rsid w:val="70B85039"/>
    <w:rsid w:val="70D16063"/>
    <w:rsid w:val="70F562D7"/>
    <w:rsid w:val="713D64DC"/>
    <w:rsid w:val="714328EF"/>
    <w:rsid w:val="71941D4C"/>
    <w:rsid w:val="71F7318A"/>
    <w:rsid w:val="721A3870"/>
    <w:rsid w:val="72795F5D"/>
    <w:rsid w:val="72873F22"/>
    <w:rsid w:val="728E35F1"/>
    <w:rsid w:val="728F0391"/>
    <w:rsid w:val="72BA428B"/>
    <w:rsid w:val="72DB435C"/>
    <w:rsid w:val="73131D48"/>
    <w:rsid w:val="731750C1"/>
    <w:rsid w:val="737C6513"/>
    <w:rsid w:val="737F01AF"/>
    <w:rsid w:val="739641CD"/>
    <w:rsid w:val="73B344DE"/>
    <w:rsid w:val="73DD13F1"/>
    <w:rsid w:val="73F76C73"/>
    <w:rsid w:val="73F84687"/>
    <w:rsid w:val="746135D3"/>
    <w:rsid w:val="74D76A61"/>
    <w:rsid w:val="74D82284"/>
    <w:rsid w:val="75156F04"/>
    <w:rsid w:val="75293576"/>
    <w:rsid w:val="753541F8"/>
    <w:rsid w:val="75781DD0"/>
    <w:rsid w:val="75824D9D"/>
    <w:rsid w:val="759224B5"/>
    <w:rsid w:val="75A1363B"/>
    <w:rsid w:val="75AB1C93"/>
    <w:rsid w:val="75D069B4"/>
    <w:rsid w:val="761B163F"/>
    <w:rsid w:val="761F3505"/>
    <w:rsid w:val="763639D5"/>
    <w:rsid w:val="763E3663"/>
    <w:rsid w:val="76486327"/>
    <w:rsid w:val="7671126A"/>
    <w:rsid w:val="76810114"/>
    <w:rsid w:val="76E41762"/>
    <w:rsid w:val="76E46ECE"/>
    <w:rsid w:val="7717316E"/>
    <w:rsid w:val="774D2101"/>
    <w:rsid w:val="77603777"/>
    <w:rsid w:val="777D58A9"/>
    <w:rsid w:val="777F343D"/>
    <w:rsid w:val="77901BB9"/>
    <w:rsid w:val="779B3C6B"/>
    <w:rsid w:val="77AB5706"/>
    <w:rsid w:val="77C7479C"/>
    <w:rsid w:val="78626435"/>
    <w:rsid w:val="78626A84"/>
    <w:rsid w:val="787B3EF7"/>
    <w:rsid w:val="787D26D8"/>
    <w:rsid w:val="788E3223"/>
    <w:rsid w:val="78B05110"/>
    <w:rsid w:val="78BB0EB8"/>
    <w:rsid w:val="78C2621C"/>
    <w:rsid w:val="78E06AB0"/>
    <w:rsid w:val="790B4090"/>
    <w:rsid w:val="79643504"/>
    <w:rsid w:val="79864C1B"/>
    <w:rsid w:val="798E0318"/>
    <w:rsid w:val="79AF62F8"/>
    <w:rsid w:val="79D7692E"/>
    <w:rsid w:val="79E25FFC"/>
    <w:rsid w:val="7A09540F"/>
    <w:rsid w:val="7A1F0FD2"/>
    <w:rsid w:val="7A313682"/>
    <w:rsid w:val="7A326EC1"/>
    <w:rsid w:val="7A471B74"/>
    <w:rsid w:val="7AC415A1"/>
    <w:rsid w:val="7AD93877"/>
    <w:rsid w:val="7BA87505"/>
    <w:rsid w:val="7BF53DED"/>
    <w:rsid w:val="7BFC0690"/>
    <w:rsid w:val="7C1D50F5"/>
    <w:rsid w:val="7C531F86"/>
    <w:rsid w:val="7C6106D5"/>
    <w:rsid w:val="7C6151AF"/>
    <w:rsid w:val="7CC540BD"/>
    <w:rsid w:val="7CF120A2"/>
    <w:rsid w:val="7D423759"/>
    <w:rsid w:val="7D43322A"/>
    <w:rsid w:val="7D695F1A"/>
    <w:rsid w:val="7DA8304D"/>
    <w:rsid w:val="7DC13F0D"/>
    <w:rsid w:val="7DD956AA"/>
    <w:rsid w:val="7E064983"/>
    <w:rsid w:val="7E2D5B39"/>
    <w:rsid w:val="7E42351F"/>
    <w:rsid w:val="7E7713DD"/>
    <w:rsid w:val="7EBB39C0"/>
    <w:rsid w:val="7ED160D1"/>
    <w:rsid w:val="7EDB5E10"/>
    <w:rsid w:val="7F035695"/>
    <w:rsid w:val="7F2B4D67"/>
    <w:rsid w:val="7F3B7B06"/>
    <w:rsid w:val="7F9F5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autoRedefine/>
    <w:qFormat/>
    <w:uiPriority w:val="0"/>
    <w:pPr>
      <w:keepNext/>
      <w:keepLines/>
      <w:spacing w:line="360" w:lineRule="auto"/>
      <w:jc w:val="center"/>
      <w:outlineLvl w:val="0"/>
    </w:pPr>
    <w:rPr>
      <w:b/>
      <w:bCs/>
      <w:kern w:val="44"/>
      <w:sz w:val="44"/>
      <w:szCs w:val="44"/>
    </w:rPr>
  </w:style>
  <w:style w:type="paragraph" w:styleId="4">
    <w:name w:val="heading 2"/>
    <w:basedOn w:val="1"/>
    <w:next w:val="1"/>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autoRedefine/>
    <w:unhideWhenUsed/>
    <w:qFormat/>
    <w:uiPriority w:val="1"/>
  </w:style>
  <w:style w:type="table" w:default="1" w:styleId="24">
    <w:name w:val="Normal Table"/>
    <w:autoRedefine/>
    <w:unhideWhenUsed/>
    <w:qFormat/>
    <w:uiPriority w:val="99"/>
    <w:tblPr>
      <w:tblCellMar>
        <w:top w:w="0" w:type="dxa"/>
        <w:left w:w="108" w:type="dxa"/>
        <w:bottom w:w="0" w:type="dxa"/>
        <w:right w:w="108" w:type="dxa"/>
      </w:tblCellMar>
    </w:tblPr>
  </w:style>
  <w:style w:type="paragraph" w:customStyle="1" w:styleId="2">
    <w:name w:val="样式 首行缩进:  2 字符"/>
    <w:basedOn w:val="1"/>
    <w:autoRedefine/>
    <w:qFormat/>
    <w:uiPriority w:val="0"/>
    <w:pPr>
      <w:ind w:firstLine="480"/>
      <w:jc w:val="left"/>
    </w:pPr>
    <w:rPr>
      <w:rFonts w:ascii="宋体" w:hAnsi="宋体" w:cs="宋体"/>
      <w:color w:val="000000"/>
    </w:rPr>
  </w:style>
  <w:style w:type="paragraph" w:styleId="7">
    <w:name w:val="Normal Indent"/>
    <w:basedOn w:val="1"/>
    <w:next w:val="1"/>
    <w:autoRedefine/>
    <w:qFormat/>
    <w:uiPriority w:val="0"/>
    <w:pPr>
      <w:autoSpaceDE w:val="0"/>
      <w:autoSpaceDN w:val="0"/>
      <w:adjustRightInd w:val="0"/>
      <w:ind w:firstLine="420"/>
    </w:pPr>
    <w:rPr>
      <w:rFonts w:ascii="宋体"/>
      <w:szCs w:val="20"/>
    </w:rPr>
  </w:style>
  <w:style w:type="paragraph" w:styleId="8">
    <w:name w:val="toa heading"/>
    <w:basedOn w:val="1"/>
    <w:next w:val="1"/>
    <w:autoRedefine/>
    <w:qFormat/>
    <w:uiPriority w:val="0"/>
    <w:pPr>
      <w:spacing w:before="120"/>
    </w:pPr>
    <w:rPr>
      <w:rFonts w:ascii="Cambria" w:hAnsi="Cambria"/>
      <w:szCs w:val="20"/>
    </w:rPr>
  </w:style>
  <w:style w:type="paragraph" w:styleId="9">
    <w:name w:val="Body Text 3"/>
    <w:basedOn w:val="1"/>
    <w:next w:val="1"/>
    <w:autoRedefine/>
    <w:qFormat/>
    <w:uiPriority w:val="0"/>
    <w:pPr>
      <w:spacing w:after="120"/>
    </w:pPr>
    <w:rPr>
      <w:sz w:val="16"/>
      <w:szCs w:val="16"/>
    </w:rPr>
  </w:style>
  <w:style w:type="paragraph" w:styleId="10">
    <w:name w:val="Body Text"/>
    <w:basedOn w:val="1"/>
    <w:next w:val="1"/>
    <w:autoRedefine/>
    <w:qFormat/>
    <w:uiPriority w:val="99"/>
    <w:pPr>
      <w:numPr>
        <w:ilvl w:val="0"/>
        <w:numId w:val="1"/>
      </w:numPr>
      <w:ind w:left="0" w:firstLine="0"/>
    </w:pPr>
    <w:rPr>
      <w:rFonts w:ascii="黑体" w:eastAsia="黑体"/>
      <w:sz w:val="22"/>
    </w:rPr>
  </w:style>
  <w:style w:type="paragraph" w:styleId="11">
    <w:name w:val="Body Text Indent"/>
    <w:basedOn w:val="1"/>
    <w:next w:val="1"/>
    <w:autoRedefine/>
    <w:qFormat/>
    <w:uiPriority w:val="0"/>
    <w:pPr>
      <w:spacing w:after="120"/>
      <w:ind w:left="200" w:leftChars="200"/>
    </w:pPr>
  </w:style>
  <w:style w:type="paragraph" w:styleId="12">
    <w:name w:val="Plain Text"/>
    <w:basedOn w:val="1"/>
    <w:next w:val="13"/>
    <w:autoRedefine/>
    <w:qFormat/>
    <w:uiPriority w:val="0"/>
    <w:rPr>
      <w:rFonts w:ascii="宋体"/>
      <w:szCs w:val="20"/>
      <w:u w:color="000000"/>
    </w:rPr>
  </w:style>
  <w:style w:type="paragraph" w:styleId="13">
    <w:name w:val="index 7"/>
    <w:basedOn w:val="1"/>
    <w:next w:val="1"/>
    <w:autoRedefine/>
    <w:qFormat/>
    <w:uiPriority w:val="0"/>
    <w:pPr>
      <w:ind w:left="1200" w:leftChars="1200"/>
    </w:pPr>
    <w:rPr>
      <w:color w:val="auto"/>
      <w:kern w:val="2"/>
    </w:rPr>
  </w:style>
  <w:style w:type="paragraph" w:styleId="14">
    <w:name w:val="Date"/>
    <w:basedOn w:val="1"/>
    <w:next w:val="1"/>
    <w:autoRedefine/>
    <w:qFormat/>
    <w:uiPriority w:val="0"/>
    <w:rPr>
      <w:rFonts w:ascii="Arial" w:hAnsi="Arial" w:eastAsia="仿宋_GB2312"/>
      <w:sz w:val="32"/>
      <w:szCs w:val="20"/>
      <w:u w:color="000000"/>
    </w:rPr>
  </w:style>
  <w:style w:type="paragraph" w:styleId="15">
    <w:name w:val="Balloon Text"/>
    <w:basedOn w:val="1"/>
    <w:autoRedefine/>
    <w:qFormat/>
    <w:uiPriority w:val="0"/>
    <w:rPr>
      <w:sz w:val="18"/>
      <w:szCs w:val="18"/>
    </w:rPr>
  </w:style>
  <w:style w:type="paragraph" w:styleId="16">
    <w:name w:val="footer"/>
    <w:basedOn w:val="1"/>
    <w:autoRedefine/>
    <w:qFormat/>
    <w:uiPriority w:val="0"/>
    <w:pPr>
      <w:tabs>
        <w:tab w:val="center" w:pos="4153"/>
        <w:tab w:val="right" w:pos="8306"/>
      </w:tabs>
      <w:snapToGrid w:val="0"/>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footnote text"/>
    <w:basedOn w:val="1"/>
    <w:autoRedefine/>
    <w:unhideWhenUsed/>
    <w:qFormat/>
    <w:uiPriority w:val="99"/>
    <w:pPr>
      <w:snapToGrid w:val="0"/>
    </w:pPr>
    <w:rPr>
      <w:sz w:val="18"/>
      <w:szCs w:val="18"/>
    </w:rPr>
  </w:style>
  <w:style w:type="paragraph" w:styleId="19">
    <w:name w:val="Body Text 2"/>
    <w:basedOn w:val="1"/>
    <w:autoRedefine/>
    <w:qFormat/>
    <w:uiPriority w:val="0"/>
    <w:pPr>
      <w:tabs>
        <w:tab w:val="left" w:pos="0"/>
      </w:tabs>
      <w:spacing w:line="400" w:lineRule="atLeast"/>
    </w:pPr>
    <w:rPr>
      <w:rFonts w:ascii="Arial" w:hAnsi="Arial"/>
    </w:rPr>
  </w:style>
  <w:style w:type="paragraph" w:styleId="20">
    <w:name w:val="Normal (Web)"/>
    <w:basedOn w:val="1"/>
    <w:autoRedefine/>
    <w:qFormat/>
    <w:uiPriority w:val="99"/>
    <w:pPr>
      <w:widowControl/>
    </w:pPr>
    <w:rPr>
      <w:rFonts w:ascii="宋体" w:hAnsi="宋体" w:eastAsia="宋体" w:cs="宋体"/>
    </w:rPr>
  </w:style>
  <w:style w:type="paragraph" w:styleId="21">
    <w:name w:val="Title"/>
    <w:basedOn w:val="1"/>
    <w:next w:val="1"/>
    <w:autoRedefine/>
    <w:qFormat/>
    <w:uiPriority w:val="0"/>
    <w:pPr>
      <w:spacing w:before="240" w:after="60"/>
      <w:jc w:val="center"/>
      <w:outlineLvl w:val="0"/>
    </w:pPr>
    <w:rPr>
      <w:rFonts w:ascii="Cambria" w:hAnsi="Cambria"/>
      <w:b/>
      <w:bCs/>
      <w:sz w:val="32"/>
      <w:szCs w:val="32"/>
    </w:rPr>
  </w:style>
  <w:style w:type="paragraph" w:styleId="22">
    <w:name w:val="Body Text First Indent"/>
    <w:basedOn w:val="10"/>
    <w:next w:val="1"/>
    <w:autoRedefine/>
    <w:semiHidden/>
    <w:qFormat/>
    <w:uiPriority w:val="0"/>
    <w:pPr>
      <w:spacing w:line="400" w:lineRule="atLeast"/>
      <w:ind w:firstLine="426"/>
    </w:pPr>
    <w:rPr>
      <w:sz w:val="24"/>
    </w:rPr>
  </w:style>
  <w:style w:type="paragraph" w:styleId="23">
    <w:name w:val="Body Text First Indent 2"/>
    <w:basedOn w:val="11"/>
    <w:autoRedefine/>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Hyperlink"/>
    <w:basedOn w:val="26"/>
    <w:autoRedefine/>
    <w:qFormat/>
    <w:uiPriority w:val="99"/>
    <w:rPr>
      <w:color w:val="0000FF"/>
      <w:u w:val="single"/>
    </w:rPr>
  </w:style>
  <w:style w:type="character" w:styleId="29">
    <w:name w:val="footnote reference"/>
    <w:basedOn w:val="26"/>
    <w:autoRedefine/>
    <w:unhideWhenUsed/>
    <w:qFormat/>
    <w:uiPriority w:val="99"/>
    <w:rPr>
      <w:vertAlign w:val="superscript"/>
    </w:rPr>
  </w:style>
  <w:style w:type="character" w:styleId="30">
    <w:name w:val="HTML Sample"/>
    <w:basedOn w:val="26"/>
    <w:autoRedefine/>
    <w:qFormat/>
    <w:uiPriority w:val="0"/>
    <w:rPr>
      <w:rFonts w:ascii="Courier New" w:hAnsi="Courier New"/>
    </w:rPr>
  </w:style>
  <w:style w:type="paragraph" w:customStyle="1" w:styleId="31">
    <w:name w:val="_Style 2"/>
    <w:basedOn w:val="3"/>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2">
    <w:name w:val="正文格式"/>
    <w:basedOn w:val="1"/>
    <w:autoRedefine/>
    <w:qFormat/>
    <w:uiPriority w:val="99"/>
    <w:pPr>
      <w:widowControl/>
      <w:adjustRightInd w:val="0"/>
      <w:snapToGrid w:val="0"/>
      <w:spacing w:line="400" w:lineRule="atLeast"/>
      <w:ind w:firstLine="482"/>
      <w:textAlignment w:val="baseline"/>
    </w:pPr>
  </w:style>
  <w:style w:type="paragraph" w:customStyle="1" w:styleId="33">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4">
    <w:name w:val="文档正文"/>
    <w:basedOn w:val="7"/>
    <w:autoRedefine/>
    <w:qFormat/>
    <w:uiPriority w:val="0"/>
    <w:pPr>
      <w:spacing w:line="360" w:lineRule="auto"/>
    </w:pPr>
    <w:rPr>
      <w:rFonts w:hAnsi="宋体"/>
      <w:b/>
      <w:bCs/>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7">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38">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39">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40">
    <w:name w:val="Table caption|1"/>
    <w:basedOn w:val="1"/>
    <w:autoRedefine/>
    <w:qFormat/>
    <w:uiPriority w:val="0"/>
    <w:rPr>
      <w:rFonts w:ascii="宋体" w:hAnsi="宋体" w:eastAsia="宋体" w:cs="宋体"/>
      <w:sz w:val="22"/>
      <w:szCs w:val="22"/>
      <w:lang w:val="zh-TW" w:eastAsia="zh-TW" w:bidi="zh-TW"/>
    </w:rPr>
  </w:style>
  <w:style w:type="paragraph" w:customStyle="1" w:styleId="41">
    <w:name w:val="Table Paragraph"/>
    <w:basedOn w:val="1"/>
    <w:autoRedefine/>
    <w:qFormat/>
    <w:uiPriority w:val="1"/>
    <w:pPr>
      <w:autoSpaceDE w:val="0"/>
      <w:autoSpaceDN w:val="0"/>
      <w:adjustRightInd w:val="0"/>
    </w:pPr>
    <w:rPr>
      <w:rFonts w:eastAsia="宋体"/>
    </w:rPr>
  </w:style>
  <w:style w:type="paragraph" w:customStyle="1" w:styleId="42">
    <w:name w:val="black1"/>
    <w:basedOn w:val="1"/>
    <w:autoRedefine/>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3">
    <w:name w:val="图例"/>
    <w:basedOn w:val="1"/>
    <w:autoRedefine/>
    <w:qFormat/>
    <w:uiPriority w:val="0"/>
    <w:pPr>
      <w:spacing w:before="120" w:after="120" w:line="360" w:lineRule="auto"/>
      <w:jc w:val="center"/>
    </w:pPr>
    <w:rPr>
      <w:rFonts w:eastAsia="仿宋_GB2312"/>
      <w:b/>
    </w:rPr>
  </w:style>
  <w:style w:type="paragraph" w:customStyle="1" w:styleId="44">
    <w:name w:val="WPS Plain"/>
    <w:autoRedefine/>
    <w:qFormat/>
    <w:uiPriority w:val="0"/>
    <w:rPr>
      <w:rFonts w:ascii="Times New Roman" w:hAnsi="Times New Roman" w:eastAsia="宋体" w:cs="Times New Roman"/>
      <w:lang w:val="en-US" w:eastAsia="zh-CN" w:bidi="ar-SA"/>
    </w:rPr>
  </w:style>
  <w:style w:type="paragraph" w:customStyle="1" w:styleId="45">
    <w:name w:val="样式 左侧:  0 厘米 悬挂缩进: 2.5 字符"/>
    <w:basedOn w:val="1"/>
    <w:autoRedefine/>
    <w:qFormat/>
    <w:uiPriority w:val="0"/>
    <w:pPr>
      <w:ind w:left="525" w:hanging="525" w:hangingChars="250"/>
    </w:pPr>
    <w:rPr>
      <w:szCs w:val="20"/>
    </w:rPr>
  </w:style>
  <w:style w:type="character" w:customStyle="1" w:styleId="46">
    <w:name w:val="font11"/>
    <w:basedOn w:val="26"/>
    <w:autoRedefine/>
    <w:qFormat/>
    <w:uiPriority w:val="0"/>
    <w:rPr>
      <w:rFonts w:ascii="Calibri" w:hAnsi="Calibri" w:cs="Calibri"/>
      <w:color w:val="000000"/>
      <w:sz w:val="20"/>
      <w:szCs w:val="20"/>
      <w:u w:val="none"/>
    </w:rPr>
  </w:style>
  <w:style w:type="paragraph" w:customStyle="1" w:styleId="47">
    <w:name w:val="List Paragraph"/>
    <w:basedOn w:val="1"/>
    <w:autoRedefine/>
    <w:qFormat/>
    <w:uiPriority w:val="0"/>
    <w:pPr>
      <w:widowControl/>
      <w:ind w:firstLine="420" w:firstLineChars="200"/>
    </w:pPr>
  </w:style>
  <w:style w:type="paragraph" w:customStyle="1" w:styleId="48">
    <w:name w:val="列出段落1"/>
    <w:basedOn w:val="1"/>
    <w:autoRedefine/>
    <w:qFormat/>
    <w:uiPriority w:val="34"/>
    <w:pPr>
      <w:ind w:firstLine="420" w:firstLineChars="200"/>
    </w:pPr>
  </w:style>
  <w:style w:type="table" w:customStyle="1" w:styleId="49">
    <w:name w:val="Table Normal"/>
    <w:autoRedefine/>
    <w:unhideWhenUsed/>
    <w:qFormat/>
    <w:uiPriority w:val="0"/>
    <w:tblPr>
      <w:tblCellMar>
        <w:top w:w="0" w:type="dxa"/>
        <w:left w:w="0" w:type="dxa"/>
        <w:bottom w:w="0" w:type="dxa"/>
        <w:right w:w="0" w:type="dxa"/>
      </w:tblCellMar>
    </w:tblPr>
  </w:style>
  <w:style w:type="paragraph" w:customStyle="1" w:styleId="50">
    <w:name w:val="p15"/>
    <w:basedOn w:val="1"/>
    <w:autoRedefine/>
    <w:qFormat/>
    <w:uiPriority w:val="0"/>
    <w:rPr>
      <w:rFonts w:ascii="Arial Unicode MS" w:hAnsi="Arial Unicode MS" w:eastAsia="宋体" w:cs="宋体"/>
    </w:rPr>
  </w:style>
  <w:style w:type="paragraph" w:customStyle="1" w:styleId="51">
    <w:name w:val="Body text|4"/>
    <w:basedOn w:val="1"/>
    <w:autoRedefine/>
    <w:qFormat/>
    <w:uiPriority w:val="0"/>
    <w:pPr>
      <w:spacing w:after="580"/>
    </w:pPr>
    <w:rPr>
      <w:rFonts w:ascii="MingLiU" w:hAnsi="MingLiU" w:eastAsia="MingLiU" w:cs="MingLiU"/>
      <w:color w:val="00005D"/>
      <w:sz w:val="56"/>
      <w:szCs w:val="56"/>
      <w:lang w:val="zh-TW" w:eastAsia="zh-TW" w:bidi="zh-TW"/>
    </w:rPr>
  </w:style>
  <w:style w:type="paragraph" w:customStyle="1" w:styleId="52">
    <w:name w:val="BodyText"/>
    <w:basedOn w:val="1"/>
    <w:next w:val="1"/>
    <w:autoRedefine/>
    <w:qFormat/>
    <w:uiPriority w:val="0"/>
    <w:pPr>
      <w:tabs>
        <w:tab w:val="left" w:pos="780"/>
      </w:tabs>
    </w:pPr>
    <w:rPr>
      <w:rFonts w:ascii="黑体" w:eastAsia="黑体"/>
      <w:sz w:val="22"/>
    </w:rPr>
  </w:style>
  <w:style w:type="paragraph" w:styleId="53">
    <w:name w:val="No Spacing"/>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54">
    <w:name w:val="wdcj_5_p"/>
    <w:basedOn w:val="1"/>
    <w:autoRedefine/>
    <w:qFormat/>
    <w:uiPriority w:val="0"/>
    <w:pPr>
      <w:widowControl/>
      <w:spacing w:line="360" w:lineRule="auto"/>
      <w:jc w:val="left"/>
    </w:pPr>
    <w:rPr>
      <w:rFonts w:ascii="宋体" w:hAnsi="宋体" w:eastAsia="宋体" w:cs="宋体"/>
      <w:b/>
      <w:bCs/>
      <w:kern w:val="0"/>
      <w:sz w:val="24"/>
      <w:szCs w:val="24"/>
    </w:rPr>
  </w:style>
  <w:style w:type="paragraph" w:customStyle="1" w:styleId="55">
    <w:name w:val="wdcj_7_p"/>
    <w:basedOn w:val="1"/>
    <w:autoRedefine/>
    <w:qFormat/>
    <w:uiPriority w:val="0"/>
    <w:pPr>
      <w:widowControl/>
      <w:spacing w:line="360" w:lineRule="auto"/>
      <w:ind w:firstLine="480"/>
      <w:jc w:val="left"/>
    </w:pPr>
    <w:rPr>
      <w:rFonts w:ascii="宋体" w:hAnsi="宋体" w:eastAsia="宋体" w:cs="宋体"/>
      <w:kern w:val="0"/>
      <w:sz w:val="24"/>
      <w:szCs w:val="24"/>
    </w:rPr>
  </w:style>
  <w:style w:type="paragraph" w:customStyle="1" w:styleId="56">
    <w:name w:val="wdcj_6_p"/>
    <w:basedOn w:val="1"/>
    <w:autoRedefine/>
    <w:qFormat/>
    <w:uiPriority w:val="0"/>
    <w:pPr>
      <w:widowControl/>
      <w:spacing w:line="360" w:lineRule="auto"/>
      <w:jc w:val="left"/>
    </w:pPr>
    <w:rPr>
      <w:rFonts w:ascii="宋体" w:hAnsi="宋体" w:eastAsia="宋体" w:cs="宋体"/>
      <w:kern w:val="0"/>
      <w:sz w:val="24"/>
      <w:szCs w:val="24"/>
    </w:rPr>
  </w:style>
  <w:style w:type="character" w:customStyle="1" w:styleId="57">
    <w:name w:val="font31"/>
    <w:basedOn w:val="2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220" textRotate="1"/>
    <customShpInfo spid="_x0000_s2055"/>
    <customShpInfo spid="_x0000_s2221" textRotate="1"/>
    <customShpInfo spid="_x0000_s2157"/>
    <customShpInfo spid="_x0000_s2121"/>
    <customShpInfo spid="_x0000_s2216" textRotate="1"/>
    <customShpInfo spid="_x0000_s2054"/>
    <customShpInfo spid="_x0000_s2217" textRotate="1"/>
    <customShpInfo spid="_x0000_s2106"/>
    <customShpInfo spid="_x0000_s2218" textRotate="1"/>
    <customShpInfo spid="_x0000_s2165"/>
    <customShpInfo spid="_x0000_s2219" textRotate="1"/>
    <customShpInfo spid="_x0000_s2167"/>
    <customShpInfo spid="_x0000_s2222" textRotate="1"/>
    <customShpInfo spid="_x0000_s2140"/>
    <customShpInfo spid="_x0000_s2223" textRotate="1"/>
    <customShpInfo spid="_x0000_s2224" textRotate="1"/>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197</Pages>
  <Words>41635</Words>
  <Characters>44358</Characters>
  <Lines>69</Lines>
  <Paragraphs>101</Paragraphs>
  <TotalTime>1</TotalTime>
  <ScaleCrop>false</ScaleCrop>
  <LinksUpToDate>false</LinksUpToDate>
  <CharactersWithSpaces>47585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2024-04-07T02:16:00Z</cp:lastPrinted>
  <dcterms:modified xsi:type="dcterms:W3CDTF">2024-04-18T02:58:46Z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94C51C96D3E7441A86BCA96E7DAD6431</vt:lpwstr>
  </property>
</Properties>
</file>