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none"/>
          <w:lang w:val="en-US" w:eastAsia="zh-CN"/>
        </w:rPr>
        <w:t>第四章 技术要求</w:t>
      </w:r>
    </w:p>
    <w:p>
      <w:pPr>
        <w:bidi w:val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项目名称：伊尔克什坦口岸园区编制控制性详细规划项目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项目地点：伊尔克什坦口岸园区及伊尔克什坦口岸原址</w:t>
      </w:r>
    </w:p>
    <w:p>
      <w:pP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 xml:space="preserve">招标人：喀什经济开发区伊尔克什坦口岸园区管理委员会 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编制要求：根据发改委【2013】914号文件的精神和要求,并结合伊尔克什坦口岸园区原控制性规划、产业发展规划、项目发展规划及园区“十四五”发展目标等，会同园区规划负责人确定规划区域，现场勘查,明确建设内容、投资估算,突出重点、分区分片规划,规划面积规模11.42平方公里(其中包括伊尔克什坦口岸园区10平方公里,老口岸生活区0.71平方公里,吊装甩挂枢纽区0.71平方公里),项目规划地点位于伊尔克什坦口岸园区及伊尔克什坦口岸原址，资金来源为财政资金，资金概算为160万元。</w:t>
      </w:r>
    </w:p>
    <w:p>
      <w:pP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编制依据：</w:t>
      </w:r>
    </w:p>
    <w:p>
      <w:pP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符合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国家相关法律、法规、标准与行业规范</w:t>
      </w: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（包括但不限于）以下内容：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《中华人民共和国城乡规划法》</w:t>
      </w: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《中华人民共和国水法》</w:t>
      </w: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《中华人民共和国水污染防治法》</w:t>
      </w: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《中华人民共和环境保护法》</w:t>
      </w: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《国务院关于环境保护若干问题的决定》（国发[1996]31号）</w:t>
      </w: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《建设项目环境保护管理办法》</w:t>
      </w: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《污水综合排放标准》（GB8978-1998）</w:t>
      </w: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《室外排水设计规范》（GB50014-2006）（2014版）</w:t>
      </w: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《城市排水工程规划规范》（GB50318-2000）</w:t>
      </w:r>
      <w:r>
        <w:rPr>
          <w:rFonts w:hint="eastAsia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kern w:val="2"/>
          <w:sz w:val="28"/>
          <w:szCs w:val="36"/>
          <w:lang w:val="en-US" w:eastAsia="zh-CN" w:bidi="ar-SA"/>
        </w:rPr>
        <w:t>国家及省、市相关设计规范、法律法规及管理条例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zBhYWQ0MWVhMWE3ZTFhNTJlNzA1ODU4MDljZTkifQ=="/>
  </w:docVars>
  <w:rsids>
    <w:rsidRoot w:val="12F01B52"/>
    <w:rsid w:val="12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39"/>
    <w:pPr>
      <w:ind w:left="20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2022-06-22T11:51:00Z</dcterms:created>
  <dc:creator>☍</dc:creator>
  <cp:lastModifiedBy>☍</cp:lastModifiedBy>
  <dcterms:modified xsi:type="dcterms:W3CDTF">2022-06-22T11:51:50Z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6070B4CC3E2C4F739FED9204D29C9803</vt:lpwstr>
  </property>
</Properties>
</file>