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5AC24">
      <w:pPr>
        <w:shd w:val="clear" w:color="auto" w:fill="auto"/>
        <w:jc w:val="center"/>
        <w:outlineLvl w:val="9"/>
        <w:rPr>
          <w:rFonts w:hint="eastAsia" w:ascii="宋体"/>
          <w:b/>
          <w:color w:val="auto"/>
          <w:sz w:val="28"/>
          <w:szCs w:val="28"/>
          <w:highlight w:val="none"/>
        </w:rPr>
      </w:pPr>
    </w:p>
    <w:p w14:paraId="28161D1F">
      <w:pPr>
        <w:shd w:val="clear" w:color="auto" w:fill="auto"/>
        <w:spacing w:after="156" w:afterLines="50"/>
        <w:ind w:left="-850" w:leftChars="-405" w:right="-625"/>
        <w:jc w:val="center"/>
        <w:outlineLvl w:val="9"/>
        <w:rPr>
          <w:rFonts w:hint="eastAsia" w:ascii="仿宋" w:hAnsi="仿宋" w:eastAsia="仿宋" w:cs="仿宋"/>
          <w:b/>
          <w:sz w:val="56"/>
          <w:szCs w:val="56"/>
          <w:lang w:val="en-US" w:eastAsia="zh-CN"/>
        </w:rPr>
      </w:pPr>
      <w:r>
        <w:rPr>
          <w:rFonts w:hint="eastAsia" w:ascii="仿宋" w:hAnsi="仿宋" w:eastAsia="仿宋" w:cs="仿宋"/>
          <w:b/>
          <w:sz w:val="56"/>
          <w:szCs w:val="56"/>
          <w:lang w:val="en-US" w:eastAsia="zh-CN"/>
        </w:rPr>
        <w:t>阿图什市基层医疗卫生机构改造提升项目</w:t>
      </w:r>
    </w:p>
    <w:p w14:paraId="67A0D81F">
      <w:pPr>
        <w:shd w:val="clear" w:color="auto" w:fill="auto"/>
        <w:spacing w:after="156" w:afterLines="50"/>
        <w:ind w:left="-850" w:leftChars="-405" w:right="-625"/>
        <w:jc w:val="center"/>
        <w:outlineLvl w:val="9"/>
        <w:rPr>
          <w:rFonts w:hint="eastAsia" w:ascii="仿宋" w:hAnsi="仿宋" w:eastAsia="仿宋" w:cs="仿宋"/>
          <w:b/>
          <w:sz w:val="56"/>
          <w:szCs w:val="56"/>
          <w:lang w:val="en-US" w:eastAsia="zh-CN"/>
        </w:rPr>
      </w:pPr>
      <w:r>
        <w:rPr>
          <w:rFonts w:hint="eastAsia" w:ascii="仿宋" w:hAnsi="仿宋" w:eastAsia="仿宋" w:cs="仿宋"/>
          <w:b/>
          <w:sz w:val="56"/>
          <w:szCs w:val="56"/>
          <w:lang w:val="en-US" w:eastAsia="zh-CN"/>
        </w:rPr>
        <w:t>设备采购</w:t>
      </w:r>
    </w:p>
    <w:p w14:paraId="5794107C">
      <w:pPr>
        <w:shd w:val="clear" w:color="auto" w:fill="auto"/>
        <w:spacing w:after="156" w:afterLines="50"/>
        <w:ind w:left="-850" w:leftChars="-405" w:right="-625"/>
        <w:jc w:val="center"/>
        <w:outlineLvl w:val="9"/>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项目编号：</w:t>
      </w:r>
      <w:r>
        <w:rPr>
          <w:rFonts w:hint="eastAsia" w:ascii="仿宋" w:hAnsi="仿宋" w:eastAsia="仿宋" w:cs="仿宋"/>
          <w:bCs/>
          <w:color w:val="auto"/>
          <w:sz w:val="28"/>
          <w:szCs w:val="28"/>
          <w:highlight w:val="none"/>
          <w:lang w:val="en-US" w:eastAsia="zh-CN"/>
        </w:rPr>
        <w:t>ATSCG-2025051</w:t>
      </w:r>
    </w:p>
    <w:p w14:paraId="6601C3F0">
      <w:pPr>
        <w:shd w:val="clear" w:color="auto" w:fill="auto"/>
        <w:outlineLvl w:val="9"/>
        <w:rPr>
          <w:rFonts w:hint="eastAsia" w:ascii="仿宋" w:hAnsi="仿宋" w:eastAsia="仿宋" w:cs="仿宋"/>
          <w:bCs/>
          <w:color w:val="auto"/>
          <w:szCs w:val="21"/>
          <w:highlight w:val="none"/>
        </w:rPr>
      </w:pPr>
    </w:p>
    <w:p w14:paraId="1DBEC756">
      <w:pPr>
        <w:widowControl/>
        <w:autoSpaceDE w:val="0"/>
        <w:autoSpaceDN w:val="0"/>
        <w:ind w:right="-26"/>
        <w:jc w:val="center"/>
        <w:textAlignment w:val="bottom"/>
        <w:outlineLvl w:val="9"/>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 xml:space="preserve">招 </w:t>
      </w:r>
    </w:p>
    <w:p w14:paraId="11AB63A5">
      <w:pPr>
        <w:pStyle w:val="34"/>
        <w:outlineLvl w:val="9"/>
        <w:rPr>
          <w:rFonts w:hint="eastAsia" w:ascii="仿宋" w:hAnsi="仿宋" w:eastAsia="仿宋" w:cs="仿宋"/>
          <w:lang w:val="en-US" w:eastAsia="zh-CN"/>
        </w:rPr>
      </w:pPr>
    </w:p>
    <w:p w14:paraId="69AE1E21">
      <w:pPr>
        <w:widowControl/>
        <w:autoSpaceDE w:val="0"/>
        <w:autoSpaceDN w:val="0"/>
        <w:ind w:right="-26"/>
        <w:jc w:val="center"/>
        <w:textAlignment w:val="bottom"/>
        <w:outlineLvl w:val="9"/>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标</w:t>
      </w:r>
    </w:p>
    <w:p w14:paraId="329C5CB9">
      <w:pPr>
        <w:pStyle w:val="34"/>
        <w:outlineLvl w:val="9"/>
        <w:rPr>
          <w:rFonts w:hint="eastAsia" w:ascii="仿宋" w:hAnsi="仿宋" w:eastAsia="仿宋" w:cs="仿宋"/>
          <w:lang w:val="en-US" w:eastAsia="zh-CN"/>
        </w:rPr>
      </w:pPr>
    </w:p>
    <w:p w14:paraId="31173CD2">
      <w:pPr>
        <w:widowControl/>
        <w:autoSpaceDE w:val="0"/>
        <w:autoSpaceDN w:val="0"/>
        <w:ind w:right="-26"/>
        <w:jc w:val="center"/>
        <w:textAlignment w:val="bottom"/>
        <w:outlineLvl w:val="9"/>
        <w:rPr>
          <w:rFonts w:hint="eastAsia" w:ascii="仿宋" w:hAnsi="仿宋" w:eastAsia="仿宋" w:cs="仿宋"/>
          <w:b/>
          <w:sz w:val="72"/>
          <w:szCs w:val="72"/>
        </w:rPr>
      </w:pPr>
      <w:r>
        <w:rPr>
          <w:rFonts w:hint="eastAsia" w:ascii="仿宋" w:hAnsi="仿宋" w:eastAsia="仿宋" w:cs="仿宋"/>
          <w:b/>
          <w:sz w:val="72"/>
          <w:szCs w:val="72"/>
        </w:rPr>
        <w:t xml:space="preserve">文 </w:t>
      </w:r>
    </w:p>
    <w:p w14:paraId="7354E2B3">
      <w:pPr>
        <w:pStyle w:val="34"/>
        <w:outlineLvl w:val="9"/>
        <w:rPr>
          <w:rFonts w:hint="eastAsia" w:ascii="仿宋" w:hAnsi="仿宋" w:eastAsia="仿宋" w:cs="仿宋"/>
        </w:rPr>
      </w:pPr>
    </w:p>
    <w:p w14:paraId="5C9DE162">
      <w:pPr>
        <w:widowControl/>
        <w:autoSpaceDE w:val="0"/>
        <w:autoSpaceDN w:val="0"/>
        <w:ind w:right="-26"/>
        <w:jc w:val="center"/>
        <w:textAlignment w:val="bottom"/>
        <w:outlineLvl w:val="9"/>
        <w:rPr>
          <w:rFonts w:hint="eastAsia" w:ascii="仿宋" w:hAnsi="仿宋" w:eastAsia="仿宋" w:cs="仿宋"/>
          <w:b/>
          <w:bCs/>
          <w:color w:val="000000"/>
          <w:sz w:val="24"/>
          <w:lang w:val="zh-CN"/>
        </w:rPr>
      </w:pPr>
      <w:r>
        <w:rPr>
          <w:rFonts w:hint="eastAsia" w:ascii="仿宋" w:hAnsi="仿宋" w:eastAsia="仿宋" w:cs="仿宋"/>
          <w:b/>
          <w:sz w:val="72"/>
          <w:szCs w:val="72"/>
        </w:rPr>
        <w:t>件</w:t>
      </w:r>
    </w:p>
    <w:p w14:paraId="0FD49646">
      <w:pPr>
        <w:shd w:val="clear" w:color="auto" w:fill="auto"/>
        <w:outlineLvl w:val="9"/>
        <w:rPr>
          <w:rFonts w:hint="eastAsia" w:ascii="仿宋" w:hAnsi="仿宋" w:eastAsia="仿宋" w:cs="仿宋"/>
          <w:color w:val="auto"/>
          <w:sz w:val="28"/>
          <w:szCs w:val="28"/>
          <w:highlight w:val="none"/>
        </w:rPr>
      </w:pPr>
    </w:p>
    <w:p w14:paraId="6FC60D8D">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lang w:val="en-US" w:eastAsia="zh-CN"/>
        </w:rPr>
      </w:pPr>
      <w:r>
        <w:rPr>
          <w:rFonts w:hint="eastAsia" w:ascii="仿宋" w:hAnsi="仿宋" w:eastAsia="仿宋" w:cs="仿宋"/>
          <w:b/>
          <w:sz w:val="32"/>
        </w:rPr>
        <w:t>采购单位：</w:t>
      </w:r>
      <w:r>
        <w:rPr>
          <w:rFonts w:hint="eastAsia" w:ascii="仿宋" w:hAnsi="仿宋" w:eastAsia="仿宋" w:cs="仿宋"/>
          <w:b/>
          <w:sz w:val="32"/>
          <w:lang w:eastAsia="zh-CN"/>
        </w:rPr>
        <w:t>阿图什市卫生健康委员会</w:t>
      </w:r>
      <w:r>
        <w:rPr>
          <w:rFonts w:hint="eastAsia" w:ascii="仿宋" w:hAnsi="仿宋" w:eastAsia="仿宋" w:cs="仿宋"/>
          <w:b/>
          <w:sz w:val="32"/>
          <w:lang w:val="en-US" w:eastAsia="zh-CN"/>
        </w:rPr>
        <w:t>（盖章）</w:t>
      </w:r>
    </w:p>
    <w:p w14:paraId="674F8FEB">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lang w:val="en-US" w:eastAsia="zh-CN"/>
        </w:rPr>
      </w:pPr>
      <w:r>
        <w:rPr>
          <w:rFonts w:hint="eastAsia" w:ascii="仿宋" w:hAnsi="仿宋" w:eastAsia="仿宋" w:cs="仿宋"/>
          <w:b/>
          <w:sz w:val="32"/>
          <w:lang w:val="en-US" w:eastAsia="zh-CN"/>
        </w:rPr>
        <w:t>联 系 人：胡先生</w:t>
      </w:r>
    </w:p>
    <w:p w14:paraId="12187504">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highlight w:val="none"/>
          <w:lang w:val="en-US" w:eastAsia="zh-CN"/>
        </w:rPr>
      </w:pPr>
      <w:r>
        <w:rPr>
          <w:rFonts w:hint="eastAsia" w:ascii="仿宋" w:hAnsi="仿宋" w:eastAsia="仿宋" w:cs="仿宋"/>
          <w:b/>
          <w:sz w:val="32"/>
          <w:highlight w:val="none"/>
          <w:lang w:val="en-US" w:eastAsia="zh-CN"/>
        </w:rPr>
        <w:t>联系电话：13345373958</w:t>
      </w:r>
    </w:p>
    <w:p w14:paraId="19796F51">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rPr>
      </w:pPr>
      <w:r>
        <w:rPr>
          <w:rFonts w:hint="eastAsia" w:ascii="仿宋" w:hAnsi="仿宋" w:eastAsia="仿宋" w:cs="仿宋"/>
          <w:b/>
          <w:sz w:val="32"/>
        </w:rPr>
        <w:t>代理机构：</w:t>
      </w:r>
      <w:r>
        <w:rPr>
          <w:rFonts w:hint="eastAsia" w:ascii="仿宋" w:hAnsi="仿宋" w:eastAsia="仿宋" w:cs="仿宋"/>
          <w:b/>
          <w:sz w:val="32"/>
          <w:lang w:val="en-US" w:eastAsia="zh-CN"/>
        </w:rPr>
        <w:t>新疆天勤工程管理有限公司</w:t>
      </w:r>
      <w:r>
        <w:rPr>
          <w:rFonts w:hint="eastAsia" w:ascii="仿宋" w:hAnsi="仿宋" w:eastAsia="仿宋" w:cs="仿宋"/>
          <w:b/>
          <w:sz w:val="32"/>
          <w:lang w:val="zh-CN"/>
        </w:rPr>
        <w:t>（盖章）</w:t>
      </w:r>
    </w:p>
    <w:p w14:paraId="280648C5">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sz w:val="32"/>
          <w:lang w:val="en-US"/>
        </w:rPr>
      </w:pPr>
      <w:r>
        <w:rPr>
          <w:rFonts w:hint="eastAsia" w:ascii="仿宋" w:hAnsi="仿宋" w:eastAsia="仿宋" w:cs="仿宋"/>
          <w:b/>
          <w:sz w:val="32"/>
        </w:rPr>
        <w:t>联 系 人：</w:t>
      </w:r>
      <w:r>
        <w:rPr>
          <w:rFonts w:hint="eastAsia" w:ascii="仿宋" w:hAnsi="仿宋" w:eastAsia="仿宋" w:cs="仿宋"/>
          <w:b/>
          <w:sz w:val="32"/>
          <w:lang w:val="en-US" w:eastAsia="zh-CN"/>
        </w:rPr>
        <w:t>王先生</w:t>
      </w:r>
    </w:p>
    <w:p w14:paraId="26D9278E">
      <w:pPr>
        <w:keepNext w:val="0"/>
        <w:keepLines w:val="0"/>
        <w:pageBreakBefore w:val="0"/>
        <w:widowControl/>
        <w:kinsoku/>
        <w:wordWrap/>
        <w:overflowPunct/>
        <w:topLinePunct w:val="0"/>
        <w:autoSpaceDE w:val="0"/>
        <w:autoSpaceDN w:val="0"/>
        <w:bidi w:val="0"/>
        <w:adjustRightInd/>
        <w:snapToGrid/>
        <w:spacing w:line="240" w:lineRule="auto"/>
        <w:ind w:right="0"/>
        <w:textAlignment w:val="bottom"/>
        <w:outlineLvl w:val="9"/>
        <w:rPr>
          <w:rFonts w:hint="eastAsia" w:ascii="仿宋" w:hAnsi="仿宋" w:eastAsia="仿宋" w:cs="仿宋"/>
          <w:b/>
          <w:color w:val="auto"/>
          <w:sz w:val="32"/>
          <w:szCs w:val="32"/>
          <w:highlight w:val="none"/>
        </w:rPr>
      </w:pPr>
      <w:r>
        <w:rPr>
          <w:rFonts w:hint="eastAsia" w:ascii="仿宋" w:hAnsi="仿宋" w:eastAsia="仿宋" w:cs="仿宋"/>
          <w:b/>
          <w:sz w:val="32"/>
        </w:rPr>
        <w:t xml:space="preserve">联系电话: </w:t>
      </w:r>
      <w:r>
        <w:rPr>
          <w:rFonts w:hint="eastAsia" w:ascii="仿宋" w:hAnsi="仿宋" w:eastAsia="仿宋" w:cs="仿宋"/>
          <w:b/>
          <w:sz w:val="32"/>
          <w:lang w:val="en-US" w:eastAsia="zh-CN"/>
        </w:rPr>
        <w:t>13779615026</w:t>
      </w:r>
    </w:p>
    <w:p w14:paraId="767A4BCE">
      <w:pPr>
        <w:outlineLvl w:val="9"/>
        <w:rPr>
          <w:rFonts w:hint="eastAsia"/>
          <w:b/>
          <w:color w:val="auto"/>
          <w:sz w:val="36"/>
          <w:highlight w:val="none"/>
        </w:rPr>
      </w:pPr>
      <w:r>
        <w:rPr>
          <w:rFonts w:hint="eastAsia"/>
          <w:b/>
          <w:color w:val="auto"/>
          <w:sz w:val="36"/>
          <w:highlight w:val="none"/>
        </w:rPr>
        <w:br w:type="page"/>
      </w:r>
    </w:p>
    <w:p w14:paraId="0A34EF3A">
      <w:pPr>
        <w:outlineLvl w:val="9"/>
        <w:rPr>
          <w:rFonts w:hint="eastAsia"/>
        </w:rPr>
      </w:pPr>
    </w:p>
    <w:p w14:paraId="5AD56E77">
      <w:pPr>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招投标监督管理机构备案登记栏</w:t>
      </w:r>
    </w:p>
    <w:tbl>
      <w:tblPr>
        <w:tblStyle w:val="27"/>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952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7" w:hRule="atLeast"/>
          <w:jc w:val="center"/>
        </w:trPr>
        <w:tc>
          <w:tcPr>
            <w:tcW w:w="8460" w:type="dxa"/>
          </w:tcPr>
          <w:p w14:paraId="61769B44">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highlight w:val="none"/>
              </w:rPr>
            </w:pPr>
          </w:p>
          <w:p w14:paraId="612F5F18">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14:paraId="2E691C82">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14:paraId="37B8A174">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w w:val="95"/>
                <w:sz w:val="28"/>
                <w:szCs w:val="28"/>
                <w:highlight w:val="none"/>
                <w:lang w:val="en-US" w:eastAsia="zh-CN"/>
              </w:rPr>
            </w:pPr>
            <w:r>
              <w:rPr>
                <w:rFonts w:hint="eastAsia" w:ascii="仿宋" w:hAnsi="仿宋" w:eastAsia="仿宋" w:cs="仿宋"/>
                <w:color w:val="auto"/>
                <w:sz w:val="28"/>
                <w:szCs w:val="28"/>
                <w:highlight w:val="none"/>
              </w:rPr>
              <w:t>采购单位：</w:t>
            </w:r>
            <w:r>
              <w:rPr>
                <w:rFonts w:hint="eastAsia" w:ascii="仿宋" w:hAnsi="仿宋" w:eastAsia="仿宋" w:cs="仿宋"/>
                <w:color w:val="auto"/>
                <w:sz w:val="28"/>
                <w:szCs w:val="28"/>
                <w:highlight w:val="none"/>
                <w:lang w:eastAsia="zh-CN"/>
              </w:rPr>
              <w:t>阿图什市卫生健康委员会</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w w:val="95"/>
                <w:sz w:val="28"/>
                <w:szCs w:val="28"/>
                <w:highlight w:val="none"/>
                <w:lang w:eastAsia="zh-CN"/>
              </w:rPr>
              <w:t>（盖章）</w:t>
            </w:r>
          </w:p>
          <w:p w14:paraId="29889403">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lang w:val="en-US" w:eastAsia="zh-CN"/>
              </w:rPr>
              <w:t xml:space="preserve">                                           </w:t>
            </w:r>
          </w:p>
          <w:p w14:paraId="14D4F5EE">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08E515C2">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7F36BCF9">
            <w:pPr>
              <w:pageBreakBefore w:val="0"/>
              <w:widowControl w:val="0"/>
              <w:kinsoku/>
              <w:wordWrap/>
              <w:overflowPunct/>
              <w:topLinePunct w:val="0"/>
              <w:autoSpaceDE/>
              <w:autoSpaceDN/>
              <w:bidi w:val="0"/>
              <w:adjustRightInd/>
              <w:snapToGrid/>
              <w:spacing w:line="500" w:lineRule="exact"/>
              <w:ind w:left="3520" w:hanging="3080" w:hangingChars="1100"/>
              <w:jc w:val="left"/>
              <w:textAlignment w:val="auto"/>
              <w:outlineLvl w:val="9"/>
              <w:rPr>
                <w:rFonts w:hint="eastAsia" w:ascii="仿宋" w:hAnsi="仿宋" w:eastAsia="仿宋" w:cs="仿宋"/>
                <w:color w:val="auto"/>
                <w:sz w:val="28"/>
                <w:szCs w:val="28"/>
                <w:highlight w:val="none"/>
              </w:rPr>
            </w:pPr>
          </w:p>
          <w:p w14:paraId="3CB5124D">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阿图什市基层医疗卫生机构改造提升项目设备采购</w:t>
            </w:r>
          </w:p>
          <w:p w14:paraId="2B3C030C">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4221DDBC">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7F7C49A2">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5846AFEC">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8"/>
                <w:szCs w:val="28"/>
                <w:highlight w:val="none"/>
              </w:rPr>
            </w:pPr>
          </w:p>
          <w:p w14:paraId="399B497D">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lang w:eastAsia="zh-CN"/>
              </w:rPr>
              <w:t>新疆天勤工程管理有限公司（盖章）</w:t>
            </w:r>
          </w:p>
          <w:p w14:paraId="7A922BF0">
            <w:pPr>
              <w:jc w:val="center"/>
              <w:outlineLvl w:val="9"/>
              <w:rPr>
                <w:rFonts w:hint="eastAsia" w:ascii="仿宋" w:hAnsi="仿宋" w:eastAsia="仿宋" w:cs="仿宋"/>
                <w:color w:val="auto"/>
                <w:highlight w:val="none"/>
              </w:rPr>
            </w:pPr>
          </w:p>
          <w:p w14:paraId="18A795A3">
            <w:pPr>
              <w:outlineLvl w:val="9"/>
              <w:rPr>
                <w:rFonts w:hint="eastAsia"/>
              </w:rPr>
            </w:pPr>
          </w:p>
          <w:p w14:paraId="78700DE9">
            <w:pPr>
              <w:outlineLvl w:val="9"/>
              <w:rPr>
                <w:rFonts w:hint="eastAsia"/>
              </w:rPr>
            </w:pPr>
          </w:p>
          <w:p w14:paraId="33209810">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p>
          <w:p w14:paraId="647CEE73">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p>
          <w:p w14:paraId="453B5341">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日  期：20</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月</w:t>
            </w:r>
          </w:p>
          <w:p w14:paraId="43F2F1A5">
            <w:pPr>
              <w:outlineLvl w:val="9"/>
              <w:rPr>
                <w:rFonts w:hint="eastAsia" w:ascii="仿宋" w:hAnsi="仿宋" w:eastAsia="仿宋" w:cs="仿宋"/>
                <w:color w:val="auto"/>
                <w:highlight w:val="none"/>
              </w:rPr>
            </w:pPr>
          </w:p>
        </w:tc>
      </w:tr>
    </w:tbl>
    <w:p w14:paraId="7932397D">
      <w:pPr>
        <w:outlineLvl w:val="9"/>
        <w:rPr>
          <w:rFonts w:hint="eastAsia"/>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p>
    <w:p w14:paraId="3B74AC7F">
      <w:pPr>
        <w:keepNext w:val="0"/>
        <w:keepLines w:val="0"/>
        <w:pageBreakBefore w:val="0"/>
        <w:widowControl w:val="0"/>
        <w:shd w:val="clear" w:color="auto" w:fill="auto"/>
        <w:kinsoku/>
        <w:wordWrap/>
        <w:overflowPunct/>
        <w:topLinePunct w:val="0"/>
        <w:autoSpaceDE/>
        <w:autoSpaceDN/>
        <w:bidi w:val="0"/>
        <w:adjustRightInd/>
        <w:snapToGrid/>
        <w:spacing w:line="700" w:lineRule="exact"/>
        <w:jc w:val="center"/>
        <w:textAlignment w:val="auto"/>
        <w:outlineLvl w:val="9"/>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目  录</w:t>
      </w:r>
    </w:p>
    <w:p w14:paraId="7660379B">
      <w:pPr>
        <w:pStyle w:val="20"/>
        <w:keepNext w:val="0"/>
        <w:keepLines w:val="0"/>
        <w:pageBreakBefore w:val="0"/>
        <w:tabs>
          <w:tab w:val="right" w:leader="dot" w:pos="9746"/>
        </w:tabs>
        <w:kinsoku/>
        <w:wordWrap/>
        <w:overflowPunct/>
        <w:topLinePunct w:val="0"/>
        <w:autoSpaceDE/>
        <w:autoSpaceDN/>
        <w:bidi w:val="0"/>
        <w:adjustRightInd/>
        <w:snapToGrid/>
        <w:spacing w:line="700" w:lineRule="exact"/>
        <w:textAlignment w:val="auto"/>
        <w:rPr>
          <w:sz w:val="40"/>
          <w:szCs w:val="48"/>
        </w:rPr>
      </w:pPr>
      <w:r>
        <w:rPr>
          <w:rFonts w:hint="eastAsia" w:ascii="仿宋" w:hAnsi="仿宋" w:eastAsia="仿宋" w:cs="仿宋"/>
          <w:color w:val="auto"/>
          <w:sz w:val="56"/>
          <w:szCs w:val="56"/>
          <w:highlight w:val="none"/>
        </w:rPr>
        <w:fldChar w:fldCharType="begin"/>
      </w:r>
      <w:r>
        <w:rPr>
          <w:rFonts w:hint="eastAsia" w:ascii="仿宋" w:hAnsi="仿宋" w:eastAsia="仿宋" w:cs="仿宋"/>
          <w:color w:val="auto"/>
          <w:sz w:val="56"/>
          <w:szCs w:val="56"/>
          <w:highlight w:val="none"/>
        </w:rPr>
        <w:instrText xml:space="preserve"> TOC \o "1-3" \h \z \u </w:instrText>
      </w:r>
      <w:r>
        <w:rPr>
          <w:rFonts w:hint="eastAsia" w:ascii="仿宋" w:hAnsi="仿宋" w:eastAsia="仿宋" w:cs="仿宋"/>
          <w:color w:val="auto"/>
          <w:sz w:val="56"/>
          <w:szCs w:val="56"/>
          <w:highlight w:val="none"/>
        </w:rPr>
        <w:fldChar w:fldCharType="separate"/>
      </w:r>
      <w:r>
        <w:rPr>
          <w:rFonts w:hint="eastAsia" w:ascii="仿宋" w:hAnsi="仿宋" w:eastAsia="仿宋" w:cs="仿宋"/>
          <w:color w:val="auto"/>
          <w:sz w:val="40"/>
          <w:szCs w:val="56"/>
          <w:highlight w:val="none"/>
        </w:rPr>
        <w:fldChar w:fldCharType="begin"/>
      </w:r>
      <w:r>
        <w:rPr>
          <w:rFonts w:hint="eastAsia" w:ascii="仿宋" w:hAnsi="仿宋" w:eastAsia="仿宋" w:cs="仿宋"/>
          <w:sz w:val="40"/>
          <w:szCs w:val="56"/>
          <w:highlight w:val="none"/>
        </w:rPr>
        <w:instrText xml:space="preserve"> HYPERLINK \l _Toc697 </w:instrText>
      </w:r>
      <w:r>
        <w:rPr>
          <w:rFonts w:hint="eastAsia" w:ascii="仿宋" w:hAnsi="仿宋" w:eastAsia="仿宋" w:cs="仿宋"/>
          <w:sz w:val="40"/>
          <w:szCs w:val="56"/>
          <w:highlight w:val="none"/>
        </w:rPr>
        <w:fldChar w:fldCharType="separate"/>
      </w:r>
      <w:r>
        <w:rPr>
          <w:rFonts w:hint="default" w:ascii="仿宋" w:hAnsi="仿宋" w:eastAsia="仿宋" w:cs="仿宋"/>
          <w:bCs/>
          <w:sz w:val="40"/>
          <w:szCs w:val="72"/>
        </w:rPr>
        <w:t xml:space="preserve">第一章 </w:t>
      </w:r>
      <w:r>
        <w:rPr>
          <w:rFonts w:hint="eastAsia" w:ascii="仿宋" w:hAnsi="仿宋" w:eastAsia="仿宋" w:cs="仿宋"/>
          <w:bCs/>
          <w:sz w:val="40"/>
          <w:szCs w:val="72"/>
          <w:highlight w:val="none"/>
        </w:rPr>
        <w:t>招标公告</w:t>
      </w:r>
      <w:r>
        <w:rPr>
          <w:sz w:val="40"/>
          <w:szCs w:val="48"/>
        </w:rPr>
        <w:tab/>
      </w:r>
      <w:r>
        <w:rPr>
          <w:sz w:val="40"/>
          <w:szCs w:val="48"/>
        </w:rPr>
        <w:fldChar w:fldCharType="begin"/>
      </w:r>
      <w:r>
        <w:rPr>
          <w:sz w:val="40"/>
          <w:szCs w:val="48"/>
        </w:rPr>
        <w:instrText xml:space="preserve"> PAGEREF _Toc697 \h </w:instrText>
      </w:r>
      <w:r>
        <w:rPr>
          <w:sz w:val="40"/>
          <w:szCs w:val="48"/>
        </w:rPr>
        <w:fldChar w:fldCharType="separate"/>
      </w:r>
      <w:r>
        <w:rPr>
          <w:sz w:val="40"/>
          <w:szCs w:val="48"/>
        </w:rPr>
        <w:t>1</w:t>
      </w:r>
      <w:r>
        <w:rPr>
          <w:sz w:val="40"/>
          <w:szCs w:val="48"/>
        </w:rPr>
        <w:fldChar w:fldCharType="end"/>
      </w:r>
      <w:r>
        <w:rPr>
          <w:rFonts w:hint="eastAsia" w:ascii="仿宋" w:hAnsi="仿宋" w:eastAsia="仿宋" w:cs="仿宋"/>
          <w:color w:val="auto"/>
          <w:sz w:val="40"/>
          <w:szCs w:val="56"/>
          <w:highlight w:val="none"/>
        </w:rPr>
        <w:fldChar w:fldCharType="end"/>
      </w:r>
    </w:p>
    <w:p w14:paraId="764E4C64">
      <w:pPr>
        <w:pStyle w:val="20"/>
        <w:keepNext w:val="0"/>
        <w:keepLines w:val="0"/>
        <w:pageBreakBefore w:val="0"/>
        <w:tabs>
          <w:tab w:val="right" w:leader="dot" w:pos="9746"/>
        </w:tabs>
        <w:kinsoku/>
        <w:wordWrap/>
        <w:overflowPunct/>
        <w:topLinePunct w:val="0"/>
        <w:autoSpaceDE/>
        <w:autoSpaceDN/>
        <w:bidi w:val="0"/>
        <w:adjustRightInd/>
        <w:snapToGrid/>
        <w:spacing w:line="700" w:lineRule="exact"/>
        <w:textAlignment w:val="auto"/>
        <w:rPr>
          <w:sz w:val="40"/>
          <w:szCs w:val="48"/>
        </w:rPr>
      </w:pPr>
      <w:r>
        <w:rPr>
          <w:rFonts w:hint="eastAsia" w:ascii="仿宋" w:hAnsi="仿宋" w:eastAsia="仿宋" w:cs="仿宋"/>
          <w:color w:val="auto"/>
          <w:sz w:val="40"/>
          <w:szCs w:val="56"/>
          <w:highlight w:val="none"/>
        </w:rPr>
        <w:fldChar w:fldCharType="begin"/>
      </w:r>
      <w:r>
        <w:rPr>
          <w:rFonts w:hint="eastAsia" w:ascii="仿宋" w:hAnsi="仿宋" w:eastAsia="仿宋" w:cs="仿宋"/>
          <w:sz w:val="40"/>
          <w:szCs w:val="56"/>
          <w:highlight w:val="none"/>
        </w:rPr>
        <w:instrText xml:space="preserve"> HYPERLINK \l _Toc24479 </w:instrText>
      </w:r>
      <w:r>
        <w:rPr>
          <w:rFonts w:hint="eastAsia" w:ascii="仿宋" w:hAnsi="仿宋" w:eastAsia="仿宋" w:cs="仿宋"/>
          <w:sz w:val="40"/>
          <w:szCs w:val="56"/>
          <w:highlight w:val="none"/>
        </w:rPr>
        <w:fldChar w:fldCharType="separate"/>
      </w:r>
      <w:r>
        <w:rPr>
          <w:rFonts w:hint="eastAsia" w:ascii="仿宋" w:hAnsi="仿宋" w:eastAsia="仿宋" w:cs="仿宋"/>
          <w:sz w:val="40"/>
          <w:szCs w:val="56"/>
          <w:highlight w:val="none"/>
        </w:rPr>
        <w:t>第二章 投标人须知</w:t>
      </w:r>
      <w:r>
        <w:rPr>
          <w:sz w:val="40"/>
          <w:szCs w:val="48"/>
        </w:rPr>
        <w:tab/>
      </w:r>
      <w:r>
        <w:rPr>
          <w:sz w:val="40"/>
          <w:szCs w:val="48"/>
        </w:rPr>
        <w:fldChar w:fldCharType="begin"/>
      </w:r>
      <w:r>
        <w:rPr>
          <w:sz w:val="40"/>
          <w:szCs w:val="48"/>
        </w:rPr>
        <w:instrText xml:space="preserve"> PAGEREF _Toc24479 \h </w:instrText>
      </w:r>
      <w:r>
        <w:rPr>
          <w:sz w:val="40"/>
          <w:szCs w:val="48"/>
        </w:rPr>
        <w:fldChar w:fldCharType="separate"/>
      </w:r>
      <w:r>
        <w:rPr>
          <w:sz w:val="40"/>
          <w:szCs w:val="48"/>
        </w:rPr>
        <w:t>7</w:t>
      </w:r>
      <w:r>
        <w:rPr>
          <w:sz w:val="40"/>
          <w:szCs w:val="48"/>
        </w:rPr>
        <w:fldChar w:fldCharType="end"/>
      </w:r>
      <w:r>
        <w:rPr>
          <w:rFonts w:hint="eastAsia" w:ascii="仿宋" w:hAnsi="仿宋" w:eastAsia="仿宋" w:cs="仿宋"/>
          <w:color w:val="auto"/>
          <w:sz w:val="40"/>
          <w:szCs w:val="56"/>
          <w:highlight w:val="none"/>
        </w:rPr>
        <w:fldChar w:fldCharType="end"/>
      </w:r>
    </w:p>
    <w:p w14:paraId="5D321185">
      <w:pPr>
        <w:pStyle w:val="20"/>
        <w:keepNext w:val="0"/>
        <w:keepLines w:val="0"/>
        <w:pageBreakBefore w:val="0"/>
        <w:tabs>
          <w:tab w:val="right" w:leader="dot" w:pos="9746"/>
        </w:tabs>
        <w:kinsoku/>
        <w:wordWrap/>
        <w:overflowPunct/>
        <w:topLinePunct w:val="0"/>
        <w:autoSpaceDE/>
        <w:autoSpaceDN/>
        <w:bidi w:val="0"/>
        <w:adjustRightInd/>
        <w:snapToGrid/>
        <w:spacing w:line="700" w:lineRule="exact"/>
        <w:textAlignment w:val="auto"/>
        <w:rPr>
          <w:sz w:val="40"/>
          <w:szCs w:val="48"/>
        </w:rPr>
      </w:pPr>
      <w:r>
        <w:rPr>
          <w:rFonts w:hint="eastAsia" w:ascii="仿宋" w:hAnsi="仿宋" w:eastAsia="仿宋" w:cs="仿宋"/>
          <w:color w:val="auto"/>
          <w:sz w:val="40"/>
          <w:szCs w:val="56"/>
          <w:highlight w:val="none"/>
        </w:rPr>
        <w:fldChar w:fldCharType="begin"/>
      </w:r>
      <w:r>
        <w:rPr>
          <w:rFonts w:hint="eastAsia" w:ascii="仿宋" w:hAnsi="仿宋" w:eastAsia="仿宋" w:cs="仿宋"/>
          <w:sz w:val="40"/>
          <w:szCs w:val="56"/>
          <w:highlight w:val="none"/>
        </w:rPr>
        <w:instrText xml:space="preserve"> HYPERLINK \l _Toc16733 </w:instrText>
      </w:r>
      <w:r>
        <w:rPr>
          <w:rFonts w:hint="eastAsia" w:ascii="仿宋" w:hAnsi="仿宋" w:eastAsia="仿宋" w:cs="仿宋"/>
          <w:sz w:val="40"/>
          <w:szCs w:val="56"/>
          <w:highlight w:val="none"/>
        </w:rPr>
        <w:fldChar w:fldCharType="separate"/>
      </w:r>
      <w:r>
        <w:rPr>
          <w:rFonts w:hint="eastAsia" w:ascii="仿宋" w:hAnsi="仿宋" w:eastAsia="仿宋" w:cs="仿宋"/>
          <w:bCs/>
          <w:sz w:val="40"/>
          <w:szCs w:val="72"/>
          <w:highlight w:val="none"/>
        </w:rPr>
        <w:t>第三章 评标办法</w:t>
      </w:r>
      <w:r>
        <w:rPr>
          <w:sz w:val="40"/>
          <w:szCs w:val="48"/>
        </w:rPr>
        <w:tab/>
      </w:r>
      <w:r>
        <w:rPr>
          <w:sz w:val="40"/>
          <w:szCs w:val="48"/>
        </w:rPr>
        <w:fldChar w:fldCharType="begin"/>
      </w:r>
      <w:r>
        <w:rPr>
          <w:sz w:val="40"/>
          <w:szCs w:val="48"/>
        </w:rPr>
        <w:instrText xml:space="preserve"> PAGEREF _Toc16733 \h </w:instrText>
      </w:r>
      <w:r>
        <w:rPr>
          <w:sz w:val="40"/>
          <w:szCs w:val="48"/>
        </w:rPr>
        <w:fldChar w:fldCharType="separate"/>
      </w:r>
      <w:r>
        <w:rPr>
          <w:sz w:val="40"/>
          <w:szCs w:val="48"/>
        </w:rPr>
        <w:t>42</w:t>
      </w:r>
      <w:r>
        <w:rPr>
          <w:sz w:val="40"/>
          <w:szCs w:val="48"/>
        </w:rPr>
        <w:fldChar w:fldCharType="end"/>
      </w:r>
      <w:r>
        <w:rPr>
          <w:rFonts w:hint="eastAsia" w:ascii="仿宋" w:hAnsi="仿宋" w:eastAsia="仿宋" w:cs="仿宋"/>
          <w:color w:val="auto"/>
          <w:sz w:val="40"/>
          <w:szCs w:val="56"/>
          <w:highlight w:val="none"/>
        </w:rPr>
        <w:fldChar w:fldCharType="end"/>
      </w:r>
    </w:p>
    <w:p w14:paraId="23BB724D">
      <w:pPr>
        <w:pStyle w:val="20"/>
        <w:keepNext w:val="0"/>
        <w:keepLines w:val="0"/>
        <w:pageBreakBefore w:val="0"/>
        <w:tabs>
          <w:tab w:val="right" w:leader="dot" w:pos="9746"/>
        </w:tabs>
        <w:kinsoku/>
        <w:wordWrap/>
        <w:overflowPunct/>
        <w:topLinePunct w:val="0"/>
        <w:autoSpaceDE/>
        <w:autoSpaceDN/>
        <w:bidi w:val="0"/>
        <w:adjustRightInd/>
        <w:snapToGrid/>
        <w:spacing w:line="700" w:lineRule="exact"/>
        <w:textAlignment w:val="auto"/>
        <w:rPr>
          <w:sz w:val="40"/>
          <w:szCs w:val="48"/>
        </w:rPr>
      </w:pPr>
      <w:r>
        <w:rPr>
          <w:rFonts w:hint="eastAsia" w:ascii="仿宋" w:hAnsi="仿宋" w:eastAsia="仿宋" w:cs="仿宋"/>
          <w:color w:val="auto"/>
          <w:sz w:val="40"/>
          <w:szCs w:val="56"/>
          <w:highlight w:val="none"/>
        </w:rPr>
        <w:fldChar w:fldCharType="begin"/>
      </w:r>
      <w:r>
        <w:rPr>
          <w:rFonts w:hint="eastAsia" w:ascii="仿宋" w:hAnsi="仿宋" w:eastAsia="仿宋" w:cs="仿宋"/>
          <w:sz w:val="40"/>
          <w:szCs w:val="56"/>
          <w:highlight w:val="none"/>
        </w:rPr>
        <w:instrText xml:space="preserve"> HYPERLINK \l _Toc31425 </w:instrText>
      </w:r>
      <w:r>
        <w:rPr>
          <w:rFonts w:hint="eastAsia" w:ascii="仿宋" w:hAnsi="仿宋" w:eastAsia="仿宋" w:cs="仿宋"/>
          <w:sz w:val="40"/>
          <w:szCs w:val="56"/>
          <w:highlight w:val="none"/>
        </w:rPr>
        <w:fldChar w:fldCharType="separate"/>
      </w:r>
      <w:r>
        <w:rPr>
          <w:rFonts w:hint="eastAsia" w:ascii="仿宋" w:hAnsi="仿宋" w:eastAsia="仿宋" w:cs="仿宋"/>
          <w:sz w:val="40"/>
          <w:szCs w:val="72"/>
          <w:highlight w:val="none"/>
        </w:rPr>
        <w:t>第四章 采购内容及技术参数要求</w:t>
      </w:r>
      <w:r>
        <w:rPr>
          <w:sz w:val="40"/>
          <w:szCs w:val="48"/>
        </w:rPr>
        <w:tab/>
      </w:r>
      <w:r>
        <w:rPr>
          <w:sz w:val="40"/>
          <w:szCs w:val="48"/>
        </w:rPr>
        <w:fldChar w:fldCharType="begin"/>
      </w:r>
      <w:r>
        <w:rPr>
          <w:sz w:val="40"/>
          <w:szCs w:val="48"/>
        </w:rPr>
        <w:instrText xml:space="preserve"> PAGEREF _Toc31425 \h </w:instrText>
      </w:r>
      <w:r>
        <w:rPr>
          <w:sz w:val="40"/>
          <w:szCs w:val="48"/>
        </w:rPr>
        <w:fldChar w:fldCharType="separate"/>
      </w:r>
      <w:r>
        <w:rPr>
          <w:sz w:val="40"/>
          <w:szCs w:val="48"/>
        </w:rPr>
        <w:t>52</w:t>
      </w:r>
      <w:r>
        <w:rPr>
          <w:sz w:val="40"/>
          <w:szCs w:val="48"/>
        </w:rPr>
        <w:fldChar w:fldCharType="end"/>
      </w:r>
      <w:r>
        <w:rPr>
          <w:rFonts w:hint="eastAsia" w:ascii="仿宋" w:hAnsi="仿宋" w:eastAsia="仿宋" w:cs="仿宋"/>
          <w:color w:val="auto"/>
          <w:sz w:val="40"/>
          <w:szCs w:val="56"/>
          <w:highlight w:val="none"/>
        </w:rPr>
        <w:fldChar w:fldCharType="end"/>
      </w:r>
    </w:p>
    <w:p w14:paraId="6C56E766">
      <w:pPr>
        <w:pStyle w:val="20"/>
        <w:keepNext w:val="0"/>
        <w:keepLines w:val="0"/>
        <w:pageBreakBefore w:val="0"/>
        <w:tabs>
          <w:tab w:val="right" w:leader="dot" w:pos="9746"/>
        </w:tabs>
        <w:kinsoku/>
        <w:wordWrap/>
        <w:overflowPunct/>
        <w:topLinePunct w:val="0"/>
        <w:autoSpaceDE/>
        <w:autoSpaceDN/>
        <w:bidi w:val="0"/>
        <w:adjustRightInd/>
        <w:snapToGrid/>
        <w:spacing w:line="700" w:lineRule="exact"/>
        <w:textAlignment w:val="auto"/>
        <w:rPr>
          <w:sz w:val="40"/>
          <w:szCs w:val="48"/>
        </w:rPr>
      </w:pPr>
      <w:r>
        <w:rPr>
          <w:rFonts w:hint="eastAsia" w:ascii="仿宋" w:hAnsi="仿宋" w:eastAsia="仿宋" w:cs="仿宋"/>
          <w:color w:val="auto"/>
          <w:sz w:val="40"/>
          <w:szCs w:val="56"/>
          <w:highlight w:val="none"/>
        </w:rPr>
        <w:fldChar w:fldCharType="begin"/>
      </w:r>
      <w:r>
        <w:rPr>
          <w:rFonts w:hint="eastAsia" w:ascii="仿宋" w:hAnsi="仿宋" w:eastAsia="仿宋" w:cs="仿宋"/>
          <w:sz w:val="40"/>
          <w:szCs w:val="56"/>
          <w:highlight w:val="none"/>
        </w:rPr>
        <w:instrText xml:space="preserve"> HYPERLINK \l _Toc6896 </w:instrText>
      </w:r>
      <w:r>
        <w:rPr>
          <w:rFonts w:hint="eastAsia" w:ascii="仿宋" w:hAnsi="仿宋" w:eastAsia="仿宋" w:cs="仿宋"/>
          <w:sz w:val="40"/>
          <w:szCs w:val="56"/>
          <w:highlight w:val="none"/>
        </w:rPr>
        <w:fldChar w:fldCharType="separate"/>
      </w:r>
      <w:r>
        <w:rPr>
          <w:rFonts w:hint="eastAsia" w:ascii="仿宋" w:hAnsi="仿宋" w:eastAsia="仿宋" w:cs="仿宋"/>
          <w:sz w:val="40"/>
          <w:szCs w:val="72"/>
          <w:highlight w:val="none"/>
          <w:lang w:eastAsia="zh-CN"/>
        </w:rPr>
        <w:t>第五章 合同条款及格式</w:t>
      </w:r>
      <w:r>
        <w:rPr>
          <w:sz w:val="40"/>
          <w:szCs w:val="48"/>
        </w:rPr>
        <w:tab/>
      </w:r>
      <w:r>
        <w:rPr>
          <w:sz w:val="40"/>
          <w:szCs w:val="48"/>
        </w:rPr>
        <w:fldChar w:fldCharType="begin"/>
      </w:r>
      <w:r>
        <w:rPr>
          <w:sz w:val="40"/>
          <w:szCs w:val="48"/>
        </w:rPr>
        <w:instrText xml:space="preserve"> PAGEREF _Toc6896 \h </w:instrText>
      </w:r>
      <w:r>
        <w:rPr>
          <w:sz w:val="40"/>
          <w:szCs w:val="48"/>
        </w:rPr>
        <w:fldChar w:fldCharType="separate"/>
      </w:r>
      <w:r>
        <w:rPr>
          <w:sz w:val="40"/>
          <w:szCs w:val="48"/>
        </w:rPr>
        <w:t>142</w:t>
      </w:r>
      <w:r>
        <w:rPr>
          <w:sz w:val="40"/>
          <w:szCs w:val="48"/>
        </w:rPr>
        <w:fldChar w:fldCharType="end"/>
      </w:r>
      <w:r>
        <w:rPr>
          <w:rFonts w:hint="eastAsia" w:ascii="仿宋" w:hAnsi="仿宋" w:eastAsia="仿宋" w:cs="仿宋"/>
          <w:color w:val="auto"/>
          <w:sz w:val="40"/>
          <w:szCs w:val="56"/>
          <w:highlight w:val="none"/>
        </w:rPr>
        <w:fldChar w:fldCharType="end"/>
      </w:r>
    </w:p>
    <w:p w14:paraId="1AA8852D">
      <w:pPr>
        <w:pStyle w:val="20"/>
        <w:keepNext w:val="0"/>
        <w:keepLines w:val="0"/>
        <w:pageBreakBefore w:val="0"/>
        <w:tabs>
          <w:tab w:val="right" w:leader="dot" w:pos="9746"/>
        </w:tabs>
        <w:kinsoku/>
        <w:wordWrap/>
        <w:overflowPunct/>
        <w:topLinePunct w:val="0"/>
        <w:autoSpaceDE/>
        <w:autoSpaceDN/>
        <w:bidi w:val="0"/>
        <w:adjustRightInd/>
        <w:snapToGrid/>
        <w:spacing w:line="700" w:lineRule="exact"/>
        <w:textAlignment w:val="auto"/>
        <w:rPr>
          <w:sz w:val="40"/>
          <w:szCs w:val="48"/>
        </w:rPr>
      </w:pPr>
      <w:r>
        <w:rPr>
          <w:rFonts w:hint="eastAsia" w:ascii="仿宋" w:hAnsi="仿宋" w:eastAsia="仿宋" w:cs="仿宋"/>
          <w:color w:val="auto"/>
          <w:sz w:val="40"/>
          <w:szCs w:val="56"/>
          <w:highlight w:val="none"/>
        </w:rPr>
        <w:fldChar w:fldCharType="begin"/>
      </w:r>
      <w:r>
        <w:rPr>
          <w:rFonts w:hint="eastAsia" w:ascii="仿宋" w:hAnsi="仿宋" w:eastAsia="仿宋" w:cs="仿宋"/>
          <w:sz w:val="40"/>
          <w:szCs w:val="56"/>
          <w:highlight w:val="none"/>
        </w:rPr>
        <w:instrText xml:space="preserve"> HYPERLINK \l _Toc23744 </w:instrText>
      </w:r>
      <w:r>
        <w:rPr>
          <w:rFonts w:hint="eastAsia" w:ascii="仿宋" w:hAnsi="仿宋" w:eastAsia="仿宋" w:cs="仿宋"/>
          <w:sz w:val="40"/>
          <w:szCs w:val="56"/>
          <w:highlight w:val="none"/>
        </w:rPr>
        <w:fldChar w:fldCharType="separate"/>
      </w:r>
      <w:r>
        <w:rPr>
          <w:rFonts w:hint="eastAsia" w:ascii="仿宋" w:hAnsi="仿宋" w:eastAsia="仿宋" w:cs="仿宋"/>
          <w:bCs/>
          <w:sz w:val="40"/>
          <w:szCs w:val="72"/>
        </w:rPr>
        <w:t>第</w:t>
      </w:r>
      <w:r>
        <w:rPr>
          <w:rFonts w:hint="eastAsia" w:ascii="仿宋" w:hAnsi="仿宋" w:eastAsia="仿宋" w:cs="仿宋"/>
          <w:bCs/>
          <w:sz w:val="40"/>
          <w:szCs w:val="72"/>
          <w:lang w:eastAsia="zh-CN"/>
        </w:rPr>
        <w:t>六</w:t>
      </w:r>
      <w:r>
        <w:rPr>
          <w:rFonts w:hint="eastAsia" w:ascii="仿宋" w:hAnsi="仿宋" w:eastAsia="仿宋" w:cs="仿宋"/>
          <w:bCs/>
          <w:sz w:val="40"/>
          <w:szCs w:val="72"/>
          <w:lang w:val="en-US" w:eastAsia="zh-CN"/>
        </w:rPr>
        <w:t xml:space="preserve">章 </w:t>
      </w:r>
      <w:r>
        <w:rPr>
          <w:rFonts w:hint="eastAsia" w:ascii="仿宋" w:hAnsi="仿宋" w:eastAsia="仿宋" w:cs="仿宋"/>
          <w:bCs/>
          <w:sz w:val="40"/>
          <w:szCs w:val="72"/>
        </w:rPr>
        <w:t>投标文件格式</w:t>
      </w:r>
      <w:r>
        <w:rPr>
          <w:sz w:val="40"/>
          <w:szCs w:val="48"/>
        </w:rPr>
        <w:tab/>
      </w:r>
      <w:r>
        <w:rPr>
          <w:sz w:val="40"/>
          <w:szCs w:val="48"/>
        </w:rPr>
        <w:fldChar w:fldCharType="begin"/>
      </w:r>
      <w:r>
        <w:rPr>
          <w:sz w:val="40"/>
          <w:szCs w:val="48"/>
        </w:rPr>
        <w:instrText xml:space="preserve"> PAGEREF _Toc23744 \h </w:instrText>
      </w:r>
      <w:r>
        <w:rPr>
          <w:sz w:val="40"/>
          <w:szCs w:val="48"/>
        </w:rPr>
        <w:fldChar w:fldCharType="separate"/>
      </w:r>
      <w:r>
        <w:rPr>
          <w:sz w:val="40"/>
          <w:szCs w:val="48"/>
        </w:rPr>
        <w:t>147</w:t>
      </w:r>
      <w:r>
        <w:rPr>
          <w:sz w:val="40"/>
          <w:szCs w:val="48"/>
        </w:rPr>
        <w:fldChar w:fldCharType="end"/>
      </w:r>
      <w:r>
        <w:rPr>
          <w:rFonts w:hint="eastAsia" w:ascii="仿宋" w:hAnsi="仿宋" w:eastAsia="仿宋" w:cs="仿宋"/>
          <w:color w:val="auto"/>
          <w:sz w:val="40"/>
          <w:szCs w:val="56"/>
          <w:highlight w:val="none"/>
        </w:rPr>
        <w:fldChar w:fldCharType="end"/>
      </w:r>
    </w:p>
    <w:p w14:paraId="4D6FDBF2">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700" w:lineRule="exact"/>
        <w:ind w:left="0" w:right="0" w:firstLine="420"/>
        <w:textAlignment w:val="auto"/>
        <w:outlineLvl w:val="9"/>
        <w:rPr>
          <w:rFonts w:hint="eastAsia" w:ascii="仿宋" w:hAnsi="仿宋" w:eastAsia="仿宋" w:cs="仿宋"/>
          <w:color w:val="auto"/>
          <w:sz w:val="56"/>
          <w:szCs w:val="56"/>
          <w:highlight w:val="none"/>
        </w:rPr>
      </w:pPr>
      <w:r>
        <w:rPr>
          <w:rFonts w:hint="eastAsia" w:ascii="仿宋" w:hAnsi="仿宋" w:eastAsia="仿宋" w:cs="仿宋"/>
          <w:color w:val="auto"/>
          <w:sz w:val="48"/>
          <w:szCs w:val="56"/>
          <w:highlight w:val="none"/>
        </w:rPr>
        <w:fldChar w:fldCharType="end"/>
      </w:r>
    </w:p>
    <w:p w14:paraId="6F4F7E8B">
      <w:pPr>
        <w:pStyle w:val="24"/>
        <w:keepNext w:val="0"/>
        <w:keepLines w:val="0"/>
        <w:pageBreakBefore w:val="0"/>
        <w:widowControl/>
        <w:suppressLineNumbers w:val="0"/>
        <w:kinsoku/>
        <w:wordWrap/>
        <w:overflowPunct/>
        <w:topLinePunct w:val="0"/>
        <w:autoSpaceDE/>
        <w:autoSpaceDN/>
        <w:bidi w:val="0"/>
        <w:spacing w:before="75" w:beforeAutospacing="0" w:after="75" w:afterAutospacing="0" w:line="120" w:lineRule="auto"/>
        <w:ind w:left="0" w:right="0" w:firstLine="420"/>
        <w:outlineLvl w:val="9"/>
        <w:rPr>
          <w:rFonts w:hint="eastAsia" w:ascii="宋体" w:hAnsi="宋体" w:cs="宋体"/>
          <w:color w:val="auto"/>
          <w:sz w:val="24"/>
          <w:highlight w:val="none"/>
        </w:rPr>
      </w:pPr>
    </w:p>
    <w:p w14:paraId="46986E1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distribute"/>
        <w:textAlignment w:val="auto"/>
        <w:outlineLvl w:val="9"/>
        <w:rPr>
          <w:rFonts w:hint="eastAsia" w:ascii="宋体" w:hAnsi="宋体" w:cs="宋体"/>
          <w:color w:val="auto"/>
          <w:sz w:val="24"/>
          <w:highlight w:val="none"/>
        </w:rPr>
      </w:pPr>
    </w:p>
    <w:p w14:paraId="0C4B6402">
      <w:pPr>
        <w:numPr>
          <w:ilvl w:val="0"/>
          <w:numId w:val="3"/>
        </w:numPr>
        <w:shd w:val="clear" w:color="auto" w:fill="auto"/>
        <w:spacing w:line="420" w:lineRule="exact"/>
        <w:jc w:val="center"/>
        <w:outlineLvl w:val="9"/>
        <w:rPr>
          <w:rFonts w:hint="eastAsia" w:ascii="宋体"/>
          <w:b/>
          <w:bCs/>
          <w:color w:val="auto"/>
          <w:sz w:val="32"/>
          <w:szCs w:val="32"/>
          <w:highlight w:val="none"/>
        </w:rPr>
        <w:sectPr>
          <w:footerReference r:id="rId5" w:type="default"/>
          <w:pgSz w:w="11906" w:h="16838"/>
          <w:pgMar w:top="1440" w:right="1080" w:bottom="1440" w:left="1080" w:header="851" w:footer="992" w:gutter="0"/>
          <w:pgNumType w:fmt="decimal" w:start="1"/>
          <w:cols w:space="720" w:num="1"/>
          <w:docGrid w:type="linesAndChars" w:linePitch="312" w:charSpace="0"/>
        </w:sectPr>
      </w:pPr>
      <w:bookmarkStart w:id="0" w:name="_Toc469495720"/>
    </w:p>
    <w:p w14:paraId="02BE54CC">
      <w:pPr>
        <w:numPr>
          <w:ilvl w:val="0"/>
          <w:numId w:val="3"/>
        </w:numPr>
        <w:shd w:val="clear" w:color="auto" w:fill="auto"/>
        <w:spacing w:line="420" w:lineRule="exact"/>
        <w:jc w:val="center"/>
        <w:outlineLvl w:val="0"/>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lang w:val="en-US" w:eastAsia="zh-CN"/>
        </w:rPr>
        <w:t xml:space="preserve"> </w:t>
      </w:r>
      <w:bookmarkStart w:id="1" w:name="_Toc22750"/>
      <w:bookmarkStart w:id="2" w:name="_Toc32642"/>
      <w:bookmarkStart w:id="3" w:name="_Toc697"/>
      <w:r>
        <w:rPr>
          <w:rFonts w:hint="eastAsia" w:ascii="仿宋" w:hAnsi="仿宋" w:eastAsia="仿宋" w:cs="仿宋"/>
          <w:b/>
          <w:bCs/>
          <w:color w:val="auto"/>
          <w:sz w:val="40"/>
          <w:szCs w:val="40"/>
          <w:highlight w:val="none"/>
        </w:rPr>
        <w:t>招标公告</w:t>
      </w:r>
      <w:bookmarkEnd w:id="0"/>
      <w:bookmarkEnd w:id="1"/>
      <w:bookmarkEnd w:id="2"/>
      <w:bookmarkEnd w:id="3"/>
    </w:p>
    <w:p w14:paraId="3B2D3451">
      <w:pPr>
        <w:pStyle w:val="24"/>
        <w:keepNext w:val="0"/>
        <w:keepLines w:val="0"/>
        <w:widowControl/>
        <w:suppressLineNumbers w:val="0"/>
        <w:spacing w:before="75" w:beforeAutospacing="0" w:after="75" w:afterAutospacing="0" w:line="240" w:lineRule="auto"/>
        <w:ind w:left="0" w:right="0" w:firstLine="0"/>
        <w:jc w:val="left"/>
        <w:outlineLvl w:val="9"/>
        <w:rPr>
          <w:rFonts w:hint="default" w:ascii="仿宋" w:hAnsi="仿宋" w:eastAsia="仿宋" w:cs="仿宋"/>
          <w:lang w:val="en-US" w:eastAsia="zh-CN"/>
        </w:rPr>
      </w:pPr>
      <w:bookmarkStart w:id="4" w:name="_Toc469495721"/>
    </w:p>
    <w:p w14:paraId="0B4E9287">
      <w:pPr>
        <w:pStyle w:val="34"/>
        <w:keepNext w:val="0"/>
        <w:keepLines w:val="0"/>
        <w:pageBreakBefore w:val="0"/>
        <w:shd w:val="clear" w:color="auto" w:fill="auto"/>
        <w:kinsoku/>
        <w:wordWrap/>
        <w:overflowPunct/>
        <w:topLinePunct w:val="0"/>
        <w:autoSpaceDE/>
        <w:autoSpaceDN/>
        <w:bidi w:val="0"/>
        <w:spacing w:line="480" w:lineRule="auto"/>
        <w:ind w:firstLine="0"/>
        <w:jc w:val="center"/>
        <w:outlineLvl w:val="9"/>
        <w:rPr>
          <w:rFonts w:hint="eastAsia" w:ascii="仿宋" w:hAnsi="仿宋" w:eastAsia="仿宋" w:cs="仿宋"/>
          <w:b/>
          <w:color w:val="auto"/>
          <w:sz w:val="40"/>
          <w:szCs w:val="40"/>
          <w:highlight w:val="none"/>
          <w:shd w:val="clear" w:color="auto" w:fill="FFFFFF"/>
          <w:lang w:val="en-US" w:eastAsia="zh-CN"/>
        </w:rPr>
      </w:pPr>
      <w:r>
        <w:rPr>
          <w:rFonts w:hint="eastAsia" w:ascii="仿宋" w:hAnsi="仿宋" w:eastAsia="仿宋" w:cs="仿宋"/>
          <w:b/>
          <w:color w:val="auto"/>
          <w:sz w:val="40"/>
          <w:szCs w:val="40"/>
          <w:highlight w:val="none"/>
          <w:shd w:val="clear" w:color="auto" w:fill="FFFFFF"/>
          <w:lang w:val="en-US" w:eastAsia="zh-CN"/>
        </w:rPr>
        <w:t>阿图什市基层医疗卫生机构改造提升项目设备采购公开招标公告</w:t>
      </w:r>
    </w:p>
    <w:p w14:paraId="1D800C4E">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项目概况</w:t>
      </w:r>
    </w:p>
    <w:p w14:paraId="14CD698C">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480" w:lineRule="auto"/>
        <w:ind w:firstLine="420" w:firstLineChars="200"/>
        <w:textAlignment w:val="auto"/>
        <w:outlineLvl w:val="9"/>
        <w:rPr>
          <w:rFonts w:hint="eastAsia" w:ascii="仿宋" w:hAnsi="仿宋" w:eastAsia="仿宋" w:cs="仿宋"/>
          <w:i w:val="0"/>
          <w:iCs w:val="0"/>
          <w:caps w:val="0"/>
          <w:color w:val="auto"/>
          <w:spacing w:val="0"/>
          <w:sz w:val="28"/>
          <w:szCs w:val="28"/>
          <w:highlight w:val="none"/>
          <w:u w:val="none"/>
          <w:lang w:val="en-US" w:eastAsia="zh-CN"/>
        </w:rPr>
      </w:pPr>
      <w:r>
        <w:rPr>
          <w:rFonts w:hint="eastAsia" w:ascii="仿宋" w:hAnsi="仿宋" w:eastAsia="仿宋" w:cs="仿宋"/>
          <w:i w:val="0"/>
          <w:iCs w:val="0"/>
          <w:caps w:val="0"/>
          <w:color w:val="auto"/>
          <w:spacing w:val="0"/>
          <w:sz w:val="21"/>
          <w:szCs w:val="21"/>
          <w:highlight w:val="none"/>
          <w:lang w:eastAsia="zh-CN"/>
        </w:rPr>
        <w:t xml:space="preserve"> </w:t>
      </w:r>
      <w:r>
        <w:rPr>
          <w:rFonts w:hint="eastAsia" w:ascii="仿宋" w:hAnsi="仿宋" w:eastAsia="仿宋" w:cs="仿宋"/>
          <w:i w:val="0"/>
          <w:iCs w:val="0"/>
          <w:caps w:val="0"/>
          <w:color w:val="auto"/>
          <w:spacing w:val="0"/>
          <w:sz w:val="28"/>
          <w:szCs w:val="28"/>
          <w:highlight w:val="none"/>
          <w:lang w:eastAsia="zh-CN"/>
        </w:rPr>
        <w:t xml:space="preserve"> 阿图什市基层医疗卫生机构改造提升项目设备采购招标项目的潜在投标人应在政采云平台线上获取招标文件，并于2025年</w:t>
      </w:r>
      <w:r>
        <w:rPr>
          <w:rFonts w:hint="eastAsia" w:ascii="仿宋" w:hAnsi="仿宋" w:eastAsia="仿宋" w:cs="仿宋"/>
          <w:i w:val="0"/>
          <w:iCs w:val="0"/>
          <w:caps w:val="0"/>
          <w:color w:val="auto"/>
          <w:spacing w:val="0"/>
          <w:sz w:val="28"/>
          <w:szCs w:val="28"/>
          <w:highlight w:val="none"/>
          <w:lang w:val="en-US" w:eastAsia="zh-CN"/>
        </w:rPr>
        <w:t>07</w:t>
      </w:r>
      <w:r>
        <w:rPr>
          <w:rFonts w:hint="eastAsia" w:ascii="仿宋" w:hAnsi="仿宋" w:eastAsia="仿宋" w:cs="仿宋"/>
          <w:i w:val="0"/>
          <w:iCs w:val="0"/>
          <w:caps w:val="0"/>
          <w:color w:val="auto"/>
          <w:spacing w:val="0"/>
          <w:sz w:val="28"/>
          <w:szCs w:val="28"/>
          <w:highlight w:val="none"/>
          <w:lang w:eastAsia="zh-CN"/>
        </w:rPr>
        <w:t>月</w:t>
      </w:r>
      <w:r>
        <w:rPr>
          <w:rFonts w:hint="eastAsia" w:ascii="仿宋" w:hAnsi="仿宋" w:eastAsia="仿宋" w:cs="仿宋"/>
          <w:i w:val="0"/>
          <w:iCs w:val="0"/>
          <w:caps w:val="0"/>
          <w:color w:val="auto"/>
          <w:spacing w:val="0"/>
          <w:sz w:val="28"/>
          <w:szCs w:val="28"/>
          <w:highlight w:val="none"/>
          <w:lang w:val="en-US" w:eastAsia="zh-CN"/>
        </w:rPr>
        <w:t>10</w:t>
      </w:r>
      <w:r>
        <w:rPr>
          <w:rFonts w:hint="eastAsia" w:ascii="仿宋" w:hAnsi="仿宋" w:eastAsia="仿宋" w:cs="仿宋"/>
          <w:i w:val="0"/>
          <w:iCs w:val="0"/>
          <w:caps w:val="0"/>
          <w:color w:val="auto"/>
          <w:spacing w:val="0"/>
          <w:sz w:val="28"/>
          <w:szCs w:val="28"/>
          <w:highlight w:val="none"/>
          <w:lang w:eastAsia="zh-CN"/>
        </w:rPr>
        <w:t>日 10:10（北京时间）前递交投标文件。</w:t>
      </w:r>
    </w:p>
    <w:p w14:paraId="7E6B6C9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一、项目基本情况</w:t>
      </w:r>
    </w:p>
    <w:p w14:paraId="601D153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项目编号：ATSCG-2025051</w:t>
      </w:r>
    </w:p>
    <w:p w14:paraId="375A8A1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项目名称：阿图什市基层医疗卫生机构改造提升项目设备采购</w:t>
      </w:r>
    </w:p>
    <w:p w14:paraId="60FE44F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采购方式：公开招标</w:t>
      </w:r>
    </w:p>
    <w:p w14:paraId="609F92A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预算金额（元）：9592478</w:t>
      </w:r>
    </w:p>
    <w:p w14:paraId="24ED5E5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最高限价（元）：4798718、4793760</w:t>
      </w:r>
    </w:p>
    <w:p w14:paraId="49C624D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w:t>
      </w:r>
    </w:p>
    <w:p w14:paraId="33021B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标项一   </w:t>
      </w:r>
    </w:p>
    <w:p w14:paraId="53AD6AD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标项名称：阿图什市基层医疗卫生机构改造提升项目设备采购（1包） </w:t>
      </w:r>
    </w:p>
    <w:p w14:paraId="69DC28C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数量：1     </w:t>
      </w:r>
    </w:p>
    <w:p w14:paraId="214AD24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预算金额（元）：4798718</w:t>
      </w:r>
    </w:p>
    <w:p w14:paraId="49113B1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单位：批 </w:t>
      </w:r>
    </w:p>
    <w:p w14:paraId="3A68DFB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简要规格描述：主要采购急救设备、内科设备、监护设备等医疗设备。（具体详见采购需求或采购文件）</w:t>
      </w:r>
    </w:p>
    <w:p w14:paraId="3C3EA89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备注：</w:t>
      </w:r>
    </w:p>
    <w:p w14:paraId="6DA3278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标项二    </w:t>
      </w:r>
    </w:p>
    <w:p w14:paraId="7A3EA9A7">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标项名称：阿图什市基层医疗卫生机构改造提升项目设备采购（2包） </w:t>
      </w:r>
    </w:p>
    <w:p w14:paraId="4B153163">
      <w:pPr>
        <w:keepNext w:val="0"/>
        <w:keepLines w:val="0"/>
        <w:pageBreakBefore w:val="0"/>
        <w:widowControl w:val="0"/>
        <w:kinsoku/>
        <w:wordWrap/>
        <w:overflowPunct/>
        <w:topLinePunct w:val="0"/>
        <w:autoSpaceDE/>
        <w:autoSpaceDN/>
        <w:bidi w:val="0"/>
        <w:adjustRightInd/>
        <w:snapToGrid/>
        <w:spacing w:line="520" w:lineRule="exact"/>
        <w:ind w:firstLine="42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数量：1     </w:t>
      </w:r>
    </w:p>
    <w:p w14:paraId="403DC35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预算金额（元）：4793760</w:t>
      </w:r>
    </w:p>
    <w:p w14:paraId="76BA46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单位：批</w:t>
      </w:r>
    </w:p>
    <w:p w14:paraId="289BBB5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简要规格描述：主要采购检验设备、放射设备、康复医疗设备等医疗设备。（具体详见采购需求或采购文件）</w:t>
      </w:r>
    </w:p>
    <w:p w14:paraId="74361F7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备注：</w:t>
      </w:r>
    </w:p>
    <w:p w14:paraId="3307E1F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合同履约期限：标项 1、2，具体详见采购文件</w:t>
      </w:r>
    </w:p>
    <w:p w14:paraId="2D6BA7C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本项目（否）接受联合体投标。</w:t>
      </w:r>
    </w:p>
    <w:p w14:paraId="1CC0FFF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二、申请人的资格要求：</w:t>
      </w:r>
    </w:p>
    <w:p w14:paraId="34EB57D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1.满足《中华人民共和国政府采购法》第二十二条规定；</w:t>
      </w:r>
    </w:p>
    <w:p w14:paraId="478595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落实政府采购政策需满足的资格要求：标项1、2：本项目为非专门面向中小企业，根据《政府采购促进中小企业发展管理办法》（财库【2020】46号）及（财库[2022]19号）的规定，评标时将给予此类企业进行价格扣除10%的优惠，用优惠后的价格参与评审。</w:t>
      </w:r>
    </w:p>
    <w:p w14:paraId="38AD20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3.本项目的特定资格要求：</w:t>
      </w:r>
    </w:p>
    <w:p w14:paraId="5C16251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【标项1、2】</w:t>
      </w:r>
    </w:p>
    <w:p w14:paraId="3EBD43C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(1).</w:t>
      </w:r>
      <w:r>
        <w:rPr>
          <w:rFonts w:hint="eastAsia" w:ascii="仿宋" w:hAnsi="仿宋" w:eastAsia="仿宋" w:cs="仿宋"/>
          <w:color w:val="auto"/>
          <w:sz w:val="28"/>
          <w:szCs w:val="28"/>
          <w:highlight w:val="none"/>
          <w:lang w:val="en-US" w:eastAsia="zh-CN"/>
        </w:rPr>
        <w:t>具备三证合一营业执照副本；</w:t>
      </w:r>
    </w:p>
    <w:p w14:paraId="16BA1CD6">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(2).法定代表人参加的需提供法定代表人身份证明及身份证原件扫描件，授权委托人参加的需提供附有法定代表人身份证明的授权委托书及被委托人身份证原件扫描件;</w:t>
      </w:r>
    </w:p>
    <w:p w14:paraId="6726CBA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(3).投标企业须提供投标人（被授权本单位在职人员）近6个月内任何1个月已依法缴纳社会保险的凭据（依法不需要缴纳社会保障资金的供应商，应提供相应证明文件）；</w:t>
      </w:r>
    </w:p>
    <w:p w14:paraId="14CB4F0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3CD8F72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2A1E3D5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3E79B9F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18BD5EE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(8).具有履行合同所必需的设备和专业技术能力（提供书面声明函）；</w:t>
      </w:r>
    </w:p>
    <w:p w14:paraId="1383F9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(9).提供参加政府采购活动前三年内，在经营活动中没有重大违法记录（承诺函原件扫描件）；</w:t>
      </w:r>
    </w:p>
    <w:p w14:paraId="306B2C3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(10).企业负责人为同一人或者存在直接控股、管理关系的不同投标人，不得参加同一合同项下的政府采购活动（提供书面声明函）；</w:t>
      </w:r>
    </w:p>
    <w:p w14:paraId="38667E9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三、获取招标文件</w:t>
      </w:r>
    </w:p>
    <w:p w14:paraId="2C6F32D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时间：2025年06月19日至2025年06月26日，每天上午10:00至14:00，下午16:00至20:00（北京时间，法定节假日除外）</w:t>
      </w:r>
    </w:p>
    <w:p w14:paraId="42074A6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地点：政采云平台线上</w:t>
      </w:r>
    </w:p>
    <w:p w14:paraId="0F0E6E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F7406A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售价（元）：0</w:t>
      </w:r>
    </w:p>
    <w:p w14:paraId="591F6DD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highlight w:val="none"/>
          <w:lang w:val="en-US" w:eastAsia="zh-CN" w:bidi="ar-SA"/>
        </w:rPr>
        <w:t>四、</w:t>
      </w:r>
      <w:r>
        <w:rPr>
          <w:rFonts w:hint="eastAsia" w:ascii="仿宋" w:hAnsi="仿宋" w:eastAsia="仿宋" w:cs="仿宋"/>
          <w:b/>
          <w:bCs/>
          <w:color w:val="auto"/>
          <w:sz w:val="28"/>
          <w:szCs w:val="28"/>
          <w:highlight w:val="none"/>
          <w:lang w:val="en-US" w:eastAsia="zh-CN"/>
        </w:rPr>
        <w:t>提交投标文件截止时间、开标时间和地点</w:t>
      </w:r>
    </w:p>
    <w:p w14:paraId="40FE2FD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提交投标文件截止时间：2025年07月10日 10:10（北京时间）</w:t>
      </w:r>
    </w:p>
    <w:p w14:paraId="36843FD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投标地点：政采云平台https://www.zcygov.cn/</w:t>
      </w:r>
    </w:p>
    <w:p w14:paraId="1CED76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开标时间：2025年07月10日 10:10（北京时间）</w:t>
      </w:r>
    </w:p>
    <w:p w14:paraId="2B4A089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开标地点：投标人登录政采云平台https://www.zcygov.cn/，进入“项目采购-开标评标-右边选择对应项目点击“进入项目”进入开标大厅。</w:t>
      </w:r>
    </w:p>
    <w:p w14:paraId="724F6A9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五、公告期限</w:t>
      </w:r>
    </w:p>
    <w:p w14:paraId="06B6758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自本公告发布之日起5个工作日。</w:t>
      </w:r>
    </w:p>
    <w:p w14:paraId="565BAAC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六、其他补充事宜</w:t>
      </w:r>
    </w:p>
    <w:p w14:paraId="1F8D7CD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1、本项目实行网上投标，采用电子投标文件。</w:t>
      </w:r>
    </w:p>
    <w:p w14:paraId="5CE11AA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48D924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3、供应商将政采云电子交易客户端下载、安装完成后，可通过账号密码或CA登录客户端进行投标文件的制作。在使用政采云投标客户端时，建议使用WIN7及以上操作系统。</w:t>
      </w:r>
    </w:p>
    <w:p w14:paraId="6C5181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4、其他事项：/   </w:t>
      </w:r>
    </w:p>
    <w:p w14:paraId="248937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特别提示：</w:t>
      </w:r>
    </w:p>
    <w:p w14:paraId="30FC9D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1、采购限额标准以上，200万元以下的货物和服务采购项目、400万元以下的工程采购项目，适宜由中小企业提供的，采购人应当专门面向中小企业采购。</w:t>
      </w:r>
    </w:p>
    <w:p w14:paraId="1DBD09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2、超过200万元的货物和服务采购项目，预留该部分采购项目预算总额的30%以上专门面向中小企业采购，其中预留给小微企业的比例不低于60%。</w:t>
      </w:r>
    </w:p>
    <w:p w14:paraId="458B9A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3、超过400万元的工程采购项目中适宜由中小企业提供的，预留该部分采购项目预算总额的40%以上专门面向中小企业采购，其中预留给小微企业的比例不低于60%。</w:t>
      </w:r>
    </w:p>
    <w:p w14:paraId="6B8637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16B18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574813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七、凡对本次招标提出询问，请按以下方式联系</w:t>
      </w:r>
    </w:p>
    <w:p w14:paraId="42C6A9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1.采购人信息</w:t>
      </w:r>
    </w:p>
    <w:p w14:paraId="75AD18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称：阿图什市卫生健康委员会</w:t>
      </w:r>
    </w:p>
    <w:p w14:paraId="568248B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址：阿图什市</w:t>
      </w:r>
    </w:p>
    <w:p w14:paraId="730743C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联系方式：13345373958</w:t>
      </w:r>
    </w:p>
    <w:p w14:paraId="33E719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2.采购代理机构信息</w:t>
      </w:r>
    </w:p>
    <w:p w14:paraId="6A3C9CB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称：新疆天勤工程管理有限公司</w:t>
      </w:r>
    </w:p>
    <w:p w14:paraId="3F35CC0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址：克州阿图什市迎宾路80号三楼</w:t>
      </w:r>
    </w:p>
    <w:p w14:paraId="10FE6D2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联系方式：13779615026</w:t>
      </w:r>
    </w:p>
    <w:p w14:paraId="026F07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3.项目联系方式</w:t>
      </w:r>
    </w:p>
    <w:p w14:paraId="402C7BB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项目联系人：王先生</w:t>
      </w:r>
    </w:p>
    <w:p w14:paraId="07409BC7">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highlight w:val="none"/>
        </w:rPr>
      </w:pPr>
      <w:r>
        <w:rPr>
          <w:rFonts w:hint="eastAsia" w:ascii="仿宋" w:hAnsi="仿宋" w:eastAsia="仿宋" w:cs="仿宋"/>
          <w:color w:val="auto"/>
          <w:sz w:val="28"/>
          <w:szCs w:val="28"/>
          <w:highlight w:val="none"/>
          <w:lang w:val="en-US" w:eastAsia="zh-CN"/>
        </w:rPr>
        <w:t>电 话：13779615026</w:t>
      </w:r>
    </w:p>
    <w:p w14:paraId="1DAE34F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jc w:val="left"/>
        <w:textAlignment w:val="auto"/>
        <w:outlineLvl w:val="9"/>
        <w:rPr>
          <w:rFonts w:hint="default" w:ascii="仿宋" w:hAnsi="仿宋" w:eastAsia="仿宋" w:cs="仿宋"/>
          <w:color w:val="auto"/>
          <w:highlight w:val="none"/>
          <w:lang w:val="en-US" w:eastAsia="zh-CN"/>
        </w:rPr>
      </w:pPr>
    </w:p>
    <w:p w14:paraId="7C9A1B64">
      <w:pPr>
        <w:keepNext w:val="0"/>
        <w:keepLines w:val="0"/>
        <w:pageBreakBefore w:val="0"/>
        <w:kinsoku/>
        <w:wordWrap/>
        <w:overflowPunct/>
        <w:topLinePunct w:val="0"/>
        <w:autoSpaceDE/>
        <w:autoSpaceDN/>
        <w:bidi w:val="0"/>
        <w:spacing w:line="480" w:lineRule="auto"/>
        <w:rPr>
          <w:color w:val="auto"/>
          <w:highlight w:val="none"/>
        </w:rPr>
      </w:pPr>
    </w:p>
    <w:p w14:paraId="75FEC8A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0"/>
        <w:jc w:val="left"/>
        <w:textAlignment w:val="auto"/>
        <w:outlineLvl w:val="9"/>
        <w:rPr>
          <w:rFonts w:hint="default" w:ascii="仿宋" w:hAnsi="仿宋" w:eastAsia="仿宋" w:cs="仿宋"/>
          <w:lang w:val="en-US" w:eastAsia="zh-CN"/>
        </w:rPr>
      </w:pPr>
    </w:p>
    <w:p w14:paraId="14E0AF96"/>
    <w:p w14:paraId="4D1C0E94">
      <w:pPr>
        <w:pStyle w:val="24"/>
        <w:keepNext w:val="0"/>
        <w:keepLines w:val="0"/>
        <w:widowControl/>
        <w:suppressLineNumbers w:val="0"/>
        <w:spacing w:before="75" w:beforeAutospacing="0" w:after="75" w:afterAutospacing="0" w:line="240" w:lineRule="auto"/>
        <w:ind w:left="0" w:right="0" w:firstLine="0"/>
        <w:jc w:val="left"/>
        <w:outlineLvl w:val="9"/>
        <w:rPr>
          <w:rFonts w:hint="default" w:ascii="仿宋" w:hAnsi="仿宋" w:eastAsia="仿宋" w:cs="仿宋"/>
          <w:lang w:val="en-US" w:eastAsia="zh-CN"/>
        </w:rPr>
      </w:pPr>
    </w:p>
    <w:p w14:paraId="3495B449">
      <w:pPr>
        <w:pStyle w:val="24"/>
        <w:keepNext w:val="0"/>
        <w:keepLines w:val="0"/>
        <w:widowControl/>
        <w:suppressLineNumbers w:val="0"/>
        <w:spacing w:before="75" w:beforeAutospacing="0" w:after="75" w:afterAutospacing="0" w:line="240" w:lineRule="auto"/>
        <w:ind w:left="0" w:right="0" w:firstLine="0"/>
        <w:jc w:val="left"/>
        <w:outlineLvl w:val="9"/>
        <w:rPr>
          <w:rFonts w:hint="eastAsia" w:ascii="仿宋" w:hAnsi="仿宋" w:eastAsia="仿宋" w:cs="仿宋"/>
        </w:rPr>
      </w:pPr>
    </w:p>
    <w:p w14:paraId="5793A5DC">
      <w:pPr>
        <w:rPr>
          <w:rFonts w:hint="eastAsia" w:ascii="宋体"/>
          <w:b/>
          <w:color w:val="auto"/>
          <w:sz w:val="32"/>
          <w:szCs w:val="32"/>
          <w:highlight w:val="none"/>
        </w:rPr>
      </w:pPr>
      <w:bookmarkStart w:id="5" w:name="_Toc31442"/>
      <w:bookmarkStart w:id="6" w:name="_Toc17939"/>
      <w:r>
        <w:rPr>
          <w:rFonts w:hint="eastAsia" w:ascii="宋体"/>
          <w:b/>
          <w:color w:val="auto"/>
          <w:sz w:val="32"/>
          <w:szCs w:val="32"/>
          <w:highlight w:val="none"/>
        </w:rPr>
        <w:br w:type="page"/>
      </w:r>
    </w:p>
    <w:p w14:paraId="556FAE83">
      <w:pPr>
        <w:shd w:val="clear" w:color="auto" w:fill="auto"/>
        <w:spacing w:line="500" w:lineRule="exact"/>
        <w:jc w:val="center"/>
        <w:outlineLvl w:val="0"/>
        <w:rPr>
          <w:rFonts w:hint="eastAsia" w:ascii="仿宋" w:hAnsi="仿宋" w:eastAsia="仿宋" w:cs="仿宋"/>
          <w:b/>
          <w:color w:val="auto"/>
          <w:sz w:val="32"/>
          <w:szCs w:val="32"/>
          <w:highlight w:val="none"/>
        </w:rPr>
      </w:pPr>
      <w:bookmarkStart w:id="7" w:name="_Toc24479"/>
      <w:r>
        <w:rPr>
          <w:rFonts w:hint="eastAsia" w:ascii="仿宋" w:hAnsi="仿宋" w:eastAsia="仿宋" w:cs="仿宋"/>
          <w:b/>
          <w:color w:val="auto"/>
          <w:sz w:val="32"/>
          <w:szCs w:val="32"/>
          <w:highlight w:val="none"/>
        </w:rPr>
        <w:t>第二章 投标人须知</w:t>
      </w:r>
      <w:bookmarkEnd w:id="4"/>
      <w:bookmarkEnd w:id="5"/>
      <w:bookmarkEnd w:id="6"/>
      <w:bookmarkEnd w:id="7"/>
    </w:p>
    <w:p w14:paraId="00210684">
      <w:pPr>
        <w:shd w:val="clear" w:color="auto" w:fill="auto"/>
        <w:snapToGrid w:val="0"/>
        <w:spacing w:line="500" w:lineRule="exact"/>
        <w:jc w:val="center"/>
        <w:outlineLvl w:val="9"/>
        <w:rPr>
          <w:rFonts w:hint="eastAsia" w:ascii="仿宋" w:hAnsi="仿宋" w:eastAsia="仿宋" w:cs="仿宋"/>
          <w:b/>
          <w:color w:val="auto"/>
          <w:sz w:val="28"/>
          <w:szCs w:val="28"/>
          <w:highlight w:val="none"/>
        </w:rPr>
      </w:pPr>
      <w:bookmarkStart w:id="8" w:name="_Toc469495722"/>
      <w:r>
        <w:rPr>
          <w:rFonts w:hint="eastAsia" w:ascii="仿宋" w:hAnsi="仿宋" w:eastAsia="仿宋" w:cs="仿宋"/>
          <w:b/>
          <w:color w:val="auto"/>
          <w:sz w:val="32"/>
          <w:szCs w:val="32"/>
          <w:highlight w:val="none"/>
        </w:rPr>
        <w:t>一、</w:t>
      </w:r>
      <w:r>
        <w:rPr>
          <w:rFonts w:hint="eastAsia" w:ascii="仿宋" w:hAnsi="仿宋" w:eastAsia="仿宋" w:cs="仿宋"/>
          <w:b/>
          <w:color w:val="auto"/>
          <w:sz w:val="28"/>
          <w:szCs w:val="28"/>
          <w:highlight w:val="none"/>
        </w:rPr>
        <w:t>投标人须知前附表</w:t>
      </w:r>
      <w:bookmarkEnd w:id="8"/>
    </w:p>
    <w:tbl>
      <w:tblPr>
        <w:tblStyle w:val="26"/>
        <w:tblW w:w="10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057"/>
        <w:gridCol w:w="7522"/>
      </w:tblGrid>
      <w:tr w14:paraId="365E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77" w:type="dxa"/>
            <w:noWrap w:val="0"/>
            <w:vAlign w:val="center"/>
          </w:tcPr>
          <w:p w14:paraId="590FABC9">
            <w:pPr>
              <w:widowControl/>
              <w:spacing w:line="334"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 号</w:t>
            </w:r>
          </w:p>
        </w:tc>
        <w:tc>
          <w:tcPr>
            <w:tcW w:w="2057" w:type="dxa"/>
            <w:noWrap w:val="0"/>
            <w:vAlign w:val="center"/>
          </w:tcPr>
          <w:p w14:paraId="2A7C94A5">
            <w:pPr>
              <w:widowControl/>
              <w:spacing w:line="334"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  称</w:t>
            </w:r>
          </w:p>
        </w:tc>
        <w:tc>
          <w:tcPr>
            <w:tcW w:w="7522" w:type="dxa"/>
            <w:noWrap w:val="0"/>
            <w:vAlign w:val="center"/>
          </w:tcPr>
          <w:p w14:paraId="0D335CF7">
            <w:pPr>
              <w:widowControl/>
              <w:spacing w:line="334"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  列  内  容</w:t>
            </w:r>
          </w:p>
        </w:tc>
      </w:tr>
      <w:tr w14:paraId="4ABC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restart"/>
            <w:noWrap w:val="0"/>
            <w:vAlign w:val="center"/>
          </w:tcPr>
          <w:p w14:paraId="39049E1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2057" w:type="dxa"/>
            <w:vMerge w:val="restart"/>
            <w:noWrap w:val="0"/>
            <w:vAlign w:val="center"/>
          </w:tcPr>
          <w:p w14:paraId="16EB7A42">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（1包）</w:t>
            </w:r>
          </w:p>
          <w:p w14:paraId="0D4A8AC5">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p w14:paraId="13CC0513">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w:t>
            </w:r>
          </w:p>
          <w:p w14:paraId="19E0969C">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w:t>
            </w:r>
          </w:p>
          <w:p w14:paraId="2D25100D">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w:t>
            </w:r>
          </w:p>
          <w:p w14:paraId="058D588A">
            <w:pPr>
              <w:shd w:val="clear" w:color="auto" w:fill="auto"/>
              <w:spacing w:line="360" w:lineRule="auto"/>
              <w:jc w:val="center"/>
              <w:outlineLvl w:val="9"/>
              <w:rPr>
                <w:rFonts w:hint="eastAsia"/>
                <w:lang w:val="en-US" w:eastAsia="zh-CN"/>
              </w:rPr>
            </w:pPr>
            <w:r>
              <w:rPr>
                <w:rFonts w:hint="eastAsia" w:ascii="仿宋" w:hAnsi="仿宋" w:eastAsia="仿宋" w:cs="仿宋"/>
                <w:color w:val="auto"/>
                <w:sz w:val="24"/>
                <w:szCs w:val="24"/>
                <w:highlight w:val="none"/>
                <w:lang w:val="en-US" w:eastAsia="zh-CN"/>
              </w:rPr>
              <w:t>质保期</w:t>
            </w:r>
          </w:p>
        </w:tc>
        <w:tc>
          <w:tcPr>
            <w:tcW w:w="7522" w:type="dxa"/>
            <w:noWrap w:val="0"/>
            <w:vAlign w:val="center"/>
          </w:tcPr>
          <w:p w14:paraId="29239357">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项目名称：阿图什市基层医疗卫生机构改造提升项目设备采购（1包）</w:t>
            </w:r>
          </w:p>
        </w:tc>
      </w:tr>
      <w:tr w14:paraId="787C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continue"/>
            <w:noWrap w:val="0"/>
            <w:vAlign w:val="center"/>
          </w:tcPr>
          <w:p w14:paraId="38EA4BF4">
            <w:pPr>
              <w:shd w:val="clear" w:color="auto" w:fill="auto"/>
              <w:spacing w:line="360" w:lineRule="auto"/>
              <w:jc w:val="left"/>
              <w:outlineLvl w:val="9"/>
              <w:rPr>
                <w:rFonts w:hint="eastAsia" w:ascii="仿宋" w:hAnsi="仿宋" w:eastAsia="仿宋" w:cs="仿宋"/>
                <w:sz w:val="24"/>
                <w:szCs w:val="24"/>
              </w:rPr>
            </w:pPr>
          </w:p>
        </w:tc>
        <w:tc>
          <w:tcPr>
            <w:tcW w:w="2057" w:type="dxa"/>
            <w:vMerge w:val="continue"/>
            <w:noWrap w:val="0"/>
            <w:vAlign w:val="center"/>
          </w:tcPr>
          <w:p w14:paraId="17BDB6F7">
            <w:pPr>
              <w:shd w:val="clear" w:color="auto" w:fill="auto"/>
              <w:spacing w:line="360" w:lineRule="auto"/>
              <w:jc w:val="left"/>
              <w:outlineLvl w:val="9"/>
              <w:rPr>
                <w:rFonts w:hint="eastAsia" w:ascii="仿宋" w:hAnsi="仿宋" w:eastAsia="仿宋" w:cs="仿宋"/>
                <w:sz w:val="24"/>
                <w:szCs w:val="24"/>
                <w:highlight w:val="none"/>
              </w:rPr>
            </w:pPr>
          </w:p>
        </w:tc>
        <w:tc>
          <w:tcPr>
            <w:tcW w:w="7522" w:type="dxa"/>
            <w:noWrap w:val="0"/>
            <w:vAlign w:val="center"/>
          </w:tcPr>
          <w:p w14:paraId="1E71219C">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项目编号：ATSCG-2025051-1</w:t>
            </w:r>
          </w:p>
        </w:tc>
      </w:tr>
      <w:tr w14:paraId="03A9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7" w:type="dxa"/>
            <w:vMerge w:val="continue"/>
            <w:noWrap w:val="0"/>
            <w:vAlign w:val="center"/>
          </w:tcPr>
          <w:p w14:paraId="27C0D7A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5A08C26E">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7983EAF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项目内容：主要采购急救设备、内科设备、监护设备等医疗设备。（具体详见采购需求或采购文件）</w:t>
            </w:r>
          </w:p>
        </w:tc>
      </w:tr>
      <w:tr w14:paraId="57F1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7" w:type="dxa"/>
            <w:vMerge w:val="continue"/>
            <w:noWrap w:val="0"/>
            <w:vAlign w:val="center"/>
          </w:tcPr>
          <w:p w14:paraId="496F4AF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52A5162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00E97541">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供货期：自签订合同之日起20个日历日完成供货及安装。（具体时间按照甲乙双方合同约定执行）</w:t>
            </w:r>
          </w:p>
        </w:tc>
      </w:tr>
      <w:tr w14:paraId="6820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continue"/>
            <w:noWrap w:val="0"/>
            <w:vAlign w:val="center"/>
          </w:tcPr>
          <w:p w14:paraId="6465544F">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459E80B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1AFF17BE">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质保期：2年</w:t>
            </w:r>
          </w:p>
        </w:tc>
      </w:tr>
      <w:tr w14:paraId="51A6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67D94AD5">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restart"/>
            <w:noWrap w:val="0"/>
            <w:vAlign w:val="center"/>
          </w:tcPr>
          <w:p w14:paraId="2870FC6D">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（2包）</w:t>
            </w:r>
          </w:p>
          <w:p w14:paraId="58821616">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p w14:paraId="03432455">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w:t>
            </w:r>
          </w:p>
          <w:p w14:paraId="3DD041B9">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w:t>
            </w:r>
          </w:p>
          <w:p w14:paraId="0A94519C">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w:t>
            </w:r>
          </w:p>
          <w:p w14:paraId="1D0454D6">
            <w:pPr>
              <w:shd w:val="clear" w:color="auto" w:fill="auto"/>
              <w:spacing w:line="360" w:lineRule="auto"/>
              <w:ind w:firstLine="480" w:firstLineChars="2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522" w:type="dxa"/>
            <w:noWrap w:val="0"/>
            <w:vAlign w:val="center"/>
          </w:tcPr>
          <w:p w14:paraId="7D0A6E51">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项目名称：阿图什市基层医疗卫生机构改造提升项目设备采购（2包）</w:t>
            </w:r>
          </w:p>
        </w:tc>
      </w:tr>
      <w:tr w14:paraId="0C14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7B6BE0C8">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2CFC47CC">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4CDC936E">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项目编号：ATSCG-2025051-2</w:t>
            </w:r>
          </w:p>
        </w:tc>
      </w:tr>
      <w:tr w14:paraId="1221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47917D5A">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377AE99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18F3F5D0">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项目内容：主要采购检验设备、放射设备、康复医疗设备等医疗设备。（具体详见采购需求或采购文件）</w:t>
            </w:r>
          </w:p>
        </w:tc>
      </w:tr>
      <w:tr w14:paraId="0B75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08C588D3">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3BA9FEAB">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0286663D">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供货期：自签订合同之日起20个日历日完成供货及安装。（具体时间按照甲乙双方合同约定执行）</w:t>
            </w:r>
          </w:p>
        </w:tc>
      </w:tr>
      <w:tr w14:paraId="46E9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7" w:type="dxa"/>
            <w:vMerge w:val="continue"/>
            <w:noWrap w:val="0"/>
            <w:vAlign w:val="center"/>
          </w:tcPr>
          <w:p w14:paraId="72C1DDB9">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2057" w:type="dxa"/>
            <w:vMerge w:val="continue"/>
            <w:noWrap w:val="0"/>
            <w:vAlign w:val="center"/>
          </w:tcPr>
          <w:p w14:paraId="6D2282CA">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p>
        </w:tc>
        <w:tc>
          <w:tcPr>
            <w:tcW w:w="7522" w:type="dxa"/>
            <w:noWrap w:val="0"/>
            <w:vAlign w:val="center"/>
          </w:tcPr>
          <w:p w14:paraId="41EB6FC8">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质保期：2年</w:t>
            </w:r>
          </w:p>
        </w:tc>
      </w:tr>
      <w:tr w14:paraId="59FB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77" w:type="dxa"/>
            <w:noWrap w:val="0"/>
            <w:vAlign w:val="center"/>
          </w:tcPr>
          <w:p w14:paraId="4C38F4C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2057" w:type="dxa"/>
            <w:noWrap w:val="0"/>
            <w:vAlign w:val="center"/>
          </w:tcPr>
          <w:p w14:paraId="4D29994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采购人信息</w:t>
            </w:r>
          </w:p>
        </w:tc>
        <w:tc>
          <w:tcPr>
            <w:tcW w:w="7522" w:type="dxa"/>
            <w:noWrap w:val="0"/>
            <w:vAlign w:val="center"/>
          </w:tcPr>
          <w:p w14:paraId="4F82DD7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名  称：阿图什市卫生健康委员会</w:t>
            </w:r>
          </w:p>
          <w:p w14:paraId="7FEC3E5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联系人：胡先生       电  话：13345373958</w:t>
            </w:r>
          </w:p>
        </w:tc>
      </w:tr>
      <w:tr w14:paraId="19F4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6D81AB6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2057" w:type="dxa"/>
            <w:noWrap w:val="0"/>
            <w:vAlign w:val="center"/>
          </w:tcPr>
          <w:p w14:paraId="034FE949">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w:t>
            </w:r>
          </w:p>
        </w:tc>
        <w:tc>
          <w:tcPr>
            <w:tcW w:w="7522" w:type="dxa"/>
            <w:noWrap w:val="0"/>
            <w:vAlign w:val="center"/>
          </w:tcPr>
          <w:p w14:paraId="7EACC50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名  称：新疆天勤工程管理有限公司</w:t>
            </w:r>
          </w:p>
          <w:p w14:paraId="0C1CC2D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地  址：克州阿图什市迎宾路80号三楼 </w:t>
            </w:r>
          </w:p>
          <w:p w14:paraId="74B83EC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联系人：王</w:t>
            </w:r>
            <w:r>
              <w:rPr>
                <w:rFonts w:hint="eastAsia" w:ascii="仿宋" w:hAnsi="仿宋" w:eastAsia="仿宋" w:cs="仿宋"/>
                <w:b w:val="0"/>
                <w:color w:val="auto"/>
                <w:kern w:val="2"/>
                <w:sz w:val="24"/>
                <w:szCs w:val="24"/>
                <w:highlight w:val="none"/>
                <w:lang w:val="en-US" w:eastAsia="zh-CN" w:bidi="ar-SA"/>
              </w:rPr>
              <w:t>先生</w:t>
            </w:r>
            <w:r>
              <w:rPr>
                <w:rFonts w:hint="eastAsia" w:ascii="仿宋" w:hAnsi="仿宋" w:eastAsia="仿宋" w:cs="仿宋"/>
                <w:b w:val="0"/>
                <w:bCs w:val="0"/>
                <w:color w:val="auto"/>
                <w:sz w:val="24"/>
                <w:szCs w:val="24"/>
                <w:highlight w:val="none"/>
                <w:lang w:val="en-US" w:eastAsia="zh-CN"/>
              </w:rPr>
              <w:t xml:space="preserve">       电  话：13779615026</w:t>
            </w:r>
          </w:p>
        </w:tc>
      </w:tr>
      <w:tr w14:paraId="6D95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4DBBD39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2057" w:type="dxa"/>
            <w:noWrap w:val="0"/>
            <w:vAlign w:val="center"/>
          </w:tcPr>
          <w:p w14:paraId="2CAAE12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最终供货地点</w:t>
            </w:r>
          </w:p>
        </w:tc>
        <w:tc>
          <w:tcPr>
            <w:tcW w:w="7522" w:type="dxa"/>
            <w:noWrap w:val="0"/>
            <w:vAlign w:val="center"/>
          </w:tcPr>
          <w:p w14:paraId="266BB18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阿图什市（按照甲方指定的地点供货）</w:t>
            </w:r>
          </w:p>
        </w:tc>
      </w:tr>
      <w:tr w14:paraId="5B51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85DECB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2057" w:type="dxa"/>
            <w:noWrap w:val="0"/>
            <w:vAlign w:val="center"/>
          </w:tcPr>
          <w:p w14:paraId="46C7981A">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资格要求</w:t>
            </w:r>
          </w:p>
        </w:tc>
        <w:tc>
          <w:tcPr>
            <w:tcW w:w="7522" w:type="dxa"/>
            <w:noWrap w:val="0"/>
            <w:vAlign w:val="center"/>
          </w:tcPr>
          <w:p w14:paraId="4E3718A2">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1.满足《中华人民共和国政府采购法》第二十二条规定；</w:t>
            </w:r>
          </w:p>
          <w:p w14:paraId="14592808">
            <w:pPr>
              <w:shd w:val="clear" w:color="auto" w:fill="auto"/>
              <w:spacing w:line="360" w:lineRule="auto"/>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2.落实政府采购政策需满足的资格要求：</w:t>
            </w:r>
            <w:r>
              <w:rPr>
                <w:rFonts w:hint="eastAsia" w:ascii="仿宋" w:hAnsi="仿宋" w:eastAsia="仿宋" w:cs="仿宋"/>
                <w:sz w:val="24"/>
                <w:szCs w:val="24"/>
                <w:highlight w:val="none"/>
                <w:lang w:val="en-US" w:eastAsia="zh-CN"/>
              </w:rPr>
              <w:t>标项1、2：本项目为非专门面向中小企业，根据《政府采购促进中小企业发展管理办法》（财库【2020】46号）及（财库[2022]19号）的规定，评标时将给予此类企业进行价格扣除10%的优惠，用优惠后的价格参与评审。</w:t>
            </w:r>
          </w:p>
          <w:p w14:paraId="02BACCC7">
            <w:pPr>
              <w:shd w:val="clear" w:color="auto" w:fill="auto"/>
              <w:spacing w:line="360" w:lineRule="auto"/>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3.本项目的特定资格要求：</w:t>
            </w:r>
          </w:p>
          <w:p w14:paraId="602A7AFE">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(1).具备三证合一营业执照副本；</w:t>
            </w:r>
          </w:p>
          <w:p w14:paraId="74DE29E9">
            <w:pPr>
              <w:shd w:val="clear" w:color="auto" w:fill="auto"/>
              <w:spacing w:line="360" w:lineRule="auto"/>
              <w:jc w:val="left"/>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(2).法定代表人参加的需提供法定代表人身份证明及身份证原件扫描件，授权委托人参加的需提供附有法定代表人身份证明的授权委托书及被委托人身份证原件扫描件;</w:t>
            </w:r>
          </w:p>
          <w:p w14:paraId="3F42C45F">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(3).投标企业须提供投标人（被授权本单位在职人员）近6个月内任何1个月已依法缴纳社会保险的凭据（依法不需要缴纳社会保障资金的供应商，应提供相应证明文件）；</w:t>
            </w:r>
          </w:p>
          <w:p w14:paraId="23E30FC1">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3FADAEA4">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756677DA">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7DD13DCE">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1E7700CF">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(8).具有履行合同所必需的设备和专业技术能力（提供书面声明函）；</w:t>
            </w:r>
          </w:p>
          <w:p w14:paraId="7439397D">
            <w:pPr>
              <w:shd w:val="clear" w:color="auto" w:fill="auto"/>
              <w:spacing w:line="360" w:lineRule="auto"/>
              <w:jc w:val="left"/>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default" w:ascii="仿宋" w:hAnsi="仿宋" w:eastAsia="仿宋" w:cs="仿宋"/>
                <w:sz w:val="24"/>
                <w:szCs w:val="24"/>
                <w:lang w:val="en-US" w:eastAsia="zh-CN"/>
              </w:rPr>
              <w:t>提供参加政府采购活动前三年内，在经营活动中没有重大违法记录（承诺函原件扫描件）；</w:t>
            </w:r>
          </w:p>
          <w:p w14:paraId="68F6B4DA">
            <w:pPr>
              <w:shd w:val="clear" w:color="auto" w:fill="auto"/>
              <w:spacing w:line="360" w:lineRule="auto"/>
              <w:jc w:val="left"/>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(10).企业负责人为同一人或者存在直接控股、管理关系的不同投标人，不得参加同一合同项下的政府采购活动（提供书面声明函）；</w:t>
            </w:r>
          </w:p>
          <w:p w14:paraId="456CA6DF">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4.本项目不接受联合体投标；</w:t>
            </w:r>
          </w:p>
        </w:tc>
      </w:tr>
      <w:tr w14:paraId="335D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2111BC6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2057" w:type="dxa"/>
            <w:noWrap w:val="0"/>
            <w:vAlign w:val="center"/>
          </w:tcPr>
          <w:p w14:paraId="55DDE8E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资金来源</w:t>
            </w:r>
          </w:p>
        </w:tc>
        <w:tc>
          <w:tcPr>
            <w:tcW w:w="7522" w:type="dxa"/>
            <w:noWrap w:val="0"/>
            <w:vAlign w:val="center"/>
          </w:tcPr>
          <w:p w14:paraId="00CCD69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自治区专项补助资金</w:t>
            </w:r>
          </w:p>
        </w:tc>
      </w:tr>
      <w:tr w14:paraId="16E3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23C4BCA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2057" w:type="dxa"/>
            <w:noWrap w:val="0"/>
            <w:vAlign w:val="center"/>
          </w:tcPr>
          <w:p w14:paraId="336061B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付款方式</w:t>
            </w:r>
          </w:p>
        </w:tc>
        <w:tc>
          <w:tcPr>
            <w:tcW w:w="7522" w:type="dxa"/>
            <w:noWrap w:val="0"/>
            <w:vAlign w:val="center"/>
          </w:tcPr>
          <w:p w14:paraId="61F36A08">
            <w:pPr>
              <w:shd w:val="clear" w:color="auto" w:fill="auto"/>
              <w:spacing w:line="360" w:lineRule="auto"/>
              <w:jc w:val="left"/>
              <w:outlineLvl w:val="9"/>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具体以甲乙双方签订合同为准</w:t>
            </w:r>
          </w:p>
        </w:tc>
      </w:tr>
      <w:tr w14:paraId="0361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5D158BC9">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2057" w:type="dxa"/>
            <w:noWrap w:val="0"/>
            <w:vAlign w:val="center"/>
          </w:tcPr>
          <w:p w14:paraId="02647C5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招标方式</w:t>
            </w:r>
          </w:p>
        </w:tc>
        <w:tc>
          <w:tcPr>
            <w:tcW w:w="7522" w:type="dxa"/>
            <w:noWrap w:val="0"/>
            <w:vAlign w:val="center"/>
          </w:tcPr>
          <w:p w14:paraId="7EE76333">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公开招标(本项目采用网上电子招投标)  </w:t>
            </w:r>
          </w:p>
        </w:tc>
      </w:tr>
      <w:tr w14:paraId="6CF9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76C28C0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2057" w:type="dxa"/>
            <w:noWrap w:val="0"/>
            <w:vAlign w:val="center"/>
          </w:tcPr>
          <w:p w14:paraId="1EC4058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供应商信用查询</w:t>
            </w:r>
          </w:p>
        </w:tc>
        <w:tc>
          <w:tcPr>
            <w:tcW w:w="7522" w:type="dxa"/>
            <w:noWrap w:val="0"/>
            <w:vAlign w:val="center"/>
          </w:tcPr>
          <w:p w14:paraId="094840B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1、查询渠道：信用中国（网址：http://www.creditchina.gov.cn）、中国政府采购网(网址：http://www.ccgp.gov.cn）。</w:t>
            </w:r>
          </w:p>
          <w:p w14:paraId="76358839">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2、截止时点：开标后评标前。</w:t>
            </w:r>
          </w:p>
          <w:p w14:paraId="0F92989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3、信用信息查询记录和证据留存的具体方式：由采购组织机构在规定查询时间内打印信用信息查询记录并归入项目档案。</w:t>
            </w:r>
          </w:p>
          <w:p w14:paraId="313CDC3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887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0680E3E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2057" w:type="dxa"/>
            <w:noWrap w:val="0"/>
            <w:vAlign w:val="center"/>
          </w:tcPr>
          <w:p w14:paraId="683269A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是否接受联合体投标</w:t>
            </w:r>
          </w:p>
        </w:tc>
        <w:tc>
          <w:tcPr>
            <w:tcW w:w="7522" w:type="dxa"/>
            <w:noWrap w:val="0"/>
            <w:vAlign w:val="center"/>
          </w:tcPr>
          <w:p w14:paraId="614FE53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■不接受</w:t>
            </w:r>
          </w:p>
          <w:p w14:paraId="4646EEA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□接  受</w:t>
            </w:r>
          </w:p>
        </w:tc>
      </w:tr>
      <w:tr w14:paraId="34B9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3103E0F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2057" w:type="dxa"/>
            <w:noWrap w:val="0"/>
            <w:vAlign w:val="center"/>
          </w:tcPr>
          <w:p w14:paraId="5062F73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 （开标时间）</w:t>
            </w:r>
          </w:p>
        </w:tc>
        <w:tc>
          <w:tcPr>
            <w:tcW w:w="7522" w:type="dxa"/>
            <w:noWrap w:val="0"/>
            <w:vAlign w:val="center"/>
          </w:tcPr>
          <w:p w14:paraId="38D159E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截止时间：2025年07月10日 10:10（北京时间）</w:t>
            </w:r>
          </w:p>
        </w:tc>
      </w:tr>
      <w:tr w14:paraId="35D0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776D4F2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2057" w:type="dxa"/>
            <w:noWrap w:val="0"/>
            <w:vAlign w:val="center"/>
          </w:tcPr>
          <w:p w14:paraId="4BC4920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投标有效期</w:t>
            </w:r>
          </w:p>
        </w:tc>
        <w:tc>
          <w:tcPr>
            <w:tcW w:w="7522" w:type="dxa"/>
            <w:noWrap w:val="0"/>
            <w:vAlign w:val="center"/>
          </w:tcPr>
          <w:p w14:paraId="5B90604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60 天</w:t>
            </w:r>
          </w:p>
        </w:tc>
      </w:tr>
      <w:tr w14:paraId="724E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3CC3CB6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p>
        </w:tc>
        <w:tc>
          <w:tcPr>
            <w:tcW w:w="2057" w:type="dxa"/>
            <w:noWrap w:val="0"/>
            <w:vAlign w:val="center"/>
          </w:tcPr>
          <w:p w14:paraId="1486A40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w:t>
            </w:r>
          </w:p>
        </w:tc>
        <w:tc>
          <w:tcPr>
            <w:tcW w:w="7522" w:type="dxa"/>
            <w:noWrap w:val="0"/>
            <w:vAlign w:val="center"/>
          </w:tcPr>
          <w:p w14:paraId="04946638">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投标保证金要求：</w:t>
            </w:r>
          </w:p>
          <w:p w14:paraId="3F0B3A7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投标保证金交纳方式：投标保证金应当以支票、汇票、本票、网上银行支付或者金融机构、担保机构出具的保函等非现金形式交纳。</w:t>
            </w:r>
          </w:p>
          <w:p w14:paraId="724FE72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投标保证金的金额：</w:t>
            </w:r>
          </w:p>
          <w:p w14:paraId="78B9506E">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一包：50000.00元；（伍万元整）</w:t>
            </w:r>
          </w:p>
          <w:p w14:paraId="794C801A">
            <w:pPr>
              <w:outlineLvl w:val="9"/>
              <w:rPr>
                <w:rFonts w:hint="eastAsia"/>
                <w:lang w:val="en-US" w:eastAsia="zh-CN"/>
              </w:rPr>
            </w:pPr>
            <w:r>
              <w:rPr>
                <w:rFonts w:hint="eastAsia" w:ascii="仿宋" w:hAnsi="仿宋" w:eastAsia="仿宋" w:cs="仿宋"/>
                <w:b/>
                <w:bCs/>
                <w:color w:val="auto"/>
                <w:sz w:val="24"/>
                <w:szCs w:val="24"/>
                <w:highlight w:val="none"/>
                <w:lang w:val="en-US" w:eastAsia="zh-CN"/>
              </w:rPr>
              <w:t>二包：55000.00元；（伍万伍仟元整）</w:t>
            </w:r>
          </w:p>
          <w:p w14:paraId="309C6F0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一、投标保证金交纳要求：   </w:t>
            </w:r>
          </w:p>
          <w:p w14:paraId="6E55FA9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049D40C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3B3751DC">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户名：阿图什市政务服务和公共资源交易中心</w:t>
            </w:r>
          </w:p>
          <w:p w14:paraId="69A8FF92">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账号：30456301040005267</w:t>
            </w:r>
          </w:p>
          <w:p w14:paraId="143EDD54">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行名：中国农业银行阿图什市天山分理处</w:t>
            </w:r>
          </w:p>
          <w:p w14:paraId="528A94B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行号：103893045636</w:t>
            </w:r>
          </w:p>
          <w:p w14:paraId="5BD2B06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联系人：王女士</w:t>
            </w:r>
          </w:p>
          <w:p w14:paraId="7EA3DF0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电话：0908-4222076    </w:t>
            </w:r>
          </w:p>
          <w:p w14:paraId="1A0C5F5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备注：必须写清楚xx公司xx项目保证金）</w:t>
            </w:r>
          </w:p>
          <w:p w14:paraId="4509B3A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7F48249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1、投标企业：待开标完成后，未中标企业3-5个工作日内政资中心将收取的项目投标保证金按投标企业基本户退回。</w:t>
            </w:r>
          </w:p>
          <w:p w14:paraId="3507885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2、中标企业：需提供已签订合同复印件一份，复印件每页需加盖企业公章（并携带合同原件，由中心工作人员核对后退还）。</w:t>
            </w:r>
          </w:p>
          <w:p w14:paraId="54E45A4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126499F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lang w:eastAsia="zh-CN"/>
              </w:rPr>
              <w:t xml:space="preserve">1、按照招标文件要求规定：投标企业无正当理由不参加该项目投标且在规定开标时间前不递交弃标函，投标保证金不予退还。    </w:t>
            </w:r>
            <w:r>
              <w:rPr>
                <w:rFonts w:hint="eastAsia" w:ascii="仿宋" w:hAnsi="仿宋" w:eastAsia="仿宋" w:cs="仿宋"/>
                <w:b w:val="0"/>
                <w:bCs w:val="0"/>
                <w:color w:val="auto"/>
                <w:sz w:val="24"/>
                <w:szCs w:val="24"/>
                <w:highlight w:val="none"/>
                <w:lang w:val="en-US" w:eastAsia="zh-CN"/>
              </w:rPr>
              <w:t xml:space="preserve">             </w:t>
            </w:r>
          </w:p>
        </w:tc>
      </w:tr>
      <w:tr w14:paraId="68F3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3AC0F77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2057" w:type="dxa"/>
            <w:noWrap w:val="0"/>
            <w:vAlign w:val="center"/>
          </w:tcPr>
          <w:p w14:paraId="0577666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是否允许递交备选投标方案</w:t>
            </w:r>
          </w:p>
        </w:tc>
        <w:tc>
          <w:tcPr>
            <w:tcW w:w="7522" w:type="dxa"/>
            <w:noWrap w:val="0"/>
            <w:vAlign w:val="center"/>
          </w:tcPr>
          <w:p w14:paraId="33A486E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■不允许</w:t>
            </w:r>
          </w:p>
          <w:p w14:paraId="23E6964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□允  许</w:t>
            </w:r>
          </w:p>
        </w:tc>
      </w:tr>
      <w:tr w14:paraId="55EB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C8ADB4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2057" w:type="dxa"/>
            <w:noWrap w:val="0"/>
            <w:vAlign w:val="center"/>
          </w:tcPr>
          <w:p w14:paraId="24154F6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招标文件领取</w:t>
            </w:r>
          </w:p>
        </w:tc>
        <w:tc>
          <w:tcPr>
            <w:tcW w:w="7522" w:type="dxa"/>
            <w:noWrap w:val="0"/>
            <w:vAlign w:val="center"/>
          </w:tcPr>
          <w:p w14:paraId="28A9957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时间：2025年06月19日至2025年 06月26日，</w:t>
            </w:r>
            <w:r>
              <w:rPr>
                <w:rFonts w:hint="eastAsia" w:ascii="仿宋" w:hAnsi="仿宋" w:eastAsia="仿宋" w:cs="仿宋"/>
                <w:b w:val="0"/>
                <w:bCs w:val="0"/>
                <w:color w:val="auto"/>
                <w:sz w:val="24"/>
                <w:szCs w:val="24"/>
                <w:highlight w:val="none"/>
                <w:lang w:val="en-US" w:eastAsia="zh-CN"/>
              </w:rPr>
              <w:t>每天上午10:00至14:00，下午16:00至20：00（北京时间，节假日除外）</w:t>
            </w:r>
          </w:p>
          <w:p w14:paraId="46A25909">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地点：政采云平台线上</w:t>
            </w:r>
          </w:p>
          <w:p w14:paraId="14EE7B6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方式：供应商登录政采云平台https://www.zcygov.cn/在线申请获取采购文件（进入“项目采购”应用，在获取采购文件菜单中选择项目，申请获取采购文件）</w:t>
            </w:r>
          </w:p>
        </w:tc>
      </w:tr>
      <w:tr w14:paraId="1E28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05AF965C">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w:t>
            </w:r>
          </w:p>
        </w:tc>
        <w:tc>
          <w:tcPr>
            <w:tcW w:w="2057" w:type="dxa"/>
            <w:noWrap w:val="0"/>
            <w:vAlign w:val="center"/>
          </w:tcPr>
          <w:p w14:paraId="6DC29E4A">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投标文件形式</w:t>
            </w:r>
          </w:p>
        </w:tc>
        <w:tc>
          <w:tcPr>
            <w:tcW w:w="7522" w:type="dxa"/>
            <w:noWrap w:val="0"/>
            <w:vAlign w:val="center"/>
          </w:tcPr>
          <w:p w14:paraId="4BAA69E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电子投标文件包括“电子加密投标文件”和“备份投标文件”，在投标文件编制完成后同时生成。</w:t>
            </w:r>
          </w:p>
          <w:p w14:paraId="393D006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1、“电子加密投标文件”是指通过“政采云电子交易客户端”完成投标文件编制后生成并加密的数据电文形式的投标文件。</w:t>
            </w:r>
          </w:p>
          <w:p w14:paraId="78C3B07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600F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77" w:type="dxa"/>
            <w:noWrap w:val="0"/>
            <w:vAlign w:val="center"/>
          </w:tcPr>
          <w:p w14:paraId="4CBAE55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w:t>
            </w:r>
          </w:p>
        </w:tc>
        <w:tc>
          <w:tcPr>
            <w:tcW w:w="2057" w:type="dxa"/>
            <w:noWrap w:val="0"/>
            <w:vAlign w:val="center"/>
          </w:tcPr>
          <w:p w14:paraId="5E0197A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投标文件份数及要求</w:t>
            </w:r>
          </w:p>
        </w:tc>
        <w:tc>
          <w:tcPr>
            <w:tcW w:w="7522" w:type="dxa"/>
            <w:noWrap w:val="0"/>
            <w:vAlign w:val="center"/>
          </w:tcPr>
          <w:p w14:paraId="6B37C2E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1、一份电子加密标书（“.jmbs”格式），一份备份标书文件（“.bfbs”格式）。</w:t>
            </w:r>
          </w:p>
          <w:p w14:paraId="6F25D373">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2、每份电子投标文件应包括资格证明文件和商务及技术文件两部分。</w:t>
            </w:r>
          </w:p>
        </w:tc>
      </w:tr>
      <w:tr w14:paraId="4626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restart"/>
            <w:noWrap w:val="0"/>
            <w:vAlign w:val="center"/>
          </w:tcPr>
          <w:p w14:paraId="42852A6D">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c>
          <w:tcPr>
            <w:tcW w:w="2057" w:type="dxa"/>
            <w:vMerge w:val="restart"/>
            <w:noWrap w:val="0"/>
            <w:vAlign w:val="center"/>
          </w:tcPr>
          <w:p w14:paraId="79820D9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投标文件的上传和递交</w:t>
            </w:r>
          </w:p>
        </w:tc>
        <w:tc>
          <w:tcPr>
            <w:tcW w:w="7522" w:type="dxa"/>
            <w:noWrap w:val="0"/>
            <w:vAlign w:val="center"/>
          </w:tcPr>
          <w:p w14:paraId="17F90EB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1E3BB2F3">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a.供应商未能在投标截止时间前成功上传电子加密投标文件的投标无效。</w:t>
            </w:r>
          </w:p>
          <w:p w14:paraId="462A57A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b.供应商成功上传电子加密投标文件后，可自行打印投标文件接收回执。</w:t>
            </w:r>
          </w:p>
        </w:tc>
      </w:tr>
      <w:tr w14:paraId="73B8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725D83B1">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68191BD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62CE69A2">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u w:val="single"/>
                <w:lang w:val="en-US" w:bidi="zh-CN"/>
              </w:rPr>
              <w:t>820740061@qq.com</w:t>
            </w:r>
            <w:r>
              <w:rPr>
                <w:rStyle w:val="31"/>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31"/>
                <w:rFonts w:hint="eastAsia" w:ascii="仿宋" w:hAnsi="仿宋" w:eastAsia="仿宋" w:cs="仿宋"/>
                <w:color w:val="auto"/>
                <w:sz w:val="24"/>
                <w:szCs w:val="24"/>
                <w:highlight w:val="none"/>
                <w:u w:val="single"/>
                <w:lang w:bidi="zh-CN"/>
              </w:rPr>
              <w:t>，电话：</w:t>
            </w:r>
            <w:r>
              <w:rPr>
                <w:rStyle w:val="31"/>
                <w:rFonts w:hint="eastAsia" w:ascii="仿宋" w:hAnsi="仿宋" w:eastAsia="仿宋" w:cs="仿宋"/>
                <w:color w:val="auto"/>
                <w:sz w:val="24"/>
                <w:szCs w:val="24"/>
                <w:highlight w:val="none"/>
                <w:u w:val="single"/>
                <w:lang w:val="en-US" w:bidi="zh-CN"/>
              </w:rPr>
              <w:t xml:space="preserve">18104746080 </w:t>
            </w:r>
            <w:r>
              <w:rPr>
                <w:rFonts w:hint="eastAsia" w:ascii="仿宋" w:hAnsi="仿宋" w:eastAsia="仿宋" w:cs="仿宋"/>
                <w:b w:val="0"/>
                <w:bCs w:val="0"/>
                <w:color w:val="auto"/>
                <w:sz w:val="24"/>
                <w:szCs w:val="24"/>
                <w:highlight w:val="none"/>
                <w:lang w:val="en-US" w:eastAsia="zh-CN"/>
              </w:rPr>
              <w:t>），“备份投标文件”由供应商自愿提供，招标文件 不作强制性要求；如不提供或未按要求提供的，当电子投标文件无法解密时，将导致无备份投标文件而失去投标资格。</w:t>
            </w:r>
          </w:p>
          <w:p w14:paraId="323A7C1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10DB0F0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3C5B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6A4F4B3">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w:t>
            </w:r>
          </w:p>
        </w:tc>
        <w:tc>
          <w:tcPr>
            <w:tcW w:w="2057" w:type="dxa"/>
            <w:noWrap w:val="0"/>
            <w:vAlign w:val="center"/>
          </w:tcPr>
          <w:p w14:paraId="1EF9070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评标委员会的组建</w:t>
            </w:r>
          </w:p>
        </w:tc>
        <w:tc>
          <w:tcPr>
            <w:tcW w:w="7522" w:type="dxa"/>
            <w:noWrap w:val="0"/>
            <w:vAlign w:val="center"/>
          </w:tcPr>
          <w:p w14:paraId="33B06638">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评标委员会由招标人依法组建；</w:t>
            </w:r>
          </w:p>
          <w:p w14:paraId="44F8AB07">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评标专家确定方式：专家评委由招标人在开标前从政采云专家库中随机抽取；</w:t>
            </w:r>
          </w:p>
        </w:tc>
      </w:tr>
      <w:tr w14:paraId="7CB2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1B7BE76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c>
          <w:tcPr>
            <w:tcW w:w="2057" w:type="dxa"/>
            <w:noWrap w:val="0"/>
            <w:vAlign w:val="center"/>
          </w:tcPr>
          <w:p w14:paraId="62A9665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是否授权评标委员会确定中标候选人</w:t>
            </w:r>
          </w:p>
        </w:tc>
        <w:tc>
          <w:tcPr>
            <w:tcW w:w="7522" w:type="dxa"/>
            <w:noWrap w:val="0"/>
            <w:vAlign w:val="center"/>
          </w:tcPr>
          <w:p w14:paraId="084EAB60">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是；</w:t>
            </w:r>
            <w:r>
              <w:rPr>
                <w:rFonts w:hint="eastAsia" w:ascii="仿宋" w:hAnsi="仿宋" w:eastAsia="仿宋" w:cs="仿宋"/>
                <w:b w:val="0"/>
                <w:bCs w:val="0"/>
                <w:color w:val="auto"/>
                <w:sz w:val="24"/>
                <w:szCs w:val="24"/>
                <w:highlight w:val="none"/>
                <w:lang w:val="en-US" w:eastAsia="zh-CN"/>
              </w:rPr>
              <w:tab/>
            </w:r>
          </w:p>
        </w:tc>
      </w:tr>
      <w:tr w14:paraId="4D96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7BA29A1F">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w:t>
            </w:r>
          </w:p>
        </w:tc>
        <w:tc>
          <w:tcPr>
            <w:tcW w:w="2057" w:type="dxa"/>
            <w:noWrap w:val="0"/>
            <w:vAlign w:val="center"/>
          </w:tcPr>
          <w:p w14:paraId="65D5842C">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递交投标文件地点</w:t>
            </w:r>
          </w:p>
        </w:tc>
        <w:tc>
          <w:tcPr>
            <w:tcW w:w="7522" w:type="dxa"/>
            <w:noWrap w:val="0"/>
            <w:vAlign w:val="center"/>
          </w:tcPr>
          <w:p w14:paraId="7E960414">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投标截止时间：2025年07月10日 10:10（北京时间）</w:t>
            </w:r>
          </w:p>
          <w:p w14:paraId="10CCD43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投标地点：请登录政采云投标客户端投标</w:t>
            </w:r>
          </w:p>
        </w:tc>
      </w:tr>
      <w:tr w14:paraId="7645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665BA4F">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w:t>
            </w:r>
          </w:p>
        </w:tc>
        <w:tc>
          <w:tcPr>
            <w:tcW w:w="2057" w:type="dxa"/>
            <w:noWrap w:val="0"/>
            <w:vAlign w:val="center"/>
          </w:tcPr>
          <w:p w14:paraId="7C9EB12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开标时间和地点</w:t>
            </w:r>
          </w:p>
        </w:tc>
        <w:tc>
          <w:tcPr>
            <w:tcW w:w="7522" w:type="dxa"/>
            <w:noWrap w:val="0"/>
            <w:vAlign w:val="center"/>
          </w:tcPr>
          <w:p w14:paraId="296380A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开标时间：2025年07月10日 10:10（北京时间）</w:t>
            </w:r>
          </w:p>
          <w:p w14:paraId="6E5A743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开标地点：投标人登录政采云平台https://www.zcygov.cn/，进入“项目采购-开标评标-右边选择对应项目点击“进入项目”进入开标大厅。      </w:t>
            </w:r>
          </w:p>
        </w:tc>
      </w:tr>
      <w:tr w14:paraId="7496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restart"/>
            <w:noWrap w:val="0"/>
            <w:vAlign w:val="center"/>
          </w:tcPr>
          <w:p w14:paraId="6308057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p>
        </w:tc>
        <w:tc>
          <w:tcPr>
            <w:tcW w:w="2057" w:type="dxa"/>
            <w:vMerge w:val="restart"/>
            <w:noWrap w:val="0"/>
            <w:vAlign w:val="center"/>
          </w:tcPr>
          <w:p w14:paraId="264252F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重要说明</w:t>
            </w:r>
          </w:p>
        </w:tc>
        <w:tc>
          <w:tcPr>
            <w:tcW w:w="7522" w:type="dxa"/>
            <w:noWrap w:val="0"/>
            <w:vAlign w:val="center"/>
          </w:tcPr>
          <w:p w14:paraId="5E5274FE">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3B85EA09">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14:paraId="736004D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2A4F4AA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79EF677C">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60E4515F">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仿宋" w:hAnsi="仿宋" w:eastAsia="仿宋" w:cs="仿宋"/>
                <w:b w:val="0"/>
                <w:bCs w:val="0"/>
                <w:color w:val="auto"/>
                <w:sz w:val="24"/>
                <w:szCs w:val="24"/>
                <w:highlight w:val="none"/>
                <w:lang w:val="en-US" w:eastAsia="zh-CN"/>
              </w:rPr>
              <w:t>7.为了保证开评标顺利进行，政采云线上开标功能完全实现，供应商开标所使用的电脑设备须具有视频及语音功能。</w:t>
            </w:r>
          </w:p>
        </w:tc>
      </w:tr>
      <w:tr w14:paraId="181A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1F10367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69DEE63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601EB25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1、电子招投标情况说明：</w:t>
            </w:r>
          </w:p>
          <w:p w14:paraId="3E910F4D">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（1）电子招投标：本项目以数据电文形式，依托“政府采购云平台（www.zcygov.cn）”进行招投标活动。</w:t>
            </w:r>
          </w:p>
          <w:p w14:paraId="11878B47">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416E72E">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（3）招标文件的获取：使用账号登录或者短信验证码或者使用CA登录政采云平台；进入“项目采购”应用，在获取招标文件 菜单中选择项目，获取招标文件 。</w:t>
            </w:r>
          </w:p>
          <w:p w14:paraId="6805CFCB">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（4）投标文件的制作：在“政采云电子交易客户端”中完成“填写基本信息”、“导入投标文件”、“标书关联”、“标书检查”、“电子签名”、“生成电子标书”等操作。</w:t>
            </w:r>
          </w:p>
          <w:p w14:paraId="4B57FA5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（5）投标文件的传输递交：供应商在投标截止时间前将加密的投标文件上传至政府采购云平台，还可以在投标截止时间前以电子邮件方式提供备份投标文件1份（接收人邮箱：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u w:val="single"/>
                <w:lang w:val="en-US" w:bidi="zh-CN"/>
              </w:rPr>
              <w:t>820740061@qq.com</w:t>
            </w:r>
            <w:r>
              <w:rPr>
                <w:rStyle w:val="31"/>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31"/>
                <w:rFonts w:hint="eastAsia" w:ascii="仿宋" w:hAnsi="仿宋" w:eastAsia="仿宋" w:cs="仿宋"/>
                <w:color w:val="auto"/>
                <w:sz w:val="24"/>
                <w:szCs w:val="24"/>
                <w:highlight w:val="none"/>
                <w:u w:val="single"/>
                <w:lang w:bidi="zh-CN"/>
              </w:rPr>
              <w:t>，电话：</w:t>
            </w:r>
            <w:r>
              <w:rPr>
                <w:rStyle w:val="31"/>
                <w:rFonts w:hint="eastAsia" w:ascii="仿宋" w:hAnsi="仿宋" w:eastAsia="仿宋" w:cs="仿宋"/>
                <w:color w:val="auto"/>
                <w:sz w:val="24"/>
                <w:szCs w:val="24"/>
                <w:highlight w:val="none"/>
                <w:u w:val="single"/>
                <w:lang w:val="en-US" w:bidi="zh-CN"/>
              </w:rPr>
              <w:t>18104746080</w:t>
            </w:r>
            <w:r>
              <w:rPr>
                <w:rFonts w:hint="eastAsia" w:ascii="仿宋" w:hAnsi="仿宋" w:eastAsia="仿宋" w:cs="仿宋"/>
                <w:color w:val="auto"/>
                <w:sz w:val="24"/>
                <w:szCs w:val="24"/>
                <w:highlight w:val="none"/>
                <w:lang w:bidi="zh-CN"/>
              </w:rPr>
              <w:t>）</w:t>
            </w:r>
            <w:r>
              <w:rPr>
                <w:rFonts w:hint="eastAsia" w:ascii="仿宋" w:hAnsi="仿宋" w:eastAsia="仿宋" w:cs="仿宋"/>
                <w:b w:val="0"/>
                <w:bCs w:val="0"/>
                <w:color w:val="auto"/>
                <w:sz w:val="24"/>
                <w:szCs w:val="24"/>
                <w:highlight w:val="none"/>
                <w:lang w:val="en-US" w:eastAsia="zh-CN"/>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7C72F51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08534740">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（7）具体操作指南：详见政采云平台“服务中心-帮助文档-项目采购-操作流程-电子招投标-政府采购项目电子交易管理操作指南-供应商”。</w:t>
            </w:r>
          </w:p>
          <w:p w14:paraId="640AB07F">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（8）供应商在进行上述操作时，如遇技术问题可登录政采云（https://</w:t>
            </w:r>
            <w:r>
              <w:rPr>
                <w:rFonts w:hint="eastAsia" w:ascii="仿宋" w:hAnsi="仿宋" w:eastAsia="仿宋" w:cs="仿宋"/>
                <w:b w:val="0"/>
                <w:bCs w:val="0"/>
                <w:color w:val="auto"/>
                <w:sz w:val="24"/>
                <w:szCs w:val="24"/>
                <w:highlight w:val="none"/>
                <w:lang w:val="en-US" w:eastAsia="zh-CN"/>
              </w:rPr>
              <w:fldChar w:fldCharType="begin"/>
            </w:r>
            <w:r>
              <w:rPr>
                <w:rFonts w:hint="eastAsia" w:ascii="仿宋" w:hAnsi="仿宋" w:eastAsia="仿宋" w:cs="仿宋"/>
                <w:b w:val="0"/>
                <w:bCs w:val="0"/>
                <w:color w:val="auto"/>
                <w:sz w:val="24"/>
                <w:szCs w:val="24"/>
                <w:highlight w:val="none"/>
                <w:lang w:val="en-US" w:eastAsia="zh-CN"/>
              </w:rPr>
              <w:instrText xml:space="preserve">HYPERLINK "http://www.zcygov.cn/" \h</w:instrText>
            </w:r>
            <w:r>
              <w:rPr>
                <w:rFonts w:hint="eastAsia" w:ascii="仿宋" w:hAnsi="仿宋" w:eastAsia="仿宋" w:cs="仿宋"/>
                <w:b w:val="0"/>
                <w:bCs w:val="0"/>
                <w:color w:val="auto"/>
                <w:sz w:val="24"/>
                <w:szCs w:val="24"/>
                <w:highlight w:val="none"/>
                <w:lang w:val="en-US" w:eastAsia="zh-CN"/>
              </w:rPr>
              <w:fldChar w:fldCharType="separate"/>
            </w:r>
            <w:r>
              <w:rPr>
                <w:rFonts w:hint="eastAsia" w:ascii="仿宋" w:hAnsi="仿宋" w:eastAsia="仿宋" w:cs="仿宋"/>
                <w:b w:val="0"/>
                <w:bCs w:val="0"/>
                <w:color w:val="auto"/>
                <w:sz w:val="24"/>
                <w:szCs w:val="24"/>
                <w:highlight w:val="none"/>
                <w:lang w:val="en-US" w:eastAsia="zh-CN"/>
              </w:rPr>
              <w:t>www.zcygov.cn/</w:t>
            </w:r>
            <w:r>
              <w:rPr>
                <w:rFonts w:hint="eastAsia" w:ascii="仿宋" w:hAnsi="仿宋" w:eastAsia="仿宋" w:cs="仿宋"/>
                <w:b w:val="0"/>
                <w:bCs w:val="0"/>
                <w:color w:val="auto"/>
                <w:sz w:val="24"/>
                <w:szCs w:val="24"/>
                <w:highlight w:val="none"/>
                <w:lang w:val="en-US" w:eastAsia="zh-CN"/>
              </w:rPr>
              <w:fldChar w:fldCharType="end"/>
            </w:r>
            <w:r>
              <w:rPr>
                <w:rFonts w:hint="eastAsia" w:ascii="仿宋" w:hAnsi="仿宋" w:eastAsia="仿宋" w:cs="仿宋"/>
                <w:b w:val="0"/>
                <w:bCs w:val="0"/>
                <w:color w:val="auto"/>
                <w:sz w:val="24"/>
                <w:szCs w:val="24"/>
                <w:highlight w:val="none"/>
                <w:lang w:val="en-US" w:eastAsia="zh-CN"/>
              </w:rPr>
              <w:t>），点击右侧咨询小采，获取采小蜜智能服务管家帮助，或拨打政采云服务热线 95763 获取热线服务帮助。</w:t>
            </w:r>
          </w:p>
          <w:p w14:paraId="5115B8E6">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温馨提醒：供应商应提前上传，以便在上传时遇到技术问题，有充足的时间请教平台的技术人员。</w:t>
            </w:r>
          </w:p>
          <w:p w14:paraId="213EF93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5BE5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4CA1E32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w:t>
            </w:r>
          </w:p>
        </w:tc>
        <w:tc>
          <w:tcPr>
            <w:tcW w:w="2057" w:type="dxa"/>
            <w:noWrap w:val="0"/>
            <w:vAlign w:val="center"/>
          </w:tcPr>
          <w:p w14:paraId="67C1A15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中标候选人公示媒介</w:t>
            </w:r>
          </w:p>
        </w:tc>
        <w:tc>
          <w:tcPr>
            <w:tcW w:w="7522" w:type="dxa"/>
            <w:noWrap w:val="0"/>
            <w:vAlign w:val="center"/>
          </w:tcPr>
          <w:p w14:paraId="75E7968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克州公共资源交易网、新疆政府采购网，公示期为一个工作日。</w:t>
            </w:r>
          </w:p>
        </w:tc>
      </w:tr>
      <w:tr w14:paraId="5452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70DF7C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w:t>
            </w:r>
          </w:p>
        </w:tc>
        <w:tc>
          <w:tcPr>
            <w:tcW w:w="2057" w:type="dxa"/>
            <w:noWrap w:val="0"/>
            <w:vAlign w:val="center"/>
          </w:tcPr>
          <w:p w14:paraId="74A0E38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招标代理服务费</w:t>
            </w:r>
          </w:p>
        </w:tc>
        <w:tc>
          <w:tcPr>
            <w:tcW w:w="7522" w:type="dxa"/>
            <w:noWrap w:val="0"/>
            <w:vAlign w:val="center"/>
          </w:tcPr>
          <w:p w14:paraId="4BE33818">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收费标准：参照《国家计委关于印发招标代理服务收费管理暂行办法的通知（计价格[2015]299号）中规定收取代理费。</w:t>
            </w:r>
          </w:p>
        </w:tc>
      </w:tr>
      <w:tr w14:paraId="4CC6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5ACF2BA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w:t>
            </w:r>
          </w:p>
        </w:tc>
        <w:tc>
          <w:tcPr>
            <w:tcW w:w="9579" w:type="dxa"/>
            <w:gridSpan w:val="2"/>
            <w:noWrap w:val="0"/>
            <w:vAlign w:val="center"/>
          </w:tcPr>
          <w:p w14:paraId="3451453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评标办法：</w:t>
            </w:r>
            <w:r>
              <w:rPr>
                <w:rFonts w:hint="eastAsia" w:ascii="仿宋" w:hAnsi="仿宋" w:eastAsia="仿宋" w:cs="仿宋"/>
                <w:b/>
                <w:bCs/>
                <w:color w:val="auto"/>
                <w:sz w:val="24"/>
                <w:szCs w:val="24"/>
                <w:highlight w:val="none"/>
                <w:lang w:val="en-US" w:eastAsia="zh-CN"/>
              </w:rPr>
              <w:t>本项目采用综合评分法。</w:t>
            </w:r>
          </w:p>
        </w:tc>
      </w:tr>
      <w:tr w14:paraId="3BCB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EBC3A10">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w:t>
            </w:r>
          </w:p>
        </w:tc>
        <w:tc>
          <w:tcPr>
            <w:tcW w:w="9579" w:type="dxa"/>
            <w:gridSpan w:val="2"/>
            <w:noWrap w:val="0"/>
            <w:vAlign w:val="center"/>
          </w:tcPr>
          <w:p w14:paraId="44848E5C">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不管投标结果如何，投标人均应承担自己投标所需一切费用。</w:t>
            </w:r>
          </w:p>
        </w:tc>
      </w:tr>
      <w:tr w14:paraId="2E7B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noWrap w:val="0"/>
            <w:vAlign w:val="center"/>
          </w:tcPr>
          <w:p w14:paraId="6CF2CE18">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w:t>
            </w:r>
          </w:p>
        </w:tc>
        <w:tc>
          <w:tcPr>
            <w:tcW w:w="9579" w:type="dxa"/>
            <w:gridSpan w:val="2"/>
            <w:noWrap w:val="0"/>
            <w:vAlign w:val="center"/>
          </w:tcPr>
          <w:p w14:paraId="784E4C5E">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最高投标限价：招标人设置投标报价最高上限：</w:t>
            </w:r>
          </w:p>
          <w:p w14:paraId="7131744C">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一包：4798718.00元（肆佰柒拾玖万捌仟柒佰壹拾捌元整）；</w:t>
            </w:r>
          </w:p>
          <w:p w14:paraId="4C475B77">
            <w:pPr>
              <w:outlineLvl w:val="9"/>
              <w:rPr>
                <w:rFonts w:hint="default"/>
                <w:lang w:val="en-US" w:eastAsia="zh-CN"/>
              </w:rPr>
            </w:pPr>
            <w:r>
              <w:rPr>
                <w:rFonts w:hint="eastAsia" w:ascii="仿宋" w:hAnsi="仿宋" w:eastAsia="仿宋" w:cs="仿宋"/>
                <w:b/>
                <w:bCs/>
                <w:color w:val="auto"/>
                <w:sz w:val="24"/>
                <w:szCs w:val="24"/>
                <w:highlight w:val="none"/>
                <w:lang w:val="en-US" w:eastAsia="zh-CN"/>
              </w:rPr>
              <w:t>二包：4793760.00元（肆佰柒拾玖万叁仟柒佰陆拾元整）；</w:t>
            </w:r>
          </w:p>
          <w:p w14:paraId="0B793D4A">
            <w:pPr>
              <w:shd w:val="clear" w:color="auto" w:fill="auto"/>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lang w:val="en-US" w:eastAsia="zh-CN"/>
              </w:rPr>
              <w:t>高于最高限价的其投标文件按无效投标处理。</w:t>
            </w:r>
          </w:p>
        </w:tc>
      </w:tr>
      <w:tr w14:paraId="79DE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77" w:type="dxa"/>
            <w:vMerge w:val="restart"/>
            <w:noWrap w:val="0"/>
            <w:vAlign w:val="center"/>
          </w:tcPr>
          <w:p w14:paraId="5794CFE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w:t>
            </w:r>
          </w:p>
        </w:tc>
        <w:tc>
          <w:tcPr>
            <w:tcW w:w="2057" w:type="dxa"/>
            <w:vMerge w:val="restart"/>
            <w:noWrap w:val="0"/>
            <w:vAlign w:val="center"/>
          </w:tcPr>
          <w:p w14:paraId="473E3B8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中小微企业政策文件</w:t>
            </w:r>
          </w:p>
        </w:tc>
        <w:tc>
          <w:tcPr>
            <w:tcW w:w="7522" w:type="dxa"/>
            <w:noWrap w:val="0"/>
            <w:vAlign w:val="center"/>
          </w:tcPr>
          <w:p w14:paraId="3314A085">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b w:val="0"/>
                <w:bCs w:val="0"/>
                <w:color w:val="auto"/>
                <w:sz w:val="24"/>
                <w:szCs w:val="24"/>
                <w:highlight w:val="none"/>
                <w:lang w:eastAsia="zh-CN"/>
              </w:rPr>
              <w:t>招标文件</w:t>
            </w:r>
            <w:r>
              <w:rPr>
                <w:rFonts w:hint="eastAsia" w:ascii="仿宋" w:hAnsi="仿宋" w:eastAsia="仿宋" w:cs="仿宋"/>
                <w:b w:val="0"/>
                <w:bCs w:val="0"/>
                <w:color w:val="auto"/>
                <w:sz w:val="24"/>
                <w:szCs w:val="24"/>
                <w:highlight w:val="none"/>
              </w:rPr>
              <w:t>格式提供《中小企业声明函》。</w:t>
            </w:r>
          </w:p>
        </w:tc>
      </w:tr>
      <w:tr w14:paraId="1CB9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3841F4CD">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66160FA4">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5484440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117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7" w:type="dxa"/>
            <w:vMerge w:val="continue"/>
            <w:noWrap w:val="0"/>
            <w:vAlign w:val="center"/>
          </w:tcPr>
          <w:p w14:paraId="40921976">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2057" w:type="dxa"/>
            <w:vMerge w:val="continue"/>
            <w:noWrap w:val="0"/>
            <w:vAlign w:val="center"/>
          </w:tcPr>
          <w:p w14:paraId="2D740021">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21D32E44">
            <w:pPr>
              <w:shd w:val="clear" w:color="auto" w:fill="auto"/>
              <w:spacing w:line="360" w:lineRule="auto"/>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1B2E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jc w:val="center"/>
        </w:trPr>
        <w:tc>
          <w:tcPr>
            <w:tcW w:w="577" w:type="dxa"/>
            <w:noWrap w:val="0"/>
            <w:vAlign w:val="center"/>
          </w:tcPr>
          <w:p w14:paraId="53B3007B">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w:t>
            </w:r>
          </w:p>
        </w:tc>
        <w:tc>
          <w:tcPr>
            <w:tcW w:w="2057" w:type="dxa"/>
            <w:noWrap w:val="0"/>
            <w:vAlign w:val="center"/>
          </w:tcPr>
          <w:p w14:paraId="7DA4D0C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中小微企业政策文件说明</w:t>
            </w:r>
          </w:p>
        </w:tc>
        <w:tc>
          <w:tcPr>
            <w:tcW w:w="7522" w:type="dxa"/>
            <w:noWrap w:val="0"/>
            <w:vAlign w:val="center"/>
          </w:tcPr>
          <w:p w14:paraId="2630EDAD">
            <w:pPr>
              <w:numPr>
                <w:ilvl w:val="0"/>
                <w:numId w:val="0"/>
              </w:numPr>
              <w:shd w:val="clear" w:color="auto" w:fill="auto"/>
              <w:spacing w:line="360" w:lineRule="auto"/>
              <w:jc w:val="left"/>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（1）本项目为非专门面向中小企业（含中型、小型、微型企业）采购项目。</w:t>
            </w:r>
            <w:r>
              <w:rPr>
                <w:rFonts w:hint="eastAsia" w:ascii="仿宋" w:hAnsi="仿宋" w:eastAsia="仿宋" w:cs="仿宋"/>
                <w:b/>
                <w:bCs/>
                <w:color w:val="auto"/>
                <w:kern w:val="2"/>
                <w:sz w:val="24"/>
                <w:szCs w:val="24"/>
                <w:u w:val="single"/>
                <w:lang w:val="en-US" w:eastAsia="zh-CN" w:bidi="ar-SA"/>
              </w:rPr>
              <w:t>本项目采购标的对应的中小企业划分标准所属行业为工业</w:t>
            </w:r>
            <w:r>
              <w:rPr>
                <w:rFonts w:hint="eastAsia" w:ascii="仿宋" w:hAnsi="仿宋" w:eastAsia="仿宋" w:cs="仿宋"/>
                <w:b/>
                <w:bCs/>
                <w:color w:val="auto"/>
                <w:kern w:val="2"/>
                <w:sz w:val="24"/>
                <w:szCs w:val="24"/>
                <w:lang w:val="en-US" w:eastAsia="zh-CN" w:bidi="ar-SA"/>
              </w:rPr>
              <w:t>。</w:t>
            </w:r>
          </w:p>
          <w:p w14:paraId="3F927C0D">
            <w:pPr>
              <w:numPr>
                <w:ilvl w:val="0"/>
                <w:numId w:val="0"/>
              </w:numPr>
              <w:shd w:val="clear" w:color="auto" w:fill="auto"/>
              <w:spacing w:line="360" w:lineRule="auto"/>
              <w:jc w:val="left"/>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本项目对属于小型和微型企业的投标人的投标报价给予10%的扣除，用扣除后的价格参与评审。残疾人福利性单位视同小型、微型企业，享受同等价格扣除，但同时属于残疾人福利性单位和小微企业的，不重复价格扣除。监狱企业视同小微企业。监狱企业参加政府采购活动时，应当提供由省级以上监狱管理局、戒毒管理局（含新疆生产建设兵团）出具的属于监狱企业的证明文件。</w:t>
            </w:r>
          </w:p>
          <w:p w14:paraId="10A4B135">
            <w:pPr>
              <w:numPr>
                <w:ilvl w:val="0"/>
                <w:numId w:val="0"/>
              </w:numPr>
              <w:shd w:val="clear" w:color="auto" w:fill="auto"/>
              <w:spacing w:line="360" w:lineRule="auto"/>
              <w:jc w:val="left"/>
              <w:outlineLvl w:val="9"/>
              <w:rPr>
                <w:rFonts w:hint="eastAsia"/>
              </w:rPr>
            </w:pPr>
            <w:r>
              <w:rPr>
                <w:rFonts w:hint="eastAsia" w:ascii="仿宋" w:hAnsi="仿宋" w:eastAsia="仿宋" w:cs="仿宋"/>
                <w:b/>
                <w:bCs/>
                <w:color w:val="auto"/>
                <w:kern w:val="2"/>
                <w:sz w:val="24"/>
                <w:szCs w:val="24"/>
                <w:lang w:val="en-US" w:eastAsia="zh-CN" w:bidi="ar-SA"/>
              </w:rPr>
              <w:t>不符合上述适用情形的投标人无需提供上述声明函件。</w:t>
            </w:r>
          </w:p>
        </w:tc>
      </w:tr>
      <w:tr w14:paraId="35F6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77" w:type="dxa"/>
            <w:noWrap w:val="0"/>
            <w:vAlign w:val="center"/>
          </w:tcPr>
          <w:p w14:paraId="300CDFCD">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w:t>
            </w:r>
          </w:p>
        </w:tc>
        <w:tc>
          <w:tcPr>
            <w:tcW w:w="2057" w:type="dxa"/>
            <w:noWrap w:val="0"/>
            <w:vAlign w:val="center"/>
          </w:tcPr>
          <w:p w14:paraId="412CBE7F">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低于成本价不正当竞争预防措施</w:t>
            </w:r>
          </w:p>
        </w:tc>
        <w:tc>
          <w:tcPr>
            <w:tcW w:w="7522" w:type="dxa"/>
            <w:noWrap w:val="0"/>
            <w:vAlign w:val="center"/>
          </w:tcPr>
          <w:p w14:paraId="003DC34E">
            <w:pPr>
              <w:outlineLvl w:val="9"/>
              <w:rPr>
                <w:rFonts w:hint="default" w:ascii="仿宋" w:hAnsi="仿宋" w:eastAsia="仿宋" w:cs="仿宋"/>
                <w:sz w:val="24"/>
                <w:szCs w:val="24"/>
                <w:highlight w:val="none"/>
                <w:lang w:val="en-US" w:eastAsia="zh-CN"/>
              </w:rPr>
            </w:pPr>
            <w:r>
              <w:rPr>
                <w:rFonts w:hint="eastAsia" w:ascii="仿宋" w:hAnsi="仿宋" w:eastAsia="仿宋" w:cs="仿宋"/>
                <w:b/>
                <w:bCs/>
                <w:color w:val="auto"/>
                <w:kern w:val="2"/>
                <w:sz w:val="24"/>
                <w:szCs w:val="24"/>
                <w:highlight w:val="none"/>
                <w:u w:val="single"/>
                <w:lang w:val="en-US" w:eastAsia="zh-CN" w:bidi="ar-SA"/>
              </w:rPr>
              <w:t>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431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577" w:type="dxa"/>
            <w:noWrap w:val="0"/>
            <w:vAlign w:val="center"/>
          </w:tcPr>
          <w:p w14:paraId="34C4832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w:t>
            </w:r>
          </w:p>
        </w:tc>
        <w:tc>
          <w:tcPr>
            <w:tcW w:w="2057" w:type="dxa"/>
            <w:noWrap w:val="0"/>
            <w:vAlign w:val="center"/>
          </w:tcPr>
          <w:p w14:paraId="26BA7F22">
            <w:pPr>
              <w:shd w:val="clear" w:color="auto" w:fill="auto"/>
              <w:spacing w:line="360" w:lineRule="auto"/>
              <w:ind w:firstLine="240" w:firstLineChars="100"/>
              <w:jc w:val="both"/>
              <w:outlineLvl w:val="9"/>
              <w:rPr>
                <w:rFonts w:hint="eastAsia" w:ascii="仿宋" w:hAnsi="仿宋" w:eastAsia="仿宋" w:cs="仿宋"/>
                <w:b w:val="0"/>
                <w:bCs w:val="0"/>
                <w:color w:val="auto"/>
                <w:sz w:val="24"/>
                <w:szCs w:val="24"/>
                <w:highlight w:val="none"/>
              </w:rPr>
            </w:pPr>
          </w:p>
          <w:p w14:paraId="5611B61C">
            <w:pPr>
              <w:shd w:val="clear" w:color="auto" w:fill="auto"/>
              <w:spacing w:line="360" w:lineRule="auto"/>
              <w:jc w:val="both"/>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履约保证金</w:t>
            </w:r>
          </w:p>
          <w:p w14:paraId="380731A8">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center"/>
          </w:tcPr>
          <w:p w14:paraId="61B43AFF">
            <w:pPr>
              <w:shd w:val="clear" w:color="auto" w:fill="auto"/>
              <w:spacing w:line="360" w:lineRule="auto"/>
              <w:jc w:val="left"/>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履约担保的形式： 甲乙双方签订合同时协商约定。</w:t>
            </w:r>
          </w:p>
          <w:p w14:paraId="1CC52C15">
            <w:pPr>
              <w:shd w:val="clear" w:color="auto" w:fill="auto"/>
              <w:spacing w:line="360" w:lineRule="auto"/>
              <w:jc w:val="left"/>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中标人应在领取《中标通知书》后的十个日历日内，办理履约保证金，金额为不超过合同总价的10%，否则招标人可取消中标人的中标资格。</w:t>
            </w:r>
          </w:p>
        </w:tc>
      </w:tr>
      <w:tr w14:paraId="1B10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77" w:type="dxa"/>
            <w:noWrap w:val="0"/>
            <w:vAlign w:val="center"/>
          </w:tcPr>
          <w:p w14:paraId="754E5FD5">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w:t>
            </w:r>
          </w:p>
        </w:tc>
        <w:tc>
          <w:tcPr>
            <w:tcW w:w="2057" w:type="dxa"/>
            <w:noWrap w:val="0"/>
            <w:vAlign w:val="center"/>
          </w:tcPr>
          <w:p w14:paraId="70F8FC79">
            <w:pPr>
              <w:shd w:val="clear" w:color="auto" w:fill="auto"/>
              <w:spacing w:line="360" w:lineRule="auto"/>
              <w:jc w:val="left"/>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信用记录查询</w:t>
            </w:r>
          </w:p>
          <w:p w14:paraId="3696D00B">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top"/>
          </w:tcPr>
          <w:p w14:paraId="21E680DE">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凡拟参加本次招标项目的投标人，在“信用中国 ”网站（www.creditchina.gov.cn）、 中国政府采购网（www.ccgp.gov.cn）二个网站的查询结果，如投标人被列入失信被执行人、重大税收违法案件当事人名单、经营异常名录的、政府采购严重违法失信行为记录名单的（尚在处罚期内的），将拒绝其参本次政府采购活动（开标现场查询，</w:t>
            </w:r>
            <w:r>
              <w:rPr>
                <w:rFonts w:hint="eastAsia" w:ascii="仿宋" w:hAnsi="仿宋" w:eastAsia="仿宋" w:cs="仿宋"/>
                <w:b w:val="0"/>
                <w:bCs w:val="0"/>
                <w:color w:val="auto"/>
                <w:sz w:val="24"/>
                <w:szCs w:val="24"/>
                <w:highlight w:val="none"/>
                <w:lang w:val="en-US" w:eastAsia="zh-CN"/>
              </w:rPr>
              <w:t>并</w:t>
            </w:r>
            <w:r>
              <w:rPr>
                <w:rFonts w:hint="eastAsia" w:ascii="仿宋" w:hAnsi="仿宋" w:eastAsia="仿宋" w:cs="仿宋"/>
                <w:b w:val="0"/>
                <w:bCs w:val="0"/>
                <w:color w:val="auto"/>
                <w:sz w:val="24"/>
                <w:szCs w:val="24"/>
                <w:highlight w:val="none"/>
                <w:lang w:val="zh-CN"/>
              </w:rPr>
              <w:t>投标人提供截图）；</w:t>
            </w:r>
          </w:p>
          <w:p w14:paraId="124D0462">
            <w:pPr>
              <w:shd w:val="clear" w:color="auto" w:fill="auto"/>
              <w:spacing w:line="360" w:lineRule="auto"/>
              <w:jc w:val="left"/>
              <w:outlineLvl w:val="9"/>
              <w:rPr>
                <w:rFonts w:hint="eastAsia" w:ascii="仿宋" w:hAnsi="仿宋" w:eastAsia="仿宋" w:cs="仿宋"/>
                <w:sz w:val="24"/>
                <w:szCs w:val="24"/>
                <w:lang w:val="zh-CN"/>
              </w:rPr>
            </w:pPr>
            <w:r>
              <w:rPr>
                <w:rFonts w:hint="eastAsia" w:ascii="仿宋" w:hAnsi="仿宋" w:eastAsia="仿宋" w:cs="仿宋"/>
                <w:b/>
                <w:bCs/>
                <w:color w:val="auto"/>
                <w:sz w:val="24"/>
                <w:szCs w:val="24"/>
                <w:highlight w:val="none"/>
                <w:lang w:val="zh-CN"/>
              </w:rPr>
              <w:t>本项目不接受失信企业投标。</w:t>
            </w:r>
          </w:p>
        </w:tc>
      </w:tr>
      <w:tr w14:paraId="620F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noWrap w:val="0"/>
            <w:vAlign w:val="center"/>
          </w:tcPr>
          <w:p w14:paraId="444A0882">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34</w:t>
            </w:r>
          </w:p>
        </w:tc>
        <w:tc>
          <w:tcPr>
            <w:tcW w:w="2057" w:type="dxa"/>
            <w:noWrap w:val="0"/>
            <w:vAlign w:val="center"/>
          </w:tcPr>
          <w:p w14:paraId="5ADBEB9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质疑</w:t>
            </w:r>
          </w:p>
        </w:tc>
        <w:tc>
          <w:tcPr>
            <w:tcW w:w="7522" w:type="dxa"/>
            <w:noWrap w:val="0"/>
            <w:vAlign w:val="top"/>
          </w:tcPr>
          <w:p w14:paraId="21B97CE6">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供应商认为招标文件、采购过程或中标结果使自己的合法权益受到损害的，应当在知道或者应知其权益受到损害之日起在规定的期限内，以书面或邮件形式一次 性向采购人（采购代理机构）提出质疑或供应商对采购人（采购代理机构）的质疑答复不满意或者采购人（采购代理机构）未在规定时间内做出答复的，可以在答复期满后五个工作日内向有关监管部门投诉。</w:t>
            </w:r>
          </w:p>
          <w:p w14:paraId="2DB528A4">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注：根据《中华人民共和国政府采购法》的规定，供应商质疑不得超出招标文件、招标过程及招标结果的范围及时效限制。</w:t>
            </w:r>
          </w:p>
        </w:tc>
      </w:tr>
      <w:tr w14:paraId="09EC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77" w:type="dxa"/>
            <w:noWrap w:val="0"/>
            <w:vAlign w:val="center"/>
          </w:tcPr>
          <w:p w14:paraId="48C1FF24">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w:t>
            </w:r>
          </w:p>
        </w:tc>
        <w:tc>
          <w:tcPr>
            <w:tcW w:w="2057" w:type="dxa"/>
            <w:noWrap w:val="0"/>
            <w:vAlign w:val="center"/>
          </w:tcPr>
          <w:p w14:paraId="182C755A">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投诉</w:t>
            </w:r>
          </w:p>
        </w:tc>
        <w:tc>
          <w:tcPr>
            <w:tcW w:w="7522" w:type="dxa"/>
            <w:noWrap w:val="0"/>
            <w:vAlign w:val="top"/>
          </w:tcPr>
          <w:p w14:paraId="2271D10D">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（1）质疑供应商对采购人、采购代理机构的答复不满意或者采购人、采购 代理机构未在规定的时间内作出答复的，可以在答复期满后十五个工作日内向同级政府采购监督管理部门投诉。</w:t>
            </w:r>
          </w:p>
          <w:p w14:paraId="250646F2">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4498F225">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注：根据《中华人民共和国政府采购法实施条例》的规定，供应商投诉事项不得超出已质疑事项的范围。</w:t>
            </w:r>
          </w:p>
        </w:tc>
      </w:tr>
      <w:tr w14:paraId="275B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77" w:type="dxa"/>
            <w:noWrap w:val="0"/>
            <w:vAlign w:val="center"/>
          </w:tcPr>
          <w:p w14:paraId="7E0E9DEB">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w:t>
            </w:r>
          </w:p>
        </w:tc>
        <w:tc>
          <w:tcPr>
            <w:tcW w:w="2057" w:type="dxa"/>
            <w:noWrap w:val="0"/>
            <w:vAlign w:val="center"/>
          </w:tcPr>
          <w:p w14:paraId="7D1D4816">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投标人对招标文件提出质疑联系方式</w:t>
            </w:r>
          </w:p>
          <w:p w14:paraId="73562448">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522" w:type="dxa"/>
            <w:noWrap w:val="0"/>
            <w:vAlign w:val="top"/>
          </w:tcPr>
          <w:p w14:paraId="5905284D">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（1）接收质疑函的方式：将PDF格式电子版质疑文件加盖公章扫描发送至</w:t>
            </w:r>
            <w:r>
              <w:rPr>
                <w:rFonts w:hint="eastAsia" w:ascii="仿宋" w:hAnsi="仿宋" w:eastAsia="仿宋" w:cs="仿宋"/>
                <w:b w:val="0"/>
                <w:bCs w:val="0"/>
                <w:color w:val="auto"/>
                <w:sz w:val="24"/>
                <w:szCs w:val="24"/>
                <w:highlight w:val="none"/>
                <w:lang w:val="en-US" w:eastAsia="zh-CN"/>
              </w:rPr>
              <w:t>284200209@qq.com</w:t>
            </w:r>
            <w:r>
              <w:rPr>
                <w:rFonts w:hint="eastAsia" w:ascii="仿宋" w:hAnsi="仿宋" w:eastAsia="仿宋" w:cs="仿宋"/>
                <w:b w:val="0"/>
                <w:bCs w:val="0"/>
                <w:color w:val="auto"/>
                <w:sz w:val="24"/>
                <w:szCs w:val="24"/>
                <w:highlight w:val="none"/>
                <w:lang w:val="zh-CN"/>
              </w:rPr>
              <w:t>邮箱。</w:t>
            </w:r>
          </w:p>
          <w:p w14:paraId="179CC62A">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（2）接受质疑的单位： 新疆天勤工程管理有限公司</w:t>
            </w:r>
          </w:p>
          <w:p w14:paraId="3DADA25A">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（3）联系电话：</w:t>
            </w:r>
            <w:r>
              <w:rPr>
                <w:rFonts w:hint="eastAsia" w:ascii="仿宋" w:hAnsi="仿宋" w:eastAsia="仿宋" w:cs="仿宋"/>
                <w:b w:val="0"/>
                <w:bCs w:val="0"/>
                <w:color w:val="auto"/>
                <w:sz w:val="24"/>
                <w:szCs w:val="24"/>
                <w:highlight w:val="none"/>
                <w:lang w:val="en-US" w:eastAsia="zh-CN"/>
              </w:rPr>
              <w:t>13779615026/18104746080</w:t>
            </w:r>
          </w:p>
          <w:p w14:paraId="0E65E1B1">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（4）地址：克州阿图什市迎宾路80号三楼</w:t>
            </w:r>
          </w:p>
        </w:tc>
      </w:tr>
      <w:tr w14:paraId="7E0C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34" w:type="dxa"/>
            <w:gridSpan w:val="2"/>
            <w:noWrap w:val="0"/>
            <w:vAlign w:val="center"/>
          </w:tcPr>
          <w:p w14:paraId="1AC86AF7">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备注</w:t>
            </w:r>
          </w:p>
        </w:tc>
        <w:tc>
          <w:tcPr>
            <w:tcW w:w="7522" w:type="dxa"/>
            <w:noWrap w:val="0"/>
            <w:vAlign w:val="center"/>
          </w:tcPr>
          <w:p w14:paraId="0158AD45">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1、着重提醒各供应商注意，并认真查看招标文件中的每一个条款及要求，因误读招标文件而造成的后果，招标人概不负责。</w:t>
            </w:r>
          </w:p>
          <w:p w14:paraId="72C31C2A">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2、供应商使用相同IP地址的，一经发现，相关部门将进一步核实，查实后按串通投标处理。</w:t>
            </w:r>
          </w:p>
          <w:p w14:paraId="79E7CCB4">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3、为保证本项目质量，良好的售后服务，最低报价不作为中标的唯一依据。</w:t>
            </w:r>
          </w:p>
          <w:p w14:paraId="1014F905">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4、采购人若发现中标候选供应商在投标过程中提供虚假证明文件，故意隐瞒公司不良信誉和财务状况，以及其他可能对合同圆满履行造成风险的因素等，则按规定取消其成交资格，监管部门依法进行处理。</w:t>
            </w:r>
          </w:p>
          <w:p w14:paraId="7F6A90C9">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5、如为信息系统采购项目，供应商不得为该整体项目或其中分项目前期工作提供过设计、编制、管理等服务的法人及附属单位。</w:t>
            </w:r>
          </w:p>
          <w:p w14:paraId="1C3F4428">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5AEC6BFF">
            <w:pPr>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7、投标文件内凡涉及法人或授权委托人签字、签章、盖章等，签字或盖章均予以认可。</w:t>
            </w:r>
          </w:p>
          <w:p w14:paraId="3DA46A08">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、其它：</w:t>
            </w:r>
          </w:p>
          <w:p w14:paraId="7B524F75">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（1）投标企业严格遵守国家的法律法规及招标纪律，无违法违纪及商业贿赂行为。</w:t>
            </w:r>
          </w:p>
          <w:p w14:paraId="5DA4D92F">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（2）不管投标结果如何，供应商均应自行承担投标所需一切费用。</w:t>
            </w:r>
          </w:p>
          <w:p w14:paraId="48F6FE39">
            <w:pPr>
              <w:spacing w:line="360" w:lineRule="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（3）供应商应以书面形式保证中标后由本公司组织实施，不得以任何理由将项目转包给其他机构。</w:t>
            </w:r>
          </w:p>
          <w:p w14:paraId="6C57F71B">
            <w:pPr>
              <w:shd w:val="clear" w:color="auto" w:fill="auto"/>
              <w:spacing w:line="360" w:lineRule="auto"/>
              <w:ind w:left="0" w:leftChars="0" w:right="0" w:rightChars="0" w:firstLine="0" w:firstLineChars="0"/>
              <w:jc w:val="left"/>
              <w:outlineLvl w:val="9"/>
              <w:rPr>
                <w:rFonts w:hint="eastAsia" w:eastAsia="宋体"/>
                <w:lang w:val="en-US"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eastAsia="zh-CN"/>
              </w:rPr>
              <w:t>）招标文件中如出现前后不一致情况，均以前附表内容为准。</w:t>
            </w:r>
          </w:p>
        </w:tc>
      </w:tr>
      <w:tr w14:paraId="34AA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156" w:type="dxa"/>
            <w:gridSpan w:val="3"/>
            <w:noWrap w:val="0"/>
            <w:vAlign w:val="center"/>
          </w:tcPr>
          <w:p w14:paraId="399BCC91">
            <w:pPr>
              <w:shd w:val="clear" w:color="auto" w:fill="auto"/>
              <w:spacing w:line="360" w:lineRule="auto"/>
              <w:ind w:left="0" w:leftChars="0" w:right="0" w:rightChars="0" w:firstLine="482" w:firstLineChars="200"/>
              <w:jc w:val="left"/>
              <w:outlineLvl w:val="9"/>
              <w:rPr>
                <w:rFonts w:hint="eastAsia" w:ascii="仿宋" w:hAnsi="仿宋" w:eastAsia="仿宋" w:cs="仿宋"/>
                <w:b/>
                <w:bCs/>
                <w:color w:val="auto"/>
                <w:sz w:val="24"/>
                <w:szCs w:val="24"/>
                <w:highlight w:val="none"/>
                <w:lang w:eastAsia="zh-CN"/>
              </w:rPr>
            </w:pPr>
            <w:bookmarkStart w:id="126" w:name="_GoBack"/>
            <w:bookmarkEnd w:id="126"/>
            <w:r>
              <w:rPr>
                <w:rFonts w:hint="eastAsia" w:ascii="仿宋" w:hAnsi="仿宋" w:eastAsia="仿宋" w:cs="仿宋"/>
                <w:b/>
                <w:bCs/>
                <w:color w:val="auto"/>
                <w:sz w:val="24"/>
                <w:szCs w:val="24"/>
                <w:highlight w:val="none"/>
                <w:lang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4C5E698D">
      <w:pPr>
        <w:pageBreakBefore/>
        <w:shd w:val="clear" w:color="auto" w:fill="auto"/>
        <w:spacing w:line="240" w:lineRule="auto"/>
        <w:jc w:val="center"/>
        <w:outlineLvl w:val="9"/>
        <w:rPr>
          <w:rFonts w:hint="eastAsia" w:ascii="仿宋" w:hAnsi="仿宋" w:eastAsia="仿宋" w:cs="仿宋"/>
          <w:b/>
          <w:color w:val="auto"/>
          <w:sz w:val="24"/>
          <w:szCs w:val="24"/>
          <w:highlight w:val="none"/>
        </w:rPr>
      </w:pPr>
      <w:bookmarkStart w:id="9" w:name="_Toc469495723"/>
      <w:r>
        <w:rPr>
          <w:rFonts w:hint="eastAsia" w:ascii="仿宋" w:hAnsi="仿宋" w:eastAsia="仿宋" w:cs="仿宋"/>
          <w:b/>
          <w:color w:val="auto"/>
          <w:sz w:val="24"/>
          <w:szCs w:val="24"/>
          <w:highlight w:val="none"/>
        </w:rPr>
        <w:t>二、投标人须知</w:t>
      </w:r>
      <w:bookmarkEnd w:id="9"/>
    </w:p>
    <w:p w14:paraId="5D40A68D">
      <w:pPr>
        <w:shd w:val="clear" w:color="auto" w:fill="auto"/>
        <w:spacing w:line="440" w:lineRule="exact"/>
        <w:jc w:val="center"/>
        <w:outlineLvl w:val="9"/>
        <w:rPr>
          <w:rFonts w:hint="eastAsia" w:ascii="仿宋" w:hAnsi="仿宋" w:eastAsia="仿宋" w:cs="仿宋"/>
          <w:color w:val="auto"/>
          <w:sz w:val="24"/>
          <w:szCs w:val="24"/>
          <w:highlight w:val="none"/>
        </w:rPr>
      </w:pPr>
      <w:bookmarkStart w:id="10" w:name="_Toc469495724"/>
      <w:r>
        <w:rPr>
          <w:rFonts w:hint="eastAsia" w:ascii="仿宋" w:hAnsi="仿宋" w:eastAsia="仿宋" w:cs="仿宋"/>
          <w:b/>
          <w:color w:val="auto"/>
          <w:sz w:val="24"/>
          <w:szCs w:val="24"/>
          <w:highlight w:val="none"/>
        </w:rPr>
        <w:t>（一）总  则</w:t>
      </w:r>
      <w:bookmarkEnd w:id="10"/>
    </w:p>
    <w:p w14:paraId="517EE3A4">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1.项目概况</w:t>
      </w:r>
    </w:p>
    <w:p w14:paraId="49FA868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1.1本次招标采购项目名称：见投标人须知前附表。</w:t>
      </w:r>
    </w:p>
    <w:p w14:paraId="645335E1">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项目编号：见投标人须知前附表。</w:t>
      </w:r>
    </w:p>
    <w:p w14:paraId="24EDAA3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招标人：见投标人须知前附表。</w:t>
      </w:r>
    </w:p>
    <w:p w14:paraId="6C048CA7">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供货期（服务周期）：见投标人须知前附表。</w:t>
      </w:r>
    </w:p>
    <w:p w14:paraId="0D0BE80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供货地点：见投标人须知前附表。</w:t>
      </w:r>
    </w:p>
    <w:p w14:paraId="2702300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1.2招标人及联系人: 见投标人须知前附表。</w:t>
      </w:r>
    </w:p>
    <w:p w14:paraId="53D9D105">
      <w:pPr>
        <w:shd w:val="clear" w:color="auto" w:fill="auto"/>
        <w:snapToGrid w:val="0"/>
        <w:spacing w:line="440" w:lineRule="exact"/>
        <w:ind w:firstLine="600" w:firstLineChars="25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代理机构及联系人: 见投标人须知前附表。</w:t>
      </w:r>
    </w:p>
    <w:p w14:paraId="263A96D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1.3资金来源：见投标人须知前附表。</w:t>
      </w:r>
    </w:p>
    <w:p w14:paraId="112DE72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1.4本项目预算：见投标人须知前附表。</w:t>
      </w:r>
    </w:p>
    <w:p w14:paraId="681B343D">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1.5本项目控制价：见投标人须知前附表。</w:t>
      </w:r>
    </w:p>
    <w:p w14:paraId="440E7B9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14:paraId="52D49384">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2.1 采购内容：见投标人须知前附表。</w:t>
      </w:r>
    </w:p>
    <w:p w14:paraId="4B2D57E5">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技术要求：详见</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第四章 采购内容及技术参数要求。。</w:t>
      </w:r>
    </w:p>
    <w:p w14:paraId="11186DC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3.标包划分：</w:t>
      </w:r>
    </w:p>
    <w:p w14:paraId="487F7B19">
      <w:pPr>
        <w:shd w:val="clear" w:color="auto" w:fill="auto"/>
        <w:snapToGrid w:val="0"/>
        <w:spacing w:line="44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3.1本项目划分：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个标包</w:t>
      </w:r>
      <w:r>
        <w:rPr>
          <w:rFonts w:hint="eastAsia" w:ascii="仿宋" w:hAnsi="仿宋" w:eastAsia="仿宋" w:cs="仿宋"/>
          <w:color w:val="auto"/>
          <w:kern w:val="0"/>
          <w:sz w:val="24"/>
          <w:szCs w:val="24"/>
          <w:highlight w:val="none"/>
        </w:rPr>
        <w:t>。</w:t>
      </w:r>
    </w:p>
    <w:p w14:paraId="3FA417C2">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4.招标方式：</w:t>
      </w:r>
    </w:p>
    <w:p w14:paraId="23F131E3">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4.1本项目招标方式：见投标人须知前附表。</w:t>
      </w:r>
    </w:p>
    <w:p w14:paraId="5B93C4E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5.计价方式：</w:t>
      </w:r>
    </w:p>
    <w:p w14:paraId="1FE8850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5.1本次招标项目合同采用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总价</w:t>
      </w:r>
      <w:r>
        <w:rPr>
          <w:rFonts w:hint="eastAsia" w:ascii="仿宋" w:hAnsi="仿宋" w:eastAsia="仿宋" w:cs="仿宋"/>
          <w:color w:val="auto"/>
          <w:sz w:val="24"/>
          <w:szCs w:val="24"/>
          <w:highlight w:val="none"/>
          <w:u w:val="single"/>
        </w:rPr>
        <w:t xml:space="preserve"> 。</w:t>
      </w:r>
    </w:p>
    <w:p w14:paraId="44EA366F">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6.评标办法：</w:t>
      </w:r>
    </w:p>
    <w:p w14:paraId="6CA5D216">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6.1本次招标评标采用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综合评分</w:t>
      </w:r>
      <w:r>
        <w:rPr>
          <w:rFonts w:hint="eastAsia" w:ascii="仿宋" w:hAnsi="仿宋" w:eastAsia="仿宋" w:cs="仿宋"/>
          <w:color w:val="auto"/>
          <w:sz w:val="24"/>
          <w:szCs w:val="24"/>
          <w:highlight w:val="none"/>
          <w:u w:val="single"/>
        </w:rPr>
        <w:t xml:space="preserve">法 </w:t>
      </w:r>
      <w:r>
        <w:rPr>
          <w:rFonts w:hint="eastAsia" w:ascii="仿宋" w:hAnsi="仿宋" w:eastAsia="仿宋" w:cs="仿宋"/>
          <w:color w:val="auto"/>
          <w:sz w:val="24"/>
          <w:szCs w:val="24"/>
          <w:highlight w:val="none"/>
        </w:rPr>
        <w:t>（详见第三章评标办法）</w:t>
      </w:r>
    </w:p>
    <w:p w14:paraId="4DA01192">
      <w:pPr>
        <w:shd w:val="clear" w:color="auto" w:fill="auto"/>
        <w:snapToGrid w:val="0"/>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7.投标人资格：</w:t>
      </w:r>
    </w:p>
    <w:p w14:paraId="0F1DC6A1">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7.1参与采购活动的投标人必须是满足《中华人民共和国政府采购法》规定条件的法人、其他组织或者自然人：</w:t>
      </w:r>
    </w:p>
    <w:p w14:paraId="61263203">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7.2由于政府采购项目的差异性，投标人在参与具体政府采购项目活动时，应仔细阅读该项目的资质要求,具体见投标人须知前附表。</w:t>
      </w:r>
    </w:p>
    <w:p w14:paraId="074746BF">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425EF8F0">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7.4投标人必须确保自己在信息库中注册的信息真实、准确，并保证投标文件中的有关信息与库中的信息相一致。否则，投标人因此蒙受损失，招标人概不负责。</w:t>
      </w:r>
    </w:p>
    <w:p w14:paraId="3540AC27">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投标费用</w:t>
      </w:r>
    </w:p>
    <w:p w14:paraId="7C30B278">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8.1投标人准备和参加投标活动发生的费用自理。</w:t>
      </w:r>
    </w:p>
    <w:p w14:paraId="5F2B5625">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bookmarkStart w:id="11" w:name="_Toc296602429"/>
      <w:bookmarkStart w:id="12" w:name="_Toc152042315"/>
      <w:bookmarkStart w:id="13" w:name="_Toc152045539"/>
      <w:bookmarkStart w:id="14" w:name="_Toc247592876"/>
      <w:bookmarkStart w:id="15" w:name="_Toc247527563"/>
      <w:bookmarkStart w:id="16" w:name="_Toc144974507"/>
      <w:bookmarkStart w:id="17" w:name="_Toc247513962"/>
      <w:r>
        <w:rPr>
          <w:rFonts w:hint="eastAsia" w:ascii="仿宋" w:hAnsi="仿宋" w:eastAsia="仿宋" w:cs="仿宋"/>
          <w:b/>
          <w:color w:val="auto"/>
          <w:sz w:val="24"/>
          <w:szCs w:val="24"/>
          <w:highlight w:val="none"/>
        </w:rPr>
        <w:t xml:space="preserve"> 踏勘现场</w:t>
      </w:r>
      <w:bookmarkEnd w:id="11"/>
      <w:bookmarkEnd w:id="12"/>
      <w:bookmarkEnd w:id="13"/>
      <w:bookmarkEnd w:id="14"/>
      <w:bookmarkEnd w:id="15"/>
      <w:bookmarkEnd w:id="16"/>
      <w:bookmarkEnd w:id="17"/>
    </w:p>
    <w:p w14:paraId="631E8A4A">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投标人须知前附表规定组织踏勘现场的，招标人按投标人须知前附表规定的时间、地点组织投标人踏勘项目现场。</w:t>
      </w:r>
      <w:r>
        <w:rPr>
          <w:rFonts w:hint="eastAsia" w:ascii="仿宋" w:hAnsi="仿宋" w:eastAsia="仿宋" w:cs="仿宋"/>
          <w:color w:val="auto"/>
          <w:sz w:val="24"/>
          <w:szCs w:val="24"/>
          <w:highlight w:val="none"/>
          <w:lang w:eastAsia="zh-CN"/>
        </w:rPr>
        <w:t>如需踏勘现场，投标人自行踏勘现场的，可咨询本项目采购人或采购代理机构联系人。</w:t>
      </w:r>
      <w:r>
        <w:rPr>
          <w:rFonts w:hint="eastAsia" w:ascii="仿宋" w:hAnsi="仿宋" w:eastAsia="仿宋" w:cs="仿宋"/>
          <w:b/>
          <w:bCs/>
          <w:color w:val="auto"/>
          <w:sz w:val="24"/>
          <w:szCs w:val="24"/>
          <w:highlight w:val="none"/>
          <w:lang w:eastAsia="zh-CN"/>
        </w:rPr>
        <w:t>投标人自行踏勘现场的，可咨询本项目采购人或采购代理机构联系人。</w:t>
      </w:r>
      <w:r>
        <w:rPr>
          <w:rFonts w:hint="eastAsia" w:ascii="仿宋" w:hAnsi="仿宋" w:eastAsia="仿宋" w:cs="仿宋"/>
          <w:b/>
          <w:bCs/>
          <w:color w:val="auto"/>
          <w:sz w:val="24"/>
          <w:szCs w:val="24"/>
          <w:highlight w:val="none"/>
        </w:rPr>
        <w:t xml:space="preserve"> </w:t>
      </w:r>
    </w:p>
    <w:p w14:paraId="4E02588D">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投标人踏勘现场发生的费用自理。</w:t>
      </w:r>
    </w:p>
    <w:p w14:paraId="24D310EF">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除招标人的原因外，投标人自行负责在踏勘现场中所发生的人员伤亡和财产损失。</w:t>
      </w:r>
    </w:p>
    <w:p w14:paraId="7D82B7AD">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 招标人在踏勘现场中介绍的场地和相关的周边环境情况，供投标人在编制投标文件时参考，招标人不对投标人据此作出的判断和决策负责。</w:t>
      </w:r>
      <w:bookmarkStart w:id="18" w:name="_Toc152042316"/>
      <w:bookmarkStart w:id="19" w:name="_Toc247592877"/>
      <w:bookmarkStart w:id="20" w:name="_Toc296602430"/>
      <w:bookmarkStart w:id="21" w:name="_Toc144974508"/>
      <w:bookmarkStart w:id="22" w:name="_Toc247527564"/>
      <w:bookmarkStart w:id="23" w:name="_Toc247513963"/>
      <w:bookmarkStart w:id="24" w:name="_Toc152045540"/>
    </w:p>
    <w:p w14:paraId="29FE876A">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投标预备会</w:t>
      </w:r>
      <w:bookmarkEnd w:id="18"/>
      <w:bookmarkEnd w:id="19"/>
      <w:bookmarkEnd w:id="20"/>
      <w:bookmarkEnd w:id="21"/>
      <w:bookmarkEnd w:id="22"/>
      <w:bookmarkEnd w:id="23"/>
      <w:bookmarkEnd w:id="24"/>
    </w:p>
    <w:p w14:paraId="49B8AE5A">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10.1投标人须知前附表规定召开投标预备会的，招标人按投标人须知前附表规定的时间和地点召开投标预备会，澄清投标人提出的问题。</w:t>
      </w:r>
    </w:p>
    <w:p w14:paraId="64223A18">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10.2投标人应在投标人须知前附表规定的时间前，将提出的问题送达招标人，以便招标人澄清。</w:t>
      </w:r>
    </w:p>
    <w:p w14:paraId="51957643">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10.3招标人在投标人须知前附表规定的时间，将对投标人所提的问题进行澄清。该澄清内容为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w:t>
      </w:r>
    </w:p>
    <w:p w14:paraId="2DE78BEA">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联合投标</w:t>
      </w:r>
    </w:p>
    <w:p w14:paraId="27730C34">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63D44B3C">
      <w:pPr>
        <w:shd w:val="clear" w:color="auto" w:fill="auto"/>
        <w:spacing w:line="40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F5A273A">
      <w:pPr>
        <w:shd w:val="clear" w:color="auto" w:fill="auto"/>
        <w:spacing w:line="40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联合体应当确定其中一个单位为投标的全权代表，负责参加投标的一切事务，并承担投标及履约中应承担的全部责任与义务。</w:t>
      </w:r>
    </w:p>
    <w:p w14:paraId="6EA47562">
      <w:pPr>
        <w:pStyle w:val="12"/>
        <w:shd w:val="clear" w:color="auto" w:fill="auto"/>
        <w:spacing w:after="0" w:line="400" w:lineRule="exact"/>
        <w:ind w:left="0" w:leftChars="0" w:firstLine="484" w:firstLineChars="20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联合体各方应当共同与招标人签订采购合同，就采购合同约定的事项对招标人承担连带责任。</w:t>
      </w:r>
    </w:p>
    <w:p w14:paraId="44EB6429">
      <w:pPr>
        <w:shd w:val="clear" w:color="auto" w:fill="auto"/>
        <w:spacing w:line="440" w:lineRule="exact"/>
        <w:ind w:firstLine="472" w:firstLineChars="196"/>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12.招标代理费</w:t>
      </w:r>
    </w:p>
    <w:p w14:paraId="724A81D0">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12.1</w:t>
      </w:r>
      <w:r>
        <w:rPr>
          <w:rFonts w:hint="eastAsia" w:ascii="仿宋" w:hAnsi="仿宋" w:eastAsia="仿宋" w:cs="仿宋"/>
          <w:color w:val="auto"/>
          <w:kern w:val="2"/>
          <w:sz w:val="24"/>
          <w:szCs w:val="24"/>
          <w:highlight w:val="none"/>
          <w:lang w:val="en-US" w:eastAsia="zh-CN" w:bidi="ar-SA"/>
        </w:rPr>
        <w:t>收费标准：参照《国家计委关于印发招标代理服务收费管理暂行办法的通知（计价格[2015]299号）中规定收取代理费。</w:t>
      </w:r>
    </w:p>
    <w:p w14:paraId="3E6E4ABC">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13.投标人应注意的事项</w:t>
      </w:r>
    </w:p>
    <w:p w14:paraId="5567A118">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13.1投标人一旦按规定缴纳了投标保证金并参加投标，即被认为接受了本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文件中的所有条件和规定。投标人必须严格按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的要求编制投标文件，投标文件宜编制页码和目录，以便评委审核。否则，由此产生的一切后果由投标人承担。</w:t>
      </w:r>
    </w:p>
    <w:p w14:paraId="2E2D1C0C">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 投标人对采购内容中规定的技术参数、规格等要求必须完全响应或优于</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中的要求。</w:t>
      </w:r>
    </w:p>
    <w:p w14:paraId="340C2C14">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所有投标人的投标保证金都应在</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规定的投标保证金缴纳截止日期前缴纳。</w:t>
      </w:r>
    </w:p>
    <w:p w14:paraId="6AAEF40A">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单位负责人为同一人或者存在直接控股、管理关系的不同供应商，不得参加同一合同项下的政府采购活动。</w:t>
      </w:r>
      <w:r>
        <w:rPr>
          <w:rFonts w:hint="eastAsia" w:ascii="仿宋" w:hAnsi="仿宋" w:eastAsia="仿宋" w:cs="仿宋"/>
          <w:color w:val="auto"/>
          <w:sz w:val="24"/>
          <w:szCs w:val="24"/>
          <w:highlight w:val="none"/>
        </w:rPr>
        <w:t>为采购项目提供整体设计、规范编制或者项目管理、监理、检测等服务的供应商，不得再参加该采购项目的其他采购活动。</w:t>
      </w:r>
    </w:p>
    <w:p w14:paraId="1214DDAC">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本项目只接受</w:t>
      </w:r>
      <w:r>
        <w:rPr>
          <w:rFonts w:hint="eastAsia" w:ascii="仿宋" w:hAnsi="仿宋" w:eastAsia="仿宋" w:cs="仿宋"/>
          <w:color w:val="auto"/>
          <w:sz w:val="24"/>
          <w:szCs w:val="24"/>
          <w:highlight w:val="none"/>
        </w:rPr>
        <w:t>成为新疆维吾尔自治区政府采购网正式注册入库并完成CA数字证书申领供应商</w:t>
      </w:r>
      <w:r>
        <w:rPr>
          <w:rFonts w:hint="eastAsia" w:ascii="仿宋" w:hAnsi="仿宋" w:eastAsia="仿宋" w:cs="仿宋"/>
          <w:color w:val="auto"/>
          <w:sz w:val="24"/>
          <w:szCs w:val="24"/>
          <w:highlight w:val="none"/>
          <w:lang w:eastAsia="zh-CN"/>
        </w:rPr>
        <w:t>参与投标</w:t>
      </w:r>
      <w:r>
        <w:rPr>
          <w:rFonts w:hint="eastAsia" w:ascii="仿宋" w:hAnsi="仿宋" w:eastAsia="仿宋" w:cs="仿宋"/>
          <w:color w:val="auto"/>
          <w:sz w:val="24"/>
          <w:szCs w:val="24"/>
          <w:highlight w:val="none"/>
        </w:rPr>
        <w:t>。因未注册入库、未办理CA数字证书等原因造成无法投标或投标失败等后果由供应商自行承担。</w:t>
      </w:r>
    </w:p>
    <w:p w14:paraId="20AAE988">
      <w:pPr>
        <w:shd w:val="clear" w:color="auto" w:fill="auto"/>
        <w:wordWrap w:val="0"/>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 xml:space="preserve">  投标人被视为充分熟悉本招标项目所在地的与履行合同有关的各种情况，包括但不限于：</w:t>
      </w:r>
    </w:p>
    <w:p w14:paraId="0C6332A5">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（1）国家对本次投标货物和服务的生产、安装调试、验收、维修等有关法律、法规及行业管理标准；</w:t>
      </w:r>
    </w:p>
    <w:p w14:paraId="3FFC3DB4">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本地区</w:t>
      </w:r>
      <w:r>
        <w:rPr>
          <w:rFonts w:hint="eastAsia" w:ascii="仿宋" w:hAnsi="仿宋" w:eastAsia="仿宋" w:cs="仿宋"/>
          <w:bCs/>
          <w:color w:val="auto"/>
          <w:sz w:val="24"/>
          <w:szCs w:val="24"/>
          <w:highlight w:val="none"/>
        </w:rPr>
        <w:t>有关管理部门的相关规定；</w:t>
      </w:r>
    </w:p>
    <w:p w14:paraId="442FCF78">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（3）招标人的相关场地情况、基础建设、电力供应情况及相关设计标准。</w:t>
      </w:r>
    </w:p>
    <w:p w14:paraId="087E0E12">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不再对上述情况进行描述。</w:t>
      </w:r>
    </w:p>
    <w:p w14:paraId="1A87744A">
      <w:pPr>
        <w:shd w:val="clear" w:color="auto" w:fill="auto"/>
        <w:spacing w:before="312" w:beforeLines="100" w:after="312" w:afterLines="100" w:line="440" w:lineRule="exact"/>
        <w:jc w:val="center"/>
        <w:outlineLvl w:val="9"/>
        <w:rPr>
          <w:rFonts w:hint="eastAsia" w:ascii="仿宋" w:hAnsi="仿宋" w:eastAsia="仿宋" w:cs="仿宋"/>
          <w:b/>
          <w:color w:val="auto"/>
          <w:sz w:val="24"/>
          <w:szCs w:val="24"/>
          <w:highlight w:val="none"/>
          <w:lang w:eastAsia="zh-CN"/>
        </w:rPr>
      </w:pPr>
      <w:bookmarkStart w:id="25" w:name="_Toc469495725"/>
      <w:r>
        <w:rPr>
          <w:rFonts w:hint="eastAsia" w:ascii="仿宋" w:hAnsi="仿宋" w:eastAsia="仿宋" w:cs="仿宋"/>
          <w:b/>
          <w:color w:val="auto"/>
          <w:sz w:val="24"/>
          <w:szCs w:val="24"/>
          <w:highlight w:val="none"/>
        </w:rPr>
        <w:t>（二）</w:t>
      </w:r>
      <w:bookmarkEnd w:id="25"/>
      <w:r>
        <w:rPr>
          <w:rFonts w:hint="eastAsia" w:ascii="仿宋" w:hAnsi="仿宋" w:eastAsia="仿宋" w:cs="仿宋"/>
          <w:b/>
          <w:color w:val="auto"/>
          <w:sz w:val="24"/>
          <w:szCs w:val="24"/>
          <w:highlight w:val="none"/>
          <w:lang w:eastAsia="zh-CN"/>
        </w:rPr>
        <w:t>招标文件</w:t>
      </w:r>
    </w:p>
    <w:p w14:paraId="35C3457D">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15.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的编制依据</w:t>
      </w:r>
    </w:p>
    <w:p w14:paraId="00ABBC6C">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根据《中华人民共和国政府采购法》、《政府采购货物和服务招标投标管理办法》和《中华人民共和国合同法》</w:t>
      </w:r>
      <w:r>
        <w:rPr>
          <w:rFonts w:hint="eastAsia" w:ascii="仿宋" w:hAnsi="仿宋" w:eastAsia="仿宋" w:cs="仿宋"/>
          <w:color w:val="auto"/>
          <w:spacing w:val="-2"/>
          <w:sz w:val="24"/>
          <w:szCs w:val="24"/>
          <w:highlight w:val="none"/>
        </w:rPr>
        <w:t>等相关法律法规和规章及部、省、市级规范性文件的规定，编制本</w:t>
      </w:r>
      <w:r>
        <w:rPr>
          <w:rFonts w:hint="eastAsia" w:ascii="仿宋" w:hAnsi="仿宋" w:eastAsia="仿宋" w:cs="仿宋"/>
          <w:color w:val="auto"/>
          <w:spacing w:val="-2"/>
          <w:sz w:val="24"/>
          <w:szCs w:val="24"/>
          <w:highlight w:val="none"/>
          <w:lang w:eastAsia="zh-CN"/>
        </w:rPr>
        <w:t>采购文件</w:t>
      </w:r>
      <w:r>
        <w:rPr>
          <w:rFonts w:hint="eastAsia" w:ascii="仿宋" w:hAnsi="仿宋" w:eastAsia="仿宋" w:cs="仿宋"/>
          <w:color w:val="auto"/>
          <w:spacing w:val="-2"/>
          <w:sz w:val="24"/>
          <w:szCs w:val="24"/>
          <w:highlight w:val="none"/>
        </w:rPr>
        <w:t>。</w:t>
      </w:r>
    </w:p>
    <w:p w14:paraId="3188528B">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16.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的组成</w:t>
      </w:r>
    </w:p>
    <w:p w14:paraId="41D067D6">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包括内容：</w:t>
      </w:r>
    </w:p>
    <w:p w14:paraId="7EED7F13">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第一章  </w:t>
      </w:r>
      <w:r>
        <w:rPr>
          <w:rFonts w:hint="eastAsia" w:ascii="仿宋" w:hAnsi="仿宋" w:eastAsia="仿宋" w:cs="仿宋"/>
          <w:color w:val="auto"/>
          <w:sz w:val="24"/>
          <w:szCs w:val="24"/>
          <w:highlight w:val="none"/>
          <w:lang w:eastAsia="zh-CN"/>
        </w:rPr>
        <w:t>招</w:t>
      </w:r>
      <w:r>
        <w:rPr>
          <w:rFonts w:hint="eastAsia" w:ascii="仿宋" w:hAnsi="仿宋" w:eastAsia="仿宋" w:cs="仿宋"/>
          <w:color w:val="auto"/>
          <w:sz w:val="24"/>
          <w:szCs w:val="24"/>
          <w:highlight w:val="none"/>
        </w:rPr>
        <w:t>标公告</w:t>
      </w:r>
    </w:p>
    <w:p w14:paraId="6132BFFA">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投标须知</w:t>
      </w:r>
    </w:p>
    <w:p w14:paraId="006D2F55">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评标办法</w:t>
      </w:r>
    </w:p>
    <w:p w14:paraId="6B85996A">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第四章  </w:t>
      </w:r>
      <w:r>
        <w:rPr>
          <w:rFonts w:hint="eastAsia" w:ascii="仿宋" w:hAnsi="仿宋" w:eastAsia="仿宋" w:cs="仿宋"/>
          <w:color w:val="auto"/>
          <w:sz w:val="24"/>
          <w:szCs w:val="24"/>
          <w:highlight w:val="none"/>
          <w:lang w:val="en-US" w:eastAsia="zh-CN"/>
        </w:rPr>
        <w:t>采购内容及技术参数要求。</w:t>
      </w:r>
    </w:p>
    <w:p w14:paraId="520A3609">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合同条款及格式</w:t>
      </w:r>
    </w:p>
    <w:p w14:paraId="55172CE5">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投标文件格式文本</w:t>
      </w:r>
    </w:p>
    <w:p w14:paraId="551F3663">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招标单位、招标代理机构对本文件的确认</w:t>
      </w:r>
    </w:p>
    <w:p w14:paraId="2C71D618">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16.2 除16.1内容外，招标答疑亦为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的组成部分，对招标人和投标人起约束作用。</w:t>
      </w:r>
    </w:p>
    <w:p w14:paraId="7464E879">
      <w:pPr>
        <w:pStyle w:val="16"/>
        <w:shd w:val="clear" w:color="auto" w:fill="auto"/>
        <w:wordWrap w:val="0"/>
        <w:spacing w:line="400" w:lineRule="exact"/>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16.3</w:t>
      </w:r>
      <w:r>
        <w:rPr>
          <w:rFonts w:hint="eastAsia" w:ascii="仿宋" w:hAnsi="仿宋" w:eastAsia="仿宋" w:cs="仿宋"/>
          <w:color w:val="auto"/>
          <w:sz w:val="24"/>
          <w:szCs w:val="24"/>
          <w:highlight w:val="none"/>
          <w:u w:val="none" w:color="auto"/>
        </w:rPr>
        <w:t>投标人应仔细阅读和检查</w:t>
      </w:r>
      <w:r>
        <w:rPr>
          <w:rFonts w:hint="eastAsia" w:ascii="仿宋" w:hAnsi="仿宋" w:eastAsia="仿宋" w:cs="仿宋"/>
          <w:color w:val="auto"/>
          <w:sz w:val="24"/>
          <w:szCs w:val="24"/>
          <w:highlight w:val="none"/>
          <w:u w:val="none" w:color="auto"/>
          <w:lang w:eastAsia="zh-CN"/>
        </w:rPr>
        <w:t>采购文件</w:t>
      </w:r>
      <w:r>
        <w:rPr>
          <w:rFonts w:hint="eastAsia" w:ascii="仿宋" w:hAnsi="仿宋" w:eastAsia="仿宋" w:cs="仿宋"/>
          <w:color w:val="auto"/>
          <w:sz w:val="24"/>
          <w:szCs w:val="24"/>
          <w:highlight w:val="none"/>
          <w:u w:val="none" w:color="auto"/>
        </w:rPr>
        <w:t>的全部内容。如发现缺页或附件不全，应及时向招标人提出，以便补齐。如有疑问，投标人应在</w:t>
      </w:r>
      <w:r>
        <w:rPr>
          <w:rFonts w:hint="eastAsia" w:ascii="仿宋" w:hAnsi="仿宋" w:eastAsia="仿宋" w:cs="仿宋"/>
          <w:color w:val="auto"/>
          <w:sz w:val="24"/>
          <w:szCs w:val="24"/>
          <w:highlight w:val="none"/>
        </w:rPr>
        <w:t>以书面形式一次性向采购人和采购代理机构提出同一环节的质疑</w:t>
      </w:r>
      <w:r>
        <w:rPr>
          <w:rFonts w:hint="eastAsia" w:ascii="仿宋" w:hAnsi="仿宋" w:eastAsia="仿宋" w:cs="仿宋"/>
          <w:color w:val="auto"/>
          <w:sz w:val="24"/>
          <w:szCs w:val="24"/>
          <w:highlight w:val="none"/>
          <w:u w:val="none" w:color="auto"/>
        </w:rPr>
        <w:t>。</w:t>
      </w:r>
    </w:p>
    <w:p w14:paraId="588E4C29">
      <w:pPr>
        <w:shd w:val="clear" w:color="auto" w:fill="auto"/>
        <w:wordWrap w:val="0"/>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政府采购网下载专区下载。</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的澄清将在</w:t>
      </w:r>
      <w:r>
        <w:rPr>
          <w:rFonts w:hint="eastAsia" w:ascii="仿宋" w:hAnsi="仿宋" w:eastAsia="仿宋" w:cs="仿宋"/>
          <w:color w:val="auto"/>
          <w:sz w:val="24"/>
          <w:szCs w:val="24"/>
          <w:highlight w:val="none"/>
          <w:lang w:eastAsia="zh-CN"/>
        </w:rPr>
        <w:t>政采云平台“更正公告”栏目予以公告</w:t>
      </w:r>
      <w:r>
        <w:rPr>
          <w:rFonts w:hint="eastAsia" w:ascii="仿宋" w:hAnsi="仿宋" w:eastAsia="仿宋" w:cs="仿宋"/>
          <w:color w:val="auto"/>
          <w:sz w:val="24"/>
          <w:szCs w:val="24"/>
          <w:highlight w:val="none"/>
        </w:rPr>
        <w:t>，但不指明澄清问题的来源。如果澄清内容影响投标文件编制的，将相应延长投标截止时间。</w:t>
      </w:r>
    </w:p>
    <w:p w14:paraId="2F3DEA09">
      <w:pPr>
        <w:shd w:val="clear" w:color="auto" w:fill="auto"/>
        <w:spacing w:line="440" w:lineRule="exact"/>
        <w:ind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的修改、补充、解释</w:t>
      </w:r>
    </w:p>
    <w:p w14:paraId="1E5CB9AA">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发出后，招标人在规定的投标截止时间前可对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进行必要的修改和补充，并以</w:t>
      </w:r>
      <w:r>
        <w:rPr>
          <w:rFonts w:hint="eastAsia" w:ascii="仿宋" w:hAnsi="仿宋" w:eastAsia="仿宋" w:cs="仿宋"/>
          <w:color w:val="auto"/>
          <w:sz w:val="24"/>
          <w:szCs w:val="24"/>
          <w:highlight w:val="none"/>
          <w:lang w:eastAsia="zh-CN"/>
        </w:rPr>
        <w:t>更正</w:t>
      </w:r>
      <w:r>
        <w:rPr>
          <w:rFonts w:hint="eastAsia" w:ascii="仿宋" w:hAnsi="仿宋" w:eastAsia="仿宋" w:cs="仿宋"/>
          <w:color w:val="auto"/>
          <w:sz w:val="24"/>
          <w:szCs w:val="24"/>
          <w:highlight w:val="none"/>
        </w:rPr>
        <w:t>公告形式在</w:t>
      </w:r>
      <w:r>
        <w:rPr>
          <w:rFonts w:hint="eastAsia" w:ascii="仿宋" w:hAnsi="仿宋" w:eastAsia="仿宋" w:cs="仿宋"/>
          <w:color w:val="auto"/>
          <w:sz w:val="24"/>
          <w:szCs w:val="24"/>
          <w:highlight w:val="none"/>
          <w:lang w:eastAsia="zh-CN"/>
        </w:rPr>
        <w:t>政采云平台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更正公告</w:t>
      </w:r>
      <w:r>
        <w:rPr>
          <w:rFonts w:hint="eastAsia" w:ascii="仿宋" w:hAnsi="仿宋" w:eastAsia="仿宋" w:cs="仿宋"/>
          <w:color w:val="auto"/>
          <w:sz w:val="24"/>
          <w:szCs w:val="24"/>
          <w:highlight w:val="none"/>
        </w:rPr>
        <w:t>”栏目予以公告，请各位投标人注意查看有关澄清内容，如不及时查看造成后果由投标人自负。</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的修改、补充等内容作为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的组成部分，具有约束作用。</w:t>
      </w:r>
    </w:p>
    <w:p w14:paraId="428EF44E">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53E90BAC">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供应商在规定的时间内未对采购文件提出疑问、质疑或要求澄清的，将视其为无异议。</w:t>
      </w:r>
    </w:p>
    <w:p w14:paraId="7EC5CA0D">
      <w:pPr>
        <w:shd w:val="clear" w:color="auto" w:fill="auto"/>
        <w:spacing w:line="40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的解释</w:t>
      </w:r>
    </w:p>
    <w:p w14:paraId="3DF73F2B">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由招标人（或其委托的招标代理机构）负责解释。</w:t>
      </w:r>
    </w:p>
    <w:p w14:paraId="7F564C85">
      <w:pPr>
        <w:shd w:val="clear" w:color="auto" w:fill="auto"/>
        <w:spacing w:line="40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18.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的发出</w:t>
      </w:r>
    </w:p>
    <w:p w14:paraId="54541E59">
      <w:pPr>
        <w:shd w:val="clear" w:color="auto" w:fill="auto"/>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18.1  </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的澄清、修改、补充及招标答疑等均应报</w:t>
      </w:r>
      <w:r>
        <w:rPr>
          <w:rFonts w:hint="eastAsia" w:ascii="仿宋" w:hAnsi="仿宋" w:eastAsia="仿宋" w:cs="仿宋"/>
          <w:color w:val="auto"/>
          <w:sz w:val="24"/>
          <w:szCs w:val="24"/>
          <w:highlight w:val="none"/>
          <w:lang w:eastAsia="zh-CN"/>
        </w:rPr>
        <w:t>相关部门</w:t>
      </w:r>
      <w:r>
        <w:rPr>
          <w:rFonts w:hint="eastAsia" w:ascii="仿宋" w:hAnsi="仿宋" w:eastAsia="仿宋" w:cs="仿宋"/>
          <w:color w:val="auto"/>
          <w:sz w:val="24"/>
          <w:szCs w:val="24"/>
          <w:highlight w:val="none"/>
        </w:rPr>
        <w:t>备案后，方可发出。</w:t>
      </w:r>
    </w:p>
    <w:p w14:paraId="1CE124FA">
      <w:pPr>
        <w:shd w:val="clear" w:color="auto" w:fill="auto"/>
        <w:spacing w:line="440" w:lineRule="exact"/>
        <w:ind w:firstLine="320" w:firstLineChars="133"/>
        <w:outlineLvl w:val="9"/>
        <w:rPr>
          <w:rFonts w:hint="eastAsia" w:ascii="仿宋" w:hAnsi="仿宋" w:eastAsia="仿宋" w:cs="仿宋"/>
          <w:color w:val="auto"/>
          <w:sz w:val="24"/>
          <w:szCs w:val="24"/>
          <w:highlight w:val="none"/>
        </w:rPr>
      </w:pPr>
      <w:bookmarkStart w:id="26" w:name="_Toc469495726"/>
      <w:r>
        <w:rPr>
          <w:rFonts w:hint="eastAsia" w:ascii="仿宋" w:hAnsi="仿宋" w:eastAsia="仿宋" w:cs="仿宋"/>
          <w:b/>
          <w:color w:val="auto"/>
          <w:sz w:val="24"/>
          <w:szCs w:val="24"/>
          <w:highlight w:val="none"/>
        </w:rPr>
        <w:t xml:space="preserve">19. </w:t>
      </w:r>
      <w:r>
        <w:rPr>
          <w:rFonts w:hint="eastAsia" w:ascii="仿宋" w:hAnsi="仿宋" w:eastAsia="仿宋" w:cs="仿宋"/>
          <w:color w:val="auto"/>
          <w:sz w:val="24"/>
          <w:szCs w:val="24"/>
          <w:highlight w:val="none"/>
        </w:rPr>
        <w:t>凡需要设置样品情形时，必须明确是否需要随样品提交检测报告，并明确检测机构的要求、检测内容、</w:t>
      </w:r>
      <w:r>
        <w:rPr>
          <w:rFonts w:hint="eastAsia" w:ascii="仿宋" w:hAnsi="仿宋" w:eastAsia="仿宋" w:cs="仿宋"/>
          <w:b w:val="0"/>
          <w:bCs w:val="0"/>
          <w:color w:val="auto"/>
          <w:sz w:val="24"/>
          <w:szCs w:val="24"/>
          <w:highlight w:val="none"/>
        </w:rPr>
        <w:t>中标样品封存</w:t>
      </w:r>
      <w:r>
        <w:rPr>
          <w:rFonts w:hint="eastAsia" w:ascii="仿宋" w:hAnsi="仿宋" w:eastAsia="仿宋" w:cs="仿宋"/>
          <w:color w:val="auto"/>
          <w:sz w:val="24"/>
          <w:szCs w:val="24"/>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0C8D3519">
      <w:pPr>
        <w:shd w:val="clear" w:color="auto" w:fill="auto"/>
        <w:spacing w:line="400" w:lineRule="exact"/>
        <w:ind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中应明确样品送检方式、检测费用支付方法、投标人在规定时间内无法提供第三方权威检测机构检测报告的处理方式。（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根据项目需求按上述要求自行描述）</w:t>
      </w:r>
    </w:p>
    <w:p w14:paraId="6AE27299">
      <w:pPr>
        <w:shd w:val="clear" w:color="auto" w:fill="auto"/>
        <w:spacing w:before="312" w:beforeLines="100" w:after="312" w:afterLines="100" w:line="44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（三）投标文件的编制</w:t>
      </w:r>
      <w:bookmarkEnd w:id="26"/>
    </w:p>
    <w:p w14:paraId="4943CAD8">
      <w:pPr>
        <w:shd w:val="clear" w:color="auto" w:fill="auto"/>
        <w:spacing w:line="440" w:lineRule="exact"/>
        <w:ind w:firstLine="349" w:firstLineChars="145"/>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 投标的语言及度量衡单位</w:t>
      </w:r>
    </w:p>
    <w:p w14:paraId="341ECE74">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49520122">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20.2除</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中另有规定外，投标书所使用的度量衡均须采用法定计量单位。</w:t>
      </w:r>
    </w:p>
    <w:p w14:paraId="4A9F3F84">
      <w:pPr>
        <w:shd w:val="clear" w:color="auto" w:fill="auto"/>
        <w:spacing w:line="400" w:lineRule="exact"/>
        <w:ind w:firstLine="236" w:firstLineChars="98"/>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投标文件的组成</w:t>
      </w:r>
    </w:p>
    <w:p w14:paraId="4B2C92F5">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资格证明文件和商务及技术文件两部分。</w:t>
      </w:r>
    </w:p>
    <w:p w14:paraId="7439F0F3">
      <w:pPr>
        <w:shd w:val="clear" w:color="auto" w:fill="auto"/>
        <w:spacing w:line="440" w:lineRule="exact"/>
        <w:ind w:firstLine="420" w:firstLineChars="0"/>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21.1资格证明文件</w:t>
      </w:r>
      <w:r>
        <w:rPr>
          <w:rFonts w:hint="eastAsia" w:ascii="仿宋" w:hAnsi="仿宋" w:eastAsia="仿宋" w:cs="仿宋"/>
          <w:b/>
          <w:color w:val="auto"/>
          <w:sz w:val="24"/>
          <w:szCs w:val="24"/>
          <w:highlight w:val="none"/>
          <w:lang w:eastAsia="zh-CN"/>
        </w:rPr>
        <w:t>（包括但不限于）</w:t>
      </w:r>
    </w:p>
    <w:p w14:paraId="7328DE4D">
      <w:pPr>
        <w:shd w:val="clear" w:color="auto" w:fill="auto"/>
        <w:spacing w:line="440" w:lineRule="exact"/>
        <w:ind w:firstLine="354" w:firstLineChars="147"/>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资格证明</w:t>
      </w:r>
      <w:r>
        <w:rPr>
          <w:rFonts w:hint="eastAsia" w:ascii="仿宋" w:hAnsi="仿宋" w:eastAsia="仿宋" w:cs="仿宋"/>
          <w:b/>
          <w:bCs/>
          <w:color w:val="auto"/>
          <w:sz w:val="24"/>
          <w:szCs w:val="24"/>
          <w:highlight w:val="none"/>
          <w:lang w:eastAsia="zh-CN"/>
        </w:rPr>
        <w:t>文件</w:t>
      </w:r>
      <w:r>
        <w:rPr>
          <w:rFonts w:hint="eastAsia" w:ascii="仿宋" w:hAnsi="仿宋" w:eastAsia="仿宋" w:cs="仿宋"/>
          <w:b/>
          <w:bCs/>
          <w:color w:val="auto"/>
          <w:sz w:val="24"/>
          <w:szCs w:val="24"/>
          <w:highlight w:val="none"/>
        </w:rPr>
        <w:t>是证明投标人有资格参加投标和中标后有能力履行合同的文件，这些文件应能满足招标的要求，否则作无效投标处理。</w:t>
      </w:r>
      <w:bookmarkStart w:id="27" w:name="_Toc25614"/>
      <w:bookmarkStart w:id="28" w:name="_Toc20606"/>
    </w:p>
    <w:bookmarkEnd w:id="27"/>
    <w:bookmarkEnd w:id="28"/>
    <w:p w14:paraId="4CE836FB">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具备三证合一营业执照副本；</w:t>
      </w:r>
    </w:p>
    <w:p w14:paraId="7C34B44B">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法定代表人参加的需提供法定代表人身份证明及身份证原件扫描件，授权委托人参加的需提供附有法定代表人身份证明的授权委托书及被委托人身份证原件扫描件;</w:t>
      </w:r>
    </w:p>
    <w:p w14:paraId="4C4FFAF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3、投标企业须提供投标人（被授权本单位在职人员）近6个月内任何1个月已依法缴纳社会保险的凭据（依法不需要缴纳社会保障资金的供应商，应提供相应证明文件）；</w:t>
      </w:r>
    </w:p>
    <w:p w14:paraId="21587CAF">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6AC917C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2D81458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2FAD829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w:t>
      </w:r>
      <w:r>
        <w:rPr>
          <w:rFonts w:hint="eastAsia" w:ascii="仿宋" w:hAnsi="仿宋" w:eastAsia="仿宋" w:cs="仿宋"/>
          <w:b w:val="0"/>
          <w:bCs/>
          <w:color w:val="auto"/>
          <w:sz w:val="24"/>
          <w:szCs w:val="24"/>
          <w:highlight w:val="none"/>
          <w:lang w:eastAsia="zh-CN"/>
        </w:rPr>
        <w:t>提</w:t>
      </w:r>
      <w:r>
        <w:rPr>
          <w:rFonts w:hint="eastAsia" w:ascii="仿宋" w:hAnsi="仿宋" w:eastAsia="仿宋" w:cs="仿宋"/>
          <w:b w:val="0"/>
          <w:bCs/>
          <w:color w:val="auto"/>
          <w:sz w:val="24"/>
          <w:szCs w:val="24"/>
          <w:highlight w:val="none"/>
        </w:rPr>
        <w:t>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61C9CE2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8、具有履行合同所必需的设备和专业技术能力（提供书面声明函）；</w:t>
      </w:r>
    </w:p>
    <w:p w14:paraId="66F07A7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9、提供参加政府采购活动前三年内，在经营活动中没有重大违法记录（承诺函原件扫描件）；</w:t>
      </w:r>
    </w:p>
    <w:p w14:paraId="57A3239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10、企业负责人为同一人或者存在直接控股、管理关系的不同投标人，不得参加同一合同项下的政府采购活动（提供书面声明函）；</w:t>
      </w:r>
    </w:p>
    <w:p w14:paraId="6F96E3D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、投标保证金缴纳凭证（银行回单）或保函等票据；</w:t>
      </w:r>
    </w:p>
    <w:p w14:paraId="3AC6B14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、供应商须知资料表要求的其他资格证明文件</w:t>
      </w:r>
      <w:r>
        <w:rPr>
          <w:rFonts w:hint="eastAsia" w:ascii="仿宋" w:hAnsi="仿宋" w:eastAsia="仿宋" w:cs="仿宋"/>
          <w:b w:val="0"/>
          <w:bCs/>
          <w:color w:val="auto"/>
          <w:sz w:val="24"/>
          <w:szCs w:val="24"/>
          <w:highlight w:val="none"/>
          <w:lang w:eastAsia="zh-CN"/>
        </w:rPr>
        <w:t>；</w:t>
      </w:r>
    </w:p>
    <w:p w14:paraId="5B5C16D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420" w:firstLineChars="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21.2</w:t>
      </w:r>
      <w:r>
        <w:rPr>
          <w:rFonts w:hint="eastAsia" w:ascii="仿宋" w:hAnsi="仿宋" w:eastAsia="仿宋" w:cs="仿宋"/>
          <w:b/>
          <w:bCs w:val="0"/>
          <w:color w:val="auto"/>
          <w:sz w:val="28"/>
          <w:szCs w:val="28"/>
          <w:highlight w:val="none"/>
          <w:lang w:val="en-US" w:eastAsia="zh-CN"/>
        </w:rPr>
        <w:t xml:space="preserve"> 商务及技术文件</w:t>
      </w:r>
      <w:r>
        <w:rPr>
          <w:rFonts w:hint="eastAsia" w:ascii="仿宋" w:hAnsi="仿宋" w:eastAsia="仿宋" w:cs="仿宋"/>
          <w:b/>
          <w:bCs w:val="0"/>
          <w:color w:val="auto"/>
          <w:sz w:val="28"/>
          <w:szCs w:val="28"/>
          <w:highlight w:val="none"/>
          <w:lang w:eastAsia="zh-CN"/>
        </w:rPr>
        <w:t>（包括但不限于）</w:t>
      </w:r>
    </w:p>
    <w:p w14:paraId="43C56988">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1、投标书（附件1）</w:t>
      </w:r>
    </w:p>
    <w:p w14:paraId="2A55C186">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2、开标一览表（附件2）</w:t>
      </w:r>
    </w:p>
    <w:p w14:paraId="517C9A04">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3、投标分项报价表（附件3）</w:t>
      </w:r>
    </w:p>
    <w:p w14:paraId="1C8989EA">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4、货物说明一览表（附件4）</w:t>
      </w:r>
    </w:p>
    <w:p w14:paraId="4306F562">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5、技术规格偏离表（附件5）</w:t>
      </w:r>
    </w:p>
    <w:p w14:paraId="70DC1165">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6、商务条款偏离表（附件6）</w:t>
      </w:r>
    </w:p>
    <w:p w14:paraId="79ED9FB5">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7、投标人关联单位的说明</w:t>
      </w:r>
    </w:p>
    <w:p w14:paraId="087FF01A">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8、中小企业声明函（货物）不符合中小企业的投标人无需提供。</w:t>
      </w:r>
    </w:p>
    <w:p w14:paraId="518AC5FD">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9、《残疾人福利性单位声明函》（附件7）</w:t>
      </w:r>
    </w:p>
    <w:p w14:paraId="069430B5">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10、评分标准和细则中技术部分证明材料（格式自拟）</w:t>
      </w:r>
    </w:p>
    <w:p w14:paraId="32D760E0">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11、评分标准和细则中商务部分证明材料（格式自拟）</w:t>
      </w:r>
    </w:p>
    <w:p w14:paraId="744AADBD">
      <w:pPr>
        <w:shd w:val="clear" w:color="auto" w:fill="auto"/>
        <w:spacing w:line="400" w:lineRule="exact"/>
        <w:ind w:firstLine="477" w:firstLineChars="199"/>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12、投标人认为有必要提供的其他证明材料（格式自拟）</w:t>
      </w:r>
    </w:p>
    <w:p w14:paraId="3D63A447">
      <w:pPr>
        <w:shd w:val="clear" w:color="auto" w:fill="auto"/>
        <w:spacing w:line="400" w:lineRule="exact"/>
        <w:ind w:firstLine="479"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b/>
          <w:color w:val="auto"/>
          <w:kern w:val="0"/>
          <w:sz w:val="24"/>
          <w:szCs w:val="24"/>
          <w:highlight w:val="none"/>
          <w:u w:val="single"/>
        </w:rPr>
        <w:t>注：以上材料须</w:t>
      </w:r>
      <w:r>
        <w:rPr>
          <w:rFonts w:hint="eastAsia" w:ascii="仿宋" w:hAnsi="仿宋" w:eastAsia="仿宋" w:cs="仿宋"/>
          <w:b/>
          <w:color w:val="auto"/>
          <w:kern w:val="0"/>
          <w:sz w:val="24"/>
          <w:szCs w:val="24"/>
          <w:highlight w:val="none"/>
          <w:u w:val="single"/>
          <w:lang w:eastAsia="zh-CN"/>
        </w:rPr>
        <w:t>逐页</w:t>
      </w:r>
      <w:r>
        <w:rPr>
          <w:rFonts w:hint="eastAsia" w:ascii="仿宋" w:hAnsi="仿宋" w:eastAsia="仿宋" w:cs="仿宋"/>
          <w:b/>
          <w:color w:val="auto"/>
          <w:kern w:val="0"/>
          <w:sz w:val="24"/>
          <w:szCs w:val="24"/>
          <w:highlight w:val="none"/>
          <w:u w:val="single"/>
        </w:rPr>
        <w:t>加盖单位公章</w:t>
      </w:r>
      <w:r>
        <w:rPr>
          <w:rFonts w:hint="eastAsia" w:ascii="仿宋" w:hAnsi="仿宋" w:eastAsia="仿宋" w:cs="仿宋"/>
          <w:b/>
          <w:color w:val="auto"/>
          <w:kern w:val="0"/>
          <w:sz w:val="24"/>
          <w:szCs w:val="24"/>
          <w:highlight w:val="none"/>
          <w:u w:val="single"/>
          <w:lang w:eastAsia="zh-CN"/>
        </w:rPr>
        <w:t>。投标文件内凡涉及法人或授权委托人签字、签章、盖章等，签字或盖章均予以认可。</w:t>
      </w:r>
    </w:p>
    <w:p w14:paraId="0AB9DAF1">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投标文件的要求</w:t>
      </w:r>
    </w:p>
    <w:p w14:paraId="654F4E90">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351616B4">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）投标文件格式应按本采购文件第六章格式要求编制，不得对采购文件格式进行增删更改，否则按无效标处理。</w:t>
      </w:r>
    </w:p>
    <w:p w14:paraId="5E9234EB">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4A943324">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）投标文件为电子投标文件，电子投标文件按“政采云供应商项目采购-电子招投标操作指南”及本采购文件要求制作、加密传输。</w:t>
      </w:r>
    </w:p>
    <w:p w14:paraId="3DCED9AE">
      <w:pPr>
        <w:shd w:val="clear" w:color="auto" w:fill="auto"/>
        <w:spacing w:line="400" w:lineRule="exact"/>
        <w:ind w:firstLine="477" w:firstLineChars="1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）投标文件未在投标截止时间前完成传输的，视为投标文件撤回；投标文件未按时解密也未提供备份投标文件的，亦视为投标文件撤回。</w:t>
      </w:r>
    </w:p>
    <w:p w14:paraId="48179E78">
      <w:pPr>
        <w:shd w:val="clear" w:color="auto" w:fill="auto"/>
        <w:spacing w:line="44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投标报价</w:t>
      </w:r>
    </w:p>
    <w:p w14:paraId="2BE430D9">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22.1投标报价文件中的单价和总价全部采用人民币表示。</w:t>
      </w:r>
    </w:p>
    <w:p w14:paraId="7F57EA96">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22.2投标报价表上应清楚地标明投标人拟提供</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的名称、数量、单价和总价。</w:t>
      </w:r>
    </w:p>
    <w:p w14:paraId="443665B4">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22.3投标人只允许有一个方案、一个报价。</w:t>
      </w:r>
    </w:p>
    <w:p w14:paraId="6B716149">
      <w:pPr>
        <w:shd w:val="clear" w:color="auto" w:fill="auto"/>
        <w:spacing w:line="44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22.4投标人应按“</w:t>
      </w:r>
      <w:r>
        <w:rPr>
          <w:rFonts w:hint="eastAsia" w:ascii="仿宋" w:hAnsi="仿宋" w:eastAsia="仿宋" w:cs="仿宋"/>
          <w:color w:val="auto"/>
          <w:sz w:val="24"/>
          <w:szCs w:val="24"/>
          <w:highlight w:val="none"/>
          <w:lang w:eastAsia="zh-CN"/>
        </w:rPr>
        <w:t>项目需求</w:t>
      </w:r>
      <w:r>
        <w:rPr>
          <w:rFonts w:hint="eastAsia" w:ascii="仿宋" w:hAnsi="仿宋" w:eastAsia="仿宋" w:cs="仿宋"/>
          <w:color w:val="auto"/>
          <w:sz w:val="24"/>
          <w:szCs w:val="24"/>
          <w:highlight w:val="none"/>
        </w:rPr>
        <w:t>”所列</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进行报价，并最终按</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总量乘以</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单价报总价，不得采用总价下浮的方式进行报价。综合单价包括：</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本身价格、保险费用、</w:t>
      </w:r>
      <w:r>
        <w:rPr>
          <w:rFonts w:hint="eastAsia" w:ascii="仿宋" w:hAnsi="仿宋" w:eastAsia="仿宋" w:cs="仿宋"/>
          <w:color w:val="auto"/>
          <w:sz w:val="24"/>
          <w:szCs w:val="24"/>
          <w:highlight w:val="none"/>
          <w:lang w:eastAsia="zh-CN"/>
        </w:rPr>
        <w:t>培训费、交通</w:t>
      </w: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lang w:eastAsia="zh-CN"/>
        </w:rPr>
        <w:t>住宿费</w:t>
      </w:r>
      <w:r>
        <w:rPr>
          <w:rFonts w:hint="eastAsia" w:ascii="仿宋" w:hAnsi="仿宋" w:eastAsia="仿宋" w:cs="仿宋"/>
          <w:color w:val="auto"/>
          <w:sz w:val="24"/>
          <w:szCs w:val="24"/>
          <w:highlight w:val="none"/>
        </w:rPr>
        <w:t>、自检费</w:t>
      </w:r>
      <w:r>
        <w:rPr>
          <w:rFonts w:hint="eastAsia" w:ascii="仿宋" w:hAnsi="仿宋" w:eastAsia="仿宋" w:cs="仿宋"/>
          <w:color w:val="auto"/>
          <w:sz w:val="24"/>
          <w:szCs w:val="24"/>
          <w:highlight w:val="none"/>
          <w:lang w:eastAsia="zh-CN"/>
        </w:rPr>
        <w:t>、人工费、其他服务期使用的设备费</w:t>
      </w:r>
      <w:r>
        <w:rPr>
          <w:rFonts w:hint="eastAsia" w:ascii="仿宋" w:hAnsi="仿宋" w:eastAsia="仿宋" w:cs="仿宋"/>
          <w:color w:val="auto"/>
          <w:sz w:val="24"/>
          <w:szCs w:val="24"/>
          <w:highlight w:val="none"/>
        </w:rPr>
        <w:t>及验收合格前和</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rPr>
        <w:t>内发生的一切费用、应当提供的伴随服务/售后服务费用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及国家对中标单位征收的各种税费等所有一切费用，综合单价今后将不作任何调整。</w:t>
      </w:r>
    </w:p>
    <w:p w14:paraId="6BA81002">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22.5投标报价的价格是</w:t>
      </w:r>
      <w:r>
        <w:rPr>
          <w:rFonts w:hint="eastAsia" w:ascii="仿宋" w:hAnsi="仿宋" w:eastAsia="仿宋" w:cs="仿宋"/>
          <w:color w:val="auto"/>
          <w:sz w:val="24"/>
          <w:szCs w:val="24"/>
          <w:highlight w:val="none"/>
          <w:lang w:eastAsia="zh-CN"/>
        </w:rPr>
        <w:t>服务完成</w:t>
      </w:r>
      <w:r>
        <w:rPr>
          <w:rFonts w:hint="eastAsia" w:ascii="仿宋" w:hAnsi="仿宋" w:eastAsia="仿宋" w:cs="仿宋"/>
          <w:color w:val="auto"/>
          <w:sz w:val="24"/>
          <w:szCs w:val="24"/>
          <w:highlight w:val="none"/>
        </w:rPr>
        <w:t>验收价格，其总价即为履行合同的固定总价。</w:t>
      </w:r>
    </w:p>
    <w:p w14:paraId="7E4C42F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22.6投标文件报价为含税价，招标人不再为此次招标支付任何费用。</w:t>
      </w:r>
    </w:p>
    <w:p w14:paraId="41D594E9">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22.7投标报价应由法定代表人或被授权人签署。</w:t>
      </w:r>
    </w:p>
    <w:p w14:paraId="648D7DA7">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22.8</w:t>
      </w:r>
      <w:r>
        <w:rPr>
          <w:rFonts w:hint="eastAsia" w:ascii="仿宋" w:hAnsi="仿宋" w:eastAsia="仿宋" w:cs="仿宋"/>
          <w:b/>
          <w:color w:val="auto"/>
          <w:sz w:val="24"/>
          <w:szCs w:val="24"/>
          <w:highlight w:val="none"/>
        </w:rPr>
        <w:t>投标人投标总报价，不得高于本次招标设置的最高限价</w:t>
      </w:r>
      <w:r>
        <w:rPr>
          <w:rFonts w:hint="eastAsia" w:ascii="仿宋" w:hAnsi="仿宋" w:eastAsia="仿宋" w:cs="仿宋"/>
          <w:b/>
          <w:color w:val="auto"/>
          <w:sz w:val="24"/>
          <w:szCs w:val="24"/>
          <w:highlight w:val="none"/>
          <w:lang w:val="en-US" w:eastAsia="zh-CN"/>
        </w:rPr>
        <w:t>(单价)</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否则将作为无效投标处理。</w:t>
      </w:r>
    </w:p>
    <w:p w14:paraId="5C8C3292">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22.9如投标文件中未列明全面实现投标</w:t>
      </w:r>
      <w:r>
        <w:rPr>
          <w:rFonts w:hint="eastAsia" w:ascii="仿宋" w:hAnsi="仿宋" w:eastAsia="仿宋" w:cs="仿宋"/>
          <w:color w:val="auto"/>
          <w:sz w:val="24"/>
          <w:szCs w:val="24"/>
          <w:highlight w:val="none"/>
          <w:lang w:eastAsia="zh-CN"/>
        </w:rPr>
        <w:t>服务范围</w:t>
      </w:r>
      <w:r>
        <w:rPr>
          <w:rFonts w:hint="eastAsia" w:ascii="仿宋" w:hAnsi="仿宋" w:eastAsia="仿宋" w:cs="仿宋"/>
          <w:color w:val="auto"/>
          <w:sz w:val="24"/>
          <w:szCs w:val="24"/>
          <w:highlight w:val="none"/>
        </w:rPr>
        <w:t>而必须配置的配套或辅助设施及相应技术措施的费用，这些费用将被视为已包含在总投标价中。</w:t>
      </w:r>
    </w:p>
    <w:p w14:paraId="7CEB8526">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22.10总投标价中不得包含</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要求以外的内容，否则，在评标时不予核减，但在授予合同时，招标人有权将这部分价格从其中标价格中扣除。</w:t>
      </w:r>
    </w:p>
    <w:p w14:paraId="64C81FB4">
      <w:pPr>
        <w:shd w:val="clear" w:color="auto" w:fill="auto"/>
        <w:spacing w:line="440" w:lineRule="exact"/>
        <w:ind w:firstLine="460" w:firstLineChars="192"/>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22.11总投标价中不得缺漏</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auto"/>
          <w:sz w:val="24"/>
          <w:szCs w:val="24"/>
          <w:highlight w:val="none"/>
          <w:lang w:val="en-US" w:eastAsia="zh-CN"/>
        </w:rPr>
        <w:t xml:space="preserve">    </w:t>
      </w:r>
    </w:p>
    <w:p w14:paraId="070AF493">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22.12投标人不得对从第三方采购</w:t>
      </w:r>
      <w:r>
        <w:rPr>
          <w:rFonts w:hint="eastAsia" w:ascii="仿宋" w:hAnsi="仿宋" w:eastAsia="仿宋" w:cs="仿宋"/>
          <w:color w:val="auto"/>
          <w:sz w:val="24"/>
          <w:szCs w:val="24"/>
          <w:highlight w:val="none"/>
          <w:lang w:eastAsia="zh-CN"/>
        </w:rPr>
        <w:t>的服务</w:t>
      </w:r>
      <w:r>
        <w:rPr>
          <w:rFonts w:hint="eastAsia" w:ascii="仿宋" w:hAnsi="仿宋" w:eastAsia="仿宋" w:cs="仿宋"/>
          <w:color w:val="auto"/>
          <w:sz w:val="24"/>
          <w:szCs w:val="24"/>
          <w:highlight w:val="none"/>
        </w:rPr>
        <w:t>另行收费，否则在计算评标价时这部分费用将不予扣除，在授予合同时将从中标价格中扣除该部分费用。</w:t>
      </w:r>
    </w:p>
    <w:p w14:paraId="2F496E7E">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22.13投标人应根据</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状况列出</w:t>
      </w:r>
      <w:r>
        <w:rPr>
          <w:rFonts w:hint="eastAsia" w:ascii="仿宋" w:hAnsi="仿宋" w:eastAsia="仿宋" w:cs="仿宋"/>
          <w:color w:val="auto"/>
          <w:sz w:val="24"/>
          <w:szCs w:val="24"/>
          <w:highlight w:val="none"/>
          <w:lang w:eastAsia="zh-CN"/>
        </w:rPr>
        <w:t>所需人员和设备</w:t>
      </w:r>
      <w:r>
        <w:rPr>
          <w:rFonts w:hint="eastAsia" w:ascii="仿宋" w:hAnsi="仿宋" w:eastAsia="仿宋" w:cs="仿宋"/>
          <w:color w:val="auto"/>
          <w:sz w:val="24"/>
          <w:szCs w:val="24"/>
          <w:highlight w:val="none"/>
        </w:rPr>
        <w:t>，并将该</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价格计入总投标价，若所提供的</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无需</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，则应在投标文件中说明；无论投标人在报价中列明</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的数量及价格多少，在</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rPr>
        <w:t>内招标人均无需为</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所需的</w:t>
      </w:r>
      <w:r>
        <w:rPr>
          <w:rFonts w:hint="eastAsia" w:ascii="仿宋" w:hAnsi="仿宋" w:eastAsia="仿宋" w:cs="仿宋"/>
          <w:color w:val="auto"/>
          <w:sz w:val="24"/>
          <w:szCs w:val="24"/>
          <w:highlight w:val="none"/>
          <w:lang w:eastAsia="zh-CN"/>
        </w:rPr>
        <w:t>人员和设备</w:t>
      </w:r>
      <w:r>
        <w:rPr>
          <w:rFonts w:hint="eastAsia" w:ascii="仿宋" w:hAnsi="仿宋" w:eastAsia="仿宋" w:cs="仿宋"/>
          <w:color w:val="auto"/>
          <w:sz w:val="24"/>
          <w:szCs w:val="24"/>
          <w:highlight w:val="none"/>
        </w:rPr>
        <w:t>另行支付费用。</w:t>
      </w:r>
    </w:p>
    <w:p w14:paraId="266875B2">
      <w:pPr>
        <w:shd w:val="clear" w:color="auto" w:fill="auto"/>
        <w:spacing w:line="44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投标有效期</w:t>
      </w:r>
    </w:p>
    <w:p w14:paraId="7591414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除投标人须知前附表另有规定外</w:t>
      </w:r>
      <w:r>
        <w:rPr>
          <w:rFonts w:hint="eastAsia" w:ascii="仿宋" w:hAnsi="仿宋" w:eastAsia="仿宋" w:cs="仿宋"/>
          <w:b/>
          <w:bCs/>
          <w:color w:val="auto"/>
          <w:sz w:val="24"/>
          <w:szCs w:val="24"/>
          <w:highlight w:val="none"/>
        </w:rPr>
        <w:t>，投标有效期为60天。</w:t>
      </w:r>
    </w:p>
    <w:p w14:paraId="7DA1DD3C">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23.2在投标有效期内，投标人撤销或修改其投标文件的，应承担</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和法律规定的责任。</w:t>
      </w:r>
    </w:p>
    <w:p w14:paraId="33CEA29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68BCB74">
      <w:pPr>
        <w:shd w:val="clear" w:color="auto" w:fill="auto"/>
        <w:spacing w:line="440" w:lineRule="exact"/>
        <w:ind w:firstLine="463" w:firstLineChars="192"/>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投标保证金</w:t>
      </w:r>
    </w:p>
    <w:p w14:paraId="051C185E">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bookmarkStart w:id="29" w:name="_Toc469495727"/>
      <w:r>
        <w:rPr>
          <w:rFonts w:hint="eastAsia" w:ascii="仿宋" w:hAnsi="仿宋" w:eastAsia="仿宋" w:cs="仿宋"/>
          <w:color w:val="auto"/>
          <w:sz w:val="24"/>
          <w:szCs w:val="24"/>
          <w:highlight w:val="none"/>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14:paraId="79314A57">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24.2自中标通知书发出之日起5个工作日内退还未中标供应商的投标保证金，自政府采购合同签订之日起5个工作日内退还中标人的投标保证金。</w:t>
      </w:r>
    </w:p>
    <w:p w14:paraId="287EC37C">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24.3有下列情形之一的，投标保证金将不予退还： </w:t>
      </w:r>
    </w:p>
    <w:p w14:paraId="7B3A7DA2">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（1）供应商在规定的投标有效期内撤回或修改其投标文件；</w:t>
      </w:r>
    </w:p>
    <w:p w14:paraId="11730AE1">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（2）中标通知书发出后三十天内，中标人无正当理由拒签合同协议书或未按采购文件规定提交履约担保。</w:t>
      </w:r>
    </w:p>
    <w:p w14:paraId="7DA477F2">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（3）提供虚假材料谋取中标的；</w:t>
      </w:r>
    </w:p>
    <w:p w14:paraId="6A57DCDC">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（4）经查实属于陪标、串通投标的等。</w:t>
      </w:r>
    </w:p>
    <w:p w14:paraId="4B9063B2">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24.4投标保证金按供应商须知前附表第</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条规定执行。</w:t>
      </w:r>
    </w:p>
    <w:p w14:paraId="05D5CB67">
      <w:pPr>
        <w:shd w:val="clear" w:color="auto" w:fill="auto"/>
        <w:bidi w:val="0"/>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w:t>
      </w:r>
      <w:bookmarkEnd w:id="29"/>
      <w:r>
        <w:rPr>
          <w:rFonts w:hint="eastAsia" w:ascii="仿宋" w:hAnsi="仿宋" w:eastAsia="仿宋" w:cs="仿宋"/>
          <w:b/>
          <w:bCs/>
          <w:color w:val="auto"/>
          <w:sz w:val="32"/>
          <w:szCs w:val="32"/>
          <w:highlight w:val="none"/>
        </w:rPr>
        <w:t>投标文件的制作、上传及递交要求</w:t>
      </w:r>
    </w:p>
    <w:p w14:paraId="7DDB1902">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投标文件的制作要求</w:t>
      </w:r>
    </w:p>
    <w:p w14:paraId="761D0198">
      <w:pPr>
        <w:pStyle w:val="8"/>
        <w:shd w:val="clear" w:color="auto" w:fill="auto"/>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（1）供应商应按照投标文件组成内容及项目招标需求和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政府采购云平台要求制作投标文件的将视情况处理（拒收等），由此产生的责任由供应商自行承担。</w:t>
      </w:r>
    </w:p>
    <w:p w14:paraId="3432D8C4">
      <w:pPr>
        <w:pStyle w:val="8"/>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0B3DB237">
      <w:pPr>
        <w:pStyle w:val="8"/>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备份电子投标文件：通过“政采云”平台电子投标工具制作投标文件所产生的备份文件。</w:t>
      </w:r>
    </w:p>
    <w:p w14:paraId="242DB31E">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（2）供应商应对所提供的全部资料的真实性、有效性承担法律责任，电子投标文件中所须加盖公章部分均采用CA签章。</w:t>
      </w:r>
    </w:p>
    <w:p w14:paraId="46199517">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14:paraId="09272F5B">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14:paraId="3F563044">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（5）若供应商不按采购文件的要求提供资格审查材料，其风险由供应商自行承担。</w:t>
      </w:r>
    </w:p>
    <w:p w14:paraId="7ADAB1EF">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（6）与本次投标无关的内容请不要制作在内，确保投标文件有针对性、简洁明了。</w:t>
      </w:r>
    </w:p>
    <w:p w14:paraId="34543422">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投标文件的上传</w:t>
      </w:r>
    </w:p>
    <w:p w14:paraId="566419E9">
      <w:pPr>
        <w:pStyle w:val="8"/>
        <w:shd w:val="clear" w:color="auto" w:fill="auto"/>
        <w:snapToGrid w:val="0"/>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14:paraId="400CFCEF">
      <w:pPr>
        <w:pStyle w:val="8"/>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供应商应在投标截止时间前将电子加密投标文件成功上传递交至新疆政府采购云平台，否则投标无效；</w:t>
      </w:r>
    </w:p>
    <w:p w14:paraId="2E4AB440">
      <w:pPr>
        <w:pStyle w:val="8"/>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b.供应商成功上传电子加密投标文件后，可自行打印投标文件接收回执。</w:t>
      </w:r>
    </w:p>
    <w:p w14:paraId="70AF67E3">
      <w:pPr>
        <w:pStyle w:val="8"/>
        <w:shd w:val="clear" w:color="auto" w:fill="auto"/>
        <w:snapToGrid w:val="0"/>
        <w:spacing w:line="360" w:lineRule="auto"/>
        <w:outlineLvl w:val="9"/>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备份投标文件（“.bfbs”格式）：</w:t>
      </w:r>
    </w:p>
    <w:p w14:paraId="434D1036">
      <w:pPr>
        <w:pStyle w:val="8"/>
        <w:shd w:val="clear" w:color="auto" w:fill="auto"/>
        <w:snapToGrid w:val="0"/>
        <w:spacing w:line="360" w:lineRule="auto"/>
        <w:ind w:firstLine="600" w:firstLineChars="250"/>
        <w:outlineLvl w:val="9"/>
        <w:rPr>
          <w:rFonts w:hint="eastAsia" w:ascii="仿宋" w:hAnsi="仿宋" w:eastAsia="仿宋" w:cs="仿宋"/>
          <w:color w:val="auto"/>
          <w:sz w:val="24"/>
          <w:szCs w:val="24"/>
          <w:highlight w:val="none"/>
          <w:lang w:bidi="zh-CN"/>
        </w:rPr>
      </w:pPr>
      <w:r>
        <w:rPr>
          <w:rFonts w:hint="eastAsia" w:ascii="仿宋" w:hAnsi="仿宋" w:eastAsia="仿宋" w:cs="仿宋"/>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4"/>
          <w:szCs w:val="24"/>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4"/>
          <w:szCs w:val="24"/>
          <w:highlight w:val="none"/>
          <w:u w:val="single"/>
          <w:lang w:val="en-US" w:bidi="zh-CN"/>
        </w:rPr>
        <w:t>820740061</w:t>
      </w:r>
      <w:r>
        <w:rPr>
          <w:rFonts w:hint="eastAsia" w:ascii="仿宋" w:hAnsi="仿宋" w:eastAsia="仿宋" w:cs="仿宋"/>
          <w:color w:val="auto"/>
          <w:sz w:val="24"/>
          <w:szCs w:val="24"/>
          <w:highlight w:val="none"/>
          <w:u w:val="single"/>
          <w:lang w:bidi="zh-CN"/>
        </w:rPr>
        <w:fldChar w:fldCharType="begin"/>
      </w:r>
      <w:r>
        <w:rPr>
          <w:rFonts w:hint="eastAsia" w:ascii="仿宋" w:hAnsi="仿宋" w:eastAsia="仿宋" w:cs="仿宋"/>
          <w:color w:val="auto"/>
          <w:sz w:val="24"/>
          <w:szCs w:val="24"/>
          <w:highlight w:val="none"/>
          <w:u w:val="single"/>
          <w:lang w:bidi="zh-CN"/>
        </w:rPr>
        <w:instrText xml:space="preserve"> HYPERLINK "mailto:1207446769@qq.com，接收人：陈加轲，电话：15157655122" </w:instrText>
      </w:r>
      <w:r>
        <w:rPr>
          <w:rFonts w:hint="eastAsia" w:ascii="仿宋" w:hAnsi="仿宋" w:eastAsia="仿宋" w:cs="仿宋"/>
          <w:color w:val="auto"/>
          <w:sz w:val="24"/>
          <w:szCs w:val="24"/>
          <w:highlight w:val="none"/>
          <w:u w:val="single"/>
          <w:lang w:bidi="zh-CN"/>
        </w:rPr>
        <w:fldChar w:fldCharType="separate"/>
      </w:r>
      <w:r>
        <w:rPr>
          <w:rFonts w:hint="eastAsia" w:ascii="仿宋" w:hAnsi="仿宋" w:eastAsia="仿宋" w:cs="仿宋"/>
          <w:color w:val="auto"/>
          <w:sz w:val="24"/>
          <w:szCs w:val="24"/>
          <w:highlight w:val="none"/>
          <w:u w:val="single"/>
          <w:lang w:val="en-US" w:bidi="zh-CN"/>
        </w:rPr>
        <w:t>@qq</w:t>
      </w:r>
      <w:r>
        <w:rPr>
          <w:rFonts w:hint="eastAsia" w:ascii="仿宋" w:hAnsi="仿宋" w:eastAsia="仿宋" w:cs="仿宋"/>
          <w:color w:val="auto"/>
          <w:sz w:val="24"/>
          <w:szCs w:val="24"/>
          <w:highlight w:val="none"/>
          <w:u w:val="single"/>
          <w:lang w:bidi="zh-CN"/>
        </w:rPr>
        <w:t>.com</w:t>
      </w:r>
      <w:r>
        <w:rPr>
          <w:rStyle w:val="31"/>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bidi="zh-CN"/>
        </w:rPr>
        <w:t>王</w:t>
      </w:r>
      <w:r>
        <w:rPr>
          <w:rFonts w:hint="eastAsia" w:ascii="仿宋" w:hAnsi="仿宋" w:eastAsia="仿宋" w:cs="仿宋"/>
          <w:color w:val="auto"/>
          <w:sz w:val="24"/>
          <w:szCs w:val="24"/>
          <w:highlight w:val="none"/>
          <w:u w:val="single"/>
          <w:lang w:val="en-US" w:bidi="zh-CN"/>
        </w:rPr>
        <w:t>先生</w:t>
      </w:r>
      <w:r>
        <w:rPr>
          <w:rStyle w:val="31"/>
          <w:rFonts w:hint="eastAsia" w:ascii="仿宋" w:hAnsi="仿宋" w:eastAsia="仿宋" w:cs="仿宋"/>
          <w:color w:val="auto"/>
          <w:sz w:val="24"/>
          <w:szCs w:val="24"/>
          <w:highlight w:val="none"/>
          <w:u w:val="single"/>
          <w:lang w:bidi="zh-CN"/>
        </w:rPr>
        <w:t>，电话：</w:t>
      </w:r>
      <w:r>
        <w:rPr>
          <w:rFonts w:hint="eastAsia" w:ascii="仿宋" w:hAnsi="仿宋" w:eastAsia="仿宋" w:cs="仿宋"/>
          <w:color w:val="auto"/>
          <w:sz w:val="24"/>
          <w:szCs w:val="24"/>
          <w:highlight w:val="none"/>
          <w:u w:val="single"/>
          <w:lang w:val="en-US" w:bidi="zh-CN"/>
        </w:rPr>
        <w:t>1</w:t>
      </w:r>
      <w:r>
        <w:rPr>
          <w:rFonts w:hint="eastAsia" w:ascii="仿宋" w:hAnsi="仿宋" w:eastAsia="仿宋" w:cs="仿宋"/>
          <w:color w:val="auto"/>
          <w:sz w:val="24"/>
          <w:szCs w:val="24"/>
          <w:highlight w:val="none"/>
          <w:u w:val="single"/>
          <w:lang w:bidi="zh-CN"/>
        </w:rPr>
        <w:fldChar w:fldCharType="end"/>
      </w:r>
      <w:r>
        <w:rPr>
          <w:rFonts w:hint="eastAsia" w:ascii="仿宋" w:hAnsi="仿宋" w:eastAsia="仿宋" w:cs="仿宋"/>
          <w:color w:val="auto"/>
          <w:sz w:val="24"/>
          <w:szCs w:val="24"/>
          <w:highlight w:val="none"/>
          <w:u w:val="single"/>
          <w:lang w:val="en-US" w:bidi="zh-CN"/>
        </w:rPr>
        <w:t>8104746080</w:t>
      </w:r>
      <w:r>
        <w:rPr>
          <w:rFonts w:hint="eastAsia" w:ascii="仿宋" w:hAnsi="仿宋" w:eastAsia="仿宋" w:cs="仿宋"/>
          <w:color w:val="auto"/>
          <w:sz w:val="24"/>
          <w:szCs w:val="24"/>
          <w:highlight w:val="none"/>
          <w:lang w:bidi="zh-CN"/>
        </w:rPr>
        <w:t>）；</w:t>
      </w:r>
    </w:p>
    <w:p w14:paraId="78C08EB5">
      <w:pPr>
        <w:pStyle w:val="8"/>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E5DCA0C">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rPr>
        <w:t>投标文件的递交要求</w:t>
      </w:r>
    </w:p>
    <w:p w14:paraId="4B3C475E">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14:paraId="04D85BC4">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14:paraId="32B15373">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14:paraId="5DD17858">
      <w:pPr>
        <w:shd w:val="clear" w:color="auto" w:fill="auto"/>
        <w:snapToGrid w:val="0"/>
        <w:spacing w:line="360" w:lineRule="auto"/>
        <w:ind w:firstLine="482"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28．投标文件的补充、修改与撤回</w:t>
      </w:r>
    </w:p>
    <w:p w14:paraId="656DC9C8">
      <w:pPr>
        <w:shd w:val="clear" w:color="auto" w:fill="auto"/>
        <w:tabs>
          <w:tab w:val="left" w:pos="960"/>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495E270C">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仿宋" w:hAnsi="仿宋" w:eastAsia="仿宋" w:cs="仿宋"/>
          <w:color w:val="auto"/>
          <w:sz w:val="24"/>
          <w:szCs w:val="24"/>
          <w:highlight w:val="none"/>
        </w:rPr>
      </w:pPr>
      <w:bookmarkStart w:id="30" w:name="_Toc469495728"/>
    </w:p>
    <w:p w14:paraId="396A4A53">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（五）开 标、评标和定标</w:t>
      </w:r>
      <w:bookmarkEnd w:id="30"/>
    </w:p>
    <w:p w14:paraId="1DFCB271">
      <w:pPr>
        <w:shd w:val="clear" w:color="auto" w:fill="auto"/>
        <w:snapToGrid w:val="0"/>
        <w:spacing w:line="360" w:lineRule="auto"/>
        <w:ind w:firstLine="482"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14:paraId="306B25AA">
      <w:pPr>
        <w:shd w:val="clear" w:color="auto" w:fill="auto"/>
        <w:snapToGrid w:val="0"/>
        <w:spacing w:line="360" w:lineRule="auto"/>
        <w:ind w:firstLine="482" w:firstLineChars="200"/>
        <w:outlineLvl w:val="9"/>
        <w:rPr>
          <w:rFonts w:hint="eastAsia" w:ascii="仿宋" w:hAnsi="仿宋" w:eastAsia="仿宋" w:cs="仿宋"/>
          <w:b/>
          <w:bCs/>
          <w:color w:val="auto"/>
          <w:sz w:val="24"/>
          <w:szCs w:val="24"/>
          <w:highlight w:val="none"/>
          <w:lang w:val="en-US" w:eastAsia="zh-CN"/>
        </w:rPr>
      </w:pPr>
      <w:bookmarkStart w:id="31" w:name="_Toc73975822"/>
      <w:r>
        <w:rPr>
          <w:rFonts w:hint="eastAsia" w:ascii="仿宋" w:hAnsi="仿宋" w:eastAsia="仿宋" w:cs="仿宋"/>
          <w:b/>
          <w:bCs/>
          <w:color w:val="auto"/>
          <w:sz w:val="24"/>
          <w:szCs w:val="24"/>
          <w:highlight w:val="none"/>
          <w:lang w:val="en-US" w:eastAsia="zh-CN"/>
        </w:rPr>
        <w:t>29.1开标邀请</w:t>
      </w:r>
      <w:bookmarkEnd w:id="31"/>
    </w:p>
    <w:p w14:paraId="6D8783AC">
      <w:pPr>
        <w:pStyle w:val="16"/>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11229B12">
      <w:pPr>
        <w:pStyle w:val="16"/>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5B23E0E7">
      <w:pPr>
        <w:pStyle w:val="16"/>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1"/>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”组织开标、开启投标响应文件，所有供应商均应当准时在线参加。</w:t>
      </w:r>
    </w:p>
    <w:p w14:paraId="6DC0B659">
      <w:pPr>
        <w:pStyle w:val="16"/>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0DA3EEE">
      <w:pPr>
        <w:shd w:val="clear" w:color="auto" w:fill="auto"/>
        <w:snapToGrid w:val="0"/>
        <w:spacing w:line="360" w:lineRule="auto"/>
        <w:ind w:firstLine="482" w:firstLineChars="200"/>
        <w:outlineLvl w:val="9"/>
        <w:rPr>
          <w:rFonts w:hint="eastAsia" w:ascii="仿宋" w:hAnsi="仿宋" w:eastAsia="仿宋" w:cs="仿宋"/>
          <w:b/>
          <w:color w:val="auto"/>
          <w:sz w:val="24"/>
          <w:szCs w:val="24"/>
          <w:highlight w:val="none"/>
        </w:rPr>
      </w:pPr>
      <w:bookmarkStart w:id="32" w:name="_Toc73975823"/>
      <w:r>
        <w:rPr>
          <w:rFonts w:hint="eastAsia" w:ascii="仿宋" w:hAnsi="仿宋" w:eastAsia="仿宋" w:cs="仿宋"/>
          <w:b/>
          <w:color w:val="auto"/>
          <w:sz w:val="24"/>
          <w:szCs w:val="24"/>
          <w:highlight w:val="none"/>
          <w:lang w:val="en-US" w:eastAsia="zh-CN"/>
        </w:rPr>
        <w:t>29.2</w:t>
      </w:r>
      <w:r>
        <w:rPr>
          <w:rFonts w:hint="eastAsia" w:ascii="仿宋" w:hAnsi="仿宋" w:eastAsia="仿宋" w:cs="仿宋"/>
          <w:b/>
          <w:bCs/>
          <w:color w:val="auto"/>
          <w:sz w:val="24"/>
          <w:szCs w:val="24"/>
          <w:highlight w:val="none"/>
        </w:rPr>
        <w:t>开标程序（先资格、商务技术后报价）</w:t>
      </w:r>
      <w:bookmarkEnd w:id="32"/>
    </w:p>
    <w:p w14:paraId="37A21BE3">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67A2EAC7">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68B44952">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3DC59753">
      <w:pPr>
        <w:shd w:val="clear" w:color="auto" w:fill="auto"/>
        <w:snapToGrid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公布投标文件解密情况（投标文件成功解密的供应商名单等信息）。</w:t>
      </w:r>
    </w:p>
    <w:p w14:paraId="34D5F087">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14:paraId="0D5E9C61">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14:paraId="3CC01498">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并【开启签字时段】，供应商对开标纪录进行在线签字确认（不予确认的应说明理由，否则视为无异议）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14:paraId="2A699444">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F0222EC">
      <w:pPr>
        <w:shd w:val="clear" w:color="auto" w:fill="auto"/>
        <w:snapToGrid w:val="0"/>
        <w:spacing w:line="360" w:lineRule="auto"/>
        <w:ind w:left="48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306B23A2">
      <w:pPr>
        <w:shd w:val="clear" w:color="auto" w:fill="auto"/>
        <w:snapToGrid w:val="0"/>
        <w:spacing w:line="360" w:lineRule="auto"/>
        <w:ind w:firstLine="426"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35D81DF9">
      <w:pPr>
        <w:shd w:val="clear" w:color="auto" w:fill="auto"/>
        <w:snapToGrid w:val="0"/>
        <w:spacing w:line="360" w:lineRule="auto"/>
        <w:ind w:firstLine="426"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6E6F7CF2">
      <w:pPr>
        <w:shd w:val="clear" w:color="auto" w:fill="auto"/>
        <w:snapToGrid w:val="0"/>
        <w:spacing w:line="360" w:lineRule="auto"/>
        <w:ind w:firstLine="482" w:firstLineChars="200"/>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14:paraId="6F41671C">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14:paraId="67A0068A">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50388E4">
      <w:pPr>
        <w:pStyle w:val="8"/>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见《供应商须知前附表》。</w:t>
      </w:r>
    </w:p>
    <w:p w14:paraId="175312D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评审工作的组织</w:t>
      </w:r>
    </w:p>
    <w:p w14:paraId="5CF3A44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采购人或采购代理机构负责组织本项目的评审工作，并依据《政府采购货物和服务招标投标管理办法（财政部第87号令）》第四十五条的相关规定履行职责。</w:t>
      </w:r>
    </w:p>
    <w:p w14:paraId="4881A9D4">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 评标委员会的组建</w:t>
      </w:r>
    </w:p>
    <w:p w14:paraId="35725715">
      <w:pPr>
        <w:widowControl/>
        <w:shd w:val="clear" w:color="auto" w:fill="auto"/>
        <w:spacing w:line="440" w:lineRule="exact"/>
        <w:ind w:firstLine="241" w:firstLineChars="1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31</w:t>
      </w:r>
      <w:r>
        <w:rPr>
          <w:rFonts w:hint="eastAsia" w:ascii="仿宋" w:hAnsi="仿宋" w:eastAsia="仿宋" w:cs="仿宋"/>
          <w:b/>
          <w:bCs/>
          <w:color w:val="auto"/>
          <w:sz w:val="24"/>
          <w:szCs w:val="24"/>
          <w:highlight w:val="none"/>
        </w:rPr>
        <w:t>.1评标委员会由采购人或采购代理机构依法组建，成员由采购人代表1人和评审专家4人，成员人数为5人，其中评审专家不少于成员总数的三分之二。</w:t>
      </w:r>
    </w:p>
    <w:p w14:paraId="462AE2B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.2评审专家从</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政府采购云平台专家库中通过随机方式抽取产生。评标委员会成员名单在采购结果公告前保密。</w:t>
      </w:r>
    </w:p>
    <w:p w14:paraId="5874AB99">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.评标委员会的职责</w:t>
      </w:r>
    </w:p>
    <w:p w14:paraId="291CA39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.1审查、评价投标文件是否符合采购文件的商务、技术等实质性要求。</w:t>
      </w:r>
    </w:p>
    <w:p w14:paraId="11D0CED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.2要求供应商对投标文件有关事项作出澄清或者说明。</w:t>
      </w:r>
    </w:p>
    <w:p w14:paraId="7246046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.3对投标文件进行比较和评价。</w:t>
      </w:r>
    </w:p>
    <w:p w14:paraId="0A8E855F">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.4确定中标候选人名单，以及根据采购人委托直接确定中标人。</w:t>
      </w:r>
    </w:p>
    <w:p w14:paraId="331ABDD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.5向采购人、采购代理机构或者有关部门报告评审中发现的违法行为。</w:t>
      </w:r>
    </w:p>
    <w:p w14:paraId="20039A3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评标原则</w:t>
      </w:r>
    </w:p>
    <w:p w14:paraId="641377B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.1评标委员会将遵循公平、公正、科学的原则，对供应商提交的投标文件进行综合评审，评标委员会按照采购文件规定的评标细则进行评分。</w:t>
      </w:r>
    </w:p>
    <w:p w14:paraId="11778330">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xml:space="preserve">.2客观公正对待所有供应商，对所有投标评价均采用相同的程序和标准。 </w:t>
      </w:r>
    </w:p>
    <w:p w14:paraId="6D70184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41B81395">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124FC7CF">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4CB2420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 评委纪律</w:t>
      </w:r>
    </w:p>
    <w:p w14:paraId="216E12B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002CC0B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评标程序</w:t>
      </w:r>
    </w:p>
    <w:p w14:paraId="37D6C46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 在评审专家中推选评标委员会组长，采购人代表不得担任评标委员会组长。</w:t>
      </w:r>
    </w:p>
    <w:p w14:paraId="3E304D9A">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245C49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3 评审人员对符合资格的供应商的投标文件的有效性、符合性、完整性和响应程度进行审查，确定是否对采购文件作出实质性响应。</w:t>
      </w:r>
    </w:p>
    <w:p w14:paraId="26F7B8B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4 评审人员按采购文件规定的评审方法和评审标准，依法独立对供应商投标文件进行评估、比较，并给予评价或打分，不受任何单位和个人的干预。</w:t>
      </w:r>
    </w:p>
    <w:p w14:paraId="276D4B61">
      <w:pPr>
        <w:widowControl/>
        <w:shd w:val="clear" w:color="auto" w:fill="auto"/>
        <w:spacing w:line="4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w:t>
      </w:r>
      <w:r>
        <w:rPr>
          <w:rFonts w:hint="eastAsia" w:ascii="仿宋" w:hAnsi="仿宋" w:eastAsia="仿宋" w:cs="仿宋"/>
          <w:color w:val="auto"/>
          <w:kern w:val="0"/>
          <w:sz w:val="24"/>
          <w:szCs w:val="24"/>
          <w:highlight w:val="none"/>
          <w:lang w:eastAsia="zh-CN"/>
        </w:rPr>
        <w:t>货物</w:t>
      </w:r>
      <w:r>
        <w:rPr>
          <w:rFonts w:hint="eastAsia" w:ascii="仿宋" w:hAnsi="仿宋" w:eastAsia="仿宋" w:cs="仿宋"/>
          <w:color w:val="auto"/>
          <w:kern w:val="0"/>
          <w:sz w:val="24"/>
          <w:szCs w:val="24"/>
          <w:highlight w:val="none"/>
        </w:rPr>
        <w:t>项目的价格分值占总分值的比重(即权值</w:t>
      </w:r>
      <w:r>
        <w:rPr>
          <w:rFonts w:hint="eastAsia" w:ascii="仿宋" w:hAnsi="仿宋" w:eastAsia="仿宋" w:cs="仿宋"/>
          <w:color w:val="FF0000"/>
          <w:kern w:val="0"/>
          <w:sz w:val="24"/>
          <w:szCs w:val="24"/>
          <w:highlight w:val="none"/>
        </w:rPr>
        <w:t>)为</w:t>
      </w:r>
      <w:r>
        <w:rPr>
          <w:rFonts w:hint="eastAsia" w:ascii="仿宋" w:hAnsi="仿宋" w:eastAsia="仿宋" w:cs="仿宋"/>
          <w:color w:val="FF0000"/>
          <w:kern w:val="0"/>
          <w:sz w:val="24"/>
          <w:szCs w:val="24"/>
          <w:highlight w:val="none"/>
          <w:lang w:val="en-US" w:eastAsia="zh-CN"/>
        </w:rPr>
        <w:t>30</w:t>
      </w:r>
      <w:r>
        <w:rPr>
          <w:rFonts w:hint="eastAsia" w:ascii="仿宋" w:hAnsi="仿宋" w:eastAsia="仿宋" w:cs="仿宋"/>
          <w:color w:val="FF0000"/>
          <w:kern w:val="0"/>
          <w:sz w:val="24"/>
          <w:szCs w:val="24"/>
          <w:highlight w:val="none"/>
        </w:rPr>
        <w:t>％，</w:t>
      </w:r>
      <w:r>
        <w:rPr>
          <w:rFonts w:hint="eastAsia" w:ascii="仿宋" w:hAnsi="仿宋" w:eastAsia="仿宋" w:cs="仿宋"/>
          <w:color w:val="auto"/>
          <w:kern w:val="0"/>
          <w:sz w:val="24"/>
          <w:szCs w:val="24"/>
          <w:highlight w:val="none"/>
        </w:rPr>
        <w:t>采购项目中含不同采购对象的，以占项目资金比例最高的采购对象确定其项目属性。其价格不列为评分因素，有特殊情况需要在上述规定范围外设定价格分权重的。</w:t>
      </w:r>
    </w:p>
    <w:p w14:paraId="23AC5BFC">
      <w:pPr>
        <w:widowControl/>
        <w:shd w:val="clear" w:color="auto" w:fill="auto"/>
        <w:spacing w:line="440" w:lineRule="exact"/>
        <w:ind w:firstLine="48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综合评分法中的价格分统一采用低价优先法计算，即满足</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文件要求且最后报价最低的供应商的价格为</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基准价，其价格分为满分。其他供应商的价格分统一按照下列公式计算：</w:t>
      </w:r>
    </w:p>
    <w:p w14:paraId="116C776C">
      <w:pPr>
        <w:widowControl/>
        <w:shd w:val="clear" w:color="auto" w:fill="auto"/>
        <w:spacing w:line="440" w:lineRule="exact"/>
        <w:ind w:firstLine="48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报价得分=（基准价/</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报价）×价格权值×100</w:t>
      </w:r>
    </w:p>
    <w:p w14:paraId="1A6CC58E">
      <w:pPr>
        <w:widowControl/>
        <w:shd w:val="clear" w:color="auto" w:fill="auto"/>
        <w:spacing w:line="440" w:lineRule="exact"/>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项目评审过程中，不得去掉最后报价中的最高报价和最低报价。</w:t>
      </w:r>
    </w:p>
    <w:p w14:paraId="62E9AB3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29F80C8">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%以上的）情形的，应由相关人员当场改正或作出书面说明；拒不改正又不作书面说明的，由现场监督员如实记载后存入项目档案资料。</w:t>
      </w:r>
    </w:p>
    <w:p w14:paraId="7E8097E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7 评标委员会根据评审汇总情况和采购文件规定确定中标候选供应商排序名单。</w:t>
      </w:r>
    </w:p>
    <w:p w14:paraId="1A90DD6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 xml:space="preserve">8 起草评审报告，所有评审人员须在评审报告上签字确认，对自己的评审意见承担法律责任。 </w:t>
      </w:r>
    </w:p>
    <w:p w14:paraId="2DAD6F4C">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9 采购组织机构对评标委员会评审专家进行评价。</w:t>
      </w:r>
    </w:p>
    <w:p w14:paraId="1D8B01F5">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10 修改评审结果</w:t>
      </w:r>
    </w:p>
    <w:p w14:paraId="24A5AA5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评标结果汇总完成后，除下列情形外，任何人不得修改评标结果：</w:t>
      </w:r>
    </w:p>
    <w:p w14:paraId="7EB4E87A">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451F620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1F80F30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2F7F9A21">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7CEF05D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BFAF12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36．澄清、说明或补正的形式</w:t>
      </w:r>
    </w:p>
    <w:p w14:paraId="0E989D7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 w:val="24"/>
          <w:szCs w:val="24"/>
          <w:highlight w:val="none"/>
          <w:lang w:val="en-US" w:eastAsia="zh-CN"/>
        </w:rPr>
        <w:t>投标供应商澄清、说明或补正时间为20分钟</w:t>
      </w:r>
      <w:r>
        <w:rPr>
          <w:rFonts w:hint="eastAsia" w:ascii="仿宋" w:hAnsi="仿宋" w:eastAsia="仿宋" w:cs="仿宋"/>
          <w:b w:val="0"/>
          <w:bCs w:val="0"/>
          <w:color w:val="auto"/>
          <w:sz w:val="24"/>
          <w:szCs w:val="24"/>
          <w:highlight w:val="none"/>
          <w:lang w:val="en-US" w:eastAsia="zh-CN"/>
        </w:rPr>
        <w:t>。</w:t>
      </w:r>
    </w:p>
    <w:p w14:paraId="449B137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67A6DF1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0D07F6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37．错误修正的原则</w:t>
      </w:r>
    </w:p>
    <w:p w14:paraId="5741FBD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7E6F511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14:paraId="68BEB6F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37.1 投标函中表述的内容与报价表中不一致的，以报价表为准；报价表中的内容与报价明细表不一致的，以报价表为准；</w:t>
      </w:r>
    </w:p>
    <w:p w14:paraId="78E3302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37.2 投标文件中的大写金额和小写金额不一致的，以大写金额为准；</w:t>
      </w:r>
    </w:p>
    <w:p w14:paraId="56F77EC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37.3 单价金额小数点或者百分比有明显错位的，以开标一览表的总价为准，并修改单价；</w:t>
      </w:r>
    </w:p>
    <w:p w14:paraId="67FE4C4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37.4 总价金额与按单价汇总金额不一致的，以单价金额计算结果为准；</w:t>
      </w:r>
    </w:p>
    <w:p w14:paraId="656E09D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37.5 若用文字表示的数值与用数字表示的数值不一致，以文字表示的数值为准；</w:t>
      </w:r>
    </w:p>
    <w:p w14:paraId="002B654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37.6 如有多报（指数量超出采购文件需求）、重报（指同一服务重复报价），其投标总价在评标过程中不予调整，如其中标，其合同价按其投标单价予以调整；</w:t>
      </w:r>
    </w:p>
    <w:p w14:paraId="39C491E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37.7 对不同文字文本投标文件的解释发生异议的，以中文文本为准；</w:t>
      </w:r>
    </w:p>
    <w:p w14:paraId="04AF6538">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 w:val="24"/>
          <w:szCs w:val="24"/>
          <w:highlight w:val="none"/>
          <w:lang w:val="en-US" w:eastAsia="zh-CN"/>
        </w:rPr>
        <w:t>修正应当采用电子询标的形式，并加盖公章（电子印章）。</w:t>
      </w:r>
    </w:p>
    <w:p w14:paraId="3F3944F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38．无效投标文件</w:t>
      </w:r>
    </w:p>
    <w:p w14:paraId="3FCD448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7154F3D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 报名的投标人与参加投标的投标人发生实质性变更的且未提供有效证明的；</w:t>
      </w:r>
    </w:p>
    <w:p w14:paraId="1E64022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38.2投标人提交两份或两份以上内容不同的投标文件，未声明哪一份有效的；</w:t>
      </w:r>
    </w:p>
    <w:p w14:paraId="67F8C29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38.3 投标文件非投标人法定代表人签署的，未提供或提供无效的法定代表人授权书；</w:t>
      </w:r>
    </w:p>
    <w:p w14:paraId="66B0F52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38.4 未按招标文件规定装订；</w:t>
      </w:r>
    </w:p>
    <w:p w14:paraId="2317C74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38.5 投标文件内容未按招标文件规定签字或盖章的；</w:t>
      </w:r>
    </w:p>
    <w:p w14:paraId="5D729C9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38.6 投标文件组成漏项或未按规定的格式编制或投标文件正、副本份数不足或内容不全或内容字迹模糊辨认不清的等而导致评标活动无法正常进行；</w:t>
      </w:r>
    </w:p>
    <w:p w14:paraId="578E8C6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38.7 投标人未按招标文件变更通知更改投标文件的；</w:t>
      </w:r>
    </w:p>
    <w:p w14:paraId="7C1B93E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38.8 《开标一览表》和《投标分项报价表》内容不完整且不接受修正意见或字迹不能辨认的或未提供；</w:t>
      </w:r>
    </w:p>
    <w:p w14:paraId="49A90E7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38.9 标项投标报价超过招标文件规定的预算金额或最高限价</w:t>
      </w:r>
    </w:p>
    <w:p w14:paraId="5978D87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38.10 因投标人原因编制错误造成经评标委员会修正后的报价达到或超过投标报价的0.5%；</w:t>
      </w:r>
    </w:p>
    <w:p w14:paraId="0D2E1E1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38.11 投标人的报价明显低于其他通过符合性审查投标人的报价，有可能影响产品质量或者不能诚信履约的，且在规定时间内不能合理说明原因并提供证明材料的；</w:t>
      </w:r>
    </w:p>
    <w:p w14:paraId="13EEBB5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38.12 未实质性响应招标文件中条款要求的投标文件；</w:t>
      </w:r>
    </w:p>
    <w:p w14:paraId="59C55BD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38.13 不符合招标范围、技术规格、技术标准的要求无法满足采购人使用要求；</w:t>
      </w:r>
    </w:p>
    <w:p w14:paraId="1F224B5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38.14 投标文件附有采购人不能接受的条款；</w:t>
      </w:r>
    </w:p>
    <w:p w14:paraId="173E04E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38.15 投标文件中提供了赠品或者与本项目采购无关的其他商品、服务；</w:t>
      </w:r>
    </w:p>
    <w:p w14:paraId="7B52D41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38.16 投标文件中承诺的投标有效期少于招标文件中载明的投标有效期；</w:t>
      </w:r>
    </w:p>
    <w:p w14:paraId="72C3D5C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38.17投标人串通投标，妨碍其他投标人的竞争行为，损害采购人或者其他投标人的合法权益；</w:t>
      </w:r>
    </w:p>
    <w:p w14:paraId="068165C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38.18违反国家及政府部门相关法律、法规、文件规定或经评标委员会认定的其他属于重大偏离；</w:t>
      </w:r>
    </w:p>
    <w:p w14:paraId="19F1C6B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39．废标</w:t>
      </w:r>
    </w:p>
    <w:p w14:paraId="2183A3F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39.1 符合招标文件规定废标情形的；</w:t>
      </w:r>
    </w:p>
    <w:p w14:paraId="6C089C6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39.2 出现影响采购公正的违法、违规行为的；</w:t>
      </w:r>
    </w:p>
    <w:p w14:paraId="2A19C0A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39.3 供应商的报价均超过了采购预算（或最高限价），采购人不能支付的;</w:t>
      </w:r>
    </w:p>
    <w:p w14:paraId="210323E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39.4 因重大变故，采购任务取消的。</w:t>
      </w:r>
    </w:p>
    <w:p w14:paraId="6F226CA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40．突发情况处理</w:t>
      </w:r>
    </w:p>
    <w:p w14:paraId="27321B9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40.1 采购过程中出现以下情形，导致电子交易平台无法正常运行，或者无法保证电子交易的公平、公正和安全时，采购组织机构可中止电子交易活动：</w:t>
      </w:r>
    </w:p>
    <w:p w14:paraId="31B905F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（1）电子交易平台发生故障而无法登录访问的； </w:t>
      </w:r>
    </w:p>
    <w:p w14:paraId="7B7067D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（2）电子交易平台应用或数据库出现错误，不能进行正常操作的；</w:t>
      </w:r>
    </w:p>
    <w:p w14:paraId="2B92CC0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（3）电子交易平台发现严重安全漏洞，有潜在泄密危险的；</w:t>
      </w:r>
    </w:p>
    <w:p w14:paraId="0FF8208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（4）病毒发作导致不能进行正常操作的； </w:t>
      </w:r>
    </w:p>
    <w:p w14:paraId="4A181CC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（5）其他无法保证电子交易的公平、公正和安全的情况。</w:t>
      </w:r>
    </w:p>
    <w:p w14:paraId="08F7891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4D10C8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40.2 采购代理机构或评审小组因不可抗力（不可抗力包括但不限于自然灾害、断电、传播疫病等）原因造成电子交易活动无法正常运行的，将采取以下措施：</w:t>
      </w:r>
    </w:p>
    <w:p w14:paraId="088A145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588F467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513BF592">
      <w:pPr>
        <w:shd w:val="clear" w:color="auto" w:fill="auto"/>
        <w:snapToGrid w:val="0"/>
        <w:spacing w:line="360" w:lineRule="exact"/>
        <w:ind w:firstLine="42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41</w:t>
      </w:r>
      <w:r>
        <w:rPr>
          <w:rFonts w:hint="eastAsia" w:ascii="仿宋" w:hAnsi="仿宋" w:eastAsia="仿宋" w:cs="仿宋"/>
          <w:b/>
          <w:color w:val="auto"/>
          <w:sz w:val="24"/>
          <w:szCs w:val="24"/>
          <w:highlight w:val="none"/>
        </w:rPr>
        <w:t>. 定标</w:t>
      </w:r>
    </w:p>
    <w:p w14:paraId="75BA3A4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bookmarkStart w:id="33" w:name="_Toc469495729"/>
      <w:r>
        <w:rPr>
          <w:rFonts w:hint="eastAsia" w:ascii="仿宋" w:hAnsi="仿宋" w:eastAsia="仿宋" w:cs="仿宋"/>
          <w:b w:val="0"/>
          <w:bCs w:val="0"/>
          <w:color w:val="auto"/>
          <w:sz w:val="24"/>
          <w:szCs w:val="24"/>
          <w:highlight w:val="none"/>
          <w:lang w:val="en-US" w:eastAsia="zh-CN"/>
        </w:rPr>
        <w:t>41.1采购结果确认（确定中标供应商）</w:t>
      </w:r>
    </w:p>
    <w:p w14:paraId="2B5951A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采购结果确认（确定中标供应商）：本项目由采购人根据评标委员会提交的《评审报告》，通过“政府采购云平台”依法确认采购结果、确定中标供应商。具体流程如下：</w:t>
      </w:r>
    </w:p>
    <w:p w14:paraId="31CEA35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（1）采购代理机构将在评审结束后2个工作日内将评审报告送采购人。</w:t>
      </w:r>
    </w:p>
    <w:p w14:paraId="6525E40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0D679795">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41.2采购结果经采购人确认后2个工作日内，采购代理机构将在</w:t>
      </w:r>
      <w:r>
        <w:rPr>
          <w:rFonts w:hint="eastAsia" w:ascii="仿宋" w:hAnsi="仿宋" w:eastAsia="仿宋" w:cs="仿宋"/>
          <w:b/>
          <w:bCs/>
          <w:color w:val="auto"/>
          <w:sz w:val="24"/>
          <w:szCs w:val="24"/>
          <w:highlight w:val="none"/>
          <w:lang w:val="en-US" w:eastAsia="zh-CN"/>
        </w:rPr>
        <w:t>克州公共资源交易中心网、新疆政府采购网（www.zjzfcg.gov.cn）上公告采购结果，中标公告期限为1个工作日。</w:t>
      </w:r>
    </w:p>
    <w:p w14:paraId="38FE7CB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 中标通知书</w:t>
      </w:r>
    </w:p>
    <w:p w14:paraId="63A15CC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val="en-US" w:eastAsia="zh-CN"/>
        </w:rPr>
        <w:t>克州公共资源交易中心网、</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采购组织机构向中标人发出中标通知书。</w:t>
      </w:r>
    </w:p>
    <w:p w14:paraId="61D170B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BF78E92">
      <w:pPr>
        <w:shd w:val="clear" w:color="auto" w:fill="auto"/>
        <w:spacing w:before="156" w:beforeLines="50"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（六）合同的授予</w:t>
      </w:r>
      <w:bookmarkEnd w:id="33"/>
    </w:p>
    <w:p w14:paraId="7B188ED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34" w:name="_Toc73975842"/>
      <w:bookmarkStart w:id="35" w:name="_Toc469495730"/>
      <w:r>
        <w:rPr>
          <w:rFonts w:hint="eastAsia" w:ascii="仿宋" w:hAnsi="仿宋" w:eastAsia="仿宋" w:cs="仿宋"/>
          <w:b w:val="0"/>
          <w:bCs w:val="0"/>
          <w:color w:val="auto"/>
          <w:sz w:val="24"/>
          <w:szCs w:val="24"/>
          <w:highlight w:val="none"/>
          <w:lang w:val="en-US" w:eastAsia="zh-CN"/>
        </w:rPr>
        <w:t>43．履约保证金</w:t>
      </w:r>
      <w:bookmarkEnd w:id="34"/>
    </w:p>
    <w:p w14:paraId="6A65A71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43.1 中标人应在领取《中标通知书》后的十个日历日内，办理履约保证金，金额为不超过合同总价的10%，否则招标人可取消中标人的中标资格。（鼓励以银行、保险公司出具的履约保函形式提交；若以电汇、银行转账方式提交的，必须转到采购人的指定账户）。</w:t>
      </w:r>
    </w:p>
    <w:p w14:paraId="2B81385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43.2 签订合同后，如中标供应商不按合同约定履约的，履约保证金不予退还，履约保证金不足以赔偿损失的，按实际损失赔偿。</w:t>
      </w:r>
    </w:p>
    <w:p w14:paraId="69BD9CA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43.3 如果中标供应商在建设期内没有涉及采购人的应付而未付金额或违约行为，采购人在项目验收合格后或提前终止合同后全额无息退还履约保证金。</w:t>
      </w:r>
    </w:p>
    <w:p w14:paraId="5274906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36" w:name="_Toc73975843"/>
      <w:r>
        <w:rPr>
          <w:rFonts w:hint="eastAsia" w:ascii="仿宋" w:hAnsi="仿宋" w:eastAsia="仿宋" w:cs="仿宋"/>
          <w:b w:val="0"/>
          <w:bCs w:val="0"/>
          <w:color w:val="auto"/>
          <w:sz w:val="24"/>
          <w:szCs w:val="24"/>
          <w:highlight w:val="none"/>
          <w:lang w:val="en-US" w:eastAsia="zh-CN"/>
        </w:rPr>
        <w:t>44．签订合同及公告</w:t>
      </w:r>
      <w:bookmarkEnd w:id="36"/>
    </w:p>
    <w:p w14:paraId="34BB171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44.1采购人在中标通知书发出之日起30日内与中标供应商签订合同。</w:t>
      </w:r>
    </w:p>
    <w:p w14:paraId="34C40E4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44.2中标供应商拖延、拒签合同的,取消中标资格。</w:t>
      </w:r>
    </w:p>
    <w:p w14:paraId="118FB29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14:paraId="2DBEF48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44.4采购人应当自政府采购合同签订之日起2个工作日内，在省级以上财政部门指定的政府采购信息发布媒体及相关网站上公告。</w:t>
      </w:r>
    </w:p>
    <w:p w14:paraId="6B500F7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44.5采购人应当自政府采购合同签订之日起7个工作日内，将政府采购合同副本报同级人民政府财政部门备案以及采购代理机构存档。</w:t>
      </w:r>
    </w:p>
    <w:p w14:paraId="16FB820A">
      <w:pPr>
        <w:shd w:val="clear" w:color="auto" w:fill="auto"/>
        <w:adjustRightInd w:val="0"/>
        <w:snapToGrid w:val="0"/>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（七）纪律和监督</w:t>
      </w:r>
      <w:bookmarkEnd w:id="35"/>
    </w:p>
    <w:p w14:paraId="2E469ACD">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45</w:t>
      </w:r>
      <w:r>
        <w:rPr>
          <w:rFonts w:hint="eastAsia" w:ascii="仿宋" w:hAnsi="仿宋" w:eastAsia="仿宋" w:cs="仿宋"/>
          <w:b/>
          <w:color w:val="auto"/>
          <w:sz w:val="24"/>
          <w:szCs w:val="24"/>
          <w:highlight w:val="none"/>
        </w:rPr>
        <w:t xml:space="preserve">. 对招标人的纪律要求 </w:t>
      </w:r>
    </w:p>
    <w:p w14:paraId="07CB5C51">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45</w:t>
      </w:r>
      <w:r>
        <w:rPr>
          <w:rFonts w:hint="eastAsia" w:ascii="仿宋" w:hAnsi="仿宋" w:eastAsia="仿宋" w:cs="仿宋"/>
          <w:color w:val="auto"/>
          <w:kern w:val="10"/>
          <w:sz w:val="24"/>
          <w:szCs w:val="24"/>
          <w:highlight w:val="none"/>
        </w:rPr>
        <w:t xml:space="preserve">.1招标人不得泄漏招标投标活动中应当保密的情况和资料，不得与投标人串通损害国家利益，社会公共利益或者他人合法权益。 </w:t>
      </w:r>
    </w:p>
    <w:p w14:paraId="5FA3A4C3">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46</w:t>
      </w:r>
      <w:r>
        <w:rPr>
          <w:rFonts w:hint="eastAsia" w:ascii="仿宋" w:hAnsi="仿宋" w:eastAsia="仿宋" w:cs="仿宋"/>
          <w:b/>
          <w:color w:val="auto"/>
          <w:sz w:val="24"/>
          <w:szCs w:val="24"/>
          <w:highlight w:val="none"/>
        </w:rPr>
        <w:t xml:space="preserve">. 对投标人的纪律要求 </w:t>
      </w:r>
    </w:p>
    <w:p w14:paraId="72ABF511">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46</w:t>
      </w:r>
      <w:r>
        <w:rPr>
          <w:rFonts w:hint="eastAsia" w:ascii="仿宋" w:hAnsi="仿宋" w:eastAsia="仿宋" w:cs="仿宋"/>
          <w:color w:val="auto"/>
          <w:kern w:val="10"/>
          <w:sz w:val="24"/>
          <w:szCs w:val="24"/>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525036FA">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47</w:t>
      </w:r>
      <w:r>
        <w:rPr>
          <w:rFonts w:hint="eastAsia" w:ascii="仿宋" w:hAnsi="仿宋" w:eastAsia="仿宋" w:cs="仿宋"/>
          <w:b/>
          <w:color w:val="auto"/>
          <w:sz w:val="24"/>
          <w:szCs w:val="24"/>
          <w:highlight w:val="none"/>
        </w:rPr>
        <w:t xml:space="preserve">. 对评标委员会成员的纪律要求 </w:t>
      </w:r>
    </w:p>
    <w:p w14:paraId="2D394C9E">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.1评标委员会成员不得收受他人的财物或者其他好处，不得向他人透漏对投标文件的评审和比较、中标候选人的推荐情况以及评标有关的其他情况。</w:t>
      </w:r>
    </w:p>
    <w:p w14:paraId="2A332BCE">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 xml:space="preserve">.2在评标活动中，评标委员会成员不得擅离职守，影响评标程序正常进行，不得使用第三章“评标办法”没有规定的评审因素和标准进行评标。 </w:t>
      </w:r>
    </w:p>
    <w:p w14:paraId="3EE0CA4D">
      <w:pPr>
        <w:shd w:val="clear" w:color="auto" w:fill="auto"/>
        <w:spacing w:line="440" w:lineRule="exact"/>
        <w:ind w:firstLine="354"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48</w:t>
      </w:r>
      <w:r>
        <w:rPr>
          <w:rFonts w:hint="eastAsia" w:ascii="仿宋" w:hAnsi="仿宋" w:eastAsia="仿宋" w:cs="仿宋"/>
          <w:b/>
          <w:color w:val="auto"/>
          <w:sz w:val="24"/>
          <w:szCs w:val="24"/>
          <w:highlight w:val="none"/>
        </w:rPr>
        <w:t xml:space="preserve">. 对与评标活动有关的工作人员的纪律要求 </w:t>
      </w:r>
    </w:p>
    <w:p w14:paraId="0DF4AF3F">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4</w:t>
      </w:r>
      <w:r>
        <w:rPr>
          <w:rFonts w:hint="eastAsia" w:ascii="仿宋" w:hAnsi="仿宋" w:eastAsia="仿宋" w:cs="仿宋"/>
          <w:color w:val="auto"/>
          <w:kern w:val="10"/>
          <w:sz w:val="24"/>
          <w:szCs w:val="24"/>
          <w:highlight w:val="none"/>
          <w:lang w:val="en-US" w:eastAsia="zh-CN"/>
        </w:rPr>
        <w:t>8</w:t>
      </w:r>
      <w:r>
        <w:rPr>
          <w:rFonts w:hint="eastAsia" w:ascii="仿宋" w:hAnsi="仿宋" w:eastAsia="仿宋" w:cs="仿宋"/>
          <w:color w:val="auto"/>
          <w:kern w:val="10"/>
          <w:sz w:val="24"/>
          <w:szCs w:val="24"/>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C38F242">
      <w:pPr>
        <w:shd w:val="clear" w:color="auto" w:fill="auto"/>
        <w:spacing w:before="156" w:beforeLines="50" w:after="156" w:afterLines="50" w:line="500" w:lineRule="exact"/>
        <w:ind w:firstLine="720" w:firstLineChars="3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（八）质疑与投诉</w:t>
      </w:r>
    </w:p>
    <w:p w14:paraId="232AAE9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49．质疑和投诉</w:t>
      </w:r>
    </w:p>
    <w:p w14:paraId="3A17515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2769CC1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（一）对可以质疑的采购文件提出质疑的，为收到采购文件之日或者采购文件公告期限届满之日；</w:t>
      </w:r>
    </w:p>
    <w:p w14:paraId="527456E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（二）对采购过程提出质疑的，为各采购程序环节结束之日；</w:t>
      </w:r>
    </w:p>
    <w:p w14:paraId="2C9D0D3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（三）对中标或者成交结果提出质疑的，为中标或者成交结果公告期限届满之日。</w:t>
      </w:r>
    </w:p>
    <w:p w14:paraId="2C421EE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09EB9A6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供应商为自然人的，应当由本人签字；供应商为法人或者其他组织的，应当由法定代表人、主要负责人，或者其授权代表签字或者盖章，并加盖公章。</w:t>
      </w:r>
    </w:p>
    <w:p w14:paraId="38FCF17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14:paraId="0835A8E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14:paraId="241294E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49.5供应商有下列情形之一的，采购代理机构将上报阿图什市财政局，将其列入不良行为记录名单：</w:t>
      </w:r>
    </w:p>
    <w:p w14:paraId="40B5438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（一）一年内三次以上质疑均查无实据的；</w:t>
      </w:r>
    </w:p>
    <w:p w14:paraId="5FC2B42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（二）捏造事实或者提供虚假质疑材料的。</w:t>
      </w:r>
    </w:p>
    <w:p w14:paraId="7B25F5D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（三）以非法手段取得证明材料。证据来源的合法性存在明显疑问，质疑人无法证明其取得方式合法的，视为以非法手段取得证明材料。</w:t>
      </w:r>
    </w:p>
    <w:p w14:paraId="7234F896">
      <w:pPr>
        <w:shd w:val="clear" w:color="auto" w:fill="auto"/>
        <w:spacing w:line="360" w:lineRule="exact"/>
        <w:jc w:val="center"/>
        <w:outlineLvl w:val="9"/>
        <w:rPr>
          <w:rFonts w:hint="eastAsia" w:ascii="仿宋" w:hAnsi="仿宋" w:eastAsia="仿宋" w:cs="仿宋"/>
          <w:color w:val="auto"/>
          <w:sz w:val="24"/>
          <w:szCs w:val="24"/>
          <w:highlight w:val="none"/>
        </w:rPr>
      </w:pPr>
    </w:p>
    <w:p w14:paraId="42A8A344">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78486C42">
      <w:pPr>
        <w:shd w:val="clear" w:color="auto" w:fill="auto"/>
        <w:jc w:val="left"/>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附件：</w:t>
      </w:r>
    </w:p>
    <w:p w14:paraId="23376DB1">
      <w:pPr>
        <w:shd w:val="clear" w:color="auto" w:fill="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政府采购投诉书（范本）、质疑函范本</w:t>
      </w:r>
    </w:p>
    <w:p w14:paraId="250B92A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政府采购投诉书（范本）</w:t>
      </w:r>
    </w:p>
    <w:p w14:paraId="21D4CA2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42E3A3E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65F2AD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7F40869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0B7708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1E10495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电话：</w:t>
      </w:r>
      <w:r>
        <w:rPr>
          <w:rFonts w:hint="eastAsia" w:ascii="仿宋" w:hAnsi="仿宋" w:eastAsia="仿宋" w:cs="仿宋"/>
          <w:color w:val="auto"/>
          <w:sz w:val="24"/>
          <w:szCs w:val="24"/>
          <w:highlight w:val="none"/>
          <w:u w:val="single"/>
        </w:rPr>
        <w:t xml:space="preserve">               </w:t>
      </w:r>
    </w:p>
    <w:p w14:paraId="5A574EA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p>
    <w:p w14:paraId="1A1B4D0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我公司参加了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日被投诉人组织的</w:t>
      </w:r>
      <w:r>
        <w:rPr>
          <w:rFonts w:hint="eastAsia" w:ascii="仿宋" w:hAnsi="仿宋" w:eastAsia="仿宋" w:cs="仿宋"/>
          <w:color w:val="auto"/>
          <w:sz w:val="24"/>
          <w:szCs w:val="24"/>
          <w:highlight w:val="none"/>
          <w:u w:val="single"/>
        </w:rPr>
        <w:t>（采购人）（项目名称）（项目编号）</w:t>
      </w:r>
      <w:r>
        <w:rPr>
          <w:rFonts w:hint="eastAsia" w:ascii="仿宋" w:hAnsi="仿宋" w:eastAsia="仿宋" w:cs="仿宋"/>
          <w:color w:val="auto"/>
          <w:sz w:val="24"/>
          <w:szCs w:val="24"/>
          <w:highlight w:val="none"/>
        </w:rPr>
        <w:t>的采购活动，我公司认为该项目的</w:t>
      </w:r>
      <w:r>
        <w:rPr>
          <w:rFonts w:hint="eastAsia" w:ascii="仿宋" w:hAnsi="仿宋" w:eastAsia="仿宋" w:cs="仿宋"/>
          <w:color w:val="auto"/>
          <w:sz w:val="24"/>
          <w:szCs w:val="24"/>
          <w:highlight w:val="none"/>
          <w:u w:val="single"/>
        </w:rPr>
        <w:t>（采购文件/采购过程/中标（</w:t>
      </w:r>
      <w:r>
        <w:rPr>
          <w:rFonts w:hint="eastAsia" w:ascii="仿宋" w:hAnsi="仿宋" w:eastAsia="仿宋" w:cs="仿宋"/>
          <w:color w:val="auto"/>
          <w:sz w:val="24"/>
          <w:szCs w:val="24"/>
          <w:highlight w:val="none"/>
          <w:u w:val="single"/>
          <w:lang w:eastAsia="zh-CN"/>
        </w:rPr>
        <w:t>中标</w:t>
      </w:r>
      <w:r>
        <w:rPr>
          <w:rFonts w:hint="eastAsia" w:ascii="仿宋" w:hAnsi="仿宋" w:eastAsia="仿宋" w:cs="仿宋"/>
          <w:color w:val="auto"/>
          <w:sz w:val="24"/>
          <w:szCs w:val="24"/>
          <w:highlight w:val="none"/>
          <w:u w:val="single"/>
        </w:rPr>
        <w:t>）结果）</w:t>
      </w:r>
      <w:r>
        <w:rPr>
          <w:rFonts w:hint="eastAsia" w:ascii="仿宋" w:hAnsi="仿宋" w:eastAsia="仿宋" w:cs="仿宋"/>
          <w:color w:val="auto"/>
          <w:sz w:val="24"/>
          <w:szCs w:val="24"/>
          <w:highlight w:val="none"/>
        </w:rPr>
        <w:t>损害了我公司权益，对此，我公司于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（采购人或者政府采购代理机构）</w:t>
      </w:r>
      <w:r>
        <w:rPr>
          <w:rFonts w:hint="eastAsia" w:ascii="仿宋" w:hAnsi="仿宋" w:eastAsia="仿宋" w:cs="仿宋"/>
          <w:color w:val="auto"/>
          <w:sz w:val="24"/>
          <w:szCs w:val="24"/>
          <w:highlight w:val="none"/>
        </w:rPr>
        <w:t>提出了质疑，</w:t>
      </w:r>
      <w:r>
        <w:rPr>
          <w:rFonts w:hint="eastAsia" w:ascii="仿宋" w:hAnsi="仿宋" w:eastAsia="仿宋" w:cs="仿宋"/>
          <w:color w:val="auto"/>
          <w:sz w:val="24"/>
          <w:szCs w:val="24"/>
          <w:highlight w:val="none"/>
          <w:u w:val="single"/>
        </w:rPr>
        <w:t>（其于    年  月  日作出书面答复，因对其作出的答复不满意）/（被质疑人未在法定期内予以答复，按照政府采购有关规定）</w:t>
      </w:r>
      <w:r>
        <w:rPr>
          <w:rFonts w:hint="eastAsia" w:ascii="仿宋" w:hAnsi="仿宋" w:eastAsia="仿宋" w:cs="仿宋"/>
          <w:color w:val="auto"/>
          <w:sz w:val="24"/>
          <w:szCs w:val="24"/>
          <w:highlight w:val="none"/>
        </w:rPr>
        <w:t>，现向贵机关提起投诉：</w:t>
      </w:r>
    </w:p>
    <w:p w14:paraId="38DABB7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具体的投诉事项及事实依据；</w:t>
      </w:r>
    </w:p>
    <w:p w14:paraId="58771C7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质疑和质疑答复情况简要描述；</w:t>
      </w:r>
    </w:p>
    <w:p w14:paraId="1A8868E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投诉请求。</w:t>
      </w:r>
    </w:p>
    <w:p w14:paraId="5FE7973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p>
    <w:p w14:paraId="39A6685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1.质疑书和质疑答复书；</w:t>
      </w:r>
    </w:p>
    <w:p w14:paraId="58BE17F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2.证据材料（需注明证据来源），证人的姓名、住址和联系方式等；</w:t>
      </w:r>
    </w:p>
    <w:p w14:paraId="67EDEA9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3.营业执照；</w:t>
      </w:r>
    </w:p>
    <w:p w14:paraId="12A767B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4.法定代表人身份证明函</w:t>
      </w:r>
    </w:p>
    <w:p w14:paraId="491435B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5.法定代表人授权委托书（包含法定代表人和委托代理人的身份证复印件）；</w:t>
      </w:r>
    </w:p>
    <w:p w14:paraId="373F408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6.政府采购监管部门认为应当提供的其它材料。</w:t>
      </w:r>
    </w:p>
    <w:p w14:paraId="3F691CF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投诉供应商：（盖章）</w:t>
      </w:r>
    </w:p>
    <w:p w14:paraId="602433D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法定代表人（或主要负责人）：（签字）</w:t>
      </w:r>
    </w:p>
    <w:p w14:paraId="010004C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31B432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14:paraId="531AA3C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本投诉书正本叁份，副本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份并附电子文档。</w:t>
      </w:r>
    </w:p>
    <w:p w14:paraId="29FFBB1F">
      <w:pPr>
        <w:shd w:val="clear" w:color="auto" w:fill="auto"/>
        <w:ind w:left="7951" w:hanging="4337" w:hangingChars="1800"/>
        <w:jc w:val="center"/>
        <w:outlineLvl w:val="9"/>
        <w:rPr>
          <w:rFonts w:hint="eastAsia" w:ascii="仿宋" w:hAnsi="仿宋" w:eastAsia="仿宋" w:cs="仿宋"/>
          <w:b/>
          <w:bCs/>
          <w:color w:val="auto"/>
          <w:sz w:val="24"/>
          <w:szCs w:val="24"/>
          <w:highlight w:val="none"/>
        </w:rPr>
      </w:pPr>
    </w:p>
    <w:p w14:paraId="16DA78C2">
      <w:pPr>
        <w:shd w:val="clear" w:color="auto" w:fill="auto"/>
        <w:jc w:val="both"/>
        <w:outlineLvl w:val="9"/>
        <w:rPr>
          <w:rFonts w:hint="eastAsia" w:ascii="仿宋" w:hAnsi="仿宋" w:eastAsia="仿宋" w:cs="仿宋"/>
          <w:b/>
          <w:bCs/>
          <w:color w:val="auto"/>
          <w:sz w:val="24"/>
          <w:szCs w:val="24"/>
          <w:highlight w:val="none"/>
        </w:rPr>
      </w:pPr>
      <w:bookmarkStart w:id="37" w:name="_Toc17515"/>
    </w:p>
    <w:p w14:paraId="2BF27485">
      <w:pPr>
        <w:pStyle w:val="10"/>
        <w:outlineLvl w:val="9"/>
        <w:rPr>
          <w:rFonts w:hint="eastAsia" w:ascii="仿宋" w:hAnsi="仿宋" w:eastAsia="仿宋" w:cs="仿宋"/>
          <w:b/>
          <w:bCs/>
          <w:color w:val="auto"/>
          <w:sz w:val="24"/>
          <w:szCs w:val="24"/>
          <w:highlight w:val="none"/>
        </w:rPr>
      </w:pPr>
    </w:p>
    <w:p w14:paraId="5D374BD4">
      <w:pPr>
        <w:outlineLvl w:val="9"/>
        <w:rPr>
          <w:rFonts w:hint="eastAsia" w:ascii="仿宋" w:hAnsi="仿宋" w:eastAsia="仿宋" w:cs="仿宋"/>
          <w:b/>
          <w:bCs/>
          <w:color w:val="auto"/>
          <w:sz w:val="24"/>
          <w:szCs w:val="24"/>
          <w:highlight w:val="none"/>
        </w:rPr>
      </w:pPr>
    </w:p>
    <w:p w14:paraId="32B3E316">
      <w:pPr>
        <w:rPr>
          <w:rFonts w:hint="eastAsia"/>
        </w:rPr>
      </w:pPr>
      <w:r>
        <w:rPr>
          <w:rFonts w:hint="eastAsia"/>
        </w:rPr>
        <w:br w:type="page"/>
      </w:r>
    </w:p>
    <w:p w14:paraId="7E366F9F">
      <w:pPr>
        <w:shd w:val="clear" w:color="auto" w:fill="auto"/>
        <w:ind w:left="7951" w:hanging="4337" w:hangingChars="1800"/>
        <w:jc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投诉相关说明</w:t>
      </w:r>
      <w:bookmarkEnd w:id="37"/>
    </w:p>
    <w:p w14:paraId="611DAEC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投诉人应当满足《政府采购法》、《政府采购法实施条例》和《政府采购供应商投诉处理办法》的相关规定。</w:t>
      </w:r>
    </w:p>
    <w:p w14:paraId="2369F5DF">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493" w:leftChars="304" w:hanging="3855" w:hangingChars="1600"/>
        <w:textAlignment w:val="auto"/>
        <w:outlineLvl w:val="9"/>
        <w:rPr>
          <w:rFonts w:hint="eastAsia" w:ascii="仿宋" w:hAnsi="仿宋" w:eastAsia="仿宋" w:cs="仿宋"/>
          <w:b/>
          <w:bCs/>
          <w:color w:val="auto"/>
          <w:sz w:val="24"/>
          <w:szCs w:val="24"/>
          <w:highlight w:val="none"/>
        </w:rPr>
      </w:pPr>
      <w:bookmarkStart w:id="38" w:name="_Toc11499"/>
      <w:r>
        <w:rPr>
          <w:rFonts w:hint="eastAsia" w:ascii="仿宋" w:hAnsi="仿宋" w:eastAsia="仿宋" w:cs="仿宋"/>
          <w:b/>
          <w:bCs/>
          <w:color w:val="auto"/>
          <w:sz w:val="24"/>
          <w:szCs w:val="24"/>
          <w:highlight w:val="none"/>
        </w:rPr>
        <w:t>质疑前置及时间要求</w:t>
      </w:r>
      <w:bookmarkEnd w:id="38"/>
    </w:p>
    <w:p w14:paraId="08DB9B6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79FD8CA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第五十二条：供应商认为采购文件、采购过程和中标、</w:t>
      </w:r>
      <w:r>
        <w:rPr>
          <w:rFonts w:hint="eastAsia" w:ascii="仿宋" w:hAnsi="仿宋" w:eastAsia="仿宋" w:cs="仿宋"/>
          <w:color w:val="auto"/>
          <w:kern w:val="0"/>
          <w:sz w:val="24"/>
          <w:szCs w:val="24"/>
          <w:highlight w:val="none"/>
          <w:shd w:val="clear" w:color="auto" w:fill="FFFFFF"/>
          <w:lang w:eastAsia="zh-CN"/>
        </w:rPr>
        <w:t>中标</w:t>
      </w:r>
      <w:r>
        <w:rPr>
          <w:rFonts w:hint="eastAsia" w:ascii="仿宋" w:hAnsi="仿宋" w:eastAsia="仿宋" w:cs="仿宋"/>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14:paraId="4BACF1F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880838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7DBB9E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14:paraId="3A7AB9D2">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39" w:name="_Toc13508"/>
      <w:r>
        <w:rPr>
          <w:rFonts w:hint="eastAsia" w:ascii="仿宋" w:hAnsi="仿宋" w:eastAsia="仿宋" w:cs="仿宋"/>
          <w:b/>
          <w:bCs/>
          <w:color w:val="auto"/>
          <w:sz w:val="24"/>
          <w:szCs w:val="24"/>
          <w:highlight w:val="none"/>
        </w:rPr>
        <w:t>二、书面方式</w:t>
      </w:r>
      <w:bookmarkEnd w:id="39"/>
    </w:p>
    <w:p w14:paraId="79E60320">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《政府采购供应商投诉处理办法》第八条：投诉人投诉时，应当提交投诉书，并按照被投诉人以及与投诉事项有关的供应商数量提供投诉书的副本。</w:t>
      </w:r>
    </w:p>
    <w:p w14:paraId="215B4500">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投诉书应当包括下列主要内容：</w:t>
      </w:r>
    </w:p>
    <w:p w14:paraId="01305972">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投诉人和被投诉人的名称、地址、电话等；</w:t>
      </w:r>
    </w:p>
    <w:p w14:paraId="1BE2E7F8">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具体的投诉事项及事实依据；</w:t>
      </w:r>
    </w:p>
    <w:p w14:paraId="269A94D4">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质疑和质疑答复情况及相关证明材料；</w:t>
      </w:r>
    </w:p>
    <w:p w14:paraId="3743E707">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提起投诉的日期。</w:t>
      </w:r>
    </w:p>
    <w:p w14:paraId="4E96D79E">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投诉书应当署名。投诉人为自然人，应当由本人签字；投诉人为法人或者其他组织的，应当由法定代表人或者主要负责人签字并加盖公章。</w:t>
      </w:r>
    </w:p>
    <w:p w14:paraId="3E7C4D94">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02625D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《政府采购供应商投诉处理办法》第十条：投诉人提起投诉应当符合下列条件：</w:t>
      </w:r>
    </w:p>
    <w:p w14:paraId="7AEFCD3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投诉人是参与所投诉政府采购活动的供应商；</w:t>
      </w:r>
    </w:p>
    <w:p w14:paraId="11749B09">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提起投诉诉前已依法进行质疑；</w:t>
      </w:r>
    </w:p>
    <w:p w14:paraId="44D616D6">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投诉书内容符合本办法的规定；</w:t>
      </w:r>
    </w:p>
    <w:p w14:paraId="7139557E">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在投诉有效期内提起投诉；</w:t>
      </w:r>
    </w:p>
    <w:p w14:paraId="75DC406D">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属于本级财政部门管辖；</w:t>
      </w:r>
    </w:p>
    <w:p w14:paraId="7DDE3241">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同一投诉事项未经财政部门投诉处理；</w:t>
      </w:r>
    </w:p>
    <w:p w14:paraId="383B3467">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国务院财政部门规定的其他条件。</w:t>
      </w:r>
    </w:p>
    <w:p w14:paraId="570E3157">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5D194C6">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40" w:name="_Toc5978"/>
      <w:r>
        <w:rPr>
          <w:rFonts w:hint="eastAsia" w:ascii="仿宋" w:hAnsi="仿宋" w:eastAsia="仿宋" w:cs="仿宋"/>
          <w:b/>
          <w:bCs/>
          <w:color w:val="auto"/>
          <w:sz w:val="24"/>
          <w:szCs w:val="24"/>
          <w:highlight w:val="none"/>
        </w:rPr>
        <w:t>三、虚假、恶意投诉法律责任</w:t>
      </w:r>
      <w:bookmarkEnd w:id="40"/>
    </w:p>
    <w:p w14:paraId="3B96630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第七十三条：供应商捏造实施、提供虚假材料或者以非法手段取得证明材料进行投诉的，由财政部门列入不良行为记录名单，禁止其1至3年内参加政府采购活动。</w:t>
      </w:r>
    </w:p>
    <w:p w14:paraId="068022E5">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《政府采购供应商投诉处理办法》第二十六条：投诉人有下列情形之一的，属于虚假、恶意投诉，财政部门应当驳回投诉，将其列入不良行为记录名单，并依法予以处罚：</w:t>
      </w:r>
    </w:p>
    <w:p w14:paraId="4C4A5499">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（一）1年内3次以上投诉均查无实据的；</w:t>
      </w:r>
    </w:p>
    <w:p w14:paraId="00141D44">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（二）捏造事实或者提供虚假投诉材料的。</w:t>
      </w:r>
    </w:p>
    <w:p w14:paraId="3779EE18">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14:paraId="7D11DA20">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14:paraId="42DA3872">
      <w:pPr>
        <w:shd w:val="clear" w:color="auto" w:fill="auto"/>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递交投诉书地址：</w:t>
      </w:r>
      <w:r>
        <w:rPr>
          <w:rFonts w:hint="eastAsia" w:ascii="仿宋" w:hAnsi="仿宋" w:eastAsia="仿宋" w:cs="仿宋"/>
          <w:color w:val="auto"/>
          <w:sz w:val="24"/>
          <w:szCs w:val="24"/>
          <w:highlight w:val="none"/>
          <w:lang w:val="en-US" w:eastAsia="zh-CN"/>
        </w:rPr>
        <w:t>阿图什市财政局政府采购办</w:t>
      </w:r>
      <w:r>
        <w:rPr>
          <w:rFonts w:hint="eastAsia" w:ascii="仿宋" w:hAnsi="仿宋" w:eastAsia="仿宋" w:cs="仿宋"/>
          <w:color w:val="auto"/>
          <w:sz w:val="24"/>
          <w:szCs w:val="24"/>
          <w:highlight w:val="none"/>
        </w:rPr>
        <w:t>监管办公室</w:t>
      </w:r>
    </w:p>
    <w:p w14:paraId="5A6560D2">
      <w:pPr>
        <w:shd w:val="clear" w:color="auto" w:fill="auto"/>
        <w:jc w:val="right"/>
        <w:outlineLvl w:val="9"/>
        <w:rPr>
          <w:rFonts w:hint="eastAsia" w:ascii="仿宋" w:hAnsi="仿宋" w:eastAsia="仿宋" w:cs="仿宋"/>
          <w:color w:val="auto"/>
          <w:sz w:val="24"/>
          <w:szCs w:val="24"/>
          <w:highlight w:val="none"/>
        </w:rPr>
      </w:pPr>
    </w:p>
    <w:p w14:paraId="00D29BC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77AE354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3DD1607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3DFED09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p>
    <w:p w14:paraId="58E9BC82">
      <w:pPr>
        <w:rPr>
          <w:rFonts w:hint="eastAsia" w:ascii="仿宋" w:hAnsi="仿宋" w:eastAsia="仿宋" w:cs="仿宋"/>
          <w:b/>
          <w:bCs/>
          <w:color w:val="auto"/>
          <w:sz w:val="24"/>
          <w:szCs w:val="24"/>
          <w:highlight w:val="none"/>
        </w:rPr>
      </w:pPr>
      <w:bookmarkStart w:id="41" w:name="_Toc1697"/>
      <w:r>
        <w:rPr>
          <w:rFonts w:hint="eastAsia" w:ascii="仿宋" w:hAnsi="仿宋" w:eastAsia="仿宋" w:cs="仿宋"/>
          <w:b/>
          <w:bCs/>
          <w:color w:val="auto"/>
          <w:sz w:val="24"/>
          <w:szCs w:val="24"/>
          <w:highlight w:val="none"/>
        </w:rPr>
        <w:br w:type="page"/>
      </w:r>
    </w:p>
    <w:p w14:paraId="4392D13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质疑函范本</w:t>
      </w:r>
      <w:bookmarkEnd w:id="41"/>
    </w:p>
    <w:p w14:paraId="0C4B1BDB">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9"/>
        <w:rPr>
          <w:rFonts w:hint="eastAsia" w:ascii="仿宋" w:hAnsi="仿宋" w:eastAsia="仿宋" w:cs="仿宋"/>
          <w:bCs/>
          <w:color w:val="auto"/>
          <w:sz w:val="24"/>
          <w:szCs w:val="24"/>
          <w:highlight w:val="none"/>
        </w:rPr>
      </w:pPr>
      <w:bookmarkStart w:id="42" w:name="_Toc9061"/>
      <w:r>
        <w:rPr>
          <w:rFonts w:hint="eastAsia" w:ascii="仿宋" w:hAnsi="仿宋" w:eastAsia="仿宋" w:cs="仿宋"/>
          <w:bCs/>
          <w:color w:val="auto"/>
          <w:sz w:val="24"/>
          <w:szCs w:val="24"/>
          <w:highlight w:val="none"/>
        </w:rPr>
        <w:t>一、质疑供应商基本信息</w:t>
      </w:r>
      <w:bookmarkEnd w:id="42"/>
    </w:p>
    <w:p w14:paraId="1B0B2C0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26D7C04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1E01982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6E6F530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76B8CDF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4825F2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2754ED0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3" w:name="_Toc15938"/>
      <w:r>
        <w:rPr>
          <w:rFonts w:hint="eastAsia" w:ascii="仿宋" w:hAnsi="仿宋" w:eastAsia="仿宋" w:cs="仿宋"/>
          <w:bCs/>
          <w:color w:val="auto"/>
          <w:sz w:val="24"/>
          <w:szCs w:val="24"/>
          <w:highlight w:val="none"/>
        </w:rPr>
        <w:t>二、质疑项目基本情况</w:t>
      </w:r>
      <w:bookmarkEnd w:id="43"/>
    </w:p>
    <w:p w14:paraId="753DB3F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4ECE316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2EE1175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1C1EE36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286385D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4" w:name="_Toc18271"/>
      <w:r>
        <w:rPr>
          <w:rFonts w:hint="eastAsia" w:ascii="仿宋" w:hAnsi="仿宋" w:eastAsia="仿宋" w:cs="仿宋"/>
          <w:bCs/>
          <w:color w:val="auto"/>
          <w:sz w:val="24"/>
          <w:szCs w:val="24"/>
          <w:highlight w:val="none"/>
        </w:rPr>
        <w:t>三、质疑事项具体内容</w:t>
      </w:r>
      <w:bookmarkEnd w:id="44"/>
    </w:p>
    <w:p w14:paraId="3B1EE58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762BEA3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72F953D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2E91DF8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44E4D60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FE17A1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5" w:name="_Toc22365"/>
      <w:r>
        <w:rPr>
          <w:rFonts w:hint="eastAsia" w:ascii="仿宋" w:hAnsi="仿宋" w:eastAsia="仿宋" w:cs="仿宋"/>
          <w:bCs/>
          <w:color w:val="auto"/>
          <w:sz w:val="24"/>
          <w:szCs w:val="24"/>
          <w:highlight w:val="none"/>
        </w:rPr>
        <w:t>四、与质疑事项相关的质疑请求</w:t>
      </w:r>
      <w:bookmarkEnd w:id="45"/>
    </w:p>
    <w:p w14:paraId="0086DB1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3C500632">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46EB5B64">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日期：    </w:t>
      </w:r>
    </w:p>
    <w:p w14:paraId="61D6C763">
      <w:pPr>
        <w:keepNext w:val="0"/>
        <w:keepLines w:val="0"/>
        <w:pageBreakBefore w:val="0"/>
        <w:widowControl w:val="0"/>
        <w:shd w:val="clear" w:color="auto" w:fill="auto"/>
        <w:kinsoku/>
        <w:wordWrap/>
        <w:overflowPunct/>
        <w:topLinePunct w:val="0"/>
        <w:autoSpaceDE/>
        <w:autoSpaceDN/>
        <w:bidi w:val="0"/>
        <w:spacing w:line="540" w:lineRule="exact"/>
        <w:ind w:firstLine="482" w:firstLineChars="200"/>
        <w:textAlignment w:val="auto"/>
        <w:outlineLvl w:val="9"/>
        <w:rPr>
          <w:rFonts w:hint="eastAsia" w:ascii="仿宋" w:hAnsi="仿宋" w:eastAsia="仿宋" w:cs="仿宋"/>
          <w:b/>
          <w:bCs/>
          <w:color w:val="auto"/>
          <w:sz w:val="24"/>
          <w:szCs w:val="24"/>
          <w:highlight w:val="none"/>
        </w:rPr>
      </w:pPr>
    </w:p>
    <w:p w14:paraId="4F4761FA">
      <w:pPr>
        <w:pageBreakBefore/>
        <w:shd w:val="clear" w:color="auto" w:fill="auto"/>
        <w:spacing w:line="440" w:lineRule="exact"/>
        <w:jc w:val="center"/>
        <w:outlineLvl w:val="0"/>
        <w:rPr>
          <w:rFonts w:hint="eastAsia" w:ascii="仿宋" w:hAnsi="仿宋" w:eastAsia="仿宋" w:cs="仿宋"/>
          <w:b/>
          <w:bCs/>
          <w:color w:val="auto"/>
          <w:sz w:val="40"/>
          <w:szCs w:val="40"/>
          <w:highlight w:val="none"/>
        </w:rPr>
      </w:pPr>
      <w:bookmarkStart w:id="46" w:name="_Toc16733"/>
      <w:bookmarkStart w:id="47" w:name="_Toc12769"/>
      <w:bookmarkStart w:id="48" w:name="_Toc469495731"/>
      <w:bookmarkStart w:id="49" w:name="_Toc9350"/>
      <w:r>
        <w:rPr>
          <w:rFonts w:hint="eastAsia" w:ascii="仿宋" w:hAnsi="仿宋" w:eastAsia="仿宋" w:cs="仿宋"/>
          <w:b/>
          <w:bCs/>
          <w:color w:val="auto"/>
          <w:sz w:val="40"/>
          <w:szCs w:val="40"/>
          <w:highlight w:val="none"/>
        </w:rPr>
        <w:t>第三章 评标办法</w:t>
      </w:r>
      <w:bookmarkEnd w:id="46"/>
      <w:bookmarkEnd w:id="47"/>
      <w:bookmarkEnd w:id="48"/>
      <w:bookmarkEnd w:id="49"/>
    </w:p>
    <w:p w14:paraId="1A4A850D">
      <w:pPr>
        <w:shd w:val="clear" w:color="auto" w:fill="auto"/>
        <w:jc w:val="center"/>
        <w:outlineLvl w:val="9"/>
        <w:rPr>
          <w:rFonts w:hint="eastAsia" w:ascii="仿宋" w:hAnsi="仿宋" w:eastAsia="仿宋" w:cs="仿宋"/>
          <w:b/>
          <w:color w:val="auto"/>
          <w:sz w:val="24"/>
          <w:szCs w:val="24"/>
          <w:highlight w:val="none"/>
        </w:rPr>
      </w:pPr>
      <w:bookmarkStart w:id="50" w:name="_Toc469495733"/>
      <w:bookmarkStart w:id="51" w:name="_Toc362983802"/>
      <w:bookmarkStart w:id="52" w:name="_Toc267320058"/>
      <w:bookmarkStart w:id="53" w:name="_Toc363135205"/>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总  则</w:t>
      </w:r>
    </w:p>
    <w:p w14:paraId="3394AB5C">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1、一般规定</w:t>
      </w:r>
    </w:p>
    <w:p w14:paraId="7882F0AF">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1.1本项目的招标按照《中华人民共和国政府采购法》、《政府采购货物和服务招标投标管理办法》及政府采购的有关规定进行。</w:t>
      </w:r>
    </w:p>
    <w:p w14:paraId="68C67F40">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1.2评标必须遵循邀请、公平、公正、诚实信用的原则。</w:t>
      </w:r>
    </w:p>
    <w:p w14:paraId="1FC8D941">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1.3招标代理机构组织招标、开标、评标工作，全过程接受政府采购有关部门的监督、管理和指导。</w:t>
      </w:r>
    </w:p>
    <w:p w14:paraId="234E2EFE">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1.4评标按照招标文件规定的内容进行，采取符合招标文件要求的最低评标价法；</w:t>
      </w:r>
    </w:p>
    <w:p w14:paraId="63258A69">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1.5本办法的评标对象是指投标人按照招标文件要求提供的有效投标文件，包括投标人应评标委员会要求对原投标文件作出的正式书面澄清文件。</w:t>
      </w:r>
    </w:p>
    <w:p w14:paraId="13B3B6E7">
      <w:pPr>
        <w:numPr>
          <w:ilvl w:val="0"/>
          <w:numId w:val="8"/>
        </w:num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评标组织机构的组成</w:t>
      </w:r>
    </w:p>
    <w:p w14:paraId="4FF769FC">
      <w:pPr>
        <w:numPr>
          <w:ilvl w:val="0"/>
          <w:numId w:val="0"/>
        </w:numPr>
        <w:shd w:val="clear" w:color="auto" w:fill="auto"/>
        <w:tabs>
          <w:tab w:val="left" w:pos="567"/>
          <w:tab w:val="left" w:pos="1145"/>
        </w:tabs>
        <w:spacing w:line="440" w:lineRule="exact"/>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w:t>
      </w:r>
      <w:r>
        <w:rPr>
          <w:rFonts w:hint="eastAsia" w:ascii="仿宋" w:hAnsi="仿宋" w:eastAsia="仿宋" w:cs="仿宋"/>
          <w:color w:val="auto"/>
          <w:sz w:val="24"/>
          <w:szCs w:val="24"/>
          <w:highlight w:val="none"/>
        </w:rPr>
        <w:t>项目评标委员会由5人组成（其中专家4人，招标人代表1人）。</w:t>
      </w:r>
    </w:p>
    <w:p w14:paraId="287755C5">
      <w:pPr>
        <w:widowControl/>
        <w:shd w:val="clear" w:color="auto" w:fill="auto"/>
        <w:spacing w:line="440" w:lineRule="exact"/>
        <w:ind w:firstLine="480"/>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 w:val="24"/>
          <w:szCs w:val="24"/>
          <w:highlight w:val="none"/>
          <w:lang w:bidi="ar-SA"/>
        </w:rPr>
        <w:t>评标委员会由采购人代表和有关技术、经济等方面的专家组成，成员人数应当为5人</w:t>
      </w:r>
      <w:r>
        <w:rPr>
          <w:rFonts w:hint="eastAsia" w:ascii="仿宋" w:hAnsi="仿宋" w:eastAsia="仿宋" w:cs="仿宋"/>
          <w:color w:val="auto"/>
          <w:kern w:val="0"/>
          <w:sz w:val="24"/>
          <w:szCs w:val="24"/>
          <w:highlight w:val="none"/>
          <w:lang w:eastAsia="zh-CN" w:bidi="ar-SA"/>
        </w:rPr>
        <w:t>或</w:t>
      </w:r>
      <w:r>
        <w:rPr>
          <w:rFonts w:hint="eastAsia" w:ascii="仿宋" w:hAnsi="仿宋" w:eastAsia="仿宋" w:cs="仿宋"/>
          <w:color w:val="auto"/>
          <w:kern w:val="0"/>
          <w:sz w:val="24"/>
          <w:szCs w:val="24"/>
          <w:highlight w:val="none"/>
          <w:lang w:val="en-US" w:eastAsia="zh-CN" w:bidi="ar-SA"/>
        </w:rPr>
        <w:t>5人</w:t>
      </w:r>
      <w:r>
        <w:rPr>
          <w:rFonts w:hint="eastAsia" w:ascii="仿宋" w:hAnsi="仿宋" w:eastAsia="仿宋" w:cs="仿宋"/>
          <w:color w:val="auto"/>
          <w:kern w:val="0"/>
          <w:sz w:val="24"/>
          <w:szCs w:val="24"/>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1B1CB62E">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2.2评标工作组由招标人及有关专家组成，由评标委员会确认，并接受其领导。</w:t>
      </w:r>
    </w:p>
    <w:p w14:paraId="06026585">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2.3评标委员会应相对独立工作，负责评标、撰写技术、商务评标报告。采购代理机构负责评标过程中资料的保管、发放、回收，整理、汇总评标资料。</w:t>
      </w:r>
    </w:p>
    <w:p w14:paraId="776483BD">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3、评标委员会职责</w:t>
      </w:r>
    </w:p>
    <w:p w14:paraId="272C95E4">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3.1审查投标文件是否符合招标文件要求，并作出评价；</w:t>
      </w:r>
    </w:p>
    <w:p w14:paraId="1E415252">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3.2要求投标人对投标文件有关事项作出解释或者澄清；</w:t>
      </w:r>
    </w:p>
    <w:p w14:paraId="5E473E01">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3.3推荐中标候选人名单；</w:t>
      </w:r>
    </w:p>
    <w:p w14:paraId="2086AFCD">
      <w:pPr>
        <w:pStyle w:val="38"/>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3.4向招标人、招标代理机构或者有关部门报告非法干预评标工作的行为。</w:t>
      </w:r>
    </w:p>
    <w:p w14:paraId="28BDEB89">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4、评标委员会义务</w:t>
      </w:r>
    </w:p>
    <w:p w14:paraId="470E2E62">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4.1遵纪守法，客观、公正、廉洁地履行职责；</w:t>
      </w:r>
    </w:p>
    <w:p w14:paraId="6DC7172E">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4.2按照招标文件规定的评标方法和评标标准进行评标，对评审意见承担个人责任；</w:t>
      </w:r>
    </w:p>
    <w:p w14:paraId="2BDE74B1">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4.3对评标过程和结果，以及投标人的商业秘密保密；</w:t>
      </w:r>
    </w:p>
    <w:p w14:paraId="0B81D92F">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4.4参与评标报告的起草；</w:t>
      </w:r>
    </w:p>
    <w:p w14:paraId="70A219EB">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4.5配合有关部门的投诉处理工作；</w:t>
      </w:r>
    </w:p>
    <w:p w14:paraId="25F657D4">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4.6配合招标人、招标代理机构答复投标供应商提出的质疑。</w:t>
      </w:r>
    </w:p>
    <w:p w14:paraId="539C8D3E">
      <w:pPr>
        <w:shd w:val="clear" w:color="auto" w:fill="auto"/>
        <w:tabs>
          <w:tab w:val="left" w:pos="1547"/>
        </w:tabs>
        <w:spacing w:line="440" w:lineRule="exact"/>
        <w:ind w:firstLine="612" w:firstLineChars="255"/>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 评标程序</w:t>
      </w:r>
    </w:p>
    <w:p w14:paraId="4203E3E8">
      <w:pPr>
        <w:pStyle w:val="23"/>
        <w:shd w:val="clear" w:color="auto" w:fill="auto"/>
        <w:tabs>
          <w:tab w:val="left" w:pos="720"/>
          <w:tab w:val="clear" w:pos="0"/>
        </w:tabs>
        <w:spacing w:line="440" w:lineRule="exact"/>
        <w:ind w:firstLine="612" w:firstLineChars="255"/>
        <w:outlineLvl w:val="9"/>
        <w:rPr>
          <w:rFonts w:hint="eastAsia" w:ascii="仿宋" w:hAnsi="仿宋" w:eastAsia="仿宋" w:cs="仿宋"/>
          <w:bCs/>
          <w:color w:val="auto"/>
          <w:sz w:val="24"/>
          <w:szCs w:val="24"/>
          <w:highlight w:val="none"/>
          <w:lang w:bidi="ar-SA"/>
        </w:rPr>
      </w:pPr>
      <w:r>
        <w:rPr>
          <w:rFonts w:hint="eastAsia" w:ascii="仿宋" w:hAnsi="仿宋" w:eastAsia="仿宋" w:cs="仿宋"/>
          <w:bCs/>
          <w:color w:val="auto"/>
          <w:sz w:val="24"/>
          <w:szCs w:val="24"/>
          <w:highlight w:val="none"/>
          <w:lang w:bidi="ar-SA"/>
        </w:rPr>
        <w:t>5.1本次评标首先由评标委员会对投标人的投标文件进行初审，对未能通过初审的投标文件作无效标处理；</w:t>
      </w:r>
    </w:p>
    <w:p w14:paraId="04471F72">
      <w:pPr>
        <w:shd w:val="clear" w:color="auto" w:fill="auto"/>
        <w:tabs>
          <w:tab w:val="left" w:pos="720"/>
        </w:tabs>
        <w:spacing w:line="440" w:lineRule="exact"/>
        <w:ind w:firstLine="612" w:firstLineChars="255"/>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5.2对通过初审的投标人的投标文件进行详细的比较和评价。如需要，进行必要的澄清工作；</w:t>
      </w:r>
    </w:p>
    <w:p w14:paraId="6C114533">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auto"/>
          <w:kern w:val="0"/>
          <w:sz w:val="24"/>
          <w:szCs w:val="24"/>
          <w:highlight w:val="none"/>
          <w:lang w:bidi="ar-SA"/>
        </w:rPr>
      </w:pPr>
      <w:r>
        <w:rPr>
          <w:rFonts w:hint="eastAsia" w:ascii="仿宋" w:hAnsi="仿宋" w:eastAsia="仿宋" w:cs="仿宋"/>
          <w:color w:val="auto"/>
          <w:sz w:val="24"/>
          <w:szCs w:val="24"/>
          <w:highlight w:val="none"/>
          <w:lang w:bidi="ar-SA"/>
        </w:rPr>
        <w:t>5.3依据评分标准以及各项权值，各位评委单独就每个投标人的</w:t>
      </w:r>
      <w:r>
        <w:rPr>
          <w:rFonts w:hint="eastAsia" w:ascii="仿宋" w:hAnsi="仿宋" w:eastAsia="仿宋" w:cs="仿宋"/>
          <w:color w:val="auto"/>
          <w:kern w:val="0"/>
          <w:sz w:val="24"/>
          <w:szCs w:val="24"/>
          <w:highlight w:val="none"/>
          <w:lang w:bidi="ar-SA"/>
        </w:rPr>
        <w:t>投标文件进行价格、技术、</w:t>
      </w:r>
      <w:r>
        <w:rPr>
          <w:rFonts w:hint="eastAsia" w:ascii="仿宋" w:hAnsi="仿宋" w:eastAsia="仿宋" w:cs="仿宋"/>
          <w:color w:val="auto"/>
          <w:kern w:val="0"/>
          <w:sz w:val="24"/>
          <w:szCs w:val="24"/>
          <w:highlight w:val="none"/>
          <w:lang w:bidi="ar-SA"/>
        </w:rPr>
        <w:fldChar w:fldCharType="begin"/>
      </w:r>
      <w:r>
        <w:rPr>
          <w:rFonts w:hint="eastAsia" w:ascii="仿宋" w:hAnsi="仿宋" w:eastAsia="仿宋" w:cs="仿宋"/>
          <w:color w:val="auto"/>
          <w:kern w:val="0"/>
          <w:sz w:val="24"/>
          <w:szCs w:val="24"/>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 w:val="24"/>
          <w:szCs w:val="24"/>
          <w:highlight w:val="none"/>
          <w:lang w:bidi="ar-SA"/>
        </w:rPr>
        <w:fldChar w:fldCharType="separate"/>
      </w:r>
      <w:r>
        <w:rPr>
          <w:rFonts w:hint="eastAsia" w:ascii="仿宋" w:hAnsi="仿宋" w:eastAsia="仿宋" w:cs="仿宋"/>
          <w:color w:val="auto"/>
          <w:kern w:val="0"/>
          <w:sz w:val="24"/>
          <w:szCs w:val="24"/>
          <w:highlight w:val="none"/>
          <w:lang w:bidi="ar-SA"/>
        </w:rPr>
        <w:t>财务状况</w:t>
      </w:r>
      <w:r>
        <w:rPr>
          <w:rFonts w:hint="eastAsia" w:ascii="仿宋" w:hAnsi="仿宋" w:eastAsia="仿宋" w:cs="仿宋"/>
          <w:color w:val="auto"/>
          <w:kern w:val="0"/>
          <w:sz w:val="24"/>
          <w:szCs w:val="24"/>
          <w:highlight w:val="none"/>
          <w:lang w:bidi="ar-SA"/>
        </w:rPr>
        <w:fldChar w:fldCharType="end"/>
      </w:r>
      <w:r>
        <w:rPr>
          <w:rFonts w:hint="eastAsia" w:ascii="仿宋" w:hAnsi="仿宋" w:eastAsia="仿宋" w:cs="仿宋"/>
          <w:color w:val="auto"/>
          <w:kern w:val="0"/>
          <w:sz w:val="24"/>
          <w:szCs w:val="24"/>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1EB4AFB4">
      <w:pPr>
        <w:shd w:val="clear" w:color="auto" w:fill="auto"/>
        <w:jc w:val="center"/>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二  投标文件初审</w:t>
      </w:r>
      <w:bookmarkEnd w:id="50"/>
      <w:bookmarkEnd w:id="51"/>
      <w:r>
        <w:rPr>
          <w:rFonts w:hint="eastAsia" w:ascii="仿宋" w:hAnsi="仿宋" w:eastAsia="仿宋" w:cs="仿宋"/>
          <w:b/>
          <w:color w:val="auto"/>
          <w:sz w:val="24"/>
          <w:szCs w:val="24"/>
          <w:highlight w:val="none"/>
          <w:lang w:eastAsia="zh-CN"/>
        </w:rPr>
        <w:t>（适用于</w:t>
      </w:r>
      <w:r>
        <w:rPr>
          <w:rFonts w:hint="eastAsia" w:ascii="仿宋" w:hAnsi="仿宋" w:eastAsia="仿宋" w:cs="仿宋"/>
          <w:b/>
          <w:color w:val="auto"/>
          <w:sz w:val="24"/>
          <w:szCs w:val="24"/>
          <w:highlight w:val="none"/>
          <w:lang w:val="en-US" w:eastAsia="zh-CN"/>
        </w:rPr>
        <w:t>1包、2包</w:t>
      </w:r>
      <w:r>
        <w:rPr>
          <w:rFonts w:hint="eastAsia" w:ascii="仿宋" w:hAnsi="仿宋" w:eastAsia="仿宋" w:cs="仿宋"/>
          <w:b/>
          <w:color w:val="auto"/>
          <w:sz w:val="24"/>
          <w:szCs w:val="24"/>
          <w:highlight w:val="none"/>
          <w:lang w:eastAsia="zh-CN"/>
        </w:rPr>
        <w:t>）</w:t>
      </w:r>
    </w:p>
    <w:p w14:paraId="0BE9D11C">
      <w:pPr>
        <w:shd w:val="clear" w:color="auto" w:fill="auto"/>
        <w:spacing w:line="400" w:lineRule="exact"/>
        <w:ind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.资格性审查:</w:t>
      </w:r>
    </w:p>
    <w:tbl>
      <w:tblPr>
        <w:tblStyle w:val="26"/>
        <w:tblpPr w:leftFromText="180" w:rightFromText="180" w:vertAnchor="text" w:horzAnchor="page" w:tblpX="1395" w:tblpY="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41"/>
        <w:gridCol w:w="6649"/>
        <w:gridCol w:w="555"/>
        <w:gridCol w:w="654"/>
      </w:tblGrid>
      <w:tr w14:paraId="32E2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87" w:type="dxa"/>
            <w:vMerge w:val="restart"/>
            <w:noWrap w:val="0"/>
            <w:vAlign w:val="center"/>
          </w:tcPr>
          <w:p w14:paraId="2FE57922">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290" w:type="dxa"/>
            <w:gridSpan w:val="2"/>
            <w:vMerge w:val="restart"/>
            <w:noWrap w:val="0"/>
            <w:vAlign w:val="center"/>
          </w:tcPr>
          <w:p w14:paraId="1287E81F">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209" w:type="dxa"/>
            <w:gridSpan w:val="2"/>
            <w:noWrap w:val="0"/>
            <w:vAlign w:val="center"/>
          </w:tcPr>
          <w:p w14:paraId="7994787A">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6A77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87" w:type="dxa"/>
            <w:vMerge w:val="continue"/>
            <w:noWrap w:val="0"/>
            <w:vAlign w:val="center"/>
          </w:tcPr>
          <w:p w14:paraId="7F77B716">
            <w:pPr>
              <w:shd w:val="clear" w:color="auto" w:fill="auto"/>
              <w:outlineLvl w:val="9"/>
              <w:rPr>
                <w:rFonts w:hint="eastAsia" w:ascii="仿宋" w:hAnsi="仿宋" w:eastAsia="仿宋" w:cs="仿宋"/>
                <w:color w:val="auto"/>
                <w:sz w:val="24"/>
                <w:szCs w:val="24"/>
                <w:highlight w:val="none"/>
              </w:rPr>
            </w:pPr>
          </w:p>
        </w:tc>
        <w:tc>
          <w:tcPr>
            <w:tcW w:w="7290" w:type="dxa"/>
            <w:gridSpan w:val="2"/>
            <w:vMerge w:val="continue"/>
            <w:noWrap w:val="0"/>
            <w:vAlign w:val="top"/>
          </w:tcPr>
          <w:p w14:paraId="41D9F0A4">
            <w:pPr>
              <w:shd w:val="clear" w:color="auto" w:fill="auto"/>
              <w:outlineLvl w:val="9"/>
              <w:rPr>
                <w:rFonts w:hint="eastAsia" w:ascii="仿宋" w:hAnsi="仿宋" w:eastAsia="仿宋" w:cs="仿宋"/>
                <w:color w:val="auto"/>
                <w:sz w:val="24"/>
                <w:szCs w:val="24"/>
                <w:highlight w:val="none"/>
              </w:rPr>
            </w:pPr>
          </w:p>
        </w:tc>
        <w:tc>
          <w:tcPr>
            <w:tcW w:w="555" w:type="dxa"/>
            <w:noWrap w:val="0"/>
            <w:vAlign w:val="center"/>
          </w:tcPr>
          <w:p w14:paraId="54C5B016">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654" w:type="dxa"/>
            <w:noWrap w:val="0"/>
            <w:vAlign w:val="center"/>
          </w:tcPr>
          <w:p w14:paraId="03E31E4E">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2BCB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87" w:type="dxa"/>
            <w:vMerge w:val="restart"/>
            <w:noWrap w:val="0"/>
            <w:vAlign w:val="center"/>
          </w:tcPr>
          <w:p w14:paraId="7F0AA954">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14:paraId="405D5A2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14:paraId="1D36A9E2">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14:paraId="2293E8AC">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p w14:paraId="68C3BF6A">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w:t>
            </w:r>
          </w:p>
          <w:p w14:paraId="1CBDA221">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w:t>
            </w:r>
          </w:p>
          <w:p w14:paraId="3FD88CF6">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w:t>
            </w:r>
          </w:p>
          <w:p w14:paraId="71372084">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w:t>
            </w:r>
          </w:p>
          <w:p w14:paraId="18FDC7EC">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w:t>
            </w:r>
          </w:p>
          <w:p w14:paraId="3FD42F8B">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w:t>
            </w:r>
          </w:p>
          <w:p w14:paraId="25B48AF7">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tc>
        <w:tc>
          <w:tcPr>
            <w:tcW w:w="641" w:type="dxa"/>
            <w:noWrap w:val="0"/>
            <w:vAlign w:val="center"/>
          </w:tcPr>
          <w:p w14:paraId="695D8758">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649" w:type="dxa"/>
            <w:noWrap w:val="0"/>
            <w:vAlign w:val="center"/>
          </w:tcPr>
          <w:p w14:paraId="5205E2BD">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tc>
        <w:tc>
          <w:tcPr>
            <w:tcW w:w="555" w:type="dxa"/>
            <w:noWrap w:val="0"/>
            <w:vAlign w:val="top"/>
          </w:tcPr>
          <w:p w14:paraId="50B841CA">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6C1FBD12">
            <w:pPr>
              <w:shd w:val="clear" w:color="auto" w:fill="auto"/>
              <w:outlineLvl w:val="9"/>
              <w:rPr>
                <w:rFonts w:hint="eastAsia" w:ascii="仿宋" w:hAnsi="仿宋" w:eastAsia="仿宋" w:cs="仿宋"/>
                <w:color w:val="auto"/>
                <w:sz w:val="24"/>
                <w:szCs w:val="24"/>
                <w:highlight w:val="none"/>
              </w:rPr>
            </w:pPr>
          </w:p>
        </w:tc>
      </w:tr>
      <w:tr w14:paraId="1D35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87" w:type="dxa"/>
            <w:vMerge w:val="continue"/>
            <w:noWrap w:val="0"/>
            <w:vAlign w:val="center"/>
          </w:tcPr>
          <w:p w14:paraId="1CD901E9">
            <w:pPr>
              <w:shd w:val="clear" w:color="auto" w:fill="auto"/>
              <w:jc w:val="center"/>
              <w:outlineLvl w:val="9"/>
              <w:rPr>
                <w:rFonts w:hint="eastAsia" w:ascii="仿宋" w:hAnsi="仿宋" w:eastAsia="仿宋" w:cs="仿宋"/>
                <w:color w:val="auto"/>
                <w:sz w:val="24"/>
                <w:szCs w:val="24"/>
                <w:highlight w:val="none"/>
              </w:rPr>
            </w:pPr>
          </w:p>
        </w:tc>
        <w:tc>
          <w:tcPr>
            <w:tcW w:w="641" w:type="dxa"/>
            <w:noWrap w:val="0"/>
            <w:vAlign w:val="center"/>
          </w:tcPr>
          <w:p w14:paraId="1E39A77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649" w:type="dxa"/>
            <w:noWrap w:val="0"/>
            <w:vAlign w:val="center"/>
          </w:tcPr>
          <w:p w14:paraId="56A9E041">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法定代表人参加的需提供法定代表人身份证明及身份证原件扫描件，授权委托人参加的需提供附有法定代表人身份证明的授权委托书及被委托人身份证原件扫描件;</w:t>
            </w:r>
          </w:p>
        </w:tc>
        <w:tc>
          <w:tcPr>
            <w:tcW w:w="555" w:type="dxa"/>
            <w:noWrap w:val="0"/>
            <w:vAlign w:val="top"/>
          </w:tcPr>
          <w:p w14:paraId="5C32CD37">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26FB1996">
            <w:pPr>
              <w:shd w:val="clear" w:color="auto" w:fill="auto"/>
              <w:outlineLvl w:val="9"/>
              <w:rPr>
                <w:rFonts w:hint="eastAsia" w:ascii="仿宋" w:hAnsi="仿宋" w:eastAsia="仿宋" w:cs="仿宋"/>
                <w:color w:val="auto"/>
                <w:sz w:val="24"/>
                <w:szCs w:val="24"/>
                <w:highlight w:val="none"/>
              </w:rPr>
            </w:pPr>
          </w:p>
        </w:tc>
      </w:tr>
      <w:tr w14:paraId="70BF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87" w:type="dxa"/>
            <w:vMerge w:val="continue"/>
            <w:noWrap w:val="0"/>
            <w:vAlign w:val="center"/>
          </w:tcPr>
          <w:p w14:paraId="683BF975">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0BB665EA">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6649" w:type="dxa"/>
            <w:noWrap w:val="0"/>
            <w:vAlign w:val="center"/>
          </w:tcPr>
          <w:p w14:paraId="48F6413B">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投标企业须提供投标人（被授权本单位在职人员）近6个月内任何1个月已依法缴纳社会保险的凭据（依法不需要缴纳社会保障资金的供应商，应提供相应证明文件）；</w:t>
            </w:r>
          </w:p>
        </w:tc>
        <w:tc>
          <w:tcPr>
            <w:tcW w:w="555" w:type="dxa"/>
            <w:noWrap w:val="0"/>
            <w:vAlign w:val="top"/>
          </w:tcPr>
          <w:p w14:paraId="0BBC9389">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6236C6C7">
            <w:pPr>
              <w:shd w:val="clear" w:color="auto" w:fill="auto"/>
              <w:outlineLvl w:val="9"/>
              <w:rPr>
                <w:rFonts w:hint="eastAsia" w:ascii="仿宋" w:hAnsi="仿宋" w:eastAsia="仿宋" w:cs="仿宋"/>
                <w:color w:val="auto"/>
                <w:sz w:val="24"/>
                <w:szCs w:val="24"/>
                <w:highlight w:val="none"/>
              </w:rPr>
            </w:pPr>
          </w:p>
        </w:tc>
      </w:tr>
      <w:tr w14:paraId="3D52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5E2CDA9F">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00C61624">
            <w:pPr>
              <w:shd w:val="clear" w:color="auto" w:fill="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6649" w:type="dxa"/>
            <w:noWrap w:val="0"/>
            <w:vAlign w:val="center"/>
          </w:tcPr>
          <w:p w14:paraId="4EAE1EFF">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tc>
        <w:tc>
          <w:tcPr>
            <w:tcW w:w="555" w:type="dxa"/>
            <w:noWrap w:val="0"/>
            <w:vAlign w:val="top"/>
          </w:tcPr>
          <w:p w14:paraId="588398F3">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2A970080">
            <w:pPr>
              <w:shd w:val="clear" w:color="auto" w:fill="auto"/>
              <w:outlineLvl w:val="9"/>
              <w:rPr>
                <w:rFonts w:hint="eastAsia" w:ascii="仿宋" w:hAnsi="仿宋" w:eastAsia="仿宋" w:cs="仿宋"/>
                <w:color w:val="auto"/>
                <w:sz w:val="24"/>
                <w:szCs w:val="24"/>
                <w:highlight w:val="none"/>
              </w:rPr>
            </w:pPr>
          </w:p>
        </w:tc>
      </w:tr>
      <w:tr w14:paraId="291F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0DB059A2">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26D1A807">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649" w:type="dxa"/>
            <w:noWrap w:val="0"/>
            <w:vAlign w:val="center"/>
          </w:tcPr>
          <w:p w14:paraId="4F5D9132">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sz w:val="24"/>
                <w:szCs w:val="24"/>
                <w:lang w:val="en-US" w:eastAsia="zh-CN"/>
              </w:rPr>
              <w:t>投标人不得被列入“信用中国”网站（www.creditchina.gov.cn）、中国政府采购网站（www.ccgp.gov.cn）失信被执行人、重大税收违法案件当事人名单、政府采购严重违法失信行为记录名单；（提供查询结果网页截图并加盖供应商公章）</w:t>
            </w:r>
          </w:p>
        </w:tc>
        <w:tc>
          <w:tcPr>
            <w:tcW w:w="555" w:type="dxa"/>
            <w:noWrap w:val="0"/>
            <w:vAlign w:val="top"/>
          </w:tcPr>
          <w:p w14:paraId="47CC3BA7">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1CE4CDA8">
            <w:pPr>
              <w:shd w:val="clear" w:color="auto" w:fill="auto"/>
              <w:outlineLvl w:val="9"/>
              <w:rPr>
                <w:rFonts w:hint="eastAsia" w:ascii="仿宋" w:hAnsi="仿宋" w:eastAsia="仿宋" w:cs="仿宋"/>
                <w:color w:val="auto"/>
                <w:sz w:val="24"/>
                <w:szCs w:val="24"/>
                <w:highlight w:val="none"/>
              </w:rPr>
            </w:pPr>
          </w:p>
        </w:tc>
      </w:tr>
      <w:tr w14:paraId="6CCD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2D6D544C">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7B9FBB0E">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649" w:type="dxa"/>
            <w:noWrap w:val="0"/>
            <w:vAlign w:val="center"/>
          </w:tcPr>
          <w:p w14:paraId="7FB3B6D8">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tc>
        <w:tc>
          <w:tcPr>
            <w:tcW w:w="555" w:type="dxa"/>
            <w:noWrap w:val="0"/>
            <w:vAlign w:val="top"/>
          </w:tcPr>
          <w:p w14:paraId="3595356A">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17ABD4CB">
            <w:pPr>
              <w:shd w:val="clear" w:color="auto" w:fill="auto"/>
              <w:outlineLvl w:val="9"/>
              <w:rPr>
                <w:rFonts w:hint="eastAsia" w:ascii="仿宋" w:hAnsi="仿宋" w:eastAsia="仿宋" w:cs="仿宋"/>
                <w:color w:val="auto"/>
                <w:sz w:val="24"/>
                <w:szCs w:val="24"/>
                <w:highlight w:val="none"/>
              </w:rPr>
            </w:pPr>
          </w:p>
        </w:tc>
      </w:tr>
      <w:tr w14:paraId="37DF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4F95D42E">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16D9BF4A">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649" w:type="dxa"/>
            <w:noWrap w:val="0"/>
            <w:vAlign w:val="center"/>
          </w:tcPr>
          <w:p w14:paraId="66318676">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c>
          <w:tcPr>
            <w:tcW w:w="555" w:type="dxa"/>
            <w:noWrap w:val="0"/>
            <w:vAlign w:val="top"/>
          </w:tcPr>
          <w:p w14:paraId="5B31CA7A">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3AEA7D3C">
            <w:pPr>
              <w:shd w:val="clear" w:color="auto" w:fill="auto"/>
              <w:outlineLvl w:val="9"/>
              <w:rPr>
                <w:rFonts w:hint="eastAsia" w:ascii="仿宋" w:hAnsi="仿宋" w:eastAsia="仿宋" w:cs="仿宋"/>
                <w:color w:val="auto"/>
                <w:sz w:val="24"/>
                <w:szCs w:val="24"/>
                <w:highlight w:val="none"/>
              </w:rPr>
            </w:pPr>
          </w:p>
        </w:tc>
      </w:tr>
      <w:tr w14:paraId="640E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14AA1B58">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35FEC7FD">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649" w:type="dxa"/>
            <w:noWrap w:val="0"/>
            <w:vAlign w:val="center"/>
          </w:tcPr>
          <w:p w14:paraId="729DF82A">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具有履行合同所必需的设备和专业技术能力（提供书面声明函）；</w:t>
            </w:r>
          </w:p>
        </w:tc>
        <w:tc>
          <w:tcPr>
            <w:tcW w:w="555" w:type="dxa"/>
            <w:noWrap w:val="0"/>
            <w:vAlign w:val="top"/>
          </w:tcPr>
          <w:p w14:paraId="0AF9F00E">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11F22D3B">
            <w:pPr>
              <w:shd w:val="clear" w:color="auto" w:fill="auto"/>
              <w:outlineLvl w:val="9"/>
              <w:rPr>
                <w:rFonts w:hint="eastAsia" w:ascii="仿宋" w:hAnsi="仿宋" w:eastAsia="仿宋" w:cs="仿宋"/>
                <w:color w:val="auto"/>
                <w:sz w:val="24"/>
                <w:szCs w:val="24"/>
                <w:highlight w:val="none"/>
              </w:rPr>
            </w:pPr>
          </w:p>
        </w:tc>
      </w:tr>
      <w:tr w14:paraId="46D3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7CBE572B">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759FE7D7">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649" w:type="dxa"/>
            <w:noWrap w:val="0"/>
            <w:vAlign w:val="center"/>
          </w:tcPr>
          <w:p w14:paraId="0FCA1420">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提供参加政府采购活动前三年内，在经营活动中没有重大违法记录（承诺函原件扫描件）；</w:t>
            </w:r>
          </w:p>
        </w:tc>
        <w:tc>
          <w:tcPr>
            <w:tcW w:w="555" w:type="dxa"/>
            <w:noWrap w:val="0"/>
            <w:vAlign w:val="top"/>
          </w:tcPr>
          <w:p w14:paraId="365C321E">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3900289D">
            <w:pPr>
              <w:shd w:val="clear" w:color="auto" w:fill="auto"/>
              <w:outlineLvl w:val="9"/>
              <w:rPr>
                <w:rFonts w:hint="eastAsia" w:ascii="仿宋" w:hAnsi="仿宋" w:eastAsia="仿宋" w:cs="仿宋"/>
                <w:color w:val="auto"/>
                <w:sz w:val="24"/>
                <w:szCs w:val="24"/>
                <w:highlight w:val="none"/>
              </w:rPr>
            </w:pPr>
          </w:p>
        </w:tc>
      </w:tr>
      <w:tr w14:paraId="731E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87" w:type="dxa"/>
            <w:vMerge w:val="continue"/>
            <w:noWrap w:val="0"/>
            <w:vAlign w:val="center"/>
          </w:tcPr>
          <w:p w14:paraId="31B795EB">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0F3F5E00">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649" w:type="dxa"/>
            <w:noWrap w:val="0"/>
            <w:vAlign w:val="center"/>
          </w:tcPr>
          <w:p w14:paraId="59AB9E11">
            <w:pPr>
              <w:keepNext w:val="0"/>
              <w:keepLines w:val="0"/>
              <w:pageBreakBefore w:val="0"/>
              <w:widowControl/>
              <w:shd w:val="clear" w:color="auto" w:fill="auto"/>
              <w:kinsoku/>
              <w:wordWrap w:val="0"/>
              <w:overflowPunct/>
              <w:topLinePunct w:val="0"/>
              <w:autoSpaceDE/>
              <w:autoSpaceDN/>
              <w:bidi w:val="0"/>
              <w:adjustRightInd/>
              <w:snapToGrid/>
              <w:jc w:val="left"/>
              <w:textAlignment w:val="center"/>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企业负责人为同一人或者存在直接控股、管理关系的不同投标人，不得参加同一合同项下的政府采购活动（提供书面声明函）；</w:t>
            </w:r>
          </w:p>
        </w:tc>
        <w:tc>
          <w:tcPr>
            <w:tcW w:w="555" w:type="dxa"/>
            <w:noWrap w:val="0"/>
            <w:vAlign w:val="top"/>
          </w:tcPr>
          <w:p w14:paraId="131F87F3">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63D1D6D1">
            <w:pPr>
              <w:shd w:val="clear" w:color="auto" w:fill="auto"/>
              <w:outlineLvl w:val="9"/>
              <w:rPr>
                <w:rFonts w:hint="eastAsia" w:ascii="仿宋" w:hAnsi="仿宋" w:eastAsia="仿宋" w:cs="仿宋"/>
                <w:color w:val="auto"/>
                <w:sz w:val="24"/>
                <w:szCs w:val="24"/>
                <w:highlight w:val="none"/>
              </w:rPr>
            </w:pPr>
          </w:p>
        </w:tc>
      </w:tr>
      <w:tr w14:paraId="2F00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87" w:type="dxa"/>
            <w:vMerge w:val="continue"/>
            <w:noWrap w:val="0"/>
            <w:vAlign w:val="center"/>
          </w:tcPr>
          <w:p w14:paraId="384F28B4">
            <w:pPr>
              <w:shd w:val="clear" w:color="auto" w:fill="auto"/>
              <w:outlineLvl w:val="9"/>
              <w:rPr>
                <w:rFonts w:hint="eastAsia" w:ascii="仿宋" w:hAnsi="仿宋" w:eastAsia="仿宋" w:cs="仿宋"/>
                <w:color w:val="auto"/>
                <w:sz w:val="24"/>
                <w:szCs w:val="24"/>
                <w:highlight w:val="none"/>
              </w:rPr>
            </w:pPr>
          </w:p>
        </w:tc>
        <w:tc>
          <w:tcPr>
            <w:tcW w:w="641" w:type="dxa"/>
            <w:noWrap w:val="0"/>
            <w:vAlign w:val="center"/>
          </w:tcPr>
          <w:p w14:paraId="5D932941">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649" w:type="dxa"/>
            <w:noWrap w:val="0"/>
            <w:vAlign w:val="center"/>
          </w:tcPr>
          <w:p w14:paraId="26465AA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eastAsia="zh-CN" w:bidi="ar"/>
              </w:rPr>
              <w:t>投标保证金缴纳凭证（银行回单）或保函等票据；</w:t>
            </w:r>
          </w:p>
        </w:tc>
        <w:tc>
          <w:tcPr>
            <w:tcW w:w="555" w:type="dxa"/>
            <w:noWrap w:val="0"/>
            <w:vAlign w:val="top"/>
          </w:tcPr>
          <w:p w14:paraId="3DFEA1E9">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14:paraId="24FA89DC">
            <w:pPr>
              <w:shd w:val="clear" w:color="auto" w:fill="auto"/>
              <w:outlineLvl w:val="9"/>
              <w:rPr>
                <w:rFonts w:hint="eastAsia" w:ascii="仿宋" w:hAnsi="仿宋" w:eastAsia="仿宋" w:cs="仿宋"/>
                <w:color w:val="auto"/>
                <w:sz w:val="24"/>
                <w:szCs w:val="24"/>
                <w:highlight w:val="none"/>
              </w:rPr>
            </w:pPr>
          </w:p>
        </w:tc>
      </w:tr>
      <w:tr w14:paraId="3B20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87" w:type="dxa"/>
            <w:vMerge w:val="continue"/>
            <w:noWrap w:val="0"/>
            <w:vAlign w:val="center"/>
          </w:tcPr>
          <w:p w14:paraId="5D215FD9">
            <w:pPr>
              <w:shd w:val="clear" w:color="auto" w:fill="auto"/>
              <w:jc w:val="center"/>
              <w:outlineLvl w:val="9"/>
              <w:rPr>
                <w:rFonts w:hint="eastAsia" w:ascii="仿宋" w:hAnsi="仿宋" w:eastAsia="仿宋" w:cs="仿宋"/>
                <w:color w:val="auto"/>
                <w:sz w:val="24"/>
                <w:szCs w:val="24"/>
                <w:highlight w:val="none"/>
              </w:rPr>
            </w:pPr>
          </w:p>
        </w:tc>
        <w:tc>
          <w:tcPr>
            <w:tcW w:w="641" w:type="dxa"/>
            <w:noWrap w:val="0"/>
            <w:vAlign w:val="top"/>
          </w:tcPr>
          <w:p w14:paraId="3B8D5BC0">
            <w:pPr>
              <w:shd w:val="clear" w:color="auto" w:fill="auto"/>
              <w:spacing w:line="440" w:lineRule="exact"/>
              <w:outlineLvl w:val="9"/>
              <w:rPr>
                <w:rFonts w:hint="eastAsia" w:ascii="仿宋" w:hAnsi="仿宋" w:eastAsia="仿宋" w:cs="仿宋"/>
                <w:color w:val="auto"/>
                <w:sz w:val="24"/>
                <w:szCs w:val="24"/>
                <w:highlight w:val="none"/>
              </w:rPr>
            </w:pPr>
          </w:p>
        </w:tc>
        <w:tc>
          <w:tcPr>
            <w:tcW w:w="6649" w:type="dxa"/>
            <w:noWrap w:val="0"/>
            <w:vAlign w:val="top"/>
          </w:tcPr>
          <w:p w14:paraId="51743BB1">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14:paraId="4979B6E2">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209" w:type="dxa"/>
            <w:gridSpan w:val="2"/>
            <w:noWrap w:val="0"/>
            <w:vAlign w:val="top"/>
          </w:tcPr>
          <w:p w14:paraId="0C1616AE">
            <w:pPr>
              <w:shd w:val="clear" w:color="auto" w:fill="auto"/>
              <w:outlineLvl w:val="9"/>
              <w:rPr>
                <w:rFonts w:hint="eastAsia" w:ascii="仿宋" w:hAnsi="仿宋" w:eastAsia="仿宋" w:cs="仿宋"/>
                <w:color w:val="auto"/>
                <w:sz w:val="24"/>
                <w:szCs w:val="24"/>
                <w:highlight w:val="none"/>
              </w:rPr>
            </w:pPr>
          </w:p>
        </w:tc>
      </w:tr>
    </w:tbl>
    <w:p w14:paraId="7461CFE8">
      <w:pPr>
        <w:shd w:val="clear" w:color="auto" w:fill="auto"/>
        <w:spacing w:line="40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.1评审细则</w:t>
      </w:r>
    </w:p>
    <w:p w14:paraId="501EF1C2">
      <w:pPr>
        <w:shd w:val="clear" w:color="auto" w:fill="auto"/>
        <w:spacing w:line="400" w:lineRule="exact"/>
        <w:ind w:firstLine="581" w:firstLineChars="24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5CB2F68C">
      <w:pPr>
        <w:shd w:val="clear" w:color="auto" w:fill="auto"/>
        <w:spacing w:before="156" w:beforeLines="50" w:line="440" w:lineRule="exact"/>
        <w:ind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.符合性审查</w:t>
      </w:r>
      <w:r>
        <w:rPr>
          <w:rFonts w:hint="eastAsia" w:ascii="仿宋" w:hAnsi="仿宋" w:eastAsia="仿宋" w:cs="仿宋"/>
          <w:b/>
          <w:color w:val="auto"/>
          <w:sz w:val="24"/>
          <w:szCs w:val="24"/>
          <w:highlight w:val="none"/>
          <w:lang w:eastAsia="zh-CN"/>
        </w:rPr>
        <w:t>（适用于</w:t>
      </w:r>
      <w:r>
        <w:rPr>
          <w:rFonts w:hint="eastAsia" w:ascii="仿宋" w:hAnsi="仿宋" w:eastAsia="仿宋" w:cs="仿宋"/>
          <w:b/>
          <w:color w:val="auto"/>
          <w:sz w:val="24"/>
          <w:szCs w:val="24"/>
          <w:highlight w:val="none"/>
          <w:lang w:val="en-US" w:eastAsia="zh-CN"/>
        </w:rPr>
        <w:t>1包、2包</w:t>
      </w:r>
      <w:r>
        <w:rPr>
          <w:rFonts w:hint="eastAsia" w:ascii="仿宋" w:hAnsi="仿宋" w:eastAsia="仿宋" w:cs="仿宋"/>
          <w:b/>
          <w:color w:val="auto"/>
          <w:sz w:val="24"/>
          <w:szCs w:val="24"/>
          <w:highlight w:val="none"/>
          <w:lang w:eastAsia="zh-CN"/>
        </w:rPr>
        <w:t>）</w:t>
      </w:r>
    </w:p>
    <w:p w14:paraId="3CCE4E41">
      <w:pPr>
        <w:shd w:val="clear" w:color="auto" w:fill="auto"/>
        <w:spacing w:line="4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．1评审细则</w:t>
      </w:r>
    </w:p>
    <w:tbl>
      <w:tblPr>
        <w:tblStyle w:val="26"/>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4"/>
        <w:gridCol w:w="677"/>
        <w:gridCol w:w="6722"/>
        <w:gridCol w:w="463"/>
        <w:gridCol w:w="559"/>
      </w:tblGrid>
      <w:tr w14:paraId="444FC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14" w:type="dxa"/>
            <w:vMerge w:val="restart"/>
            <w:tcBorders>
              <w:top w:val="single" w:color="auto" w:sz="4" w:space="0"/>
              <w:left w:val="single" w:color="auto" w:sz="4" w:space="0"/>
            </w:tcBorders>
            <w:noWrap w:val="0"/>
            <w:vAlign w:val="center"/>
          </w:tcPr>
          <w:p w14:paraId="68B50FB9">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399" w:type="dxa"/>
            <w:gridSpan w:val="2"/>
            <w:vMerge w:val="restart"/>
            <w:tcBorders>
              <w:top w:val="single" w:color="auto" w:sz="4" w:space="0"/>
            </w:tcBorders>
            <w:noWrap w:val="0"/>
            <w:vAlign w:val="center"/>
          </w:tcPr>
          <w:p w14:paraId="6DD464D0">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022" w:type="dxa"/>
            <w:gridSpan w:val="2"/>
            <w:tcBorders>
              <w:top w:val="single" w:color="auto" w:sz="4" w:space="0"/>
              <w:right w:val="single" w:color="auto" w:sz="4" w:space="0"/>
            </w:tcBorders>
            <w:noWrap w:val="0"/>
            <w:vAlign w:val="center"/>
          </w:tcPr>
          <w:p w14:paraId="7522DEDC">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43D2C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bottom w:val="single" w:color="auto" w:sz="4" w:space="0"/>
            </w:tcBorders>
            <w:noWrap w:val="0"/>
            <w:vAlign w:val="center"/>
          </w:tcPr>
          <w:p w14:paraId="022B32A8">
            <w:pPr>
              <w:shd w:val="clear" w:color="auto" w:fill="auto"/>
              <w:outlineLvl w:val="9"/>
              <w:rPr>
                <w:rFonts w:hint="eastAsia" w:ascii="仿宋" w:hAnsi="仿宋" w:eastAsia="仿宋" w:cs="仿宋"/>
                <w:color w:val="auto"/>
                <w:sz w:val="24"/>
                <w:szCs w:val="24"/>
                <w:highlight w:val="none"/>
              </w:rPr>
            </w:pPr>
          </w:p>
        </w:tc>
        <w:tc>
          <w:tcPr>
            <w:tcW w:w="7399" w:type="dxa"/>
            <w:gridSpan w:val="2"/>
            <w:vMerge w:val="continue"/>
            <w:tcBorders>
              <w:bottom w:val="single" w:color="auto" w:sz="4" w:space="0"/>
            </w:tcBorders>
            <w:noWrap w:val="0"/>
            <w:vAlign w:val="top"/>
          </w:tcPr>
          <w:p w14:paraId="6E9D5CC6">
            <w:pPr>
              <w:shd w:val="clear" w:color="auto" w:fill="auto"/>
              <w:outlineLvl w:val="9"/>
              <w:rPr>
                <w:rFonts w:hint="eastAsia" w:ascii="仿宋" w:hAnsi="仿宋" w:eastAsia="仿宋" w:cs="仿宋"/>
                <w:color w:val="auto"/>
                <w:sz w:val="24"/>
                <w:szCs w:val="24"/>
                <w:highlight w:val="none"/>
              </w:rPr>
            </w:pPr>
          </w:p>
        </w:tc>
        <w:tc>
          <w:tcPr>
            <w:tcW w:w="463" w:type="dxa"/>
            <w:noWrap w:val="0"/>
            <w:vAlign w:val="center"/>
          </w:tcPr>
          <w:p w14:paraId="09608CD5">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559" w:type="dxa"/>
            <w:tcBorders>
              <w:right w:val="single" w:color="auto" w:sz="4" w:space="0"/>
            </w:tcBorders>
            <w:noWrap w:val="0"/>
            <w:vAlign w:val="center"/>
          </w:tcPr>
          <w:p w14:paraId="76EF8CD2">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67BA5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14" w:type="dxa"/>
            <w:vMerge w:val="restart"/>
            <w:tcBorders>
              <w:top w:val="single" w:color="auto" w:sz="4" w:space="0"/>
              <w:left w:val="single" w:color="auto" w:sz="4" w:space="0"/>
              <w:right w:val="single" w:color="auto" w:sz="4" w:space="0"/>
            </w:tcBorders>
            <w:noWrap w:val="0"/>
            <w:vAlign w:val="center"/>
          </w:tcPr>
          <w:p w14:paraId="497B28E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14:paraId="030CCB8B">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14:paraId="2064E64E">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14:paraId="5CEB9D8E">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tc>
        <w:tc>
          <w:tcPr>
            <w:tcW w:w="677" w:type="dxa"/>
            <w:tcBorders>
              <w:top w:val="single" w:color="auto" w:sz="4" w:space="0"/>
              <w:left w:val="single" w:color="auto" w:sz="4" w:space="0"/>
              <w:right w:val="single" w:color="auto" w:sz="4" w:space="0"/>
            </w:tcBorders>
            <w:noWrap w:val="0"/>
            <w:vAlign w:val="center"/>
          </w:tcPr>
          <w:p w14:paraId="0BCF99D6">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2" w:type="dxa"/>
            <w:tcBorders>
              <w:top w:val="single" w:color="auto" w:sz="4" w:space="0"/>
              <w:left w:val="single" w:color="auto" w:sz="4" w:space="0"/>
              <w:right w:val="single" w:color="auto" w:sz="4" w:space="0"/>
            </w:tcBorders>
            <w:noWrap w:val="0"/>
            <w:vAlign w:val="center"/>
          </w:tcPr>
          <w:p w14:paraId="0552B3ED">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投标文件组成是否完整，主要内容是否齐全；</w:t>
            </w:r>
          </w:p>
        </w:tc>
        <w:tc>
          <w:tcPr>
            <w:tcW w:w="463" w:type="dxa"/>
            <w:tcBorders>
              <w:left w:val="single" w:color="auto" w:sz="4" w:space="0"/>
              <w:right w:val="single" w:color="auto" w:sz="4" w:space="0"/>
            </w:tcBorders>
            <w:noWrap w:val="0"/>
            <w:vAlign w:val="top"/>
          </w:tcPr>
          <w:p w14:paraId="6A5A27FB">
            <w:pPr>
              <w:shd w:val="clear" w:color="auto" w:fill="auto"/>
              <w:jc w:val="center"/>
              <w:outlineLvl w:val="9"/>
              <w:rPr>
                <w:rFonts w:hint="eastAsia" w:ascii="仿宋" w:hAnsi="仿宋" w:eastAsia="仿宋" w:cs="仿宋"/>
                <w:b/>
                <w:color w:val="auto"/>
                <w:sz w:val="24"/>
                <w:szCs w:val="24"/>
                <w:highlight w:val="none"/>
              </w:rPr>
            </w:pPr>
          </w:p>
        </w:tc>
        <w:tc>
          <w:tcPr>
            <w:tcW w:w="559" w:type="dxa"/>
            <w:tcBorders>
              <w:left w:val="single" w:color="auto" w:sz="4" w:space="0"/>
              <w:right w:val="single" w:color="auto" w:sz="4" w:space="0"/>
            </w:tcBorders>
            <w:noWrap w:val="0"/>
            <w:vAlign w:val="top"/>
          </w:tcPr>
          <w:p w14:paraId="3F3A8C6E">
            <w:pPr>
              <w:shd w:val="clear" w:color="auto" w:fill="auto"/>
              <w:jc w:val="center"/>
              <w:outlineLvl w:val="9"/>
              <w:rPr>
                <w:rFonts w:hint="eastAsia" w:ascii="仿宋" w:hAnsi="仿宋" w:eastAsia="仿宋" w:cs="仿宋"/>
                <w:b/>
                <w:color w:val="auto"/>
                <w:sz w:val="24"/>
                <w:szCs w:val="24"/>
                <w:highlight w:val="none"/>
              </w:rPr>
            </w:pPr>
          </w:p>
        </w:tc>
      </w:tr>
      <w:tr w14:paraId="06178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4" w:type="dxa"/>
            <w:vMerge w:val="continue"/>
            <w:tcBorders>
              <w:left w:val="single" w:color="auto" w:sz="4" w:space="0"/>
              <w:right w:val="single" w:color="auto" w:sz="4" w:space="0"/>
            </w:tcBorders>
            <w:noWrap w:val="0"/>
            <w:vAlign w:val="center"/>
          </w:tcPr>
          <w:p w14:paraId="2DDFC511">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A4776FD">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2" w:type="dxa"/>
            <w:tcBorders>
              <w:top w:val="single" w:color="auto" w:sz="4" w:space="0"/>
              <w:left w:val="single" w:color="auto" w:sz="4" w:space="0"/>
              <w:bottom w:val="single" w:color="auto" w:sz="4" w:space="0"/>
              <w:right w:val="single" w:color="auto" w:sz="4" w:space="0"/>
            </w:tcBorders>
            <w:noWrap w:val="0"/>
            <w:vAlign w:val="center"/>
          </w:tcPr>
          <w:p w14:paraId="1D59620E">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投标文件是否按采购文件要求进行签字或盖章；</w:t>
            </w:r>
          </w:p>
        </w:tc>
        <w:tc>
          <w:tcPr>
            <w:tcW w:w="463" w:type="dxa"/>
            <w:tcBorders>
              <w:left w:val="single" w:color="auto" w:sz="4" w:space="0"/>
            </w:tcBorders>
            <w:noWrap w:val="0"/>
            <w:vAlign w:val="top"/>
          </w:tcPr>
          <w:p w14:paraId="74CB6C6D">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7C5FCED0">
            <w:pPr>
              <w:shd w:val="clear" w:color="auto" w:fill="auto"/>
              <w:outlineLvl w:val="9"/>
              <w:rPr>
                <w:rFonts w:hint="eastAsia" w:ascii="仿宋" w:hAnsi="仿宋" w:eastAsia="仿宋" w:cs="仿宋"/>
                <w:color w:val="auto"/>
                <w:sz w:val="24"/>
                <w:szCs w:val="24"/>
                <w:highlight w:val="none"/>
              </w:rPr>
            </w:pPr>
          </w:p>
        </w:tc>
      </w:tr>
      <w:tr w14:paraId="71167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014" w:type="dxa"/>
            <w:vMerge w:val="continue"/>
            <w:tcBorders>
              <w:left w:val="single" w:color="auto" w:sz="4" w:space="0"/>
              <w:right w:val="single" w:color="auto" w:sz="4" w:space="0"/>
            </w:tcBorders>
            <w:noWrap w:val="0"/>
            <w:vAlign w:val="center"/>
          </w:tcPr>
          <w:p w14:paraId="2DDF0504">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right w:val="single" w:color="auto" w:sz="4" w:space="0"/>
            </w:tcBorders>
            <w:noWrap w:val="0"/>
            <w:vAlign w:val="center"/>
          </w:tcPr>
          <w:p w14:paraId="7E7CDD4B">
            <w:pPr>
              <w:widowControl/>
              <w:shd w:val="clear" w:color="auto" w:fill="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22" w:type="dxa"/>
            <w:tcBorders>
              <w:top w:val="single" w:color="auto" w:sz="4" w:space="0"/>
              <w:left w:val="single" w:color="auto" w:sz="4" w:space="0"/>
              <w:right w:val="single" w:color="auto" w:sz="4" w:space="0"/>
            </w:tcBorders>
            <w:noWrap w:val="0"/>
            <w:vAlign w:val="center"/>
          </w:tcPr>
          <w:p w14:paraId="09477C29">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的报价未超过</w:t>
            </w:r>
            <w:r>
              <w:rPr>
                <w:rFonts w:hint="eastAsia" w:ascii="仿宋" w:hAnsi="仿宋" w:eastAsia="仿宋" w:cs="仿宋"/>
                <w:color w:val="auto"/>
                <w:sz w:val="24"/>
                <w:szCs w:val="24"/>
                <w:highlight w:val="none"/>
                <w:lang w:val="en-US" w:eastAsia="zh-CN"/>
              </w:rPr>
              <w:t>最高限价的</w:t>
            </w:r>
            <w:r>
              <w:rPr>
                <w:rFonts w:hint="eastAsia" w:ascii="仿宋" w:hAnsi="仿宋" w:eastAsia="仿宋" w:cs="仿宋"/>
                <w:color w:val="auto"/>
                <w:sz w:val="24"/>
                <w:szCs w:val="24"/>
                <w:highlight w:val="none"/>
              </w:rPr>
              <w:t>；</w:t>
            </w:r>
          </w:p>
        </w:tc>
        <w:tc>
          <w:tcPr>
            <w:tcW w:w="463" w:type="dxa"/>
            <w:tcBorders>
              <w:left w:val="single" w:color="auto" w:sz="4" w:space="0"/>
            </w:tcBorders>
            <w:noWrap w:val="0"/>
            <w:vAlign w:val="top"/>
          </w:tcPr>
          <w:p w14:paraId="092AA9E6">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3D4F3EC3">
            <w:pPr>
              <w:shd w:val="clear" w:color="auto" w:fill="auto"/>
              <w:outlineLvl w:val="9"/>
              <w:rPr>
                <w:rFonts w:hint="eastAsia" w:ascii="仿宋" w:hAnsi="仿宋" w:eastAsia="仿宋" w:cs="仿宋"/>
                <w:color w:val="auto"/>
                <w:sz w:val="24"/>
                <w:szCs w:val="24"/>
                <w:highlight w:val="none"/>
              </w:rPr>
            </w:pPr>
          </w:p>
        </w:tc>
      </w:tr>
      <w:tr w14:paraId="0E6F4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014" w:type="dxa"/>
            <w:vMerge w:val="continue"/>
            <w:tcBorders>
              <w:left w:val="single" w:color="auto" w:sz="4" w:space="0"/>
              <w:right w:val="single" w:color="auto" w:sz="4" w:space="0"/>
            </w:tcBorders>
            <w:noWrap w:val="0"/>
            <w:vAlign w:val="center"/>
          </w:tcPr>
          <w:p w14:paraId="4DA42724">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tcBorders>
            <w:noWrap w:val="0"/>
            <w:vAlign w:val="center"/>
          </w:tcPr>
          <w:p w14:paraId="3DF5FFC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722" w:type="dxa"/>
            <w:tcBorders>
              <w:right w:val="single" w:color="auto" w:sz="4" w:space="0"/>
            </w:tcBorders>
            <w:noWrap w:val="0"/>
            <w:vAlign w:val="center"/>
          </w:tcPr>
          <w:p w14:paraId="0FDF2B9B">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投标有效期自提交投标文件截止之日起</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日历日；</w:t>
            </w:r>
          </w:p>
        </w:tc>
        <w:tc>
          <w:tcPr>
            <w:tcW w:w="463" w:type="dxa"/>
            <w:tcBorders>
              <w:left w:val="single" w:color="auto" w:sz="4" w:space="0"/>
            </w:tcBorders>
            <w:noWrap w:val="0"/>
            <w:vAlign w:val="top"/>
          </w:tcPr>
          <w:p w14:paraId="4408211B">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4C76E2C5">
            <w:pPr>
              <w:shd w:val="clear" w:color="auto" w:fill="auto"/>
              <w:outlineLvl w:val="9"/>
              <w:rPr>
                <w:rFonts w:hint="eastAsia" w:ascii="仿宋" w:hAnsi="仿宋" w:eastAsia="仿宋" w:cs="仿宋"/>
                <w:color w:val="auto"/>
                <w:sz w:val="24"/>
                <w:szCs w:val="24"/>
                <w:highlight w:val="none"/>
              </w:rPr>
            </w:pPr>
          </w:p>
        </w:tc>
      </w:tr>
      <w:tr w14:paraId="793D4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19250D92">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1C1CA7B1">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22" w:type="dxa"/>
            <w:tcBorders>
              <w:bottom w:val="single" w:color="auto" w:sz="4" w:space="0"/>
              <w:right w:val="single" w:color="auto" w:sz="4" w:space="0"/>
            </w:tcBorders>
            <w:noWrap w:val="0"/>
            <w:vAlign w:val="center"/>
          </w:tcPr>
          <w:p w14:paraId="7C410926">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投标报价按照招标文件要求进行报价，没有删除、缺项、漏项（数量不符合将被视为漏项）的；</w:t>
            </w:r>
          </w:p>
        </w:tc>
        <w:tc>
          <w:tcPr>
            <w:tcW w:w="463" w:type="dxa"/>
            <w:tcBorders>
              <w:left w:val="single" w:color="auto" w:sz="4" w:space="0"/>
              <w:bottom w:val="single" w:color="auto" w:sz="4" w:space="0"/>
            </w:tcBorders>
            <w:noWrap w:val="0"/>
            <w:vAlign w:val="top"/>
          </w:tcPr>
          <w:p w14:paraId="4A5BDD56">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5CF59835">
            <w:pPr>
              <w:shd w:val="clear" w:color="auto" w:fill="auto"/>
              <w:outlineLvl w:val="9"/>
              <w:rPr>
                <w:rFonts w:hint="eastAsia" w:ascii="仿宋" w:hAnsi="仿宋" w:eastAsia="仿宋" w:cs="仿宋"/>
                <w:color w:val="auto"/>
                <w:sz w:val="24"/>
                <w:szCs w:val="24"/>
                <w:highlight w:val="none"/>
              </w:rPr>
            </w:pPr>
          </w:p>
        </w:tc>
      </w:tr>
      <w:tr w14:paraId="33165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79B3FB80">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70A8812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22" w:type="dxa"/>
            <w:tcBorders>
              <w:bottom w:val="single" w:color="auto" w:sz="4" w:space="0"/>
              <w:right w:val="single" w:color="auto" w:sz="4" w:space="0"/>
            </w:tcBorders>
            <w:noWrap w:val="0"/>
            <w:vAlign w:val="center"/>
          </w:tcPr>
          <w:p w14:paraId="143DD933">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投标文件未含有采购人不能接受的附加条件。</w:t>
            </w:r>
          </w:p>
        </w:tc>
        <w:tc>
          <w:tcPr>
            <w:tcW w:w="463" w:type="dxa"/>
            <w:tcBorders>
              <w:left w:val="single" w:color="auto" w:sz="4" w:space="0"/>
              <w:bottom w:val="single" w:color="auto" w:sz="4" w:space="0"/>
            </w:tcBorders>
            <w:noWrap w:val="0"/>
            <w:vAlign w:val="top"/>
          </w:tcPr>
          <w:p w14:paraId="5B8093A6">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06F05346">
            <w:pPr>
              <w:shd w:val="clear" w:color="auto" w:fill="auto"/>
              <w:outlineLvl w:val="9"/>
              <w:rPr>
                <w:rFonts w:hint="eastAsia" w:ascii="仿宋" w:hAnsi="仿宋" w:eastAsia="仿宋" w:cs="仿宋"/>
                <w:color w:val="auto"/>
                <w:sz w:val="24"/>
                <w:szCs w:val="24"/>
                <w:highlight w:val="none"/>
              </w:rPr>
            </w:pPr>
          </w:p>
        </w:tc>
      </w:tr>
      <w:tr w14:paraId="06417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6FEFDF44">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1355AFF0">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22" w:type="dxa"/>
            <w:tcBorders>
              <w:bottom w:val="single" w:color="auto" w:sz="4" w:space="0"/>
              <w:right w:val="single" w:color="auto" w:sz="4" w:space="0"/>
            </w:tcBorders>
            <w:noWrap w:val="0"/>
            <w:vAlign w:val="center"/>
          </w:tcPr>
          <w:p w14:paraId="2B460312">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是否符合法律、法规和采购文件中规定的其他实质性要求；</w:t>
            </w:r>
          </w:p>
        </w:tc>
        <w:tc>
          <w:tcPr>
            <w:tcW w:w="463" w:type="dxa"/>
            <w:tcBorders>
              <w:left w:val="single" w:color="auto" w:sz="4" w:space="0"/>
              <w:bottom w:val="single" w:color="auto" w:sz="4" w:space="0"/>
            </w:tcBorders>
            <w:noWrap w:val="0"/>
            <w:vAlign w:val="top"/>
          </w:tcPr>
          <w:p w14:paraId="461EF53D">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06120D9E">
            <w:pPr>
              <w:shd w:val="clear" w:color="auto" w:fill="auto"/>
              <w:outlineLvl w:val="9"/>
              <w:rPr>
                <w:rFonts w:hint="eastAsia" w:ascii="仿宋" w:hAnsi="仿宋" w:eastAsia="仿宋" w:cs="仿宋"/>
                <w:color w:val="auto"/>
                <w:sz w:val="24"/>
                <w:szCs w:val="24"/>
                <w:highlight w:val="none"/>
              </w:rPr>
            </w:pPr>
          </w:p>
        </w:tc>
      </w:tr>
      <w:tr w14:paraId="7622C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014" w:type="dxa"/>
            <w:vMerge w:val="continue"/>
            <w:tcBorders>
              <w:left w:val="single" w:color="auto" w:sz="4" w:space="0"/>
              <w:right w:val="single" w:color="auto" w:sz="4" w:space="0"/>
            </w:tcBorders>
            <w:noWrap w:val="0"/>
            <w:vAlign w:val="center"/>
          </w:tcPr>
          <w:p w14:paraId="5A9468BF">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E28E488">
            <w:pPr>
              <w:widowControl/>
              <w:shd w:val="clear" w:color="auto" w:fill="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22" w:type="dxa"/>
            <w:tcBorders>
              <w:top w:val="single" w:color="auto" w:sz="4" w:space="0"/>
              <w:left w:val="single" w:color="auto" w:sz="4" w:space="0"/>
              <w:bottom w:val="single" w:color="auto" w:sz="4" w:space="0"/>
              <w:right w:val="single" w:color="auto" w:sz="4" w:space="0"/>
            </w:tcBorders>
            <w:noWrap w:val="0"/>
            <w:vAlign w:val="center"/>
          </w:tcPr>
          <w:p w14:paraId="60FED4DA">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投标人详细地址、联系人、电话</w:t>
            </w:r>
            <w:r>
              <w:rPr>
                <w:rFonts w:hint="eastAsia" w:ascii="仿宋" w:hAnsi="仿宋" w:eastAsia="仿宋" w:cs="仿宋"/>
                <w:color w:val="auto"/>
                <w:sz w:val="24"/>
                <w:szCs w:val="24"/>
                <w:highlight w:val="none"/>
                <w:lang w:eastAsia="zh-CN"/>
              </w:rPr>
              <w:t>；</w:t>
            </w:r>
          </w:p>
        </w:tc>
        <w:tc>
          <w:tcPr>
            <w:tcW w:w="463" w:type="dxa"/>
            <w:tcBorders>
              <w:top w:val="single" w:color="auto" w:sz="4" w:space="0"/>
              <w:left w:val="single" w:color="auto" w:sz="4" w:space="0"/>
              <w:bottom w:val="single" w:color="auto" w:sz="4" w:space="0"/>
              <w:right w:val="single" w:color="auto" w:sz="4" w:space="0"/>
            </w:tcBorders>
            <w:noWrap w:val="0"/>
            <w:vAlign w:val="top"/>
          </w:tcPr>
          <w:p w14:paraId="3725C0E6">
            <w:pPr>
              <w:shd w:val="clear" w:color="auto" w:fill="auto"/>
              <w:outlineLvl w:val="9"/>
              <w:rPr>
                <w:rFonts w:hint="eastAsia" w:ascii="仿宋" w:hAnsi="仿宋" w:eastAsia="仿宋" w:cs="仿宋"/>
                <w:color w:val="auto"/>
                <w:sz w:val="24"/>
                <w:szCs w:val="24"/>
                <w:highlight w:val="none"/>
              </w:rPr>
            </w:pPr>
          </w:p>
        </w:tc>
        <w:tc>
          <w:tcPr>
            <w:tcW w:w="559" w:type="dxa"/>
            <w:tcBorders>
              <w:top w:val="single" w:color="auto" w:sz="4" w:space="0"/>
              <w:left w:val="single" w:color="auto" w:sz="4" w:space="0"/>
              <w:bottom w:val="single" w:color="auto" w:sz="4" w:space="0"/>
              <w:right w:val="single" w:color="auto" w:sz="4" w:space="0"/>
            </w:tcBorders>
            <w:noWrap w:val="0"/>
            <w:vAlign w:val="top"/>
          </w:tcPr>
          <w:p w14:paraId="1AD6C3C5">
            <w:pPr>
              <w:shd w:val="clear" w:color="auto" w:fill="auto"/>
              <w:outlineLvl w:val="9"/>
              <w:rPr>
                <w:rFonts w:hint="eastAsia" w:ascii="仿宋" w:hAnsi="仿宋" w:eastAsia="仿宋" w:cs="仿宋"/>
                <w:color w:val="auto"/>
                <w:sz w:val="24"/>
                <w:szCs w:val="24"/>
                <w:highlight w:val="none"/>
              </w:rPr>
            </w:pPr>
          </w:p>
        </w:tc>
      </w:tr>
      <w:tr w14:paraId="1EDCF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14" w:type="dxa"/>
            <w:tcBorders>
              <w:left w:val="single" w:color="auto" w:sz="4" w:space="0"/>
              <w:bottom w:val="single" w:color="auto" w:sz="4" w:space="0"/>
              <w:right w:val="single" w:color="auto" w:sz="4" w:space="0"/>
            </w:tcBorders>
            <w:noWrap w:val="0"/>
            <w:vAlign w:val="center"/>
          </w:tcPr>
          <w:p w14:paraId="65BDC465">
            <w:pPr>
              <w:shd w:val="clear" w:color="auto" w:fill="auto"/>
              <w:jc w:val="center"/>
              <w:outlineLvl w:val="9"/>
              <w:rPr>
                <w:rFonts w:hint="eastAsia" w:ascii="仿宋" w:hAnsi="仿宋" w:eastAsia="仿宋" w:cs="仿宋"/>
                <w:color w:val="auto"/>
                <w:sz w:val="24"/>
                <w:szCs w:val="24"/>
                <w:highlight w:val="none"/>
              </w:rPr>
            </w:pPr>
          </w:p>
        </w:tc>
        <w:tc>
          <w:tcPr>
            <w:tcW w:w="7399" w:type="dxa"/>
            <w:gridSpan w:val="2"/>
            <w:tcBorders>
              <w:left w:val="single" w:color="auto" w:sz="4" w:space="0"/>
              <w:bottom w:val="single" w:color="auto" w:sz="4" w:space="0"/>
              <w:right w:val="single" w:color="auto" w:sz="4" w:space="0"/>
            </w:tcBorders>
            <w:noWrap w:val="0"/>
            <w:vAlign w:val="top"/>
          </w:tcPr>
          <w:p w14:paraId="3BE2EBC4">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14:paraId="41517A8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022" w:type="dxa"/>
            <w:gridSpan w:val="2"/>
            <w:tcBorders>
              <w:left w:val="single" w:color="auto" w:sz="4" w:space="0"/>
              <w:bottom w:val="single" w:color="auto" w:sz="4" w:space="0"/>
              <w:right w:val="single" w:color="auto" w:sz="4" w:space="0"/>
            </w:tcBorders>
            <w:noWrap w:val="0"/>
            <w:vAlign w:val="top"/>
          </w:tcPr>
          <w:p w14:paraId="4EA50957">
            <w:pPr>
              <w:shd w:val="clear" w:color="auto" w:fill="auto"/>
              <w:outlineLvl w:val="9"/>
              <w:rPr>
                <w:rFonts w:hint="eastAsia" w:ascii="仿宋" w:hAnsi="仿宋" w:eastAsia="仿宋" w:cs="仿宋"/>
                <w:color w:val="auto"/>
                <w:sz w:val="24"/>
                <w:szCs w:val="24"/>
                <w:highlight w:val="none"/>
              </w:rPr>
            </w:pPr>
          </w:p>
        </w:tc>
      </w:tr>
    </w:tbl>
    <w:p w14:paraId="4C5A6CE2">
      <w:pPr>
        <w:shd w:val="clear" w:color="auto" w:fill="auto"/>
        <w:bidi w:val="0"/>
        <w:outlineLvl w:val="9"/>
        <w:rPr>
          <w:rFonts w:hint="eastAsia" w:ascii="仿宋" w:hAnsi="仿宋" w:eastAsia="仿宋" w:cs="仿宋"/>
          <w:color w:val="auto"/>
          <w:sz w:val="24"/>
          <w:szCs w:val="24"/>
          <w:highlight w:val="none"/>
        </w:rPr>
      </w:pPr>
    </w:p>
    <w:p w14:paraId="4FD2B6C1">
      <w:pPr>
        <w:shd w:val="clear" w:color="auto" w:fill="auto"/>
        <w:spacing w:line="400" w:lineRule="exact"/>
        <w:ind w:firstLine="578" w:firstLineChars="24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.2评委会判定投标文件的响应性只根据投标文件本身的内容，而不寻求外部的证据，但投标有不真实不正确的内容时除外。</w:t>
      </w:r>
    </w:p>
    <w:p w14:paraId="1427C4E1">
      <w:pPr>
        <w:shd w:val="clear" w:color="auto" w:fill="auto"/>
        <w:spacing w:line="400" w:lineRule="exact"/>
        <w:ind w:firstLine="578" w:firstLineChars="24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.3如果投标文件实质上没有响应</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的要求，评委会将予以拒绝，投标人不得通过修正或撤销不符合要求的偏离或保留，而使其投标成为实质上响应的投标。</w:t>
      </w:r>
    </w:p>
    <w:p w14:paraId="17072FE0">
      <w:pPr>
        <w:shd w:val="clear" w:color="auto" w:fill="auto"/>
        <w:spacing w:line="40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.4投标人可在现场20分钟内对评标委员会的评审结论提出异议，评标委员会根据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及有关规定对投标人的异议进行复议</w:t>
      </w:r>
      <w:r>
        <w:rPr>
          <w:rFonts w:hint="eastAsia" w:ascii="仿宋" w:hAnsi="仿宋" w:eastAsia="仿宋" w:cs="仿宋"/>
          <w:color w:val="auto"/>
          <w:sz w:val="24"/>
          <w:szCs w:val="24"/>
          <w:highlight w:val="none"/>
          <w:lang w:eastAsia="zh-CN"/>
        </w:rPr>
        <w:t>。</w:t>
      </w:r>
    </w:p>
    <w:p w14:paraId="6EBC5507">
      <w:pPr>
        <w:shd w:val="clear" w:color="auto" w:fill="auto"/>
        <w:spacing w:line="40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.5只有通过初审的投标人才能进入下一步评标程序。</w:t>
      </w:r>
    </w:p>
    <w:p w14:paraId="76D554B7">
      <w:pPr>
        <w:shd w:val="clear" w:color="auto" w:fill="auto"/>
        <w:spacing w:line="40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053048F9">
      <w:pPr>
        <w:shd w:val="clear" w:color="auto" w:fill="auto"/>
        <w:spacing w:before="156" w:beforeLines="50" w:line="400" w:lineRule="exact"/>
        <w:jc w:val="center"/>
        <w:outlineLvl w:val="9"/>
        <w:rPr>
          <w:rFonts w:hint="eastAsia" w:ascii="仿宋" w:hAnsi="仿宋" w:eastAsia="仿宋" w:cs="仿宋"/>
          <w:b/>
          <w:color w:val="auto"/>
          <w:sz w:val="24"/>
          <w:szCs w:val="24"/>
          <w:highlight w:val="none"/>
        </w:rPr>
      </w:pPr>
      <w:bookmarkStart w:id="54" w:name="_Toc469495734"/>
      <w:bookmarkStart w:id="55" w:name="_Toc362983803"/>
      <w:r>
        <w:rPr>
          <w:rFonts w:hint="eastAsia" w:ascii="仿宋" w:hAnsi="仿宋" w:eastAsia="仿宋" w:cs="仿宋"/>
          <w:b/>
          <w:color w:val="auto"/>
          <w:sz w:val="24"/>
          <w:szCs w:val="24"/>
          <w:highlight w:val="none"/>
        </w:rPr>
        <w:t>三  投标文件的澄清和补正</w:t>
      </w:r>
      <w:bookmarkEnd w:id="54"/>
      <w:bookmarkEnd w:id="55"/>
    </w:p>
    <w:p w14:paraId="72A8A95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8．澄清、说明或补正的形式</w:t>
      </w:r>
    </w:p>
    <w:p w14:paraId="11C9D0F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55D982B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E06219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98758B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9．错误修正的原则</w:t>
      </w:r>
    </w:p>
    <w:p w14:paraId="21B3B76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2844892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14:paraId="460733D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9.1 投标函中表述的内容与报价表中不一致的，以报价表为准；报价表中的内容与报价明细表不一致的，以报价表为准；</w:t>
      </w:r>
    </w:p>
    <w:p w14:paraId="3C72A47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9.2 投标文件中的大写金额和小写金额不一致的，以大写金额为准；</w:t>
      </w:r>
    </w:p>
    <w:p w14:paraId="72840B1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9.3 单价金额小数点或者百分比有明显错位的，以开标一览表的总价为准，并修改单价；</w:t>
      </w:r>
    </w:p>
    <w:p w14:paraId="7B21881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9.4 总价金额与按单价汇总金额不一致的，以单价金额计算结果为准；</w:t>
      </w:r>
    </w:p>
    <w:p w14:paraId="4C80AA0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9.5 若用文字表示的数值与用数字表示的数值不一致，以文字表示的数值为准；</w:t>
      </w:r>
    </w:p>
    <w:p w14:paraId="38A62A5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9.6 如有多报（指数量超出采购文件需求）、重报（指同一服务重复报价），其投标总价在评标过程中不予调整，如其中标，其合同价按其投标单价予以调整；</w:t>
      </w:r>
    </w:p>
    <w:p w14:paraId="0DCB0B9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9.7 对不同文字文本投标文件的解释发生异议的，以中文文本为准；</w:t>
      </w:r>
    </w:p>
    <w:p w14:paraId="41F4823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452BA3B0">
      <w:pPr>
        <w:shd w:val="clear" w:color="auto" w:fill="auto"/>
        <w:spacing w:line="400" w:lineRule="exact"/>
        <w:ind w:firstLine="460" w:firstLineChars="192"/>
        <w:outlineLvl w:val="9"/>
        <w:rPr>
          <w:rFonts w:hint="eastAsia" w:ascii="仿宋" w:hAnsi="仿宋" w:eastAsia="仿宋" w:cs="仿宋"/>
          <w:color w:val="auto"/>
          <w:sz w:val="24"/>
          <w:szCs w:val="24"/>
          <w:highlight w:val="none"/>
        </w:rPr>
      </w:pPr>
    </w:p>
    <w:p w14:paraId="706A447F">
      <w:pPr>
        <w:shd w:val="clear" w:color="auto" w:fill="auto"/>
        <w:spacing w:line="400" w:lineRule="exact"/>
        <w:jc w:val="center"/>
        <w:outlineLvl w:val="9"/>
        <w:rPr>
          <w:rFonts w:hint="eastAsia" w:ascii="仿宋" w:hAnsi="仿宋" w:eastAsia="仿宋" w:cs="仿宋"/>
          <w:b/>
          <w:color w:val="auto"/>
          <w:sz w:val="24"/>
          <w:szCs w:val="24"/>
          <w:highlight w:val="none"/>
        </w:rPr>
      </w:pPr>
      <w:bookmarkStart w:id="56" w:name="_Toc469495735"/>
      <w:r>
        <w:rPr>
          <w:rFonts w:hint="eastAsia" w:ascii="仿宋" w:hAnsi="仿宋" w:eastAsia="仿宋" w:cs="仿宋"/>
          <w:b/>
          <w:color w:val="auto"/>
          <w:sz w:val="24"/>
          <w:szCs w:val="24"/>
          <w:highlight w:val="none"/>
        </w:rPr>
        <w:t>四 比较与评价</w:t>
      </w:r>
      <w:bookmarkEnd w:id="56"/>
    </w:p>
    <w:p w14:paraId="6C932D35">
      <w:pPr>
        <w:shd w:val="clear" w:color="auto" w:fill="auto"/>
        <w:tabs>
          <w:tab w:val="left" w:pos="720"/>
        </w:tabs>
        <w:spacing w:line="440" w:lineRule="exact"/>
        <w:ind w:firstLine="612" w:firstLineChars="255"/>
        <w:outlineLvl w:val="9"/>
        <w:rPr>
          <w:rFonts w:hint="eastAsia" w:ascii="仿宋" w:hAnsi="仿宋" w:eastAsia="仿宋" w:cs="仿宋"/>
          <w:color w:val="auto"/>
          <w:sz w:val="24"/>
          <w:szCs w:val="24"/>
          <w:highlight w:val="none"/>
          <w:lang w:bidi="ar-SA"/>
        </w:rPr>
      </w:pPr>
      <w:bookmarkStart w:id="57" w:name="_Toc469495736"/>
      <w:bookmarkStart w:id="58" w:name="_Toc362983805"/>
      <w:r>
        <w:rPr>
          <w:rFonts w:hint="eastAsia" w:ascii="仿宋" w:hAnsi="仿宋" w:eastAsia="仿宋" w:cs="仿宋"/>
          <w:color w:val="auto"/>
          <w:sz w:val="24"/>
          <w:szCs w:val="24"/>
          <w:highlight w:val="none"/>
          <w:lang w:val="en-US" w:eastAsia="zh-CN" w:bidi="ar-SA"/>
        </w:rPr>
        <w:t>10.1</w:t>
      </w:r>
      <w:r>
        <w:rPr>
          <w:rFonts w:hint="eastAsia" w:ascii="仿宋" w:hAnsi="仿宋" w:eastAsia="仿宋" w:cs="仿宋"/>
          <w:color w:val="auto"/>
          <w:sz w:val="24"/>
          <w:szCs w:val="24"/>
          <w:highlight w:val="none"/>
          <w:lang w:bidi="ar-SA"/>
        </w:rPr>
        <w:t>评标委员会按招标文件中规定的评标方法和标准，对资格性检查和符合性检查合格的投标文件进行商务和技术评估、综合比较与评价。</w:t>
      </w:r>
    </w:p>
    <w:p w14:paraId="129B4EE0">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val="en-US" w:eastAsia="zh-CN" w:bidi="ar-SA"/>
        </w:rPr>
        <w:t>10.2</w:t>
      </w:r>
      <w:r>
        <w:rPr>
          <w:rFonts w:hint="eastAsia" w:ascii="仿宋" w:hAnsi="仿宋" w:eastAsia="仿宋" w:cs="仿宋"/>
          <w:color w:val="auto"/>
          <w:sz w:val="24"/>
          <w:szCs w:val="24"/>
          <w:highlight w:val="none"/>
          <w:lang w:bidi="ar-SA"/>
        </w:rPr>
        <w:t>评标委员会根据商务和技术评估的结果，采用综合评分法，分别对投标文件的商务、技术、价格等内容进行打分。其中，商务评估、技术评估、价格评估的评分权值（详见附件1）。</w:t>
      </w:r>
    </w:p>
    <w:p w14:paraId="455A35A3">
      <w:pPr>
        <w:shd w:val="clear" w:color="auto" w:fill="auto"/>
        <w:spacing w:line="440" w:lineRule="exact"/>
        <w:ind w:firstLine="616" w:firstLineChars="257"/>
        <w:outlineLvl w:val="9"/>
        <w:rPr>
          <w:rFonts w:hint="eastAsia" w:ascii="仿宋" w:hAnsi="仿宋" w:eastAsia="仿宋" w:cs="仿宋"/>
          <w:bCs/>
          <w:color w:val="auto"/>
          <w:sz w:val="24"/>
          <w:szCs w:val="24"/>
          <w:highlight w:val="none"/>
          <w:lang w:bidi="ar-SA"/>
        </w:rPr>
      </w:pPr>
      <w:r>
        <w:rPr>
          <w:rFonts w:hint="eastAsia" w:ascii="仿宋" w:hAnsi="仿宋" w:eastAsia="仿宋" w:cs="仿宋"/>
          <w:color w:val="auto"/>
          <w:sz w:val="24"/>
          <w:szCs w:val="24"/>
          <w:highlight w:val="none"/>
          <w:lang w:val="en-US" w:eastAsia="zh-CN" w:bidi="ar-SA"/>
        </w:rPr>
        <w:t>10.</w:t>
      </w:r>
      <w:r>
        <w:rPr>
          <w:rFonts w:hint="eastAsia" w:ascii="仿宋" w:hAnsi="仿宋" w:eastAsia="仿宋" w:cs="仿宋"/>
          <w:bCs/>
          <w:color w:val="auto"/>
          <w:sz w:val="24"/>
          <w:szCs w:val="24"/>
          <w:highlight w:val="none"/>
          <w:lang w:val="en-US" w:eastAsia="zh-CN" w:bidi="ar-SA"/>
        </w:rPr>
        <w:t>2.1</w:t>
      </w:r>
      <w:r>
        <w:rPr>
          <w:rFonts w:hint="eastAsia" w:ascii="仿宋" w:hAnsi="仿宋" w:eastAsia="仿宋" w:cs="仿宋"/>
          <w:bCs/>
          <w:color w:val="auto"/>
          <w:sz w:val="24"/>
          <w:szCs w:val="24"/>
          <w:highlight w:val="none"/>
          <w:lang w:bidi="ar-SA"/>
        </w:rPr>
        <w:t>评委打分办法</w:t>
      </w:r>
    </w:p>
    <w:p w14:paraId="69430684">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bCs/>
          <w:color w:val="auto"/>
          <w:sz w:val="24"/>
          <w:szCs w:val="24"/>
          <w:highlight w:val="none"/>
          <w:lang w:bidi="ar-SA"/>
        </w:rPr>
        <w:t>（1）</w:t>
      </w:r>
      <w:r>
        <w:rPr>
          <w:rFonts w:hint="eastAsia" w:ascii="仿宋" w:hAnsi="仿宋" w:eastAsia="仿宋" w:cs="仿宋"/>
          <w:color w:val="auto"/>
          <w:sz w:val="24"/>
          <w:szCs w:val="24"/>
          <w:highlight w:val="none"/>
          <w:lang w:bidi="ar-SA"/>
        </w:rPr>
        <w:t>参加评分的评委应尽力体现客观、实事求是，避免学派偏见和个人偏好。</w:t>
      </w:r>
    </w:p>
    <w:p w14:paraId="6E6D8CB1">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（2）衡量、对比的依据，应以招标文件、投标文件、提供的正式试验数据、质询澄清中的文字为准，口头回答和收集的资料只作为参考。</w:t>
      </w:r>
    </w:p>
    <w:p w14:paraId="1B4672D5">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（3）评分主要是为比较各投标人的价格、商务和技术综合排序。</w:t>
      </w:r>
    </w:p>
    <w:p w14:paraId="51043AD0">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（4）评委打分采取记名形式。</w:t>
      </w:r>
    </w:p>
    <w:p w14:paraId="6ED897D5">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（5）各评委根据提供的技术打分表独立自主打分，任何人不得要求评委统一打分或统一确定等次顺序。</w:t>
      </w:r>
    </w:p>
    <w:p w14:paraId="1AED2918">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（6）对打分表中的每项条款，各评委应根据投标文件、澄清材料、招标文件要求，按满足的程度给投标人打分。</w:t>
      </w:r>
    </w:p>
    <w:p w14:paraId="5ACFADC1">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（7）评分程序</w:t>
      </w:r>
    </w:p>
    <w:p w14:paraId="74884E69">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1)就投标人的投标文件对照整理出商务、技术评标因素对比表、偏差表，并在经过校核的基础上逐项打分。</w:t>
      </w:r>
    </w:p>
    <w:p w14:paraId="648D7602">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2)各评委独立完成打分后，将评分表交给代理机构，由代理机构组织进行分数统计。</w:t>
      </w:r>
    </w:p>
    <w:p w14:paraId="6B4C4F6C">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3)最终汇总表中各投标人得分应为评委打分的算术平均值。</w:t>
      </w:r>
    </w:p>
    <w:p w14:paraId="3FDDC008">
      <w:pPr>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br w:type="page"/>
      </w:r>
    </w:p>
    <w:p w14:paraId="22FAEB09">
      <w:pPr>
        <w:pStyle w:val="5"/>
        <w:rPr>
          <w:rFonts w:hint="eastAsia"/>
        </w:rPr>
      </w:pPr>
    </w:p>
    <w:p w14:paraId="428294B5">
      <w:pPr>
        <w:numPr>
          <w:ilvl w:val="0"/>
          <w:numId w:val="9"/>
        </w:numPr>
        <w:shd w:val="clear" w:color="auto" w:fill="auto"/>
        <w:spacing w:line="500" w:lineRule="exact"/>
        <w:jc w:val="left"/>
        <w:outlineLvl w:val="9"/>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评分标准和细则（综合评分法评分标准）</w:t>
      </w:r>
    </w:p>
    <w:p w14:paraId="7D6FDCB8">
      <w:pPr>
        <w:numPr>
          <w:ilvl w:val="0"/>
          <w:numId w:val="0"/>
        </w:numPr>
        <w:shd w:val="clear" w:color="auto" w:fill="auto"/>
        <w:spacing w:line="500" w:lineRule="exact"/>
        <w:ind w:firstLine="723" w:firstLineChars="300"/>
        <w:jc w:val="left"/>
        <w:outlineLvl w:val="9"/>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对实质性响应的投标文件进行评估和比较采用综合评分法进行打分评比，打分方法：总分为100分，其中价格因素占30分，商务因素、技术因素占70分。将每位投标人的价格得分、商务得分、技术得分相加即为该投标人的总得分。详细评分标准如下：</w:t>
      </w:r>
    </w:p>
    <w:p w14:paraId="5D6D14FC">
      <w:pPr>
        <w:adjustRightInd w:val="0"/>
        <w:snapToGrid w:val="0"/>
        <w:spacing w:line="360" w:lineRule="auto"/>
        <w:ind w:firstLine="562" w:firstLineChars="20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详细评分标准表（</w:t>
      </w:r>
      <w:r>
        <w:rPr>
          <w:rFonts w:hint="eastAsia" w:ascii="仿宋" w:hAnsi="仿宋" w:eastAsia="仿宋" w:cs="仿宋"/>
          <w:b/>
          <w:bCs/>
          <w:color w:val="000000"/>
          <w:sz w:val="28"/>
          <w:szCs w:val="28"/>
          <w:highlight w:val="none"/>
          <w:lang w:eastAsia="zh-CN"/>
        </w:rPr>
        <w:t>适用于</w:t>
      </w:r>
      <w:r>
        <w:rPr>
          <w:rFonts w:hint="eastAsia" w:ascii="仿宋" w:hAnsi="仿宋" w:eastAsia="仿宋" w:cs="仿宋"/>
          <w:b/>
          <w:bCs/>
          <w:color w:val="000000"/>
          <w:sz w:val="28"/>
          <w:szCs w:val="28"/>
          <w:highlight w:val="none"/>
          <w:lang w:val="en-US" w:eastAsia="zh-CN"/>
        </w:rPr>
        <w:t>1包、2</w:t>
      </w:r>
      <w:r>
        <w:rPr>
          <w:rFonts w:hint="eastAsia" w:ascii="仿宋" w:hAnsi="仿宋" w:eastAsia="仿宋" w:cs="仿宋"/>
          <w:b/>
          <w:bCs/>
          <w:color w:val="000000"/>
          <w:sz w:val="28"/>
          <w:szCs w:val="28"/>
          <w:highlight w:val="none"/>
        </w:rPr>
        <w:t>包）</w:t>
      </w:r>
    </w:p>
    <w:p w14:paraId="7F332B7A">
      <w:pPr>
        <w:adjustRightInd w:val="0"/>
        <w:snapToGrid w:val="0"/>
        <w:spacing w:line="360" w:lineRule="auto"/>
        <w:ind w:firstLine="420" w:firstLineChars="200"/>
        <w:rPr>
          <w:rFonts w:hint="eastAsia" w:ascii="宋体" w:hAnsi="宋体" w:eastAsia="宋体" w:cs="宋体"/>
          <w:color w:val="000000"/>
          <w:sz w:val="21"/>
          <w:szCs w:val="21"/>
          <w:highlight w:val="none"/>
        </w:rPr>
      </w:pPr>
    </w:p>
    <w:p w14:paraId="61075097">
      <w:pPr>
        <w:spacing w:line="143" w:lineRule="exact"/>
        <w:rPr>
          <w:rFonts w:hint="eastAsia" w:ascii="宋体" w:hAnsi="宋体" w:eastAsia="宋体" w:cs="宋体"/>
          <w:color w:val="000000"/>
          <w:sz w:val="21"/>
          <w:szCs w:val="21"/>
        </w:rPr>
      </w:pPr>
    </w:p>
    <w:tbl>
      <w:tblPr>
        <w:tblStyle w:val="46"/>
        <w:tblW w:w="9908" w:type="dxa"/>
        <w:tblInd w:w="-2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075"/>
        <w:gridCol w:w="1525"/>
        <w:gridCol w:w="6545"/>
      </w:tblGrid>
      <w:tr w14:paraId="39B65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63" w:type="dxa"/>
            <w:noWrap w:val="0"/>
            <w:vAlign w:val="top"/>
          </w:tcPr>
          <w:p w14:paraId="4B342F58">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序号</w:t>
            </w:r>
          </w:p>
        </w:tc>
        <w:tc>
          <w:tcPr>
            <w:tcW w:w="1075" w:type="dxa"/>
            <w:noWrap w:val="0"/>
            <w:vAlign w:val="top"/>
          </w:tcPr>
          <w:p w14:paraId="5A1DF699">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评标因素</w:t>
            </w:r>
          </w:p>
        </w:tc>
        <w:tc>
          <w:tcPr>
            <w:tcW w:w="1525" w:type="dxa"/>
            <w:noWrap w:val="0"/>
            <w:vAlign w:val="top"/>
          </w:tcPr>
          <w:p w14:paraId="51BA5DB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分值</w:t>
            </w:r>
          </w:p>
        </w:tc>
        <w:tc>
          <w:tcPr>
            <w:tcW w:w="6545" w:type="dxa"/>
            <w:noWrap w:val="0"/>
            <w:vAlign w:val="top"/>
          </w:tcPr>
          <w:p w14:paraId="42E892F7">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评分说明</w:t>
            </w:r>
          </w:p>
        </w:tc>
      </w:tr>
      <w:tr w14:paraId="1C414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763" w:type="dxa"/>
            <w:tcBorders>
              <w:bottom w:val="single" w:color="auto" w:sz="4" w:space="0"/>
            </w:tcBorders>
            <w:noWrap w:val="0"/>
            <w:vAlign w:val="center"/>
          </w:tcPr>
          <w:p w14:paraId="3273D29B">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1</w:t>
            </w:r>
          </w:p>
        </w:tc>
        <w:tc>
          <w:tcPr>
            <w:tcW w:w="1075" w:type="dxa"/>
            <w:tcBorders>
              <w:bottom w:val="single" w:color="auto" w:sz="4" w:space="0"/>
            </w:tcBorders>
            <w:noWrap w:val="0"/>
            <w:vAlign w:val="center"/>
          </w:tcPr>
          <w:p w14:paraId="3DB522F7">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lang w:eastAsia="zh-CN"/>
              </w:rPr>
            </w:pPr>
            <w:r>
              <w:rPr>
                <w:rFonts w:hint="eastAsia" w:ascii="仿宋" w:hAnsi="仿宋" w:eastAsia="仿宋" w:cs="仿宋"/>
                <w:color w:val="000000"/>
                <w:spacing w:val="-1"/>
                <w:sz w:val="24"/>
                <w:szCs w:val="24"/>
              </w:rPr>
              <w:t>价格部分</w:t>
            </w:r>
            <w:r>
              <w:rPr>
                <w:rFonts w:hint="eastAsia" w:ascii="仿宋" w:hAnsi="仿宋" w:eastAsia="仿宋" w:cs="仿宋"/>
                <w:color w:val="000000"/>
                <w:spacing w:val="-1"/>
                <w:sz w:val="24"/>
                <w:szCs w:val="24"/>
                <w:lang w:eastAsia="zh-CN"/>
              </w:rPr>
              <w:t>（</w:t>
            </w:r>
            <w:r>
              <w:rPr>
                <w:rFonts w:hint="eastAsia" w:ascii="仿宋" w:hAnsi="仿宋" w:eastAsia="仿宋" w:cs="仿宋"/>
                <w:color w:val="000000"/>
                <w:spacing w:val="-1"/>
                <w:sz w:val="24"/>
                <w:szCs w:val="24"/>
                <w:lang w:val="en-US" w:eastAsia="zh-CN"/>
              </w:rPr>
              <w:t>30分</w:t>
            </w:r>
            <w:r>
              <w:rPr>
                <w:rFonts w:hint="eastAsia" w:ascii="仿宋" w:hAnsi="仿宋" w:eastAsia="仿宋" w:cs="仿宋"/>
                <w:color w:val="000000"/>
                <w:spacing w:val="-1"/>
                <w:sz w:val="24"/>
                <w:szCs w:val="24"/>
                <w:lang w:eastAsia="zh-CN"/>
              </w:rPr>
              <w:t>）</w:t>
            </w:r>
          </w:p>
        </w:tc>
        <w:tc>
          <w:tcPr>
            <w:tcW w:w="1525" w:type="dxa"/>
            <w:tcBorders>
              <w:bottom w:val="single" w:color="auto" w:sz="4" w:space="0"/>
            </w:tcBorders>
            <w:noWrap w:val="0"/>
            <w:vAlign w:val="center"/>
          </w:tcPr>
          <w:p w14:paraId="1A65BB85">
            <w:pPr>
              <w:pStyle w:val="45"/>
              <w:keepNext w:val="0"/>
              <w:keepLines w:val="0"/>
              <w:pageBreakBefore w:val="0"/>
              <w:widowControl w:val="0"/>
              <w:kinsoku/>
              <w:wordWrap/>
              <w:overflowPunct/>
              <w:topLinePunct w:val="0"/>
              <w:autoSpaceDE/>
              <w:autoSpaceDN/>
              <w:bidi w:val="0"/>
              <w:adjustRightInd/>
              <w:snapToGrid/>
              <w:spacing w:before="88" w:line="400" w:lineRule="exact"/>
              <w:ind w:left="229" w:leftChars="109" w:right="62" w:firstLine="119" w:firstLineChars="50"/>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lang w:val="en-US" w:eastAsia="zh-CN"/>
              </w:rPr>
              <w:t>30</w:t>
            </w:r>
            <w:r>
              <w:rPr>
                <w:rFonts w:hint="eastAsia" w:ascii="仿宋" w:hAnsi="仿宋" w:eastAsia="仿宋" w:cs="仿宋"/>
                <w:color w:val="000000"/>
                <w:spacing w:val="-1"/>
                <w:sz w:val="24"/>
                <w:szCs w:val="24"/>
              </w:rPr>
              <w:t xml:space="preserve"> </w:t>
            </w:r>
            <w:r>
              <w:rPr>
                <w:rFonts w:hint="eastAsia" w:ascii="仿宋" w:hAnsi="仿宋" w:eastAsia="仿宋" w:cs="仿宋"/>
                <w:color w:val="000000"/>
                <w:spacing w:val="-1"/>
                <w:sz w:val="24"/>
                <w:szCs w:val="24"/>
                <w:lang w:eastAsia="zh-CN"/>
              </w:rPr>
              <w:t>（</w:t>
            </w:r>
            <w:r>
              <w:rPr>
                <w:rFonts w:hint="eastAsia" w:ascii="仿宋" w:hAnsi="仿宋" w:eastAsia="仿宋" w:cs="仿宋"/>
                <w:color w:val="000000"/>
                <w:spacing w:val="-1"/>
                <w:sz w:val="24"/>
                <w:szCs w:val="24"/>
              </w:rPr>
              <w:t>分</w:t>
            </w:r>
            <w:r>
              <w:rPr>
                <w:rFonts w:hint="eastAsia" w:ascii="仿宋" w:hAnsi="仿宋" w:eastAsia="仿宋" w:cs="仿宋"/>
                <w:color w:val="000000"/>
                <w:spacing w:val="-1"/>
                <w:sz w:val="24"/>
                <w:szCs w:val="24"/>
                <w:lang w:eastAsia="zh-CN"/>
              </w:rPr>
              <w:t>）</w:t>
            </w:r>
          </w:p>
        </w:tc>
        <w:tc>
          <w:tcPr>
            <w:tcW w:w="6545" w:type="dxa"/>
            <w:tcBorders>
              <w:bottom w:val="single" w:color="auto" w:sz="4" w:space="0"/>
            </w:tcBorders>
            <w:noWrap w:val="0"/>
            <w:vAlign w:val="top"/>
          </w:tcPr>
          <w:p w14:paraId="49A328B4">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 xml:space="preserve">投标报价得分=（评标基准价/投标报价）*价格权重*100 </w:t>
            </w:r>
          </w:p>
          <w:p w14:paraId="3A25C82D">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注：基准价=响应招标文件的最低投标报价</w:t>
            </w:r>
          </w:p>
        </w:tc>
      </w:tr>
      <w:tr w14:paraId="14A36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763" w:type="dxa"/>
            <w:vMerge w:val="restart"/>
            <w:tcBorders>
              <w:top w:val="single" w:color="auto" w:sz="4" w:space="0"/>
              <w:left w:val="single" w:color="auto" w:sz="4" w:space="0"/>
            </w:tcBorders>
            <w:noWrap w:val="0"/>
            <w:vAlign w:val="center"/>
          </w:tcPr>
          <w:p w14:paraId="0952E43B">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2</w:t>
            </w:r>
          </w:p>
        </w:tc>
        <w:tc>
          <w:tcPr>
            <w:tcW w:w="1075" w:type="dxa"/>
            <w:vMerge w:val="restart"/>
            <w:tcBorders>
              <w:top w:val="single" w:color="auto" w:sz="4" w:space="0"/>
            </w:tcBorders>
            <w:noWrap w:val="0"/>
            <w:vAlign w:val="center"/>
          </w:tcPr>
          <w:p w14:paraId="63097258">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rPr>
            </w:pPr>
          </w:p>
          <w:p w14:paraId="7307EF7A">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商务部分</w:t>
            </w:r>
          </w:p>
          <w:p w14:paraId="4C10353D">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1"/>
                <w:sz w:val="24"/>
                <w:szCs w:val="24"/>
                <w:lang w:val="en-US" w:eastAsia="zh-CN"/>
              </w:rPr>
              <w:t>9</w:t>
            </w:r>
            <w:r>
              <w:rPr>
                <w:rFonts w:hint="eastAsia" w:ascii="仿宋" w:hAnsi="仿宋" w:eastAsia="仿宋" w:cs="仿宋"/>
                <w:color w:val="000000"/>
                <w:spacing w:val="-1"/>
                <w:sz w:val="24"/>
                <w:szCs w:val="24"/>
              </w:rPr>
              <w:t>分）</w:t>
            </w:r>
          </w:p>
          <w:p w14:paraId="02DCCA35">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textAlignment w:val="auto"/>
              <w:rPr>
                <w:rFonts w:hint="eastAsia" w:ascii="仿宋" w:hAnsi="仿宋" w:eastAsia="仿宋" w:cs="仿宋"/>
                <w:color w:val="000000"/>
                <w:spacing w:val="-1"/>
                <w:sz w:val="24"/>
                <w:szCs w:val="24"/>
              </w:rPr>
            </w:pPr>
          </w:p>
          <w:p w14:paraId="1DB1DB40">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textAlignment w:val="auto"/>
              <w:rPr>
                <w:rFonts w:hint="eastAsia" w:ascii="仿宋" w:hAnsi="仿宋" w:eastAsia="仿宋" w:cs="仿宋"/>
                <w:color w:val="000000"/>
                <w:spacing w:val="-1"/>
                <w:sz w:val="24"/>
                <w:szCs w:val="24"/>
                <w:lang w:val="en-US" w:eastAsia="zh-CN"/>
              </w:rPr>
            </w:pPr>
          </w:p>
        </w:tc>
        <w:tc>
          <w:tcPr>
            <w:tcW w:w="1525" w:type="dxa"/>
            <w:tcBorders>
              <w:top w:val="single" w:color="auto" w:sz="4" w:space="0"/>
            </w:tcBorders>
            <w:noWrap w:val="0"/>
            <w:vAlign w:val="top"/>
          </w:tcPr>
          <w:p w14:paraId="4372D38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b w:val="0"/>
                <w:bCs w:val="0"/>
                <w:color w:val="000000"/>
                <w:sz w:val="24"/>
                <w:szCs w:val="24"/>
              </w:rPr>
            </w:pPr>
          </w:p>
          <w:p w14:paraId="67BE88E3">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b w:val="0"/>
                <w:bCs w:val="0"/>
                <w:color w:val="000000"/>
                <w:sz w:val="24"/>
                <w:szCs w:val="24"/>
              </w:rPr>
              <w:t>类似业绩</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6分</w:t>
            </w:r>
            <w:r>
              <w:rPr>
                <w:rFonts w:hint="eastAsia" w:ascii="仿宋" w:hAnsi="仿宋" w:eastAsia="仿宋" w:cs="仿宋"/>
                <w:b w:val="0"/>
                <w:bCs w:val="0"/>
                <w:color w:val="000000"/>
                <w:sz w:val="24"/>
                <w:szCs w:val="24"/>
                <w:lang w:eastAsia="zh-CN"/>
              </w:rPr>
              <w:t>）</w:t>
            </w:r>
          </w:p>
        </w:tc>
        <w:tc>
          <w:tcPr>
            <w:tcW w:w="6545" w:type="dxa"/>
            <w:tcBorders>
              <w:top w:val="single" w:color="auto" w:sz="4" w:space="0"/>
              <w:right w:val="single" w:color="auto" w:sz="4" w:space="0"/>
            </w:tcBorders>
            <w:noWrap w:val="0"/>
            <w:vAlign w:val="top"/>
          </w:tcPr>
          <w:p w14:paraId="2D9C4C79">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提供产品近三年内（以投标截止日往前推算三年内）类似业绩证明材料（投标文件内附中标通知书及合同扫描件），每提供一个得2分，最高得6分，无法辨认或未提供的不得分。</w:t>
            </w:r>
          </w:p>
          <w:p w14:paraId="0FF3CC43">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注：投标文件内附中标通知书及合同扫描件，未按要求提供的或无法认定的不得分。</w:t>
            </w:r>
          </w:p>
        </w:tc>
      </w:tr>
      <w:tr w14:paraId="27C42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63" w:type="dxa"/>
            <w:vMerge w:val="continue"/>
            <w:tcBorders>
              <w:left w:val="single" w:color="auto" w:sz="4" w:space="0"/>
            </w:tcBorders>
            <w:noWrap w:val="0"/>
            <w:vAlign w:val="center"/>
          </w:tcPr>
          <w:p w14:paraId="6202D3A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tc>
        <w:tc>
          <w:tcPr>
            <w:tcW w:w="1075" w:type="dxa"/>
            <w:vMerge w:val="continue"/>
            <w:noWrap w:val="0"/>
            <w:vAlign w:val="center"/>
          </w:tcPr>
          <w:p w14:paraId="50B80C30">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tcBorders>
              <w:top w:val="single" w:color="auto" w:sz="4" w:space="0"/>
            </w:tcBorders>
            <w:noWrap w:val="0"/>
            <w:vAlign w:val="center"/>
          </w:tcPr>
          <w:p w14:paraId="62C208CB">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检测报告</w:t>
            </w:r>
          </w:p>
          <w:p w14:paraId="798A03BD">
            <w:pPr>
              <w:pStyle w:val="45"/>
              <w:keepNext w:val="0"/>
              <w:keepLines w:val="0"/>
              <w:pageBreakBefore w:val="0"/>
              <w:widowControl w:val="0"/>
              <w:kinsoku/>
              <w:wordWrap/>
              <w:overflowPunct/>
              <w:topLinePunct w:val="0"/>
              <w:autoSpaceDE/>
              <w:autoSpaceDN/>
              <w:bidi w:val="0"/>
              <w:adjustRightInd/>
              <w:snapToGrid/>
              <w:spacing w:before="88" w:line="400" w:lineRule="exact"/>
              <w:ind w:left="120" w:leftChars="0" w:right="62" w:rightChars="0" w:hanging="120" w:hangingChars="50"/>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3分</w:t>
            </w:r>
            <w:r>
              <w:rPr>
                <w:rFonts w:hint="eastAsia" w:ascii="仿宋" w:hAnsi="仿宋" w:eastAsia="仿宋" w:cs="仿宋"/>
                <w:b w:val="0"/>
                <w:bCs w:val="0"/>
                <w:color w:val="000000"/>
                <w:sz w:val="24"/>
                <w:szCs w:val="24"/>
                <w:lang w:eastAsia="zh-CN"/>
              </w:rPr>
              <w:t>）</w:t>
            </w:r>
          </w:p>
        </w:tc>
        <w:tc>
          <w:tcPr>
            <w:tcW w:w="6545" w:type="dxa"/>
            <w:tcBorders>
              <w:top w:val="single" w:color="auto" w:sz="4" w:space="0"/>
              <w:right w:val="single" w:color="auto" w:sz="4" w:space="0"/>
            </w:tcBorders>
            <w:noWrap w:val="0"/>
            <w:vAlign w:val="top"/>
          </w:tcPr>
          <w:p w14:paraId="40C61AC3">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b w:val="0"/>
                <w:bCs w:val="0"/>
                <w:color w:val="000000"/>
                <w:spacing w:val="-1"/>
                <w:sz w:val="24"/>
                <w:szCs w:val="24"/>
                <w:highlight w:val="none"/>
                <w:lang w:val="en-US" w:eastAsia="zh-CN"/>
              </w:rPr>
              <w:t>提供核心设备完整的注册检测报告得3分，不提供或提供不全不得分。</w:t>
            </w:r>
          </w:p>
        </w:tc>
      </w:tr>
      <w:tr w14:paraId="6522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763" w:type="dxa"/>
            <w:vMerge w:val="restart"/>
            <w:tcBorders>
              <w:top w:val="single" w:color="auto" w:sz="4" w:space="0"/>
              <w:left w:val="single" w:color="auto" w:sz="4" w:space="0"/>
            </w:tcBorders>
            <w:noWrap w:val="0"/>
            <w:vAlign w:val="top"/>
          </w:tcPr>
          <w:p w14:paraId="436B2224">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6277556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1749910E">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1854A83E">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02EF69A4">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526A9E7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40863BBC">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644B4822">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both"/>
              <w:textAlignment w:val="auto"/>
              <w:rPr>
                <w:rFonts w:hint="eastAsia" w:ascii="仿宋" w:hAnsi="仿宋" w:eastAsia="仿宋" w:cs="仿宋"/>
                <w:color w:val="000000"/>
                <w:spacing w:val="-1"/>
                <w:sz w:val="24"/>
                <w:szCs w:val="24"/>
                <w:lang w:val="en-US" w:eastAsia="zh-CN"/>
              </w:rPr>
            </w:pPr>
          </w:p>
          <w:p w14:paraId="5C656BA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664D9B8F">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lang w:val="en-US" w:eastAsia="zh-CN"/>
              </w:rPr>
              <w:t>3</w:t>
            </w:r>
          </w:p>
        </w:tc>
        <w:tc>
          <w:tcPr>
            <w:tcW w:w="1075" w:type="dxa"/>
            <w:vMerge w:val="restart"/>
            <w:tcBorders>
              <w:top w:val="single" w:color="auto" w:sz="4" w:space="0"/>
            </w:tcBorders>
            <w:noWrap w:val="0"/>
            <w:vAlign w:val="top"/>
          </w:tcPr>
          <w:p w14:paraId="783C2192">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0CA70B4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000AAD3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77452578">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2DE5CD71">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7E31F10B">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3604ACB8">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both"/>
              <w:textAlignment w:val="auto"/>
              <w:rPr>
                <w:rFonts w:hint="eastAsia" w:ascii="仿宋" w:hAnsi="仿宋" w:eastAsia="仿宋" w:cs="仿宋"/>
                <w:color w:val="000000"/>
                <w:spacing w:val="-1"/>
                <w:sz w:val="24"/>
                <w:szCs w:val="24"/>
                <w:lang w:val="en-US" w:eastAsia="zh-CN"/>
              </w:rPr>
            </w:pPr>
          </w:p>
          <w:p w14:paraId="01D9BC82">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p>
          <w:p w14:paraId="5D1D289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技术部分</w:t>
            </w:r>
          </w:p>
          <w:p w14:paraId="63D105C2">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r>
              <w:rPr>
                <w:rFonts w:hint="eastAsia" w:ascii="仿宋" w:hAnsi="仿宋" w:eastAsia="仿宋" w:cs="仿宋"/>
                <w:color w:val="000000"/>
                <w:spacing w:val="-1"/>
                <w:sz w:val="24"/>
                <w:szCs w:val="24"/>
              </w:rPr>
              <w:t>（</w:t>
            </w:r>
            <w:r>
              <w:rPr>
                <w:rFonts w:hint="eastAsia" w:ascii="仿宋" w:hAnsi="仿宋" w:eastAsia="仿宋" w:cs="仿宋"/>
                <w:color w:val="000000"/>
                <w:spacing w:val="-1"/>
                <w:sz w:val="24"/>
                <w:szCs w:val="24"/>
                <w:lang w:val="en-US" w:eastAsia="zh-CN"/>
              </w:rPr>
              <w:t>61</w:t>
            </w:r>
            <w:r>
              <w:rPr>
                <w:rFonts w:hint="eastAsia" w:ascii="仿宋" w:hAnsi="仿宋" w:eastAsia="仿宋" w:cs="仿宋"/>
                <w:color w:val="000000"/>
                <w:spacing w:val="-1"/>
                <w:sz w:val="24"/>
                <w:szCs w:val="24"/>
              </w:rPr>
              <w:t>分）</w:t>
            </w:r>
          </w:p>
          <w:p w14:paraId="323C8F73">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3979E728">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产品符合性</w:t>
            </w:r>
          </w:p>
          <w:p w14:paraId="086846C1">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（35分）</w:t>
            </w:r>
          </w:p>
          <w:p w14:paraId="05F30A6F">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b w:val="0"/>
                <w:bCs w:val="0"/>
                <w:color w:val="000000"/>
                <w:sz w:val="24"/>
                <w:szCs w:val="24"/>
              </w:rPr>
            </w:pPr>
          </w:p>
        </w:tc>
        <w:tc>
          <w:tcPr>
            <w:tcW w:w="6545" w:type="dxa"/>
            <w:tcBorders>
              <w:right w:val="single" w:color="auto" w:sz="4" w:space="0"/>
            </w:tcBorders>
            <w:noWrap w:val="0"/>
            <w:vAlign w:val="top"/>
          </w:tcPr>
          <w:p w14:paraId="73014764">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供应商全部满足招标文件“采购内容及技术参数要求”技术要求的得满分；由专家评审，逐条确定是否达到技术要求，技术参数中凡是带“★”项有负偏离的，每有一项负偏离扣3分；技术参数中一般参数条款有负偏离的，每有一项负偏离扣1分，扣完为止。</w:t>
            </w:r>
          </w:p>
          <w:p w14:paraId="4872C688">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（注：</w:t>
            </w:r>
          </w:p>
          <w:p w14:paraId="4B936406">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①所提供产品技术参数低于招标文件要求的，视为负偏离；</w:t>
            </w:r>
          </w:p>
          <w:p w14:paraId="5BA39311">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②技术参数响应条款（以投标文件内技术偏离表为准）与招标文件对比有缺项、漏项的，视为负偏离；</w:t>
            </w:r>
          </w:p>
          <w:p w14:paraId="45B12FED">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③投标文件中未按技术要求提供证明材料的视为负偏离；</w:t>
            </w:r>
          </w:p>
          <w:p w14:paraId="4CDE897D">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④投标人提供的投标文件中产品技术偏离表、产品技术规格书和产品检测报告内等证明材料描述的同一产品技术参数响应值不一致的，视为负偏离。）</w:t>
            </w:r>
          </w:p>
        </w:tc>
      </w:tr>
      <w:tr w14:paraId="7E3CC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63" w:type="dxa"/>
            <w:vMerge w:val="continue"/>
            <w:tcBorders>
              <w:left w:val="single" w:color="auto" w:sz="4" w:space="0"/>
            </w:tcBorders>
            <w:noWrap w:val="0"/>
            <w:vAlign w:val="top"/>
          </w:tcPr>
          <w:p w14:paraId="33444795">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p>
        </w:tc>
        <w:tc>
          <w:tcPr>
            <w:tcW w:w="1075" w:type="dxa"/>
            <w:vMerge w:val="continue"/>
            <w:noWrap w:val="0"/>
            <w:vAlign w:val="top"/>
          </w:tcPr>
          <w:p w14:paraId="7FB72842">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5980912B">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供货计划</w:t>
            </w:r>
          </w:p>
          <w:p w14:paraId="03D26EAA">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color w:val="000000"/>
                <w:spacing w:val="-1"/>
                <w:sz w:val="24"/>
                <w:szCs w:val="24"/>
                <w:lang w:eastAsia="zh-CN"/>
              </w:rPr>
            </w:pPr>
            <w:r>
              <w:rPr>
                <w:rFonts w:hint="eastAsia" w:ascii="仿宋" w:hAnsi="仿宋" w:eastAsia="仿宋" w:cs="仿宋"/>
                <w:b w:val="0"/>
                <w:bCs w:val="0"/>
                <w:color w:val="000000"/>
                <w:sz w:val="24"/>
                <w:szCs w:val="24"/>
                <w:lang w:val="en-US" w:eastAsia="zh-CN"/>
              </w:rPr>
              <w:t>（8分）</w:t>
            </w:r>
          </w:p>
        </w:tc>
        <w:tc>
          <w:tcPr>
            <w:tcW w:w="6545" w:type="dxa"/>
            <w:tcBorders>
              <w:right w:val="single" w:color="auto" w:sz="4" w:space="0"/>
            </w:tcBorders>
            <w:noWrap w:val="0"/>
            <w:vAlign w:val="top"/>
          </w:tcPr>
          <w:p w14:paraId="2413F24B">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提供针对本项目的供货方案，包括：①供货计划；②供货流程安排；③供货时间安排；④供货渠道；⑤验收方案。每有一项内容得2分，每小项内容存在缺陷的扣1分，扣完为止，不提供不得分。（缺陷是指：与本项目采购标的无关、方案内容前后不一致、前后逻辑错误、涉及的相关规范及标准错误、地点区域错误、内容缺失、只有简单描述无实质性内容）</w:t>
            </w:r>
          </w:p>
        </w:tc>
      </w:tr>
      <w:tr w14:paraId="17D53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63" w:type="dxa"/>
            <w:vMerge w:val="continue"/>
            <w:tcBorders>
              <w:left w:val="single" w:color="auto" w:sz="4" w:space="0"/>
            </w:tcBorders>
            <w:noWrap w:val="0"/>
            <w:vAlign w:val="center"/>
          </w:tcPr>
          <w:p w14:paraId="0F1682D6">
            <w:pPr>
              <w:pStyle w:val="45"/>
              <w:keepNext w:val="0"/>
              <w:keepLines w:val="0"/>
              <w:pageBreakBefore w:val="0"/>
              <w:widowControl w:val="0"/>
              <w:kinsoku/>
              <w:wordWrap/>
              <w:overflowPunct/>
              <w:topLinePunct w:val="0"/>
              <w:autoSpaceDE/>
              <w:autoSpaceDN/>
              <w:bidi w:val="0"/>
              <w:adjustRightInd/>
              <w:snapToGrid/>
              <w:spacing w:before="88" w:line="400" w:lineRule="exact"/>
              <w:ind w:right="62"/>
              <w:jc w:val="center"/>
              <w:textAlignment w:val="auto"/>
              <w:rPr>
                <w:rFonts w:hint="eastAsia" w:ascii="仿宋" w:hAnsi="仿宋" w:eastAsia="仿宋" w:cs="仿宋"/>
                <w:color w:val="000000"/>
                <w:spacing w:val="-1"/>
                <w:sz w:val="24"/>
                <w:szCs w:val="24"/>
              </w:rPr>
            </w:pPr>
          </w:p>
        </w:tc>
        <w:tc>
          <w:tcPr>
            <w:tcW w:w="1075" w:type="dxa"/>
            <w:vMerge w:val="continue"/>
            <w:noWrap w:val="0"/>
            <w:vAlign w:val="center"/>
          </w:tcPr>
          <w:p w14:paraId="21E8C352">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030F08B1">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培训方案</w:t>
            </w:r>
          </w:p>
          <w:p w14:paraId="0D878BA7">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（8分）</w:t>
            </w:r>
          </w:p>
        </w:tc>
        <w:tc>
          <w:tcPr>
            <w:tcW w:w="6545" w:type="dxa"/>
            <w:tcBorders>
              <w:right w:val="single" w:color="auto" w:sz="4" w:space="0"/>
            </w:tcBorders>
            <w:noWrap w:val="0"/>
            <w:vAlign w:val="top"/>
          </w:tcPr>
          <w:p w14:paraId="1C0065D7">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培训计划情况，应含详细合理的培训方案（包含:①培训时间；②培训地点；③培训产品基本原理；④操作使用和保养维修；⑤培训方式⑥培训计划方案）方案中包含以上每项内容，且方案切实可行，满足采购方需求得8分，每有一项内容缺失的扣1.5分，每有一项内容阐述不全面、不符合项目实际情况、无法满足采购需求的扣1分，扣完为止，不提供不得分。</w:t>
            </w:r>
          </w:p>
        </w:tc>
      </w:tr>
      <w:tr w14:paraId="025E3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trPr>
        <w:tc>
          <w:tcPr>
            <w:tcW w:w="763" w:type="dxa"/>
            <w:vMerge w:val="continue"/>
            <w:tcBorders>
              <w:left w:val="single" w:color="auto" w:sz="4" w:space="0"/>
            </w:tcBorders>
            <w:noWrap w:val="0"/>
            <w:vAlign w:val="center"/>
          </w:tcPr>
          <w:p w14:paraId="4EA5E23F">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075" w:type="dxa"/>
            <w:vMerge w:val="continue"/>
            <w:noWrap w:val="0"/>
            <w:vAlign w:val="center"/>
          </w:tcPr>
          <w:p w14:paraId="32DFBDFC">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15A57E03">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质量保证</w:t>
            </w:r>
          </w:p>
          <w:p w14:paraId="13CEC8FD">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（5分）</w:t>
            </w:r>
          </w:p>
        </w:tc>
        <w:tc>
          <w:tcPr>
            <w:tcW w:w="6545" w:type="dxa"/>
            <w:tcBorders>
              <w:right w:val="single" w:color="auto" w:sz="4" w:space="0"/>
            </w:tcBorders>
            <w:noWrap w:val="0"/>
            <w:vAlign w:val="top"/>
          </w:tcPr>
          <w:p w14:paraId="00EABEFA">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zh-CN"/>
              </w:rPr>
            </w:pPr>
            <w:r>
              <w:rPr>
                <w:rFonts w:hint="eastAsia" w:ascii="仿宋" w:hAnsi="仿宋" w:eastAsia="仿宋" w:cs="仿宋"/>
                <w:color w:val="000000"/>
                <w:spacing w:val="-1"/>
                <w:sz w:val="24"/>
                <w:szCs w:val="24"/>
                <w:lang w:val="en-US" w:eastAsia="zh-CN"/>
              </w:rPr>
              <w:t>供应商根据本项目的采购需求制定售后方案，包括售后维保、免费更换、更换响应时间、更换的必要性、在任何时候、任何地点均可享受到终生的免费咨询服务。方案完整，逻辑清晰，贴合采购需求，可行性高的得5分；方案较为合理，可行性较高的得3分；方案结构混乱，不贴合本项目的采购需求得1分；未提供不得分。</w:t>
            </w:r>
          </w:p>
        </w:tc>
      </w:tr>
      <w:tr w14:paraId="2692F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763" w:type="dxa"/>
            <w:vMerge w:val="continue"/>
            <w:tcBorders>
              <w:left w:val="single" w:color="auto" w:sz="4" w:space="0"/>
            </w:tcBorders>
            <w:noWrap w:val="0"/>
            <w:vAlign w:val="center"/>
          </w:tcPr>
          <w:p w14:paraId="37AF3E12">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075" w:type="dxa"/>
            <w:vMerge w:val="continue"/>
            <w:noWrap w:val="0"/>
            <w:vAlign w:val="center"/>
          </w:tcPr>
          <w:p w14:paraId="2C4F2153">
            <w:pPr>
              <w:pStyle w:val="45"/>
              <w:keepNext w:val="0"/>
              <w:keepLines w:val="0"/>
              <w:pageBreakBefore w:val="0"/>
              <w:widowControl w:val="0"/>
              <w:kinsoku/>
              <w:wordWrap/>
              <w:overflowPunct/>
              <w:topLinePunct w:val="0"/>
              <w:autoSpaceDE/>
              <w:autoSpaceDN/>
              <w:bidi w:val="0"/>
              <w:adjustRightInd/>
              <w:snapToGrid/>
              <w:spacing w:before="88" w:line="400" w:lineRule="exact"/>
              <w:ind w:right="62"/>
              <w:textAlignment w:val="auto"/>
              <w:rPr>
                <w:rFonts w:hint="eastAsia" w:ascii="仿宋" w:hAnsi="仿宋" w:eastAsia="仿宋" w:cs="仿宋"/>
                <w:color w:val="000000"/>
                <w:spacing w:val="-1"/>
                <w:sz w:val="24"/>
                <w:szCs w:val="24"/>
              </w:rPr>
            </w:pPr>
          </w:p>
        </w:tc>
        <w:tc>
          <w:tcPr>
            <w:tcW w:w="1525" w:type="dxa"/>
            <w:noWrap w:val="0"/>
            <w:vAlign w:val="center"/>
          </w:tcPr>
          <w:p w14:paraId="3D860F10">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售后服务</w:t>
            </w:r>
          </w:p>
          <w:p w14:paraId="10C09006">
            <w:pPr>
              <w:pStyle w:val="45"/>
              <w:keepNext w:val="0"/>
              <w:keepLines w:val="0"/>
              <w:pageBreakBefore w:val="0"/>
              <w:widowControl w:val="0"/>
              <w:kinsoku/>
              <w:wordWrap/>
              <w:overflowPunct/>
              <w:topLinePunct w:val="0"/>
              <w:autoSpaceDE/>
              <w:autoSpaceDN/>
              <w:bidi w:val="0"/>
              <w:adjustRightInd/>
              <w:snapToGrid/>
              <w:spacing w:before="88" w:line="400" w:lineRule="exact"/>
              <w:ind w:left="0" w:leftChars="0" w:right="62" w:firstLine="0" w:firstLineChars="0"/>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（5分）</w:t>
            </w:r>
          </w:p>
        </w:tc>
        <w:tc>
          <w:tcPr>
            <w:tcW w:w="6545" w:type="dxa"/>
            <w:tcBorders>
              <w:right w:val="single" w:color="auto" w:sz="4" w:space="0"/>
            </w:tcBorders>
            <w:noWrap w:val="0"/>
            <w:vAlign w:val="top"/>
          </w:tcPr>
          <w:p w14:paraId="42A08880">
            <w:pPr>
              <w:pStyle w:val="45"/>
              <w:keepNext w:val="0"/>
              <w:keepLines w:val="0"/>
              <w:pageBreakBefore w:val="0"/>
              <w:widowControl w:val="0"/>
              <w:kinsoku/>
              <w:wordWrap/>
              <w:overflowPunct/>
              <w:topLinePunct w:val="0"/>
              <w:autoSpaceDE/>
              <w:autoSpaceDN/>
              <w:bidi w:val="0"/>
              <w:adjustRightInd/>
              <w:snapToGrid/>
              <w:spacing w:before="88" w:line="400" w:lineRule="exact"/>
              <w:ind w:left="0" w:right="62"/>
              <w:textAlignment w:val="auto"/>
              <w:rPr>
                <w:rFonts w:hint="eastAsia" w:ascii="仿宋" w:hAnsi="仿宋" w:eastAsia="仿宋" w:cs="仿宋"/>
                <w:color w:val="000000"/>
                <w:spacing w:val="-1"/>
                <w:sz w:val="24"/>
                <w:szCs w:val="24"/>
                <w:lang w:val="en-US" w:eastAsia="en-US"/>
              </w:rPr>
            </w:pPr>
            <w:r>
              <w:rPr>
                <w:rFonts w:hint="eastAsia" w:ascii="仿宋" w:hAnsi="仿宋" w:eastAsia="仿宋" w:cs="仿宋"/>
                <w:color w:val="000000"/>
                <w:spacing w:val="-1"/>
                <w:sz w:val="24"/>
                <w:szCs w:val="24"/>
                <w:lang w:val="en-US" w:eastAsia="zh-CN"/>
              </w:rPr>
              <w:t>供应商设有正规完善的售后维修服务机构，按照项目采购需求中要求进行更换，配备售后工程师，常备配件库房，提供配件库房资料、售后详细地址及新疆本地5名以上售后人员姓名、联系电话及身份证、近三个月社保证明复印件。人员要求资料齐全、方案合理可行得5分；人员要求资料较齐全、方案较合理可行得3分；人员要求资料不齐全、方案不合理可行得1分；未提供不得分。</w:t>
            </w:r>
          </w:p>
        </w:tc>
      </w:tr>
    </w:tbl>
    <w:p w14:paraId="32B3339B"/>
    <w:p w14:paraId="38774DCA">
      <w:pPr>
        <w:pStyle w:val="40"/>
        <w:shd w:val="clear" w:color="auto" w:fill="auto"/>
        <w:tabs>
          <w:tab w:val="left" w:pos="1701"/>
        </w:tabs>
        <w:spacing w:line="440" w:lineRule="exact"/>
        <w:ind w:left="0" w:leftChars="0" w:firstLine="0" w:firstLineChars="0"/>
        <w:outlineLvl w:val="9"/>
        <w:rPr>
          <w:rFonts w:hint="eastAsia" w:ascii="仿宋" w:hAnsi="仿宋" w:eastAsia="仿宋" w:cs="仿宋"/>
          <w:color w:val="auto"/>
          <w:sz w:val="24"/>
          <w:szCs w:val="24"/>
          <w:highlight w:val="none"/>
          <w:lang w:val="en-US" w:eastAsia="zh-CN" w:bidi="ar-SA"/>
        </w:rPr>
      </w:pPr>
    </w:p>
    <w:p w14:paraId="5606032E">
      <w:pPr>
        <w:pStyle w:val="40"/>
        <w:shd w:val="clear" w:color="auto" w:fill="auto"/>
        <w:tabs>
          <w:tab w:val="left" w:pos="1701"/>
        </w:tabs>
        <w:spacing w:line="440" w:lineRule="exact"/>
        <w:ind w:left="0"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val="en-US" w:eastAsia="zh-CN" w:bidi="ar-SA"/>
        </w:rPr>
        <w:t>10.2.2</w:t>
      </w:r>
      <w:r>
        <w:rPr>
          <w:rFonts w:hint="eastAsia" w:ascii="仿宋" w:hAnsi="仿宋" w:eastAsia="仿宋" w:cs="仿宋"/>
          <w:color w:val="auto"/>
          <w:sz w:val="24"/>
          <w:szCs w:val="24"/>
          <w:highlight w:val="none"/>
          <w:lang w:bidi="ar-SA"/>
        </w:rPr>
        <w:t>价格评分方法</w:t>
      </w:r>
    </w:p>
    <w:p w14:paraId="1A4EEE02">
      <w:pPr>
        <w:shd w:val="clear" w:color="auto" w:fill="auto"/>
        <w:spacing w:line="440" w:lineRule="exact"/>
        <w:ind w:firstLine="616" w:firstLineChars="257"/>
        <w:jc w:val="left"/>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 w:val="24"/>
          <w:szCs w:val="24"/>
          <w:highlight w:val="none"/>
          <w:lang w:eastAsia="zh-CN" w:bidi="ar-SA"/>
        </w:rPr>
        <w:t>。</w:t>
      </w:r>
    </w:p>
    <w:p w14:paraId="1B6D77F2">
      <w:pPr>
        <w:shd w:val="clear" w:color="auto" w:fill="auto"/>
        <w:spacing w:before="156" w:beforeLines="50" w:line="40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  推荐中标候选人</w:t>
      </w:r>
      <w:bookmarkEnd w:id="57"/>
      <w:bookmarkEnd w:id="58"/>
    </w:p>
    <w:p w14:paraId="4E60DA5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评标委员会推荐中标候选人，并标明排序。</w:t>
      </w:r>
    </w:p>
    <w:p w14:paraId="17D7D72D">
      <w:pPr>
        <w:shd w:val="clear" w:color="auto" w:fill="auto"/>
        <w:spacing w:line="40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如出现报价相同情况，则由招标人现场抽签确定中标候选人排名顺序。</w:t>
      </w:r>
    </w:p>
    <w:bookmarkEnd w:id="52"/>
    <w:p w14:paraId="3D4A3EE0">
      <w:pPr>
        <w:shd w:val="clear" w:color="auto" w:fill="auto"/>
        <w:snapToGrid w:val="0"/>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无效投标条款</w:t>
      </w:r>
    </w:p>
    <w:p w14:paraId="3E05FEF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.1投标文件有下列情形之一的,其投标文件拒收:</w:t>
      </w:r>
    </w:p>
    <w:p w14:paraId="5270D2A4">
      <w:pPr>
        <w:shd w:val="clear" w:color="auto" w:fill="auto"/>
        <w:snapToGrid w:val="0"/>
        <w:spacing w:line="400" w:lineRule="exact"/>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(1) 未在开标截止时间前通过网上招标投标系统递交有效电子投标文件的，开标系统不予接收。</w:t>
      </w:r>
    </w:p>
    <w:p w14:paraId="4A6DE85A">
      <w:pPr>
        <w:shd w:val="clear" w:color="auto" w:fill="auto"/>
        <w:snapToGrid w:val="0"/>
        <w:spacing w:line="400" w:lineRule="exact"/>
        <w:ind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color w:val="auto"/>
          <w:sz w:val="24"/>
          <w:szCs w:val="24"/>
          <w:highlight w:val="none"/>
        </w:rPr>
        <w:t>所有投标人应在规定时间里完成投标文件的解密工作</w:t>
      </w:r>
      <w:r>
        <w:rPr>
          <w:rFonts w:hint="eastAsia" w:ascii="仿宋" w:hAnsi="仿宋" w:eastAsia="仿宋" w:cs="仿宋"/>
          <w:b/>
          <w:bCs/>
          <w:color w:val="auto"/>
          <w:sz w:val="24"/>
          <w:szCs w:val="24"/>
          <w:highlight w:val="none"/>
        </w:rPr>
        <w:t>【投标人</w:t>
      </w:r>
      <w:r>
        <w:rPr>
          <w:rFonts w:hint="eastAsia" w:ascii="仿宋" w:hAnsi="仿宋" w:eastAsia="仿宋" w:cs="仿宋"/>
          <w:b/>
          <w:bCs/>
          <w:color w:val="auto"/>
          <w:sz w:val="24"/>
          <w:szCs w:val="24"/>
          <w:highlight w:val="none"/>
          <w:lang w:eastAsia="zh-CN"/>
        </w:rPr>
        <w:t>使用</w:t>
      </w:r>
      <w:r>
        <w:rPr>
          <w:rFonts w:hint="eastAsia" w:ascii="仿宋" w:hAnsi="仿宋" w:eastAsia="仿宋" w:cs="仿宋"/>
          <w:b/>
          <w:bCs/>
          <w:color w:val="auto"/>
          <w:sz w:val="24"/>
          <w:szCs w:val="24"/>
          <w:highlight w:val="none"/>
        </w:rPr>
        <w:t>其有效加密锁（CA锁）</w:t>
      </w:r>
      <w:r>
        <w:rPr>
          <w:rFonts w:hint="eastAsia" w:ascii="仿宋" w:hAnsi="仿宋" w:eastAsia="仿宋" w:cs="仿宋"/>
          <w:b/>
          <w:bCs/>
          <w:color w:val="auto"/>
          <w:sz w:val="24"/>
          <w:szCs w:val="24"/>
          <w:highlight w:val="none"/>
          <w:lang w:eastAsia="zh-CN"/>
        </w:rPr>
        <w:t>进行</w:t>
      </w:r>
      <w:r>
        <w:rPr>
          <w:rFonts w:hint="eastAsia" w:ascii="仿宋" w:hAnsi="仿宋" w:eastAsia="仿宋" w:cs="仿宋"/>
          <w:b/>
          <w:bCs/>
          <w:color w:val="auto"/>
          <w:sz w:val="24"/>
          <w:szCs w:val="24"/>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 w:val="24"/>
          <w:szCs w:val="24"/>
          <w:highlight w:val="none"/>
        </w:rPr>
        <w:t>，因系统原因未能成功解密的投标文件，可导入</w:t>
      </w:r>
      <w:r>
        <w:rPr>
          <w:rFonts w:hint="eastAsia" w:ascii="仿宋" w:hAnsi="仿宋" w:eastAsia="仿宋" w:cs="仿宋"/>
          <w:b/>
          <w:color w:val="auto"/>
          <w:sz w:val="24"/>
          <w:szCs w:val="24"/>
          <w:highlight w:val="none"/>
          <w:lang w:eastAsia="zh-CN"/>
        </w:rPr>
        <w:t>备份投标文件</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备份投标文件</w:t>
      </w:r>
      <w:r>
        <w:rPr>
          <w:rFonts w:hint="eastAsia" w:ascii="仿宋" w:hAnsi="仿宋" w:eastAsia="仿宋" w:cs="仿宋"/>
          <w:b/>
          <w:color w:val="auto"/>
          <w:sz w:val="24"/>
          <w:szCs w:val="24"/>
          <w:highlight w:val="none"/>
        </w:rPr>
        <w:t>也无法导入的，则投标文件被否决。</w:t>
      </w:r>
    </w:p>
    <w:p w14:paraId="149B2182">
      <w:pPr>
        <w:shd w:val="clear" w:color="auto" w:fill="auto"/>
        <w:snapToGrid w:val="0"/>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.2投标人有下列情形之一的,资格审查后其投标作无效投标处理：</w:t>
      </w:r>
    </w:p>
    <w:p w14:paraId="50EE120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(1)法定代表人参加开标会议未携带有效的法定代表人身份证明原件和本人身份证的；委托代理人参加开标会议未携带有效的法定代表人授权书和本人身份证；</w:t>
      </w:r>
    </w:p>
    <w:p w14:paraId="2DE08DC8">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(2)投标人为本项目提供招标代理服务的；</w:t>
      </w:r>
    </w:p>
    <w:p w14:paraId="2380559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(3)投标人与在本项目代理机构存在相互任职或工作的；</w:t>
      </w:r>
    </w:p>
    <w:p w14:paraId="0D48BBC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(4)投标保证金未按规定要求缴纳的；</w:t>
      </w:r>
    </w:p>
    <w:p w14:paraId="3B8E1BBB">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bCs/>
          <w:color w:val="auto"/>
          <w:sz w:val="24"/>
          <w:szCs w:val="24"/>
          <w:highlight w:val="none"/>
        </w:rPr>
        <w:t>评标专家无法查看并检验电子标书中相关资料的；</w:t>
      </w:r>
    </w:p>
    <w:p w14:paraId="20ABD8D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(6)投标人超出营业范围投标的；</w:t>
      </w:r>
    </w:p>
    <w:p w14:paraId="3FD241E8">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(7)联合体投标未提交联合体协议的；</w:t>
      </w:r>
    </w:p>
    <w:p w14:paraId="7C573926">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(8)被暂停营业的；</w:t>
      </w:r>
    </w:p>
    <w:p w14:paraId="6DF1EE8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(9)被暂停或取消投标资格的；</w:t>
      </w:r>
    </w:p>
    <w:p w14:paraId="3B154DD1">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(10)财产被接管或冻结的；</w:t>
      </w:r>
    </w:p>
    <w:p w14:paraId="46B0609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(11)投标人单位负责人为同一人或者存在控股、管理关系的不同单位的；</w:t>
      </w:r>
    </w:p>
    <w:p w14:paraId="3209BE98">
      <w:pPr>
        <w:shd w:val="clear" w:color="auto" w:fill="auto"/>
        <w:snapToGrid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（12）投标人基本资格条件和特定资格条件中有一项及以上不符合要求的；</w:t>
      </w:r>
    </w:p>
    <w:p w14:paraId="79142599">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（13）投标人使用相同的MAC地址进行报名的；</w:t>
      </w:r>
    </w:p>
    <w:p w14:paraId="46EFF66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（14）其它情形，经评标委员会委提出按无效投标处理，并经公共资源交易监督部门核准的；</w:t>
      </w:r>
    </w:p>
    <w:p w14:paraId="0B8B1E1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（15）投标人使用相同IP地址报名的，一经发现，监管部门将进一步核实，查实后按串通投标处理；</w:t>
      </w:r>
    </w:p>
    <w:p w14:paraId="4926D687">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18F0C3E6">
      <w:pPr>
        <w:shd w:val="clear" w:color="auto" w:fill="auto"/>
        <w:snapToGrid w:val="0"/>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.3 投标人有下列情形之一的,符合性审查后其投标按无效投标处理：</w:t>
      </w:r>
    </w:p>
    <w:p w14:paraId="136B6E1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投标文件签字、盖章不全，经评标委员会一致认定对开评标内容有实质性影响并经监督部门核准的；</w:t>
      </w:r>
    </w:p>
    <w:p w14:paraId="459027A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)未按规定的格式填写，实质性内容不全或关键字迹模糊、无法辨认; 经监督部门核准的；</w:t>
      </w:r>
    </w:p>
    <w:p w14:paraId="5C6EEBB3">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)同一投标人提交两个以上不同的投标文件或者投标报价，但</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规定提交备选方案的除外；</w:t>
      </w:r>
    </w:p>
    <w:p w14:paraId="0CA692F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)投标文件没有对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的实质性要求和条件作出响应;</w:t>
      </w:r>
    </w:p>
    <w:p w14:paraId="6270A8FE">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)投标报价超出规定的投标限价或公布的采购预算的；注：投标人的投标报价各项单价均不得高于招标文件给定的单价最高限价，否则，其投标文件将按无效投标处理。</w:t>
      </w:r>
    </w:p>
    <w:p w14:paraId="0F11F50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)不按评标委员会要求澄清、说明或补正的，或者评标委员会根据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的规定对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的计算错误进行修正后，投标人不接受修正的投标报价的。</w:t>
      </w:r>
    </w:p>
    <w:p w14:paraId="09B56E35">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）其它情形，经评标委员会委提出按无效投标处理，并经公共资源交易监督部门核准的；</w:t>
      </w:r>
    </w:p>
    <w:p w14:paraId="0EBD9E92">
      <w:pPr>
        <w:widowControl/>
        <w:shd w:val="clear" w:color="auto" w:fill="auto"/>
        <w:spacing w:line="5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shd w:val="clear" w:color="auto" w:fill="FFFFFF"/>
          <w:lang w:bidi="ar"/>
        </w:rPr>
        <w:t>未按照招标文件的规定提交投标保证金的；</w:t>
      </w:r>
    </w:p>
    <w:p w14:paraId="5EFE69BB">
      <w:pPr>
        <w:widowControl/>
        <w:shd w:val="clear" w:color="auto" w:fill="auto"/>
        <w:spacing w:line="5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shd w:val="clear" w:color="auto" w:fill="FFFFFF"/>
          <w:lang w:bidi="ar"/>
        </w:rPr>
        <w:t>投标文件含有采购人不能接受的附加条件的;</w:t>
      </w:r>
    </w:p>
    <w:p w14:paraId="2F35DA16">
      <w:pPr>
        <w:shd w:val="clear" w:color="auto" w:fill="auto"/>
        <w:tabs>
          <w:tab w:val="left" w:pos="1123"/>
        </w:tabs>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54FDC5A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.4 投标人有下列情形之一的, 详细评审后其投标按无效投标处理：</w:t>
      </w:r>
    </w:p>
    <w:p w14:paraId="4F204AE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(1)投标产品不符合必须强制执行的国家标准的；</w:t>
      </w:r>
    </w:p>
    <w:p w14:paraId="3612554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(2)投标人有串通投标、弄虚作假、行贿等违法行为；</w:t>
      </w:r>
    </w:p>
    <w:p w14:paraId="438427A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(3)投标文件含有违反国家法律、法规的内容，或附有招标人不能接受的条件的；</w:t>
      </w:r>
    </w:p>
    <w:p w14:paraId="6611176D">
      <w:pPr>
        <w:shd w:val="clear" w:color="auto" w:fill="auto"/>
        <w:spacing w:line="360" w:lineRule="auto"/>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（4）在同一项目（或同一标段）中有多个投标人有效投标报价接近最高限价，且评标委员会认为报价出现异常的，可以宣布其投标无效；</w:t>
      </w:r>
    </w:p>
    <w:p w14:paraId="68AAF5B4">
      <w:pPr>
        <w:shd w:val="clear" w:color="auto" w:fill="auto"/>
        <w:spacing w:line="360" w:lineRule="auto"/>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（5）报价明显低于其他投标人，且不能证明报价合理性的投标无效；</w:t>
      </w:r>
    </w:p>
    <w:p w14:paraId="042C42AB">
      <w:pPr>
        <w:shd w:val="clear" w:color="auto" w:fill="auto"/>
        <w:spacing w:line="360" w:lineRule="auto"/>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（6）拒不确认评标委员会评审修正的投标无效；</w:t>
      </w:r>
    </w:p>
    <w:p w14:paraId="55FABCA1">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（7）其它情形，经评标委员会委提出按无效投标处理，并经公共资源交易监督部门核准的；</w:t>
      </w:r>
    </w:p>
    <w:p w14:paraId="3053D686">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226B8515">
      <w:pPr>
        <w:pageBreakBefore/>
        <w:shd w:val="clear" w:color="auto" w:fill="auto"/>
        <w:spacing w:line="360" w:lineRule="auto"/>
        <w:jc w:val="center"/>
        <w:outlineLvl w:val="0"/>
        <w:rPr>
          <w:rFonts w:hint="eastAsia" w:ascii="仿宋" w:hAnsi="仿宋" w:eastAsia="仿宋" w:cs="仿宋"/>
          <w:b/>
          <w:color w:val="auto"/>
          <w:sz w:val="40"/>
          <w:szCs w:val="40"/>
          <w:highlight w:val="none"/>
        </w:rPr>
        <w:sectPr>
          <w:footerReference r:id="rId6" w:type="default"/>
          <w:pgSz w:w="11905" w:h="16838"/>
          <w:pgMar w:top="1440" w:right="1134" w:bottom="1440" w:left="1134" w:header="850" w:footer="992" w:gutter="0"/>
          <w:pgNumType w:fmt="decimal" w:start="1"/>
          <w:cols w:space="0" w:num="1"/>
          <w:rtlGutter w:val="0"/>
          <w:docGrid w:type="lines" w:linePitch="317" w:charSpace="0"/>
        </w:sectPr>
      </w:pPr>
      <w:bookmarkStart w:id="59" w:name="_Toc13160"/>
      <w:bookmarkStart w:id="60" w:name="_Toc469495737"/>
      <w:bookmarkStart w:id="61" w:name="_Toc4683"/>
      <w:bookmarkStart w:id="62" w:name="_Toc31425"/>
      <w:bookmarkStart w:id="63" w:name="OLE_LINK4"/>
    </w:p>
    <w:p w14:paraId="317E2F55">
      <w:pPr>
        <w:pageBreakBefore/>
        <w:shd w:val="clear" w:color="auto" w:fill="auto"/>
        <w:spacing w:line="360" w:lineRule="auto"/>
        <w:jc w:val="center"/>
        <w:outlineLvl w:val="0"/>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 xml:space="preserve">第四章 </w:t>
      </w:r>
      <w:bookmarkEnd w:id="53"/>
      <w:bookmarkEnd w:id="59"/>
      <w:bookmarkEnd w:id="60"/>
      <w:bookmarkEnd w:id="61"/>
      <w:r>
        <w:rPr>
          <w:rFonts w:hint="eastAsia" w:ascii="仿宋" w:hAnsi="仿宋" w:eastAsia="仿宋" w:cs="仿宋"/>
          <w:b/>
          <w:color w:val="auto"/>
          <w:sz w:val="40"/>
          <w:szCs w:val="40"/>
          <w:highlight w:val="none"/>
        </w:rPr>
        <w:t>采购内容及技术参数要求</w:t>
      </w:r>
      <w:bookmarkEnd w:id="62"/>
    </w:p>
    <w:p w14:paraId="0794D856">
      <w:pPr>
        <w:shd w:val="clear" w:color="auto" w:fill="auto"/>
        <w:spacing w:line="360" w:lineRule="auto"/>
        <w:ind w:firstLine="420" w:firstLineChars="150"/>
        <w:jc w:val="left"/>
        <w:outlineLvl w:val="9"/>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一、技术要求</w:t>
      </w:r>
    </w:p>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1"/>
        <w:gridCol w:w="762"/>
        <w:gridCol w:w="2937"/>
        <w:gridCol w:w="784"/>
        <w:gridCol w:w="716"/>
        <w:gridCol w:w="934"/>
        <w:gridCol w:w="1150"/>
        <w:gridCol w:w="1266"/>
        <w:gridCol w:w="800"/>
        <w:gridCol w:w="956"/>
        <w:gridCol w:w="3155"/>
      </w:tblGrid>
      <w:tr w14:paraId="7290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14081" w:type="dxa"/>
            <w:gridSpan w:val="11"/>
            <w:shd w:val="clear" w:color="auto" w:fill="auto"/>
            <w:vAlign w:val="center"/>
          </w:tcPr>
          <w:p w14:paraId="5E237439">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阿图什市基层医疗机构改造提升项目设备采购清单（1包）</w:t>
            </w:r>
          </w:p>
        </w:tc>
      </w:tr>
      <w:tr w14:paraId="4BF9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4A3B1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62" w:type="dxa"/>
            <w:shd w:val="clear" w:color="auto" w:fill="auto"/>
            <w:vAlign w:val="center"/>
          </w:tcPr>
          <w:p w14:paraId="45B8C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2937" w:type="dxa"/>
            <w:shd w:val="clear" w:color="auto" w:fill="auto"/>
            <w:vAlign w:val="center"/>
          </w:tcPr>
          <w:p w14:paraId="382F5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784" w:type="dxa"/>
            <w:shd w:val="clear" w:color="auto" w:fill="auto"/>
            <w:vAlign w:val="center"/>
          </w:tcPr>
          <w:p w14:paraId="34E0E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阿湖</w:t>
            </w:r>
          </w:p>
        </w:tc>
        <w:tc>
          <w:tcPr>
            <w:tcW w:w="716" w:type="dxa"/>
            <w:shd w:val="clear" w:color="auto" w:fill="auto"/>
            <w:vAlign w:val="center"/>
          </w:tcPr>
          <w:p w14:paraId="11599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阿扎克</w:t>
            </w:r>
          </w:p>
        </w:tc>
        <w:tc>
          <w:tcPr>
            <w:tcW w:w="934" w:type="dxa"/>
            <w:shd w:val="clear" w:color="auto" w:fill="auto"/>
            <w:noWrap/>
            <w:vAlign w:val="center"/>
          </w:tcPr>
          <w:p w14:paraId="707C3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格达良</w:t>
            </w:r>
          </w:p>
        </w:tc>
        <w:tc>
          <w:tcPr>
            <w:tcW w:w="1150" w:type="dxa"/>
            <w:shd w:val="clear" w:color="auto" w:fill="auto"/>
            <w:noWrap/>
            <w:vAlign w:val="center"/>
          </w:tcPr>
          <w:p w14:paraId="5C1CC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吐古买提</w:t>
            </w:r>
          </w:p>
        </w:tc>
        <w:tc>
          <w:tcPr>
            <w:tcW w:w="1266" w:type="dxa"/>
            <w:shd w:val="clear" w:color="auto" w:fill="auto"/>
            <w:noWrap/>
            <w:vAlign w:val="center"/>
          </w:tcPr>
          <w:p w14:paraId="73E97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小计/台套</w:t>
            </w:r>
          </w:p>
        </w:tc>
        <w:tc>
          <w:tcPr>
            <w:tcW w:w="800" w:type="dxa"/>
            <w:shd w:val="clear" w:color="auto" w:fill="auto"/>
            <w:noWrap/>
            <w:vAlign w:val="center"/>
          </w:tcPr>
          <w:p w14:paraId="12F69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56" w:type="dxa"/>
            <w:shd w:val="clear" w:color="auto" w:fill="auto"/>
            <w:noWrap/>
            <w:vAlign w:val="center"/>
          </w:tcPr>
          <w:p w14:paraId="56C41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3155" w:type="dxa"/>
            <w:shd w:val="clear" w:color="auto" w:fill="auto"/>
            <w:noWrap/>
            <w:vAlign w:val="center"/>
          </w:tcPr>
          <w:p w14:paraId="6AFC3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EA6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48EC8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2" w:type="dxa"/>
            <w:vMerge w:val="restart"/>
            <w:shd w:val="clear" w:color="auto" w:fill="auto"/>
            <w:vAlign w:val="center"/>
          </w:tcPr>
          <w:p w14:paraId="65A89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卫生院通用设备</w:t>
            </w:r>
          </w:p>
        </w:tc>
        <w:tc>
          <w:tcPr>
            <w:tcW w:w="2937" w:type="dxa"/>
            <w:shd w:val="clear" w:color="auto" w:fill="auto"/>
            <w:vAlign w:val="center"/>
          </w:tcPr>
          <w:p w14:paraId="736CC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监护设备</w:t>
            </w:r>
          </w:p>
        </w:tc>
        <w:tc>
          <w:tcPr>
            <w:tcW w:w="784" w:type="dxa"/>
            <w:shd w:val="clear" w:color="auto" w:fill="auto"/>
            <w:vAlign w:val="center"/>
          </w:tcPr>
          <w:p w14:paraId="0F492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2D518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6D86B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C17E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5805E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00" w:type="dxa"/>
            <w:shd w:val="clear" w:color="auto" w:fill="auto"/>
            <w:noWrap/>
            <w:vAlign w:val="center"/>
          </w:tcPr>
          <w:p w14:paraId="4E76C010">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F467E6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7CB1764">
            <w:pPr>
              <w:jc w:val="center"/>
              <w:rPr>
                <w:rFonts w:hint="eastAsia" w:ascii="宋体" w:hAnsi="宋体" w:eastAsia="宋体" w:cs="宋体"/>
                <w:i w:val="0"/>
                <w:iCs w:val="0"/>
                <w:color w:val="000000"/>
                <w:sz w:val="22"/>
                <w:szCs w:val="22"/>
                <w:u w:val="none"/>
              </w:rPr>
            </w:pPr>
          </w:p>
        </w:tc>
      </w:tr>
      <w:tr w14:paraId="4503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FCEB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2" w:type="dxa"/>
            <w:vMerge w:val="continue"/>
            <w:shd w:val="clear" w:color="auto" w:fill="auto"/>
            <w:vAlign w:val="center"/>
          </w:tcPr>
          <w:p w14:paraId="39CE699B">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2245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指夹血氧仪</w:t>
            </w:r>
          </w:p>
        </w:tc>
        <w:tc>
          <w:tcPr>
            <w:tcW w:w="784" w:type="dxa"/>
            <w:shd w:val="clear" w:color="auto" w:fill="auto"/>
            <w:vAlign w:val="center"/>
          </w:tcPr>
          <w:p w14:paraId="7ABBF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6" w:type="dxa"/>
            <w:shd w:val="clear" w:color="auto" w:fill="auto"/>
            <w:noWrap/>
            <w:vAlign w:val="center"/>
          </w:tcPr>
          <w:p w14:paraId="4400D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7DE85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70AAF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33F51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0" w:type="dxa"/>
            <w:shd w:val="clear" w:color="auto" w:fill="auto"/>
            <w:noWrap/>
            <w:vAlign w:val="center"/>
          </w:tcPr>
          <w:p w14:paraId="2BF9A17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79B050D">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FA0603B">
            <w:pPr>
              <w:jc w:val="center"/>
              <w:rPr>
                <w:rFonts w:hint="eastAsia" w:ascii="宋体" w:hAnsi="宋体" w:eastAsia="宋体" w:cs="宋体"/>
                <w:i w:val="0"/>
                <w:iCs w:val="0"/>
                <w:color w:val="000000"/>
                <w:sz w:val="22"/>
                <w:szCs w:val="22"/>
                <w:u w:val="none"/>
              </w:rPr>
            </w:pPr>
          </w:p>
        </w:tc>
      </w:tr>
      <w:tr w14:paraId="298B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1" w:type="dxa"/>
            <w:shd w:val="clear" w:color="auto" w:fill="auto"/>
            <w:vAlign w:val="center"/>
          </w:tcPr>
          <w:p w14:paraId="2152A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2" w:type="dxa"/>
            <w:vMerge w:val="continue"/>
            <w:shd w:val="clear" w:color="auto" w:fill="auto"/>
            <w:vAlign w:val="center"/>
          </w:tcPr>
          <w:p w14:paraId="6420C6D0">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8A0A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吸氧装置</w:t>
            </w:r>
          </w:p>
        </w:tc>
        <w:tc>
          <w:tcPr>
            <w:tcW w:w="784" w:type="dxa"/>
            <w:shd w:val="clear" w:color="auto" w:fill="auto"/>
            <w:vAlign w:val="center"/>
          </w:tcPr>
          <w:p w14:paraId="4D683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66E49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1E675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2F02F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vAlign w:val="center"/>
          </w:tcPr>
          <w:p w14:paraId="1246A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40B06D1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A6C95C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1C27AD7">
            <w:pPr>
              <w:jc w:val="center"/>
              <w:rPr>
                <w:rFonts w:hint="eastAsia" w:ascii="宋体" w:hAnsi="宋体" w:eastAsia="宋体" w:cs="宋体"/>
                <w:i w:val="0"/>
                <w:iCs w:val="0"/>
                <w:color w:val="FF0000"/>
                <w:sz w:val="22"/>
                <w:szCs w:val="22"/>
                <w:u w:val="none"/>
              </w:rPr>
            </w:pPr>
          </w:p>
        </w:tc>
      </w:tr>
      <w:tr w14:paraId="5167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7C722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2" w:type="dxa"/>
            <w:vMerge w:val="continue"/>
            <w:shd w:val="clear" w:color="auto" w:fill="auto"/>
            <w:vAlign w:val="center"/>
          </w:tcPr>
          <w:p w14:paraId="2EAE7688">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DC1C9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十二导联远程心电图机</w:t>
            </w:r>
          </w:p>
        </w:tc>
        <w:tc>
          <w:tcPr>
            <w:tcW w:w="784" w:type="dxa"/>
            <w:shd w:val="clear" w:color="auto" w:fill="auto"/>
            <w:vAlign w:val="center"/>
          </w:tcPr>
          <w:p w14:paraId="7E5B2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6" w:type="dxa"/>
            <w:shd w:val="clear" w:color="auto" w:fill="auto"/>
            <w:noWrap/>
            <w:vAlign w:val="center"/>
          </w:tcPr>
          <w:p w14:paraId="27FB2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4" w:type="dxa"/>
            <w:shd w:val="clear" w:color="auto" w:fill="auto"/>
            <w:noWrap/>
            <w:vAlign w:val="center"/>
          </w:tcPr>
          <w:p w14:paraId="7C59E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shd w:val="clear" w:color="auto" w:fill="auto"/>
            <w:noWrap/>
            <w:vAlign w:val="center"/>
          </w:tcPr>
          <w:p w14:paraId="1B8BF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6" w:type="dxa"/>
            <w:shd w:val="clear" w:color="auto" w:fill="auto"/>
            <w:vAlign w:val="center"/>
          </w:tcPr>
          <w:p w14:paraId="34D88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0" w:type="dxa"/>
            <w:shd w:val="clear" w:color="auto" w:fill="auto"/>
            <w:noWrap/>
            <w:vAlign w:val="center"/>
          </w:tcPr>
          <w:p w14:paraId="5E998777">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29DAC56">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FB5EDEB">
            <w:pPr>
              <w:jc w:val="center"/>
              <w:rPr>
                <w:rFonts w:hint="eastAsia" w:ascii="宋体" w:hAnsi="宋体" w:eastAsia="宋体" w:cs="宋体"/>
                <w:i w:val="0"/>
                <w:iCs w:val="0"/>
                <w:color w:val="000000"/>
                <w:sz w:val="16"/>
                <w:szCs w:val="16"/>
                <w:u w:val="none"/>
              </w:rPr>
            </w:pPr>
          </w:p>
        </w:tc>
      </w:tr>
      <w:tr w14:paraId="2AC7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1" w:type="dxa"/>
            <w:shd w:val="clear" w:color="auto" w:fill="auto"/>
            <w:vAlign w:val="center"/>
          </w:tcPr>
          <w:p w14:paraId="6B1C9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2" w:type="dxa"/>
            <w:vMerge w:val="continue"/>
            <w:shd w:val="clear" w:color="auto" w:fill="auto"/>
            <w:vAlign w:val="center"/>
          </w:tcPr>
          <w:p w14:paraId="36462C9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3F207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自动体外除颤器</w:t>
            </w:r>
          </w:p>
        </w:tc>
        <w:tc>
          <w:tcPr>
            <w:tcW w:w="784" w:type="dxa"/>
            <w:shd w:val="clear" w:color="auto" w:fill="auto"/>
            <w:vAlign w:val="center"/>
          </w:tcPr>
          <w:p w14:paraId="45286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14AAD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4263E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A547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24EC0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0" w:type="dxa"/>
            <w:shd w:val="clear" w:color="auto" w:fill="auto"/>
            <w:noWrap/>
            <w:vAlign w:val="center"/>
          </w:tcPr>
          <w:p w14:paraId="666349F3">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A3CC832">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A271BF7">
            <w:pPr>
              <w:jc w:val="center"/>
              <w:rPr>
                <w:rFonts w:hint="eastAsia" w:ascii="宋体" w:hAnsi="宋体" w:eastAsia="宋体" w:cs="宋体"/>
                <w:i w:val="0"/>
                <w:iCs w:val="0"/>
                <w:color w:val="000000"/>
                <w:sz w:val="22"/>
                <w:szCs w:val="22"/>
                <w:u w:val="none"/>
              </w:rPr>
            </w:pPr>
          </w:p>
        </w:tc>
      </w:tr>
      <w:tr w14:paraId="06A1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1" w:type="dxa"/>
            <w:shd w:val="clear" w:color="auto" w:fill="auto"/>
            <w:vAlign w:val="center"/>
          </w:tcPr>
          <w:p w14:paraId="5D0E8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2" w:type="dxa"/>
            <w:vMerge w:val="continue"/>
            <w:shd w:val="clear" w:color="auto" w:fill="auto"/>
            <w:vAlign w:val="center"/>
          </w:tcPr>
          <w:p w14:paraId="70107F68">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07351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病床</w:t>
            </w:r>
          </w:p>
        </w:tc>
        <w:tc>
          <w:tcPr>
            <w:tcW w:w="784" w:type="dxa"/>
            <w:shd w:val="clear" w:color="auto" w:fill="auto"/>
            <w:vAlign w:val="center"/>
          </w:tcPr>
          <w:p w14:paraId="6968E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6" w:type="dxa"/>
            <w:shd w:val="clear" w:color="auto" w:fill="auto"/>
            <w:noWrap/>
            <w:vAlign w:val="center"/>
          </w:tcPr>
          <w:p w14:paraId="5BAA9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34" w:type="dxa"/>
            <w:shd w:val="clear" w:color="auto" w:fill="auto"/>
            <w:noWrap/>
            <w:vAlign w:val="center"/>
          </w:tcPr>
          <w:p w14:paraId="0254D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50" w:type="dxa"/>
            <w:shd w:val="clear" w:color="auto" w:fill="auto"/>
            <w:noWrap/>
            <w:vAlign w:val="center"/>
          </w:tcPr>
          <w:p w14:paraId="19C34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4033B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00" w:type="dxa"/>
            <w:shd w:val="clear" w:color="auto" w:fill="auto"/>
            <w:noWrap/>
            <w:vAlign w:val="center"/>
          </w:tcPr>
          <w:p w14:paraId="1FDA6083">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FFDC234">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6478B46">
            <w:pPr>
              <w:jc w:val="center"/>
              <w:rPr>
                <w:rFonts w:hint="eastAsia" w:ascii="宋体" w:hAnsi="宋体" w:eastAsia="宋体" w:cs="宋体"/>
                <w:i w:val="0"/>
                <w:iCs w:val="0"/>
                <w:color w:val="000000"/>
                <w:sz w:val="22"/>
                <w:szCs w:val="22"/>
                <w:u w:val="none"/>
              </w:rPr>
            </w:pPr>
          </w:p>
        </w:tc>
      </w:tr>
      <w:tr w14:paraId="6F37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24A0E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2" w:type="dxa"/>
            <w:vMerge w:val="continue"/>
            <w:shd w:val="clear" w:color="auto" w:fill="auto"/>
            <w:vAlign w:val="center"/>
          </w:tcPr>
          <w:p w14:paraId="118F4D8C">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3AA3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784" w:type="dxa"/>
            <w:shd w:val="clear" w:color="auto" w:fill="auto"/>
            <w:vAlign w:val="center"/>
          </w:tcPr>
          <w:p w14:paraId="57D4C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64AD1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1E13C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42E13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485C9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7939987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F7CEC91">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8A410CD">
            <w:pPr>
              <w:jc w:val="center"/>
              <w:rPr>
                <w:rFonts w:hint="eastAsia" w:ascii="宋体" w:hAnsi="宋体" w:eastAsia="宋体" w:cs="宋体"/>
                <w:i w:val="0"/>
                <w:iCs w:val="0"/>
                <w:color w:val="000000"/>
                <w:sz w:val="22"/>
                <w:szCs w:val="22"/>
                <w:u w:val="none"/>
              </w:rPr>
            </w:pPr>
          </w:p>
        </w:tc>
      </w:tr>
      <w:tr w14:paraId="2C45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2E4C4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2" w:type="dxa"/>
            <w:vMerge w:val="continue"/>
            <w:shd w:val="clear" w:color="auto" w:fill="auto"/>
            <w:vAlign w:val="center"/>
          </w:tcPr>
          <w:p w14:paraId="1E890F47">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5053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医用推车</w:t>
            </w:r>
          </w:p>
        </w:tc>
        <w:tc>
          <w:tcPr>
            <w:tcW w:w="784" w:type="dxa"/>
            <w:shd w:val="clear" w:color="auto" w:fill="auto"/>
            <w:vAlign w:val="center"/>
          </w:tcPr>
          <w:p w14:paraId="6A71E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374CF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20CB0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332E9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49E83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4655A5FF">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43C048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52E5FDE">
            <w:pPr>
              <w:jc w:val="center"/>
              <w:rPr>
                <w:rFonts w:hint="eastAsia" w:ascii="宋体" w:hAnsi="宋体" w:eastAsia="宋体" w:cs="宋体"/>
                <w:i w:val="0"/>
                <w:iCs w:val="0"/>
                <w:color w:val="000000"/>
                <w:sz w:val="22"/>
                <w:szCs w:val="22"/>
                <w:u w:val="none"/>
              </w:rPr>
            </w:pPr>
          </w:p>
        </w:tc>
      </w:tr>
      <w:tr w14:paraId="5A28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21" w:type="dxa"/>
            <w:shd w:val="clear" w:color="auto" w:fill="auto"/>
            <w:vAlign w:val="center"/>
          </w:tcPr>
          <w:p w14:paraId="5237D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2" w:type="dxa"/>
            <w:vMerge w:val="continue"/>
            <w:shd w:val="clear" w:color="auto" w:fill="auto"/>
            <w:vAlign w:val="center"/>
          </w:tcPr>
          <w:p w14:paraId="0A9E9181">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165B0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w:t>
            </w:r>
          </w:p>
        </w:tc>
        <w:tc>
          <w:tcPr>
            <w:tcW w:w="784" w:type="dxa"/>
            <w:shd w:val="clear" w:color="auto" w:fill="auto"/>
            <w:vAlign w:val="center"/>
          </w:tcPr>
          <w:p w14:paraId="31D43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506F8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04AC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61302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1CEDA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2EB608F4">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42B7E7F">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8379E79">
            <w:pPr>
              <w:jc w:val="center"/>
              <w:rPr>
                <w:rFonts w:hint="eastAsia" w:ascii="宋体" w:hAnsi="宋体" w:eastAsia="宋体" w:cs="宋体"/>
                <w:i w:val="0"/>
                <w:iCs w:val="0"/>
                <w:color w:val="000000"/>
                <w:sz w:val="22"/>
                <w:szCs w:val="22"/>
                <w:u w:val="none"/>
              </w:rPr>
            </w:pPr>
          </w:p>
        </w:tc>
      </w:tr>
      <w:tr w14:paraId="3591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1" w:type="dxa"/>
            <w:shd w:val="clear" w:color="auto" w:fill="auto"/>
            <w:vAlign w:val="center"/>
          </w:tcPr>
          <w:p w14:paraId="17B05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2" w:type="dxa"/>
            <w:vMerge w:val="restart"/>
            <w:shd w:val="clear" w:color="auto" w:fill="auto"/>
            <w:vAlign w:val="center"/>
          </w:tcPr>
          <w:p w14:paraId="119A8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急诊(抢救)室</w:t>
            </w:r>
          </w:p>
        </w:tc>
        <w:tc>
          <w:tcPr>
            <w:tcW w:w="2937" w:type="dxa"/>
            <w:shd w:val="clear" w:color="auto" w:fill="auto"/>
            <w:vAlign w:val="center"/>
          </w:tcPr>
          <w:p w14:paraId="09BCB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体外除颤设备</w:t>
            </w:r>
          </w:p>
        </w:tc>
        <w:tc>
          <w:tcPr>
            <w:tcW w:w="784" w:type="dxa"/>
            <w:shd w:val="clear" w:color="auto" w:fill="auto"/>
            <w:vAlign w:val="center"/>
          </w:tcPr>
          <w:p w14:paraId="19E05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62268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20FA8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DB87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66836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0" w:type="dxa"/>
            <w:shd w:val="clear" w:color="auto" w:fill="auto"/>
            <w:noWrap/>
            <w:vAlign w:val="center"/>
          </w:tcPr>
          <w:p w14:paraId="75C1463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E97853F">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7755516A">
            <w:pPr>
              <w:jc w:val="center"/>
              <w:rPr>
                <w:rFonts w:hint="eastAsia" w:ascii="宋体" w:hAnsi="宋体" w:eastAsia="宋体" w:cs="宋体"/>
                <w:i w:val="0"/>
                <w:iCs w:val="0"/>
                <w:color w:val="FF0000"/>
                <w:sz w:val="20"/>
                <w:szCs w:val="20"/>
                <w:u w:val="none"/>
              </w:rPr>
            </w:pPr>
          </w:p>
        </w:tc>
      </w:tr>
      <w:tr w14:paraId="3586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44D96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62" w:type="dxa"/>
            <w:vMerge w:val="continue"/>
            <w:shd w:val="clear" w:color="auto" w:fill="auto"/>
            <w:vAlign w:val="center"/>
          </w:tcPr>
          <w:p w14:paraId="67F43067">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B94C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急诊抢救箱（外科急救箱）</w:t>
            </w:r>
          </w:p>
        </w:tc>
        <w:tc>
          <w:tcPr>
            <w:tcW w:w="784" w:type="dxa"/>
            <w:shd w:val="clear" w:color="auto" w:fill="auto"/>
            <w:vAlign w:val="center"/>
          </w:tcPr>
          <w:p w14:paraId="68FF8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38433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3CD56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4C6F3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5001F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08D2E089">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CA1D9B9">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E923AD1">
            <w:pPr>
              <w:jc w:val="center"/>
              <w:rPr>
                <w:rFonts w:hint="eastAsia" w:ascii="宋体" w:hAnsi="宋体" w:eastAsia="宋体" w:cs="宋体"/>
                <w:i w:val="0"/>
                <w:iCs w:val="0"/>
                <w:color w:val="000000"/>
                <w:sz w:val="22"/>
                <w:szCs w:val="22"/>
                <w:u w:val="none"/>
              </w:rPr>
            </w:pPr>
          </w:p>
        </w:tc>
      </w:tr>
      <w:tr w14:paraId="3533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1220A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2" w:type="dxa"/>
            <w:vMerge w:val="continue"/>
            <w:shd w:val="clear" w:color="auto" w:fill="auto"/>
            <w:vAlign w:val="center"/>
          </w:tcPr>
          <w:p w14:paraId="0CBB81C3">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139CF55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急诊抢救箱（内科急救箱）</w:t>
            </w:r>
          </w:p>
        </w:tc>
        <w:tc>
          <w:tcPr>
            <w:tcW w:w="784" w:type="dxa"/>
            <w:shd w:val="clear" w:color="auto" w:fill="auto"/>
            <w:vAlign w:val="center"/>
          </w:tcPr>
          <w:p w14:paraId="6A3F7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7E0F8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4673A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4DB21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396A4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5A609FA6">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AA558D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688983F">
            <w:pPr>
              <w:jc w:val="center"/>
              <w:rPr>
                <w:rFonts w:hint="eastAsia" w:ascii="宋体" w:hAnsi="宋体" w:eastAsia="宋体" w:cs="宋体"/>
                <w:i w:val="0"/>
                <w:iCs w:val="0"/>
                <w:color w:val="000000"/>
                <w:sz w:val="22"/>
                <w:szCs w:val="22"/>
                <w:u w:val="none"/>
              </w:rPr>
            </w:pPr>
          </w:p>
        </w:tc>
      </w:tr>
      <w:tr w14:paraId="2BCE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1" w:type="dxa"/>
            <w:shd w:val="clear" w:color="auto" w:fill="auto"/>
            <w:vAlign w:val="center"/>
          </w:tcPr>
          <w:p w14:paraId="2EB4D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62" w:type="dxa"/>
            <w:vMerge w:val="continue"/>
            <w:shd w:val="clear" w:color="auto" w:fill="auto"/>
            <w:vAlign w:val="center"/>
          </w:tcPr>
          <w:p w14:paraId="76FAA9F8">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1D0D6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呼吸球囊</w:t>
            </w:r>
          </w:p>
        </w:tc>
        <w:tc>
          <w:tcPr>
            <w:tcW w:w="784" w:type="dxa"/>
            <w:shd w:val="clear" w:color="auto" w:fill="auto"/>
            <w:vAlign w:val="center"/>
          </w:tcPr>
          <w:p w14:paraId="1C4E4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6" w:type="dxa"/>
            <w:shd w:val="clear" w:color="auto" w:fill="auto"/>
            <w:noWrap/>
            <w:vAlign w:val="center"/>
          </w:tcPr>
          <w:p w14:paraId="57324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0E874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7832B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3D377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00" w:type="dxa"/>
            <w:shd w:val="clear" w:color="auto" w:fill="auto"/>
            <w:noWrap/>
            <w:vAlign w:val="center"/>
          </w:tcPr>
          <w:p w14:paraId="6CD1219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CB25536">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4C8EA6D3">
            <w:pPr>
              <w:jc w:val="center"/>
              <w:rPr>
                <w:rFonts w:hint="eastAsia" w:ascii="宋体" w:hAnsi="宋体" w:eastAsia="宋体" w:cs="宋体"/>
                <w:i w:val="0"/>
                <w:iCs w:val="0"/>
                <w:color w:val="000000"/>
                <w:sz w:val="22"/>
                <w:szCs w:val="22"/>
                <w:u w:val="none"/>
              </w:rPr>
            </w:pPr>
          </w:p>
        </w:tc>
      </w:tr>
      <w:tr w14:paraId="403E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57102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62" w:type="dxa"/>
            <w:vMerge w:val="continue"/>
            <w:shd w:val="clear" w:color="auto" w:fill="auto"/>
            <w:vAlign w:val="center"/>
          </w:tcPr>
          <w:p w14:paraId="7ED94B58">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1AD69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吸痰器（便携式）</w:t>
            </w:r>
          </w:p>
        </w:tc>
        <w:tc>
          <w:tcPr>
            <w:tcW w:w="784" w:type="dxa"/>
            <w:shd w:val="clear" w:color="auto" w:fill="auto"/>
            <w:noWrap/>
            <w:vAlign w:val="center"/>
          </w:tcPr>
          <w:p w14:paraId="2578F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56E31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D4DF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47E2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5C151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6E6BB8C0">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F514D4A">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58A0468">
            <w:pPr>
              <w:jc w:val="center"/>
              <w:rPr>
                <w:rFonts w:hint="eastAsia" w:ascii="宋体" w:hAnsi="宋体" w:eastAsia="宋体" w:cs="宋体"/>
                <w:i w:val="0"/>
                <w:iCs w:val="0"/>
                <w:color w:val="000000"/>
                <w:sz w:val="22"/>
                <w:szCs w:val="22"/>
                <w:u w:val="none"/>
              </w:rPr>
            </w:pPr>
          </w:p>
        </w:tc>
      </w:tr>
      <w:tr w14:paraId="732B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1" w:type="dxa"/>
            <w:shd w:val="clear" w:color="auto" w:fill="auto"/>
            <w:vAlign w:val="center"/>
          </w:tcPr>
          <w:p w14:paraId="5BFCF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2" w:type="dxa"/>
            <w:vMerge w:val="continue"/>
            <w:shd w:val="clear" w:color="auto" w:fill="auto"/>
            <w:vAlign w:val="center"/>
          </w:tcPr>
          <w:p w14:paraId="1774E0A4">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2828D6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吸痰器（大型）</w:t>
            </w:r>
          </w:p>
        </w:tc>
        <w:tc>
          <w:tcPr>
            <w:tcW w:w="784" w:type="dxa"/>
            <w:shd w:val="clear" w:color="auto" w:fill="auto"/>
            <w:noWrap/>
            <w:vAlign w:val="center"/>
          </w:tcPr>
          <w:p w14:paraId="691EE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2017F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7D69C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7C1CB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0930A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7F3B3180">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134853C">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75A2FD3">
            <w:pPr>
              <w:jc w:val="center"/>
              <w:rPr>
                <w:rFonts w:hint="eastAsia" w:ascii="宋体" w:hAnsi="宋体" w:eastAsia="宋体" w:cs="宋体"/>
                <w:i w:val="0"/>
                <w:iCs w:val="0"/>
                <w:color w:val="FF0000"/>
                <w:sz w:val="22"/>
                <w:szCs w:val="22"/>
                <w:u w:val="none"/>
              </w:rPr>
            </w:pPr>
          </w:p>
        </w:tc>
      </w:tr>
      <w:tr w14:paraId="0070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621" w:type="dxa"/>
            <w:shd w:val="clear" w:color="auto" w:fill="auto"/>
            <w:vAlign w:val="center"/>
          </w:tcPr>
          <w:p w14:paraId="0C7F8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2" w:type="dxa"/>
            <w:vMerge w:val="continue"/>
            <w:shd w:val="clear" w:color="auto" w:fill="auto"/>
            <w:vAlign w:val="center"/>
          </w:tcPr>
          <w:p w14:paraId="49A7C0D3">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0D07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清创缝合器械</w:t>
            </w:r>
          </w:p>
        </w:tc>
        <w:tc>
          <w:tcPr>
            <w:tcW w:w="784" w:type="dxa"/>
            <w:shd w:val="clear" w:color="auto" w:fill="auto"/>
            <w:vAlign w:val="center"/>
          </w:tcPr>
          <w:p w14:paraId="47CC7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10FE0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3E29C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2CB65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66" w:type="dxa"/>
            <w:shd w:val="clear" w:color="auto" w:fill="auto"/>
            <w:noWrap/>
            <w:vAlign w:val="center"/>
          </w:tcPr>
          <w:p w14:paraId="4F8E0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00" w:type="dxa"/>
            <w:shd w:val="clear" w:color="auto" w:fill="auto"/>
            <w:noWrap/>
            <w:vAlign w:val="center"/>
          </w:tcPr>
          <w:p w14:paraId="694E92D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61D71E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CCE5D0D">
            <w:pPr>
              <w:jc w:val="center"/>
              <w:rPr>
                <w:rFonts w:hint="eastAsia" w:ascii="宋体" w:hAnsi="宋体" w:eastAsia="宋体" w:cs="宋体"/>
                <w:i w:val="0"/>
                <w:iCs w:val="0"/>
                <w:color w:val="000000"/>
                <w:sz w:val="22"/>
                <w:szCs w:val="22"/>
                <w:u w:val="none"/>
              </w:rPr>
            </w:pPr>
          </w:p>
        </w:tc>
      </w:tr>
      <w:tr w14:paraId="1CA4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05548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62" w:type="dxa"/>
            <w:vMerge w:val="continue"/>
            <w:shd w:val="clear" w:color="auto" w:fill="auto"/>
            <w:vAlign w:val="center"/>
          </w:tcPr>
          <w:p w14:paraId="59022219">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5A8E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心电监护仪+固定架</w:t>
            </w:r>
          </w:p>
        </w:tc>
        <w:tc>
          <w:tcPr>
            <w:tcW w:w="784" w:type="dxa"/>
            <w:shd w:val="clear" w:color="auto" w:fill="auto"/>
            <w:vAlign w:val="center"/>
          </w:tcPr>
          <w:p w14:paraId="0CE59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5D39B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1E79E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EE22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45AD7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7A91310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D43CEBF">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8E5ECDC">
            <w:pPr>
              <w:jc w:val="center"/>
              <w:rPr>
                <w:rFonts w:hint="eastAsia" w:ascii="宋体" w:hAnsi="宋体" w:eastAsia="宋体" w:cs="宋体"/>
                <w:i w:val="0"/>
                <w:iCs w:val="0"/>
                <w:color w:val="000000"/>
                <w:sz w:val="22"/>
                <w:szCs w:val="22"/>
                <w:u w:val="none"/>
              </w:rPr>
            </w:pPr>
          </w:p>
        </w:tc>
      </w:tr>
      <w:tr w14:paraId="4EAE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E266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62" w:type="dxa"/>
            <w:vMerge w:val="continue"/>
            <w:shd w:val="clear" w:color="auto" w:fill="auto"/>
            <w:vAlign w:val="center"/>
          </w:tcPr>
          <w:p w14:paraId="24BF8564">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72C6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输液泵</w:t>
            </w:r>
          </w:p>
        </w:tc>
        <w:tc>
          <w:tcPr>
            <w:tcW w:w="784" w:type="dxa"/>
            <w:shd w:val="clear" w:color="auto" w:fill="auto"/>
            <w:vAlign w:val="center"/>
          </w:tcPr>
          <w:p w14:paraId="1F5F2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42BC5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32D80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9192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1A492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0889A1C3">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4F89382">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CD59A90">
            <w:pPr>
              <w:jc w:val="center"/>
              <w:rPr>
                <w:rFonts w:hint="eastAsia" w:ascii="宋体" w:hAnsi="宋体" w:eastAsia="宋体" w:cs="宋体"/>
                <w:i w:val="0"/>
                <w:iCs w:val="0"/>
                <w:color w:val="000000"/>
                <w:sz w:val="22"/>
                <w:szCs w:val="22"/>
                <w:u w:val="none"/>
              </w:rPr>
            </w:pPr>
          </w:p>
        </w:tc>
      </w:tr>
      <w:tr w14:paraId="4D6C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35885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62" w:type="dxa"/>
            <w:vMerge w:val="continue"/>
            <w:shd w:val="clear" w:color="auto" w:fill="auto"/>
            <w:vAlign w:val="center"/>
          </w:tcPr>
          <w:p w14:paraId="3D9158B7">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457B8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注射泵</w:t>
            </w:r>
          </w:p>
        </w:tc>
        <w:tc>
          <w:tcPr>
            <w:tcW w:w="784" w:type="dxa"/>
            <w:shd w:val="clear" w:color="auto" w:fill="auto"/>
            <w:vAlign w:val="center"/>
          </w:tcPr>
          <w:p w14:paraId="24B02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B00A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453DD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32EB5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1CDA5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3F7386A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8E8E3B4">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A64E22C">
            <w:pPr>
              <w:jc w:val="center"/>
              <w:rPr>
                <w:rFonts w:hint="eastAsia" w:ascii="宋体" w:hAnsi="宋体" w:eastAsia="宋体" w:cs="宋体"/>
                <w:i w:val="0"/>
                <w:iCs w:val="0"/>
                <w:color w:val="FF0000"/>
                <w:sz w:val="22"/>
                <w:szCs w:val="22"/>
                <w:u w:val="none"/>
              </w:rPr>
            </w:pPr>
          </w:p>
        </w:tc>
      </w:tr>
      <w:tr w14:paraId="2EFB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70F8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2" w:type="dxa"/>
            <w:vMerge w:val="continue"/>
            <w:shd w:val="clear" w:color="auto" w:fill="auto"/>
            <w:vAlign w:val="center"/>
          </w:tcPr>
          <w:p w14:paraId="674F6410">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F368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医用储存柜</w:t>
            </w:r>
          </w:p>
        </w:tc>
        <w:tc>
          <w:tcPr>
            <w:tcW w:w="784" w:type="dxa"/>
            <w:shd w:val="clear" w:color="auto" w:fill="auto"/>
            <w:vAlign w:val="center"/>
          </w:tcPr>
          <w:p w14:paraId="67804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284E2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32ABF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1AC58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259D6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0D9D4265">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7DE95E5">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0C8408E">
            <w:pPr>
              <w:jc w:val="center"/>
              <w:rPr>
                <w:rFonts w:hint="eastAsia" w:ascii="宋体" w:hAnsi="宋体" w:eastAsia="宋体" w:cs="宋体"/>
                <w:i w:val="0"/>
                <w:iCs w:val="0"/>
                <w:color w:val="FF0000"/>
                <w:sz w:val="22"/>
                <w:szCs w:val="22"/>
                <w:u w:val="none"/>
              </w:rPr>
            </w:pPr>
          </w:p>
        </w:tc>
      </w:tr>
      <w:tr w14:paraId="0664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DAA4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62" w:type="dxa"/>
            <w:vMerge w:val="continue"/>
            <w:shd w:val="clear" w:color="auto" w:fill="auto"/>
            <w:vAlign w:val="center"/>
          </w:tcPr>
          <w:p w14:paraId="31DEDC85">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953B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洗胃机</w:t>
            </w:r>
          </w:p>
        </w:tc>
        <w:tc>
          <w:tcPr>
            <w:tcW w:w="784" w:type="dxa"/>
            <w:shd w:val="clear" w:color="auto" w:fill="auto"/>
            <w:vAlign w:val="center"/>
          </w:tcPr>
          <w:p w14:paraId="7620F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14A1E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366E4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8984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759F4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29A67FD9">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DA8B5BA">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021DED1">
            <w:pPr>
              <w:jc w:val="center"/>
              <w:rPr>
                <w:rFonts w:hint="eastAsia" w:ascii="宋体" w:hAnsi="宋体" w:eastAsia="宋体" w:cs="宋体"/>
                <w:i w:val="0"/>
                <w:iCs w:val="0"/>
                <w:color w:val="000000"/>
                <w:sz w:val="22"/>
                <w:szCs w:val="22"/>
                <w:u w:val="none"/>
              </w:rPr>
            </w:pPr>
          </w:p>
        </w:tc>
      </w:tr>
      <w:tr w14:paraId="5DE7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5C28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62" w:type="dxa"/>
            <w:vMerge w:val="continue"/>
            <w:shd w:val="clear" w:color="auto" w:fill="auto"/>
            <w:vAlign w:val="center"/>
          </w:tcPr>
          <w:p w14:paraId="6BC4A87F">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AB44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听诊器</w:t>
            </w:r>
          </w:p>
        </w:tc>
        <w:tc>
          <w:tcPr>
            <w:tcW w:w="784" w:type="dxa"/>
            <w:shd w:val="clear" w:color="auto" w:fill="auto"/>
            <w:vAlign w:val="center"/>
          </w:tcPr>
          <w:p w14:paraId="4BA29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599E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1B56E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6DCFA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22196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3CB28D8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B35CE3C">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C1125C8">
            <w:pPr>
              <w:jc w:val="center"/>
              <w:rPr>
                <w:rFonts w:hint="eastAsia" w:ascii="宋体" w:hAnsi="宋体" w:eastAsia="宋体" w:cs="宋体"/>
                <w:i w:val="0"/>
                <w:iCs w:val="0"/>
                <w:color w:val="000000"/>
                <w:sz w:val="22"/>
                <w:szCs w:val="22"/>
                <w:u w:val="none"/>
              </w:rPr>
            </w:pPr>
          </w:p>
        </w:tc>
      </w:tr>
      <w:tr w14:paraId="2DE7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0A18E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62" w:type="dxa"/>
            <w:vMerge w:val="continue"/>
            <w:shd w:val="clear" w:color="auto" w:fill="auto"/>
            <w:vAlign w:val="center"/>
          </w:tcPr>
          <w:p w14:paraId="3E8DD6F4">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386AF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便携式超声诊断仪</w:t>
            </w:r>
          </w:p>
        </w:tc>
        <w:tc>
          <w:tcPr>
            <w:tcW w:w="784" w:type="dxa"/>
            <w:shd w:val="clear" w:color="auto" w:fill="auto"/>
            <w:vAlign w:val="center"/>
          </w:tcPr>
          <w:p w14:paraId="79B1B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3882A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5A8EA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860D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673A5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4D48043B">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AA340B6">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D6CC8EA">
            <w:pPr>
              <w:jc w:val="center"/>
              <w:rPr>
                <w:rFonts w:hint="eastAsia" w:ascii="宋体" w:hAnsi="宋体" w:eastAsia="宋体" w:cs="宋体"/>
                <w:i w:val="0"/>
                <w:iCs w:val="0"/>
                <w:color w:val="000000"/>
                <w:sz w:val="22"/>
                <w:szCs w:val="22"/>
                <w:u w:val="none"/>
              </w:rPr>
            </w:pPr>
          </w:p>
        </w:tc>
      </w:tr>
      <w:tr w14:paraId="7CD6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33D5A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62" w:type="dxa"/>
            <w:vMerge w:val="continue"/>
            <w:shd w:val="clear" w:color="auto" w:fill="auto"/>
            <w:vAlign w:val="center"/>
          </w:tcPr>
          <w:p w14:paraId="6270FE6B">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02E4A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血糖仪</w:t>
            </w:r>
          </w:p>
        </w:tc>
        <w:tc>
          <w:tcPr>
            <w:tcW w:w="784" w:type="dxa"/>
            <w:shd w:val="clear" w:color="auto" w:fill="auto"/>
            <w:vAlign w:val="center"/>
          </w:tcPr>
          <w:p w14:paraId="2EBEF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28490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4215A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0D58D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68011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196BA04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F2EE35E">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24437F9">
            <w:pPr>
              <w:jc w:val="center"/>
              <w:rPr>
                <w:rFonts w:hint="eastAsia" w:ascii="宋体" w:hAnsi="宋体" w:eastAsia="宋体" w:cs="宋体"/>
                <w:i w:val="0"/>
                <w:iCs w:val="0"/>
                <w:color w:val="000000"/>
                <w:sz w:val="22"/>
                <w:szCs w:val="22"/>
                <w:u w:val="none"/>
              </w:rPr>
            </w:pPr>
          </w:p>
        </w:tc>
      </w:tr>
      <w:tr w14:paraId="77AB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35D0A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2" w:type="dxa"/>
            <w:vMerge w:val="continue"/>
            <w:shd w:val="clear" w:color="auto" w:fill="auto"/>
            <w:vAlign w:val="center"/>
          </w:tcPr>
          <w:p w14:paraId="4F587A84">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6AFB7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担架</w:t>
            </w:r>
          </w:p>
        </w:tc>
        <w:tc>
          <w:tcPr>
            <w:tcW w:w="784" w:type="dxa"/>
            <w:shd w:val="clear" w:color="auto" w:fill="auto"/>
            <w:vAlign w:val="center"/>
          </w:tcPr>
          <w:p w14:paraId="0300E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58C29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1322F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48D3D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454AB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00" w:type="dxa"/>
            <w:shd w:val="clear" w:color="auto" w:fill="auto"/>
            <w:noWrap/>
            <w:vAlign w:val="center"/>
          </w:tcPr>
          <w:p w14:paraId="2C3E28A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D32922E">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192BBACF">
            <w:pPr>
              <w:jc w:val="center"/>
              <w:rPr>
                <w:rFonts w:hint="eastAsia" w:ascii="宋体" w:hAnsi="宋体" w:eastAsia="宋体" w:cs="宋体"/>
                <w:i w:val="0"/>
                <w:iCs w:val="0"/>
                <w:color w:val="FF0000"/>
                <w:sz w:val="22"/>
                <w:szCs w:val="22"/>
                <w:u w:val="none"/>
              </w:rPr>
            </w:pPr>
          </w:p>
        </w:tc>
      </w:tr>
      <w:tr w14:paraId="345D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2572F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62" w:type="dxa"/>
            <w:vMerge w:val="continue"/>
            <w:shd w:val="clear" w:color="auto" w:fill="auto"/>
            <w:vAlign w:val="center"/>
          </w:tcPr>
          <w:p w14:paraId="1C232BBD">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63421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远程医疗会诊管理系统</w:t>
            </w:r>
          </w:p>
        </w:tc>
        <w:tc>
          <w:tcPr>
            <w:tcW w:w="784" w:type="dxa"/>
            <w:shd w:val="clear" w:color="auto" w:fill="auto"/>
            <w:vAlign w:val="center"/>
          </w:tcPr>
          <w:p w14:paraId="2C238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4C196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154EC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29ACE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1BEAD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shd w:val="clear" w:color="auto" w:fill="auto"/>
            <w:noWrap/>
            <w:vAlign w:val="center"/>
          </w:tcPr>
          <w:p w14:paraId="713A4046">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5770CEF">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1CB5CB99">
            <w:pPr>
              <w:jc w:val="center"/>
              <w:rPr>
                <w:rFonts w:hint="eastAsia" w:ascii="宋体" w:hAnsi="宋体" w:eastAsia="宋体" w:cs="宋体"/>
                <w:i w:val="0"/>
                <w:iCs w:val="0"/>
                <w:color w:val="FF0000"/>
                <w:sz w:val="22"/>
                <w:szCs w:val="22"/>
                <w:u w:val="none"/>
              </w:rPr>
            </w:pPr>
          </w:p>
        </w:tc>
      </w:tr>
      <w:tr w14:paraId="709E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41CAB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62" w:type="dxa"/>
            <w:vMerge w:val="continue"/>
            <w:shd w:val="clear" w:color="auto" w:fill="auto"/>
            <w:vAlign w:val="center"/>
          </w:tcPr>
          <w:p w14:paraId="3FD2113A">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69F29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多功能床旁设备车</w:t>
            </w:r>
          </w:p>
        </w:tc>
        <w:tc>
          <w:tcPr>
            <w:tcW w:w="784" w:type="dxa"/>
            <w:shd w:val="clear" w:color="auto" w:fill="auto"/>
            <w:vAlign w:val="center"/>
          </w:tcPr>
          <w:p w14:paraId="45F5B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438CC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08F8B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3ECC8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7905E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236426B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1AA5968">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6B70013">
            <w:pPr>
              <w:jc w:val="center"/>
              <w:rPr>
                <w:rFonts w:hint="eastAsia" w:ascii="宋体" w:hAnsi="宋体" w:eastAsia="宋体" w:cs="宋体"/>
                <w:i w:val="0"/>
                <w:iCs w:val="0"/>
                <w:color w:val="000000"/>
                <w:sz w:val="22"/>
                <w:szCs w:val="22"/>
                <w:u w:val="none"/>
              </w:rPr>
            </w:pPr>
          </w:p>
        </w:tc>
      </w:tr>
      <w:tr w14:paraId="0962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52585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62" w:type="dxa"/>
            <w:vMerge w:val="continue"/>
            <w:shd w:val="clear" w:color="auto" w:fill="auto"/>
            <w:vAlign w:val="center"/>
          </w:tcPr>
          <w:p w14:paraId="62FA4D6B">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035F2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抢救车</w:t>
            </w:r>
          </w:p>
        </w:tc>
        <w:tc>
          <w:tcPr>
            <w:tcW w:w="784" w:type="dxa"/>
            <w:shd w:val="clear" w:color="auto" w:fill="auto"/>
            <w:vAlign w:val="center"/>
          </w:tcPr>
          <w:p w14:paraId="25426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765B8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2B94B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09F99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5C603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65FC6C24">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6B647B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6574DAF6">
            <w:pPr>
              <w:jc w:val="center"/>
              <w:rPr>
                <w:rFonts w:hint="eastAsia" w:ascii="宋体" w:hAnsi="宋体" w:eastAsia="宋体" w:cs="宋体"/>
                <w:i w:val="0"/>
                <w:iCs w:val="0"/>
                <w:color w:val="000000"/>
                <w:sz w:val="22"/>
                <w:szCs w:val="22"/>
                <w:u w:val="none"/>
              </w:rPr>
            </w:pPr>
          </w:p>
        </w:tc>
      </w:tr>
      <w:tr w14:paraId="0CAF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21" w:type="dxa"/>
            <w:shd w:val="clear" w:color="auto" w:fill="auto"/>
            <w:vAlign w:val="center"/>
          </w:tcPr>
          <w:p w14:paraId="0FB4E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62" w:type="dxa"/>
            <w:vMerge w:val="continue"/>
            <w:shd w:val="clear" w:color="auto" w:fill="auto"/>
            <w:vAlign w:val="center"/>
          </w:tcPr>
          <w:p w14:paraId="49FD30D1">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2184B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便携氧气桶</w:t>
            </w:r>
          </w:p>
        </w:tc>
        <w:tc>
          <w:tcPr>
            <w:tcW w:w="784" w:type="dxa"/>
            <w:shd w:val="clear" w:color="auto" w:fill="auto"/>
            <w:vAlign w:val="center"/>
          </w:tcPr>
          <w:p w14:paraId="3EB13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3EB4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7F696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2BA65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528D7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354C98A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A650DB8">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B295E77">
            <w:pPr>
              <w:jc w:val="center"/>
              <w:rPr>
                <w:rFonts w:hint="eastAsia" w:ascii="宋体" w:hAnsi="宋体" w:eastAsia="宋体" w:cs="宋体"/>
                <w:i w:val="0"/>
                <w:iCs w:val="0"/>
                <w:color w:val="FF0000"/>
                <w:sz w:val="22"/>
                <w:szCs w:val="22"/>
                <w:u w:val="none"/>
              </w:rPr>
            </w:pPr>
          </w:p>
        </w:tc>
      </w:tr>
      <w:tr w14:paraId="3021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43C92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62" w:type="dxa"/>
            <w:vMerge w:val="continue"/>
            <w:shd w:val="clear" w:color="auto" w:fill="auto"/>
            <w:vAlign w:val="center"/>
          </w:tcPr>
          <w:p w14:paraId="61E165D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F1D7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中央监护系统</w:t>
            </w:r>
          </w:p>
        </w:tc>
        <w:tc>
          <w:tcPr>
            <w:tcW w:w="784" w:type="dxa"/>
            <w:shd w:val="clear" w:color="auto" w:fill="auto"/>
            <w:vAlign w:val="center"/>
          </w:tcPr>
          <w:p w14:paraId="33CA6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0B56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3D640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06B2E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3B431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shd w:val="clear" w:color="auto" w:fill="auto"/>
            <w:noWrap/>
            <w:vAlign w:val="center"/>
          </w:tcPr>
          <w:p w14:paraId="783B167F">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874044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7EEC638">
            <w:pPr>
              <w:jc w:val="center"/>
              <w:rPr>
                <w:rFonts w:hint="eastAsia" w:ascii="宋体" w:hAnsi="宋体" w:eastAsia="宋体" w:cs="宋体"/>
                <w:i w:val="0"/>
                <w:iCs w:val="0"/>
                <w:color w:val="000000"/>
                <w:sz w:val="22"/>
                <w:szCs w:val="22"/>
                <w:u w:val="none"/>
              </w:rPr>
            </w:pPr>
          </w:p>
        </w:tc>
      </w:tr>
      <w:tr w14:paraId="77D9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11FA3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62" w:type="dxa"/>
            <w:vMerge w:val="restart"/>
            <w:shd w:val="clear" w:color="auto" w:fill="auto"/>
            <w:vAlign w:val="center"/>
          </w:tcPr>
          <w:p w14:paraId="7A613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内（儿）科</w:t>
            </w:r>
          </w:p>
        </w:tc>
        <w:tc>
          <w:tcPr>
            <w:tcW w:w="2937" w:type="dxa"/>
            <w:shd w:val="clear" w:color="auto" w:fill="auto"/>
            <w:vAlign w:val="center"/>
          </w:tcPr>
          <w:p w14:paraId="17651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动态心电监测仪(HOLTER)</w:t>
            </w:r>
          </w:p>
        </w:tc>
        <w:tc>
          <w:tcPr>
            <w:tcW w:w="784" w:type="dxa"/>
            <w:shd w:val="clear" w:color="auto" w:fill="auto"/>
            <w:vAlign w:val="center"/>
          </w:tcPr>
          <w:p w14:paraId="7A65D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6" w:type="dxa"/>
            <w:shd w:val="clear" w:color="auto" w:fill="auto"/>
            <w:vAlign w:val="center"/>
          </w:tcPr>
          <w:p w14:paraId="24B4F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2DE06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78ACF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08CDF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0" w:type="dxa"/>
            <w:shd w:val="clear" w:color="auto" w:fill="auto"/>
            <w:noWrap/>
            <w:vAlign w:val="center"/>
          </w:tcPr>
          <w:p w14:paraId="290861AF">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ECCD4B5">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E6835B9">
            <w:pPr>
              <w:jc w:val="center"/>
              <w:rPr>
                <w:rFonts w:hint="eastAsia" w:ascii="宋体" w:hAnsi="宋体" w:eastAsia="宋体" w:cs="宋体"/>
                <w:i w:val="0"/>
                <w:iCs w:val="0"/>
                <w:color w:val="000000"/>
                <w:sz w:val="22"/>
                <w:szCs w:val="22"/>
                <w:u w:val="none"/>
              </w:rPr>
            </w:pPr>
          </w:p>
        </w:tc>
      </w:tr>
      <w:tr w14:paraId="53A7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A74B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2" w:type="dxa"/>
            <w:vMerge w:val="continue"/>
            <w:shd w:val="clear" w:color="auto" w:fill="auto"/>
            <w:vAlign w:val="center"/>
          </w:tcPr>
          <w:p w14:paraId="2FB48561">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3571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动态血压监测仪</w:t>
            </w:r>
          </w:p>
        </w:tc>
        <w:tc>
          <w:tcPr>
            <w:tcW w:w="784" w:type="dxa"/>
            <w:shd w:val="clear" w:color="auto" w:fill="auto"/>
            <w:vAlign w:val="center"/>
          </w:tcPr>
          <w:p w14:paraId="1FC45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6" w:type="dxa"/>
            <w:shd w:val="clear" w:color="auto" w:fill="auto"/>
            <w:vAlign w:val="center"/>
          </w:tcPr>
          <w:p w14:paraId="114FC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6895E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46446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0CEAF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0" w:type="dxa"/>
            <w:shd w:val="clear" w:color="auto" w:fill="auto"/>
            <w:noWrap/>
            <w:vAlign w:val="center"/>
          </w:tcPr>
          <w:p w14:paraId="221DFE4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73533FF">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59D9385">
            <w:pPr>
              <w:jc w:val="center"/>
              <w:rPr>
                <w:rFonts w:hint="eastAsia" w:ascii="宋体" w:hAnsi="宋体" w:eastAsia="宋体" w:cs="宋体"/>
                <w:i w:val="0"/>
                <w:iCs w:val="0"/>
                <w:color w:val="000000"/>
                <w:sz w:val="22"/>
                <w:szCs w:val="22"/>
                <w:u w:val="none"/>
              </w:rPr>
            </w:pPr>
          </w:p>
        </w:tc>
      </w:tr>
      <w:tr w14:paraId="57EE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8202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62" w:type="dxa"/>
            <w:vMerge w:val="continue"/>
            <w:shd w:val="clear" w:color="auto" w:fill="auto"/>
            <w:vAlign w:val="center"/>
          </w:tcPr>
          <w:p w14:paraId="3B948289">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7D2C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儿童输液床</w:t>
            </w:r>
          </w:p>
        </w:tc>
        <w:tc>
          <w:tcPr>
            <w:tcW w:w="784" w:type="dxa"/>
            <w:shd w:val="clear" w:color="auto" w:fill="auto"/>
            <w:vAlign w:val="center"/>
          </w:tcPr>
          <w:p w14:paraId="17695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4D634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5C02A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dxa"/>
            <w:shd w:val="clear" w:color="auto" w:fill="auto"/>
            <w:noWrap/>
            <w:vAlign w:val="center"/>
          </w:tcPr>
          <w:p w14:paraId="69A09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63D84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0" w:type="dxa"/>
            <w:shd w:val="clear" w:color="auto" w:fill="auto"/>
            <w:noWrap/>
            <w:vAlign w:val="center"/>
          </w:tcPr>
          <w:p w14:paraId="2B92A98D">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B13D7DC">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A112D8A">
            <w:pPr>
              <w:jc w:val="center"/>
              <w:rPr>
                <w:rFonts w:hint="eastAsia" w:ascii="宋体" w:hAnsi="宋体" w:eastAsia="宋体" w:cs="宋体"/>
                <w:i w:val="0"/>
                <w:iCs w:val="0"/>
                <w:color w:val="000000"/>
                <w:sz w:val="22"/>
                <w:szCs w:val="22"/>
                <w:u w:val="none"/>
              </w:rPr>
            </w:pPr>
          </w:p>
        </w:tc>
      </w:tr>
      <w:tr w14:paraId="4089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F6D8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62" w:type="dxa"/>
            <w:vMerge w:val="restart"/>
            <w:shd w:val="clear" w:color="auto" w:fill="auto"/>
            <w:vAlign w:val="center"/>
          </w:tcPr>
          <w:p w14:paraId="2D6CB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智慧疫苗系统</w:t>
            </w:r>
          </w:p>
        </w:tc>
        <w:tc>
          <w:tcPr>
            <w:tcW w:w="2937" w:type="dxa"/>
            <w:shd w:val="clear" w:color="auto" w:fill="auto"/>
            <w:vAlign w:val="center"/>
          </w:tcPr>
          <w:p w14:paraId="070A1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智慧疫苗接种箱/台</w:t>
            </w:r>
          </w:p>
        </w:tc>
        <w:tc>
          <w:tcPr>
            <w:tcW w:w="784" w:type="dxa"/>
            <w:vMerge w:val="restart"/>
            <w:shd w:val="clear" w:color="auto" w:fill="auto"/>
            <w:noWrap/>
            <w:vAlign w:val="center"/>
          </w:tcPr>
          <w:p w14:paraId="3152515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16" w:type="dxa"/>
            <w:vMerge w:val="restart"/>
            <w:shd w:val="clear" w:color="auto" w:fill="auto"/>
            <w:noWrap/>
            <w:vAlign w:val="center"/>
          </w:tcPr>
          <w:p w14:paraId="3806133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934" w:type="dxa"/>
            <w:vMerge w:val="restart"/>
            <w:shd w:val="clear" w:color="auto" w:fill="auto"/>
            <w:noWrap/>
            <w:vAlign w:val="center"/>
          </w:tcPr>
          <w:p w14:paraId="5A3C5B1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150" w:type="dxa"/>
            <w:vMerge w:val="restart"/>
            <w:shd w:val="clear" w:color="auto" w:fill="auto"/>
            <w:noWrap/>
            <w:vAlign w:val="center"/>
          </w:tcPr>
          <w:p w14:paraId="18DBD30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66" w:type="dxa"/>
            <w:vMerge w:val="restart"/>
            <w:shd w:val="clear" w:color="auto" w:fill="auto"/>
            <w:noWrap/>
            <w:vAlign w:val="center"/>
          </w:tcPr>
          <w:p w14:paraId="71A2A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p w14:paraId="36516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4套</w:t>
            </w:r>
          </w:p>
        </w:tc>
        <w:tc>
          <w:tcPr>
            <w:tcW w:w="800" w:type="dxa"/>
            <w:vMerge w:val="restart"/>
            <w:shd w:val="clear" w:color="auto" w:fill="auto"/>
            <w:noWrap/>
            <w:vAlign w:val="center"/>
          </w:tcPr>
          <w:p w14:paraId="2A63AB00">
            <w:pPr>
              <w:jc w:val="center"/>
              <w:rPr>
                <w:rFonts w:hint="eastAsia" w:ascii="宋体" w:hAnsi="宋体" w:eastAsia="宋体" w:cs="宋体"/>
                <w:i w:val="0"/>
                <w:iCs w:val="0"/>
                <w:color w:val="000000"/>
                <w:sz w:val="22"/>
                <w:szCs w:val="22"/>
                <w:u w:val="none"/>
              </w:rPr>
            </w:pPr>
          </w:p>
        </w:tc>
        <w:tc>
          <w:tcPr>
            <w:tcW w:w="956" w:type="dxa"/>
            <w:vMerge w:val="restart"/>
            <w:shd w:val="clear" w:color="auto" w:fill="auto"/>
            <w:noWrap/>
            <w:vAlign w:val="center"/>
          </w:tcPr>
          <w:p w14:paraId="78D5810C">
            <w:pPr>
              <w:jc w:val="center"/>
              <w:rPr>
                <w:rFonts w:hint="eastAsia" w:ascii="宋体" w:hAnsi="宋体" w:eastAsia="宋体" w:cs="宋体"/>
                <w:i w:val="0"/>
                <w:iCs w:val="0"/>
                <w:color w:val="000000"/>
                <w:sz w:val="22"/>
                <w:szCs w:val="22"/>
                <w:u w:val="none"/>
              </w:rPr>
            </w:pPr>
          </w:p>
        </w:tc>
        <w:tc>
          <w:tcPr>
            <w:tcW w:w="3155" w:type="dxa"/>
            <w:vMerge w:val="restart"/>
            <w:shd w:val="clear" w:color="auto" w:fill="auto"/>
            <w:vAlign w:val="center"/>
          </w:tcPr>
          <w:p w14:paraId="309695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智慧疫苗接种系统包含：自动终端机（排队取号机1台）、自动终端机（留观机1台）、接种配套箱2台及配套软件、冷藏箱1台及配套软件、数字化门诊全流程网络信息管理系统及配套设施1套、签核一体机（2台）及配套的家长智能签核管理系统（2套）、显示终端一体机（分辨率≥3840*2160液晶电视2台、显示终端一体机（分辨率≥1360*768液晶电视4台），含装修费用。</w:t>
            </w:r>
          </w:p>
        </w:tc>
      </w:tr>
      <w:tr w14:paraId="4F0C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21" w:type="dxa"/>
            <w:shd w:val="clear" w:color="auto" w:fill="auto"/>
            <w:vAlign w:val="center"/>
          </w:tcPr>
          <w:p w14:paraId="6913A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62" w:type="dxa"/>
            <w:vMerge w:val="continue"/>
            <w:shd w:val="clear" w:color="auto" w:fill="auto"/>
            <w:vAlign w:val="center"/>
          </w:tcPr>
          <w:p w14:paraId="7B191EBE">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09FF6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智慧疫苗保存冷藏箱/台</w:t>
            </w:r>
          </w:p>
        </w:tc>
        <w:tc>
          <w:tcPr>
            <w:tcW w:w="784" w:type="dxa"/>
            <w:vMerge w:val="continue"/>
            <w:shd w:val="clear" w:color="auto" w:fill="auto"/>
            <w:noWrap/>
            <w:vAlign w:val="center"/>
          </w:tcPr>
          <w:p w14:paraId="10CAB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16ADA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367EF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361F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098C0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12DB3A7E">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CFD1EF1">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00171FC5">
            <w:pPr>
              <w:jc w:val="center"/>
              <w:rPr>
                <w:rFonts w:hint="eastAsia" w:ascii="宋体" w:hAnsi="宋体" w:eastAsia="宋体" w:cs="宋体"/>
                <w:b/>
                <w:bCs/>
                <w:i w:val="0"/>
                <w:iCs w:val="0"/>
                <w:color w:val="000000"/>
                <w:sz w:val="24"/>
                <w:szCs w:val="24"/>
                <w:u w:val="none"/>
              </w:rPr>
            </w:pPr>
          </w:p>
        </w:tc>
      </w:tr>
      <w:tr w14:paraId="0F68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052BC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62" w:type="dxa"/>
            <w:vMerge w:val="continue"/>
            <w:shd w:val="clear" w:color="auto" w:fill="auto"/>
            <w:vAlign w:val="center"/>
          </w:tcPr>
          <w:p w14:paraId="72802F42">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D38B3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数字化预防接种门诊全流程信息管理系统接口软件</w:t>
            </w:r>
          </w:p>
          <w:p w14:paraId="54BAE4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4" w:type="dxa"/>
            <w:vMerge w:val="continue"/>
            <w:shd w:val="clear" w:color="auto" w:fill="auto"/>
            <w:noWrap/>
            <w:vAlign w:val="center"/>
          </w:tcPr>
          <w:p w14:paraId="5A241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79EE3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59483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585BE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2AEAA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3DE45222">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5E7D63D">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FC0818B">
            <w:pPr>
              <w:jc w:val="center"/>
              <w:rPr>
                <w:rFonts w:hint="eastAsia" w:ascii="宋体" w:hAnsi="宋体" w:eastAsia="宋体" w:cs="宋体"/>
                <w:b/>
                <w:bCs/>
                <w:i w:val="0"/>
                <w:iCs w:val="0"/>
                <w:color w:val="000000"/>
                <w:sz w:val="24"/>
                <w:szCs w:val="24"/>
                <w:u w:val="none"/>
              </w:rPr>
            </w:pPr>
          </w:p>
        </w:tc>
      </w:tr>
      <w:tr w14:paraId="1E69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01C35F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762" w:type="dxa"/>
            <w:vMerge w:val="continue"/>
            <w:shd w:val="clear" w:color="auto" w:fill="auto"/>
            <w:vAlign w:val="center"/>
          </w:tcPr>
          <w:p w14:paraId="57BEF4BC">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D4E8B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排队叫号显示管理控制系统（包含在数字化预防接种门诊全流程信息管理系统接口软件</w:t>
            </w:r>
          </w:p>
          <w:p w14:paraId="31862A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16F91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08443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286CB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1E06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0D64F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7CBC8A84">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46B4F139">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63A758AF">
            <w:pPr>
              <w:jc w:val="center"/>
              <w:rPr>
                <w:rFonts w:hint="eastAsia" w:ascii="宋体" w:hAnsi="宋体" w:eastAsia="宋体" w:cs="宋体"/>
                <w:b/>
                <w:bCs/>
                <w:i w:val="0"/>
                <w:iCs w:val="0"/>
                <w:color w:val="000000"/>
                <w:sz w:val="24"/>
                <w:szCs w:val="24"/>
                <w:u w:val="none"/>
              </w:rPr>
            </w:pPr>
          </w:p>
        </w:tc>
      </w:tr>
      <w:tr w14:paraId="3009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77E9AB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762" w:type="dxa"/>
            <w:vMerge w:val="continue"/>
            <w:shd w:val="clear" w:color="auto" w:fill="auto"/>
            <w:vAlign w:val="center"/>
          </w:tcPr>
          <w:p w14:paraId="7A618229">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100BD1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虚拟呼叫和语音播报控制系统（包含在数字化预防接种门诊全流程信息管理系统接口软件</w:t>
            </w:r>
          </w:p>
          <w:p w14:paraId="4466F7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36A97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31A9B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505C2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C4CB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0FF10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5E86C5BF">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61849131">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6BAC302">
            <w:pPr>
              <w:jc w:val="center"/>
              <w:rPr>
                <w:rFonts w:hint="eastAsia" w:ascii="宋体" w:hAnsi="宋体" w:eastAsia="宋体" w:cs="宋体"/>
                <w:b/>
                <w:bCs/>
                <w:i w:val="0"/>
                <w:iCs w:val="0"/>
                <w:color w:val="000000"/>
                <w:sz w:val="24"/>
                <w:szCs w:val="24"/>
                <w:u w:val="none"/>
              </w:rPr>
            </w:pPr>
          </w:p>
        </w:tc>
      </w:tr>
      <w:tr w14:paraId="185A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51B688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762" w:type="dxa"/>
            <w:vMerge w:val="continue"/>
            <w:shd w:val="clear" w:color="auto" w:fill="auto"/>
            <w:vAlign w:val="center"/>
          </w:tcPr>
          <w:p w14:paraId="46588A8D">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D8691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多媒体信息发布系统（包含在数字化预防接种门诊全流程信息管理系统接口软件</w:t>
            </w:r>
          </w:p>
          <w:p w14:paraId="5A4FF7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37E71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35301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1923E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5AA94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441BE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3E466905">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65608BC9">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E624353">
            <w:pPr>
              <w:jc w:val="center"/>
              <w:rPr>
                <w:rFonts w:hint="eastAsia" w:ascii="宋体" w:hAnsi="宋体" w:eastAsia="宋体" w:cs="宋体"/>
                <w:b/>
                <w:bCs/>
                <w:i w:val="0"/>
                <w:iCs w:val="0"/>
                <w:color w:val="000000"/>
                <w:sz w:val="24"/>
                <w:szCs w:val="24"/>
                <w:u w:val="none"/>
              </w:rPr>
            </w:pPr>
          </w:p>
        </w:tc>
      </w:tr>
      <w:tr w14:paraId="51B7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621" w:type="dxa"/>
            <w:shd w:val="clear" w:color="auto" w:fill="auto"/>
            <w:vAlign w:val="center"/>
          </w:tcPr>
          <w:p w14:paraId="14C49B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62" w:type="dxa"/>
            <w:vMerge w:val="continue"/>
            <w:shd w:val="clear" w:color="auto" w:fill="auto"/>
            <w:vAlign w:val="center"/>
          </w:tcPr>
          <w:p w14:paraId="229CFB40">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96564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数字化门诊与智能接种冰箱数据对接接口（包含在数字化预防接种门诊全流程信息管理系统接口软件</w:t>
            </w:r>
          </w:p>
          <w:p w14:paraId="026E8B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75A74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2F0FD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1367D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0E43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68879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4854A5F5">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61483893">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59D5A954">
            <w:pPr>
              <w:jc w:val="center"/>
              <w:rPr>
                <w:rFonts w:hint="eastAsia" w:ascii="宋体" w:hAnsi="宋体" w:eastAsia="宋体" w:cs="宋体"/>
                <w:b/>
                <w:bCs/>
                <w:i w:val="0"/>
                <w:iCs w:val="0"/>
                <w:color w:val="000000"/>
                <w:sz w:val="24"/>
                <w:szCs w:val="24"/>
                <w:u w:val="none"/>
              </w:rPr>
            </w:pPr>
          </w:p>
        </w:tc>
      </w:tr>
      <w:tr w14:paraId="173F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3254E0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w:t>
            </w:r>
          </w:p>
        </w:tc>
        <w:tc>
          <w:tcPr>
            <w:tcW w:w="762" w:type="dxa"/>
            <w:vMerge w:val="continue"/>
            <w:shd w:val="clear" w:color="auto" w:fill="auto"/>
            <w:noWrap/>
            <w:vAlign w:val="center"/>
          </w:tcPr>
          <w:p w14:paraId="1E6BF9F2">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815E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自动终端机（排队取号机1台）</w:t>
            </w:r>
          </w:p>
        </w:tc>
        <w:tc>
          <w:tcPr>
            <w:tcW w:w="784" w:type="dxa"/>
            <w:vMerge w:val="continue"/>
            <w:shd w:val="clear" w:color="auto" w:fill="auto"/>
            <w:noWrap/>
            <w:vAlign w:val="center"/>
          </w:tcPr>
          <w:p w14:paraId="529DF63C">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5F9F0723">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3EF57A7B">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4B393D00">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018DC7AD">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5AEA6CF2">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2A79F950">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2F18340A">
            <w:pPr>
              <w:jc w:val="center"/>
              <w:rPr>
                <w:rFonts w:hint="eastAsia" w:ascii="宋体" w:hAnsi="宋体" w:eastAsia="宋体" w:cs="宋体"/>
                <w:b/>
                <w:bCs/>
                <w:i w:val="0"/>
                <w:iCs w:val="0"/>
                <w:color w:val="000000"/>
                <w:sz w:val="24"/>
                <w:szCs w:val="24"/>
                <w:u w:val="none"/>
              </w:rPr>
            </w:pPr>
          </w:p>
        </w:tc>
      </w:tr>
      <w:tr w14:paraId="68C7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6EFEB9F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w:t>
            </w:r>
          </w:p>
        </w:tc>
        <w:tc>
          <w:tcPr>
            <w:tcW w:w="762" w:type="dxa"/>
            <w:vMerge w:val="continue"/>
            <w:shd w:val="clear" w:color="auto" w:fill="auto"/>
            <w:noWrap/>
            <w:vAlign w:val="center"/>
          </w:tcPr>
          <w:p w14:paraId="7B59C9F7">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3C31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自动终端机（留观机1台）</w:t>
            </w:r>
          </w:p>
        </w:tc>
        <w:tc>
          <w:tcPr>
            <w:tcW w:w="784" w:type="dxa"/>
            <w:vMerge w:val="continue"/>
            <w:shd w:val="clear" w:color="auto" w:fill="auto"/>
            <w:noWrap/>
            <w:vAlign w:val="center"/>
          </w:tcPr>
          <w:p w14:paraId="4C35585C">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561ABB39">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50F8C327">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796258E1">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2E75A26D">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5F76C6CD">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21A8E286">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1500E5C4">
            <w:pPr>
              <w:jc w:val="center"/>
              <w:rPr>
                <w:rFonts w:hint="eastAsia" w:ascii="宋体" w:hAnsi="宋体" w:eastAsia="宋体" w:cs="宋体"/>
                <w:b/>
                <w:bCs/>
                <w:i w:val="0"/>
                <w:iCs w:val="0"/>
                <w:color w:val="000000"/>
                <w:sz w:val="24"/>
                <w:szCs w:val="24"/>
                <w:u w:val="none"/>
              </w:rPr>
            </w:pPr>
          </w:p>
        </w:tc>
      </w:tr>
      <w:tr w14:paraId="6496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0E6C12B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w:t>
            </w:r>
          </w:p>
        </w:tc>
        <w:tc>
          <w:tcPr>
            <w:tcW w:w="762" w:type="dxa"/>
            <w:vMerge w:val="continue"/>
            <w:shd w:val="clear" w:color="auto" w:fill="auto"/>
            <w:noWrap/>
            <w:vAlign w:val="center"/>
          </w:tcPr>
          <w:p w14:paraId="7042235D">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A6B3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签核一体机电脑</w:t>
            </w:r>
          </w:p>
        </w:tc>
        <w:tc>
          <w:tcPr>
            <w:tcW w:w="784" w:type="dxa"/>
            <w:vMerge w:val="continue"/>
            <w:shd w:val="clear" w:color="auto" w:fill="auto"/>
            <w:noWrap/>
            <w:vAlign w:val="center"/>
          </w:tcPr>
          <w:p w14:paraId="4E36D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3E6B1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122B6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1A4F5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0537A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67BFC20E">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763900E9">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7C74C5A9">
            <w:pPr>
              <w:jc w:val="center"/>
              <w:rPr>
                <w:rFonts w:hint="eastAsia" w:ascii="宋体" w:hAnsi="宋体" w:eastAsia="宋体" w:cs="宋体"/>
                <w:b/>
                <w:bCs/>
                <w:i w:val="0"/>
                <w:iCs w:val="0"/>
                <w:color w:val="000000"/>
                <w:sz w:val="24"/>
                <w:szCs w:val="24"/>
                <w:u w:val="none"/>
              </w:rPr>
            </w:pPr>
          </w:p>
        </w:tc>
      </w:tr>
      <w:tr w14:paraId="798E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9644E3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w:t>
            </w:r>
          </w:p>
        </w:tc>
        <w:tc>
          <w:tcPr>
            <w:tcW w:w="762" w:type="dxa"/>
            <w:vMerge w:val="continue"/>
            <w:shd w:val="clear" w:color="auto" w:fill="auto"/>
            <w:noWrap/>
            <w:vAlign w:val="center"/>
          </w:tcPr>
          <w:p w14:paraId="64E86D3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0EC6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家长智能签核管理系统</w:t>
            </w:r>
          </w:p>
        </w:tc>
        <w:tc>
          <w:tcPr>
            <w:tcW w:w="784" w:type="dxa"/>
            <w:vMerge w:val="continue"/>
            <w:shd w:val="clear" w:color="auto" w:fill="auto"/>
            <w:noWrap/>
            <w:vAlign w:val="center"/>
          </w:tcPr>
          <w:p w14:paraId="226C6095">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2631AA38">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26E536C0">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0A38AF17">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1084E961">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72DF7689">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75327C78">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740B8B6A">
            <w:pPr>
              <w:jc w:val="center"/>
              <w:rPr>
                <w:rFonts w:hint="eastAsia" w:ascii="宋体" w:hAnsi="宋体" w:eastAsia="宋体" w:cs="宋体"/>
                <w:b/>
                <w:bCs/>
                <w:i w:val="0"/>
                <w:iCs w:val="0"/>
                <w:color w:val="000000"/>
                <w:sz w:val="24"/>
                <w:szCs w:val="24"/>
                <w:u w:val="none"/>
              </w:rPr>
            </w:pPr>
          </w:p>
        </w:tc>
      </w:tr>
      <w:tr w14:paraId="7661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6E7EA9C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762" w:type="dxa"/>
            <w:vMerge w:val="continue"/>
            <w:shd w:val="clear" w:color="auto" w:fill="auto"/>
            <w:noWrap/>
            <w:vAlign w:val="center"/>
          </w:tcPr>
          <w:p w14:paraId="6CC5A40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13FFE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显示终端一体机（一套系统中含分辨率≥3840*2160液晶电视分2台）</w:t>
            </w:r>
          </w:p>
        </w:tc>
        <w:tc>
          <w:tcPr>
            <w:tcW w:w="784" w:type="dxa"/>
            <w:vMerge w:val="continue"/>
            <w:shd w:val="clear" w:color="auto" w:fill="auto"/>
            <w:noWrap/>
            <w:vAlign w:val="center"/>
          </w:tcPr>
          <w:p w14:paraId="6A2BD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4DDB0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76194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F85E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25ED2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0BEF02C4">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7FEF89BC">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4917DE4B">
            <w:pPr>
              <w:jc w:val="center"/>
              <w:rPr>
                <w:rFonts w:hint="eastAsia" w:ascii="宋体" w:hAnsi="宋体" w:eastAsia="宋体" w:cs="宋体"/>
                <w:b/>
                <w:bCs/>
                <w:i w:val="0"/>
                <w:iCs w:val="0"/>
                <w:color w:val="000000"/>
                <w:sz w:val="24"/>
                <w:szCs w:val="24"/>
                <w:u w:val="none"/>
              </w:rPr>
            </w:pPr>
          </w:p>
        </w:tc>
      </w:tr>
      <w:tr w14:paraId="0D2F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53DF76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w:t>
            </w:r>
          </w:p>
        </w:tc>
        <w:tc>
          <w:tcPr>
            <w:tcW w:w="762" w:type="dxa"/>
            <w:vMerge w:val="continue"/>
            <w:shd w:val="clear" w:color="auto" w:fill="auto"/>
            <w:noWrap/>
            <w:vAlign w:val="center"/>
          </w:tcPr>
          <w:p w14:paraId="187AFBCF">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DDB3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显示终端一体机（分辨率≥1360*768液晶电视4台）</w:t>
            </w:r>
          </w:p>
        </w:tc>
        <w:tc>
          <w:tcPr>
            <w:tcW w:w="784" w:type="dxa"/>
            <w:vMerge w:val="continue"/>
            <w:shd w:val="clear" w:color="auto" w:fill="auto"/>
            <w:noWrap/>
            <w:vAlign w:val="center"/>
          </w:tcPr>
          <w:p w14:paraId="5CA91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3E545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3A534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09AE9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12BCE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61FCA2E5">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4AB34333">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57B54E61">
            <w:pPr>
              <w:jc w:val="center"/>
              <w:rPr>
                <w:rFonts w:hint="eastAsia" w:ascii="宋体" w:hAnsi="宋体" w:eastAsia="宋体" w:cs="宋体"/>
                <w:b/>
                <w:bCs/>
                <w:i w:val="0"/>
                <w:iCs w:val="0"/>
                <w:color w:val="000000"/>
                <w:sz w:val="24"/>
                <w:szCs w:val="24"/>
                <w:u w:val="none"/>
              </w:rPr>
            </w:pPr>
          </w:p>
        </w:tc>
      </w:tr>
      <w:tr w14:paraId="6862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0" w:type="dxa"/>
            <w:gridSpan w:val="5"/>
            <w:shd w:val="clear" w:color="auto" w:fill="auto"/>
            <w:noWrap/>
            <w:vAlign w:val="center"/>
          </w:tcPr>
          <w:p w14:paraId="1BDF95BE">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合计(元)</w:t>
            </w:r>
          </w:p>
        </w:tc>
        <w:tc>
          <w:tcPr>
            <w:tcW w:w="8261" w:type="dxa"/>
            <w:gridSpan w:val="6"/>
            <w:shd w:val="clear" w:color="auto" w:fill="auto"/>
            <w:noWrap/>
            <w:vAlign w:val="center"/>
          </w:tcPr>
          <w:p w14:paraId="258F5AB2">
            <w:pPr>
              <w:jc w:val="center"/>
              <w:rPr>
                <w:rFonts w:hint="eastAsia" w:ascii="宋体" w:hAnsi="宋体" w:eastAsia="宋体" w:cs="宋体"/>
                <w:i w:val="0"/>
                <w:iCs w:val="0"/>
                <w:color w:val="000000"/>
                <w:sz w:val="22"/>
                <w:szCs w:val="22"/>
                <w:u w:val="none"/>
              </w:rPr>
            </w:pPr>
          </w:p>
        </w:tc>
      </w:tr>
    </w:tbl>
    <w:p w14:paraId="12E89616">
      <w:pPr>
        <w:rPr>
          <w:rFonts w:hint="eastAsia" w:ascii="宋体" w:hAnsi="宋体" w:eastAsia="宋体" w:cs="宋体"/>
          <w:b/>
          <w:bCs/>
          <w:i w:val="0"/>
          <w:iCs w:val="0"/>
          <w:color w:val="000000"/>
          <w:kern w:val="0"/>
          <w:sz w:val="28"/>
          <w:szCs w:val="28"/>
          <w:u w:val="none"/>
          <w:lang w:val="en-US" w:eastAsia="zh-CN" w:bidi="ar"/>
        </w:rPr>
      </w:pPr>
      <w:r>
        <w:rPr>
          <w:rFonts w:hint="eastAsia"/>
          <w:b/>
          <w:bCs/>
          <w:sz w:val="24"/>
          <w:szCs w:val="32"/>
          <w:lang w:val="en-US" w:eastAsia="zh-CN"/>
        </w:rPr>
        <w:t>核心产品：监护仪、十二导联远程心电图机、</w:t>
      </w:r>
      <w:r>
        <w:rPr>
          <w:rFonts w:hint="eastAsia" w:ascii="宋体" w:hAnsi="宋体" w:eastAsia="宋体" w:cs="宋体"/>
          <w:b/>
          <w:bCs/>
          <w:i w:val="0"/>
          <w:iCs w:val="0"/>
          <w:color w:val="000000"/>
          <w:kern w:val="0"/>
          <w:sz w:val="28"/>
          <w:szCs w:val="28"/>
          <w:u w:val="none"/>
          <w:lang w:val="en-US" w:eastAsia="zh-CN" w:bidi="ar"/>
        </w:rPr>
        <w:t>便携式超声诊断仪、远程医疗会诊管理系统、智慧疫苗系统、中央监护系统</w:t>
      </w:r>
    </w:p>
    <w:p w14:paraId="57D1CC95"/>
    <w:p w14:paraId="57917AEE">
      <w:pP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br w:type="page"/>
      </w:r>
    </w:p>
    <w:p w14:paraId="5A18577F">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t>采购清单技术参数</w:t>
      </w:r>
    </w:p>
    <w:tbl>
      <w:tblPr>
        <w:tblStyle w:val="26"/>
        <w:tblW w:w="14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
        <w:gridCol w:w="526"/>
        <w:gridCol w:w="1170"/>
        <w:gridCol w:w="11063"/>
        <w:gridCol w:w="1093"/>
      </w:tblGrid>
      <w:tr w14:paraId="48AE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E6A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5F0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科室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D0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设备品目</w:t>
            </w:r>
          </w:p>
        </w:tc>
        <w:tc>
          <w:tcPr>
            <w:tcW w:w="1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5AD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技术参数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71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备注</w:t>
            </w:r>
          </w:p>
        </w:tc>
      </w:tr>
      <w:tr w14:paraId="69A2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E3D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49C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卫生院通用设备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79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监护设备监护仪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B361">
            <w:pPr>
              <w:keepNext w:val="0"/>
              <w:keepLines w:val="0"/>
              <w:widowControl/>
              <w:numPr>
                <w:ilvl w:val="0"/>
                <w:numId w:val="1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监护仪外形结构：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1.1、便携一体式监护仪,可用于监护成人,儿童,新生儿患者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1.2、★≥12寸彩色LED背光液晶显示屏，彩色高分辨率达800*600，7通道波形显示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1.3、★整机无风扇设计，降低环境噪音干扰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2.监测参数：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2.1、标准配置可监测心电，呼吸，无创血压，血氧饱和度，脉搏和体温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2.2、采用ECG多导同步分析专利技术，保证心电监护的优异性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2.3、心电波形速度支持6.25、12.5、25和50mm/s不少于4种选择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2.4、具备智能导联脱落监测功能，个别导联脱落的情况下仍能保持监护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2.5、★提供心率变化统计界面，包括患者平均心率、夜间平均心率、白天平均心率、最快心率和最慢心率等，直观快速了解过去24小时患者的心率变化和心率分布情况。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2.6、★血氧监测时标配支持PI血氧灌注指数的监测，有效反映血氧灌注情况；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2.7、采用抗干扰和弱灌注血氧专利技术保证血氧监护的优异性；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2.8、无创血压支持手动、连续、自动和序列测量模式；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2.9、成人无创血压测量范围：收缩压 27~290mmHg，舒张压 10~250mmHg；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2.10、小儿无创血压测量范围：收缩压 27~240mmHg，舒张压 10~200mmHg；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2.11、新生儿无创血压测量范围：收缩压 27~140mmHg，舒张压 10~115mmHg；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2.12、★提供动态血压分析界面，包括平均血压、白天平均血压、夜间平均血压、最高血压、最低血压和正常血压比例等，直观快速了解过去24小时患者血压变化和分布情况。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3.1、支持中/英文输入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3.2、具有三级声光报警，参数报警级别可调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3.3、具备报警集中设置功能；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3.4、具备血液动力学、药物计算功能；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3.5、支持&gt;=980小时趋势数据的存储与回顾功能；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3.6、具备监护模式、待机模式，演示模式、隐私模式和夜间模式不少于5种工作模式；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3.7、具备趋势共存界面、呼吸氧合图界面，大字体显示界面，及标准显示界面等多种显示界面；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3.8、具备网络通信功能，实现中央站的集中监护；</w:t>
            </w:r>
          </w:p>
          <w:p w14:paraId="50C64ABE">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3.9、标配一块高能锂电池，工作时间可达4小时；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3.10、支持监护仪系统日志的向U盘设备的导出功能，日志包括：系统状态、异常和技术报警等，满足设备管理的日常维护需求；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3.11、★主机集成附件收纳槽，支持将心电、血氧和无创血压等导联线附件进行收纳放置，方便监护仪设备的高效管理和转移。</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★3.12：产品设计使用年限≥7年。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6CAD">
            <w:pPr>
              <w:rPr>
                <w:rFonts w:hint="eastAsia" w:ascii="宋体" w:hAnsi="宋体" w:eastAsia="宋体" w:cs="宋体"/>
                <w:b w:val="0"/>
                <w:bCs w:val="0"/>
                <w:i w:val="0"/>
                <w:iCs w:val="0"/>
                <w:color w:val="auto"/>
                <w:sz w:val="22"/>
                <w:szCs w:val="22"/>
                <w:u w:val="none"/>
              </w:rPr>
            </w:pPr>
          </w:p>
        </w:tc>
      </w:tr>
      <w:tr w14:paraId="5C09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FB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D76">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19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指夹血氧仪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AFD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1、显示方式：OLED显示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血氧饱和度显示：70 ~ 100%，±2%；</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脉率显示：25~ 250 BPM，±1%或±1BPM，取大者；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2、电源：2节AAA 1.5V碱性电池，电压适应范围：2.6 ~ 3.6V；</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3、功耗：小于30mA；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4、测量精度：血氧饱和度在70%-99%段为±2%，小于70%无定义，脉率为±1%或±1BPM，取大者；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5、弱灌注情况下的测量性能：在脉搏充盈度为0.6%时能正确显示血氧饱和度值和脉率值；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6、抗环境光干扰能力：在室内自然光及现有照明光源下的血氧测量值与暗室条件下的测量值相比，偏差小于±1%；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7、具有功能开关，无手指插入时8秒后自动关机；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16DD">
            <w:pPr>
              <w:rPr>
                <w:rFonts w:hint="eastAsia" w:ascii="宋体" w:hAnsi="宋体" w:eastAsia="宋体" w:cs="宋体"/>
                <w:b w:val="0"/>
                <w:bCs w:val="0"/>
                <w:i w:val="0"/>
                <w:iCs w:val="0"/>
                <w:color w:val="auto"/>
                <w:sz w:val="22"/>
                <w:szCs w:val="22"/>
                <w:u w:val="none"/>
              </w:rPr>
            </w:pPr>
          </w:p>
        </w:tc>
      </w:tr>
      <w:tr w14:paraId="5F17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7E4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B62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822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吸氧装置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CD1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一.性能特点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高流量1-5L可调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纯铜无油压缩机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语音播报功能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一键SOS紧急求助功能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智能触摸液晶屏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快速响应遥控器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脚轮设计，移动方便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二.产品参数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1.氧气浓度：93%土3%（1-5L）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2.制氧方法：变压吸附（PSA）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3.氧气输出：0.5-5（L/min）可调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4.大气压范围：86kpa-106kpa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5.雾化率：≥0.2ml/分钟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6.运行噪音：≤42dB(A)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7.显示控制：高清液晶触摸屏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8.净重：23kg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9.控制距离：1.8米红外遥控器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10.尺寸（cm）：≥35（长）X33（宽）X66（高）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11.额定电压：AC220V 50Hz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12.总重量：≥25kg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13.输入功率：480VA(W)</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14.纸箱尺寸（cm）：≥46.7（长）X45.5（宽）×76.2（高）</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BE50">
            <w:pPr>
              <w:rPr>
                <w:rFonts w:hint="eastAsia" w:ascii="宋体" w:hAnsi="宋体" w:eastAsia="宋体" w:cs="宋体"/>
                <w:b w:val="0"/>
                <w:bCs w:val="0"/>
                <w:i w:val="0"/>
                <w:iCs w:val="0"/>
                <w:color w:val="auto"/>
                <w:sz w:val="22"/>
                <w:szCs w:val="22"/>
                <w:u w:val="none"/>
              </w:rPr>
            </w:pPr>
          </w:p>
        </w:tc>
      </w:tr>
      <w:tr w14:paraId="5FC5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96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096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EE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十二导联远程心电图机</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781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1.静息心电采集工作站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（1）ECG输入：12导同步采集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（2）★输入阻抗：≥122MΩ；提供医疗器械检测报告证明；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（3）输入回路电流：≤0.1μA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（4）噪声：≤15μVp-p</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（5）★电压： ≤1mV±1%；提供医疗器械检测报告证明；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（6）★频率和脉冲响应范围：0.05-500Hz；提供医疗器械检测报告证明；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（7）共模抑制比：≥100dB；</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（8）时间常数：≥3.2s；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（9）★耐极化电压：≥±980mV；提供医疗器械检测报告证明；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（10）用于医疗机构描记和分析ECG（常规心电图）、VLP（心室晚电位）、HRV（心率变异）等。要求提供含有ECG（常规心电图）、VLP（心室晚电位）、HRV（心率变异）等词语的医疗器械注册证或其附件证明。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用于医疗机构描记和分析FCG（频谱心电图）、VCG（空间向量心电图）和TVCG（时间向量心电图）。要求提供含有FCG（频谱心电图）、VCG（空间向量心电图）和TVCG（时间向量心电图）词语的医疗器械注册证或其附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（12）★支持12导心电+心向量同步采集技术：可同时支持WILLSON与FRANK两种导联，实现一次采集12导心电图与心电向量的数据。提供“12导心电+心向量采集”的真实软件界面截图。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（13）具备波形预采功能，可用于捕捉偶发、一过性的心律失常事件，预采集时间可设置。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（14）支持起搏心电采集功能。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（15）具备自动测量、自动诊断功能，能够自动给出自动测量值与自动诊断结果。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（16）具备心电事件功能。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（17）支持阿托品、心得安试验检查模式，且具有专业报告模板；提供阿托品、心得安试验报告模板截图。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（18）具有标准的心电图诊断摸板报告助手，以辅助医生快速诊断心电图。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（19）支持与医院心电信息管理系统、HIS\EMR无缝集成，实现全院心电数据的统一存储与统一管理。</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1E07">
            <w:pPr>
              <w:rPr>
                <w:rFonts w:hint="eastAsia" w:ascii="宋体" w:hAnsi="宋体" w:eastAsia="宋体" w:cs="宋体"/>
                <w:b w:val="0"/>
                <w:bCs w:val="0"/>
                <w:i w:val="0"/>
                <w:iCs w:val="0"/>
                <w:color w:val="auto"/>
                <w:sz w:val="22"/>
                <w:szCs w:val="22"/>
                <w:u w:val="none"/>
              </w:rPr>
            </w:pPr>
          </w:p>
        </w:tc>
      </w:tr>
      <w:tr w14:paraId="7F3E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52D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0FD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5A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自动体外除颤器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3DD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技术参数</w:t>
            </w:r>
          </w:p>
          <w:p w14:paraId="66A9912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一、物理功能</w:t>
            </w:r>
          </w:p>
          <w:p w14:paraId="093066C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1.设备整机重量（含电池）≤2.4kg，设备具有高便携性，具有便携把手。</w:t>
            </w:r>
          </w:p>
          <w:p w14:paraId="4CC9146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2.主机设有机盖保护装置，电极片具有收纳仓，主机使用期限≥10年。</w:t>
            </w:r>
          </w:p>
          <w:p w14:paraId="1B6ABC4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3.主机防尘防水级别≥IP65。</w:t>
            </w:r>
          </w:p>
          <w:p w14:paraId="247AD86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4.主机通过1.6米高度跌落试验（须提供检测报告）。</w:t>
            </w:r>
          </w:p>
          <w:p w14:paraId="6EE32B1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5.工作温度：-5℃~50℃，0%~95%（无冷凝），从室温进入到-20℃环境后，至少能工作60分钟。</w:t>
            </w:r>
          </w:p>
          <w:p w14:paraId="0DB2872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二、操作显示</w:t>
            </w:r>
          </w:p>
          <w:p w14:paraId="2B25FCD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1.采用开盖开机方式，为避免误操作，主机操作面板上按键数量≤3个。</w:t>
            </w:r>
          </w:p>
          <w:p w14:paraId="56FE635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2.可一键切换成人/儿童模式。</w:t>
            </w:r>
          </w:p>
          <w:p w14:paraId="4848C6E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★3.主机具有液晶显示屏，屏幕尺寸≥7英寸。</w:t>
            </w:r>
          </w:p>
          <w:p w14:paraId="355975F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4.支持3种及以上语言，支持语言一键切换。</w:t>
            </w:r>
          </w:p>
          <w:p w14:paraId="1E6AD04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5.为适应急救现场嘈杂环境使用，设备能根据环境噪音强度自动调节语音播放音量。</w:t>
            </w:r>
          </w:p>
          <w:p w14:paraId="7EE34F9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6.为适应多种急救现场，设备能根据环境光线强度自动调节屏幕亮度。</w:t>
            </w:r>
          </w:p>
          <w:p w14:paraId="41C0D20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7.提供语音及动画指导，指导操作人员按照AHA/ERC推荐的频率对病人实施胸部按压并进行通气。</w:t>
            </w:r>
          </w:p>
          <w:p w14:paraId="5B7D93B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8.设备电池盖板采用螺丝固定，保证复杂环境下的稳定性。</w:t>
            </w:r>
          </w:p>
          <w:p w14:paraId="349F157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三、设备性能</w:t>
            </w:r>
          </w:p>
          <w:p w14:paraId="6988CA6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★1.采用双相波技术，成人最大除颤能量可达360J，儿童最大除颤能量可达100J。</w:t>
            </w:r>
          </w:p>
          <w:p w14:paraId="3F9E3D0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2.成人模式和儿童模式均支持5种以上除颤能量档位，以适应不同阻抗患者（须提供说明书证明）。</w:t>
            </w:r>
          </w:p>
          <w:p w14:paraId="592C01D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3.开始AED分析到200J放电准备就绪时间＜5s，开始AED分析到360J放电准备就绪时间＜12s。</w:t>
            </w:r>
          </w:p>
          <w:p w14:paraId="79EA989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4.电池使用年限≥5年。</w:t>
            </w:r>
          </w:p>
          <w:p w14:paraId="2A849C8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5.在适合条件下，可支持350次200J除颤放电，可支持200次360J放电。</w:t>
            </w:r>
          </w:p>
          <w:p w14:paraId="7650034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6.首次出现电池低电量报警后，设备至少还可持续工作30分钟和6次360J除颤放电（须提供说明书或第三方检测报告）。</w:t>
            </w:r>
          </w:p>
          <w:p w14:paraId="1829638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7.单副电极片有效期≥36个月。</w:t>
            </w:r>
          </w:p>
          <w:p w14:paraId="7204928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四、设备自检与巡检</w:t>
            </w:r>
          </w:p>
          <w:p w14:paraId="6FB43BC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1.设备每天、每周、每月都会进行自检。</w:t>
            </w:r>
          </w:p>
          <w:p w14:paraId="7D1DBE7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2.主机具有至少两种不同颜色的指示灯，根据自检结果指示设备所处状态，无需开盖开机即可查看设备状态，便于人工巡检。</w:t>
            </w:r>
          </w:p>
          <w:p w14:paraId="244B4FB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3.主机具有电量显示屏，采用多分格式直观显示电池电量。</w:t>
            </w:r>
          </w:p>
          <w:p w14:paraId="4FB5F00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4.主机具有电极片可视窗，方便随时查看电极片效期。</w:t>
            </w:r>
          </w:p>
          <w:p w14:paraId="1FAD010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五、数据传输与存储</w:t>
            </w:r>
          </w:p>
          <w:p w14:paraId="769CB68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1.主机内存容量≥2GB，可存储至少2000份自检报告。</w:t>
            </w:r>
          </w:p>
          <w:p w14:paraId="466EDE0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2.可存储≥5h心电波形数据。</w:t>
            </w:r>
          </w:p>
          <w:p w14:paraId="5CFEFDF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★3.具备录音功能，可保存≥70分钟抢救现场录音。</w:t>
            </w:r>
          </w:p>
          <w:p w14:paraId="1D0B2ED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4.设备支持USB接口，可通过外部USB闪存设备导出抢救记录数据。</w:t>
            </w:r>
          </w:p>
          <w:p w14:paraId="2490FAC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5.设备配置了4G、WiFi模块，可通过4G、WiFi网络接入设备管理系统。</w:t>
            </w:r>
          </w:p>
          <w:p w14:paraId="0857041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六、AED管理</w:t>
            </w:r>
          </w:p>
          <w:p w14:paraId="3079A9B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管理：AED网络管理平台支持列表查看维护所有AED设备信息，包括设备电池电量、电极片有效期、剩余保修年限、设备序列号、资产编号、设备位置信息、设备状态、电子围栏偏移情况等相关信息；同时也可进入设备详情界面，图形化查看设备状态，设备图示，地图定位，自检报告和安装环境图片以及设备详细记录等。</w:t>
            </w:r>
          </w:p>
          <w:p w14:paraId="68CC26A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系统反馈功能：设备运行状态实时显示，根据自检结果，显示设备状态包括故障，警告，离线，偏移等，故障或出现警告时发出报警信息并发送消息到设备管理者；具有急救事件实时反馈功能，设备一旦开机用于抢救病人即刻通过短信通知反馈并在AED管理平台首页上也弹出提示；急救事件发生时，也能够实时通过短信等方式通知急救人员，并能同步反馈到系统在 AED 地图上显示急救位置。</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1890">
            <w:pPr>
              <w:rPr>
                <w:rFonts w:hint="eastAsia" w:ascii="宋体" w:hAnsi="宋体" w:eastAsia="宋体" w:cs="宋体"/>
                <w:b w:val="0"/>
                <w:bCs w:val="0"/>
                <w:i w:val="0"/>
                <w:iCs w:val="0"/>
                <w:color w:val="auto"/>
                <w:sz w:val="22"/>
                <w:szCs w:val="22"/>
                <w:u w:val="none"/>
              </w:rPr>
            </w:pPr>
          </w:p>
        </w:tc>
      </w:tr>
      <w:tr w14:paraId="7E92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73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2332">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581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病床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544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一： 规格尺寸：L2130×W900×H500mm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 升降功能：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1、背部升降：升降角度0～75º，±5º；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2、腿部升降：升降角度0～35º，±5º；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三、产品介绍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1、床头、床尾、美观大方，并采用锁扣式安装，外形美观，装卸自如，色泽鲜亮，牢固可靠。</w:t>
            </w:r>
          </w:p>
          <w:p w14:paraId="1D9AF023">
            <w:pPr>
              <w:keepNext w:val="0"/>
              <w:keepLines w:val="0"/>
              <w:widowControl/>
              <w:numPr>
                <w:ilvl w:val="0"/>
                <w:numId w:val="11"/>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床面采用优质冷轧钢板一次冲压成型，厚度 1.2mm，凹型多气孔设计，便于透气并具有防滑功能。表面无焊点，背部有钢管加强筋，采用双支撑卸力结构，延长病床寿命。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3、床板链接采用钢质铰链，模具冲压成型，单片厚度4mm。耐磨，运作无噪音，防折断。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床体骨架采用40*80*1.2mm的成型方管焊接而成.先进的焊接工艺.焊接质量优质.床体坚固.可承载≥250kg。床体四角带防撞包角，包角采用ABS工程塑料一次性注塑成型，包角采用专用工具才可拆卸，外形美观。床体四角有输液架插孔，根据需要任意选择输液位置。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喷涂工艺：整床金属表面处理采用脱脂除油、清洗、酸洗去锈、清洗、中和处理、表面处理、磷化处理、清洗、烘干、静电粉末喷涂、高温烘烤固化等十一道工序经全自动喷涂线而成，磷化工艺材料为锌系，避免材料内壁生锈，涂面附着力强，平整光滑，耐腐蚀，表面粉体涂料，高温喷涂后为象牙白色。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6、护栏采用折叠式护栏，管材为优质铝合金材料，护栏立柱上下连接件为 ABS 塑料材质，坚固耐用，使用方便，护栏操作手柄具防夹手设计，不使用时可折叠放于床框上，操作方便。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7、四轮采用 125mm 豪华静音轮，刹车稳定灵活、方便.防水、防尘,双轮饼设计以增加着地面积,增加稳定性。脚轮主架和轮芯采用强承载能力的PA6材质,具有耐油、耐磨、耐药和耐化学品特性，保证脚轮的使用寿命，轮面材质采用耐磨 TPR，具有耐油、耐水、耐药性和耐霉菌的特性，同时还具有良好的减震降噪的作用，脚轮内部配备精密轴承，降低噪音，并提高脚轮整体的顺畅度。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8、配置 ABS 隐藏式摇把，可以隐藏于床体，避免不必要的伤害，方便护理人员操作，具有双向极限保护设置。丝杠采用 20mm/40Cr 材质，不变形，回旋体为锌合金压铸工艺，丝杠结合部采用铜棒加工制作的铜母，与丝杠密切咬合密切、有效地防止磨损、噪音小，寿命长。 手摇柄：采用高强度ABS工程塑料材质，内置金属件，万向节联轴结构，隐藏式与防撞脚设计，坚固耐用。丝杆与连接件：各部位活动联接件采用3.0mm优质冷轧钢板制作，表面静电喷塑处理,丝杆采用加长螺母，防尘套结构，有两极空转极限设置，防损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9、床架加工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整体床架采用优质冷轧型材，经激光切割下料，确保整个床体结实、牢固，运行平稳。然后采用自动化喷涂设备进行喷涂，涂层均匀，具有抗菌，抗酸碱、耐腐蚀、耐褪色等特性。床面板通过连续90小时以上盐雾测试试验后面板无裂纹、无锈蚀、光滑无变化。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10、输液架（选配）伸缩式，四钩可折叠，不锈钢材质，高低可调带锁紧装置，操作方便。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11、床垫（选配）床垫尺寸和分段与床相配，外套采用墨绿色牛津布，底层为40mm椰丝成型垫，面层30mm高弹性海棉，有透气孔，床垫套全脱设计，方便拆洗。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12、配置：床头、六档铝合金护栏、双面刹车轮。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13、内含被褥、床单、枕头、床头柜</w:t>
            </w:r>
          </w:p>
          <w:p w14:paraId="388F1388">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14、（提供国家权威机构CNAS第三方检测报告）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床头柜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1、床头柜规格尺寸：≤480*480*760mm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2、整体 ABS 注塑成型，用料正宗上乘防潮防水，易清洁，可冲洗，特别适用于医院经常消毒清洁的工作环境，永无生锈之忧。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3、床头柜由柜体、面盖、柜门、抽屉、伸缩餐盘、毛巾架等组成。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4、柜体正面形状为矩形，左右两侧面配有 PC 材质隐藏式毛巾架和物袋挂钩，需用时将伸出，反之不用时收拢，放置在柜体侧面型体内，角度范围在 90 度。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6、抽屉上面为伸缩餐盘，有预设的杯子及温度计放置凹槽，能满足使用需要。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7、储物柜内中间隔板可调节高度，灵活运用。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 加厚板材，结实耐用，美观大方。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6017">
            <w:pPr>
              <w:rPr>
                <w:rFonts w:hint="eastAsia" w:ascii="宋体" w:hAnsi="宋体" w:eastAsia="宋体" w:cs="宋体"/>
                <w:b w:val="0"/>
                <w:bCs w:val="0"/>
                <w:i w:val="0"/>
                <w:iCs w:val="0"/>
                <w:color w:val="auto"/>
                <w:sz w:val="22"/>
                <w:szCs w:val="22"/>
                <w:u w:val="none"/>
              </w:rPr>
            </w:pPr>
          </w:p>
        </w:tc>
      </w:tr>
      <w:tr w14:paraId="3772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B6E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379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52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C9F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输液精度≤±5%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速率范围：0.1-1400ml/h,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快进流速范围：0.1-1400ml/h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支持ml/h和滴/min两种流速单位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屏幕不小于2.5英寸，同屏显示：速度、当前注射状态、累计量、电池状态、报警压力档位和在线压力等信息；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压力报警阈值可调，最低150mmHg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电池工作时间≥4小时@25ml/h；可升级至≥8小时@25ml/h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泵片用防水膜保护，防止药液进入机器内部，便于清洁和消毒。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sz w:val="22"/>
                <w:szCs w:val="22"/>
                <w:u w:val="none"/>
              </w:rPr>
              <w:t>★</w:t>
            </w:r>
            <w:r>
              <w:rPr>
                <w:rFonts w:hint="eastAsia" w:ascii="宋体" w:hAnsi="宋体" w:eastAsia="宋体" w:cs="宋体"/>
                <w:b w:val="0"/>
                <w:bCs w:val="0"/>
                <w:i w:val="0"/>
                <w:iCs w:val="0"/>
                <w:color w:val="auto"/>
                <w:kern w:val="0"/>
                <w:sz w:val="22"/>
                <w:szCs w:val="22"/>
                <w:u w:val="none"/>
                <w:lang w:val="en-US" w:eastAsia="zh-CN" w:bidi="ar"/>
              </w:rPr>
              <w:t>整机重量不超过2kg，主机自带提手，方便携带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sz w:val="22"/>
                <w:szCs w:val="22"/>
                <w:u w:val="none"/>
              </w:rPr>
              <w:t>★</w:t>
            </w:r>
            <w:r>
              <w:rPr>
                <w:rFonts w:hint="eastAsia" w:ascii="宋体" w:hAnsi="宋体" w:eastAsia="宋体" w:cs="宋体"/>
                <w:b w:val="0"/>
                <w:bCs w:val="0"/>
                <w:i w:val="0"/>
                <w:iCs w:val="0"/>
                <w:color w:val="auto"/>
                <w:kern w:val="0"/>
                <w:sz w:val="22"/>
                <w:szCs w:val="22"/>
                <w:u w:val="none"/>
                <w:lang w:val="en-US" w:eastAsia="zh-CN" w:bidi="ar"/>
              </w:rPr>
              <w:t>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A3F6">
            <w:pPr>
              <w:rPr>
                <w:rFonts w:hint="eastAsia" w:ascii="宋体" w:hAnsi="宋体" w:eastAsia="宋体" w:cs="宋体"/>
                <w:b w:val="0"/>
                <w:bCs w:val="0"/>
                <w:i w:val="0"/>
                <w:iCs w:val="0"/>
                <w:color w:val="auto"/>
                <w:sz w:val="22"/>
                <w:szCs w:val="22"/>
                <w:u w:val="none"/>
              </w:rPr>
            </w:pPr>
          </w:p>
        </w:tc>
      </w:tr>
      <w:tr w14:paraId="54E3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6F8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6E3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93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医用推车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B5D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技术参数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产品规格 ：625*470*980mm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包装规格 ：670*480*930mm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小抽屉 ：500*410*80mm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中抽屉 ：500*410*120mm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大抽屉 ：500*410*240mm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输液架 ：升降行程-0-650mm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台面使用尺寸 ：570*430mm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副工作台尺寸 380*350mm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侧挂框尺寸 330*180*150mm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垃圾桶尺寸 180*180*260mm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 车体材质采用全新优质ABS颗粒，经高温注塑机融化注塑到磨具成型；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 车体结构为：台面，底板，立柱，侧板等组装成型；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 台面采用全新理念一体化成型设计,不锈钢三面围栏，伸缩输液架， 配置双美观易清洁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 立柱采用四根塑钢材质 提高车体称重性和美观耐用；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 抽屉采用五层设计，2 个小抽屉 2 个中抽屉 1 个大抽屉，抽屉面板相同颜色，便于不同的药品分类摆放，抽屉颜色可根据需求定制不相同颜色等，抽屉内部标配置 3*3 分类药格插片，可根据药盒大小自由组合，抽屉配置联动中控锁，可锁止五层抽屉 ，保证抽屉内药品安全防丢失。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 车体底板采用加厚承重底板，内有加强筋设计 增加了车体稳定性和承重性和药品安全性；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 左侧面配置隐藏式副工作台，使用时可拉出，便于医护人员书写记录或摆放轻型针剂用品等使用 ，使用后可推进车体，便于推动，节省空间；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 左侧可选配置资料盒，便有医护人员书写抢救病例和药品使用记录摆放。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 右侧配置一个利器盒挂框，2 个黄色一次性利器收纳盒便于收纳抢救时用的针头利器等收纳使用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 右侧两个分类垃圾桶，颜色分为黄色和蓝色，便于医护人员在抢救时产生的医疗垃圾分类处理和收纳等。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8E67">
            <w:pPr>
              <w:rPr>
                <w:rFonts w:hint="eastAsia" w:ascii="宋体" w:hAnsi="宋体" w:eastAsia="宋体" w:cs="宋体"/>
                <w:b w:val="0"/>
                <w:bCs w:val="0"/>
                <w:i w:val="0"/>
                <w:iCs w:val="0"/>
                <w:color w:val="auto"/>
                <w:sz w:val="22"/>
                <w:szCs w:val="22"/>
                <w:u w:val="none"/>
              </w:rPr>
            </w:pPr>
          </w:p>
        </w:tc>
      </w:tr>
      <w:tr w14:paraId="3CF2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4E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40F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92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电视</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FBB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100英寸240Hz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4+64GB电视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2025款一级能效</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固定挂架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2629">
            <w:pPr>
              <w:rPr>
                <w:rFonts w:hint="eastAsia" w:ascii="宋体" w:hAnsi="宋体" w:eastAsia="宋体" w:cs="宋体"/>
                <w:b w:val="0"/>
                <w:bCs w:val="0"/>
                <w:i w:val="0"/>
                <w:iCs w:val="0"/>
                <w:color w:val="auto"/>
                <w:sz w:val="22"/>
                <w:szCs w:val="22"/>
                <w:u w:val="none"/>
              </w:rPr>
            </w:pPr>
          </w:p>
        </w:tc>
      </w:tr>
      <w:tr w14:paraId="5065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CAB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AE9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A6E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体外除颤器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B4EF">
            <w:pPr>
              <w:jc w:val="center"/>
              <w:rPr>
                <w:rFonts w:hint="eastAsia"/>
                <w:b w:val="0"/>
                <w:bCs w:val="0"/>
                <w:color w:val="auto"/>
                <w:sz w:val="32"/>
                <w:szCs w:val="32"/>
              </w:rPr>
            </w:pPr>
            <w:r>
              <w:rPr>
                <w:rFonts w:hint="eastAsia" w:ascii="微软雅黑" w:hAnsi="微软雅黑" w:eastAsia="微软雅黑" w:cs="微软雅黑"/>
                <w:b w:val="0"/>
                <w:bCs w:val="0"/>
                <w:color w:val="auto"/>
                <w:sz w:val="32"/>
                <w:szCs w:val="32"/>
                <w:lang w:val="en-US" w:eastAsia="zh-CN"/>
              </w:rPr>
              <w:t>技术</w:t>
            </w:r>
            <w:r>
              <w:rPr>
                <w:rFonts w:hint="eastAsia" w:ascii="微软雅黑" w:hAnsi="微软雅黑" w:eastAsia="微软雅黑" w:cs="微软雅黑"/>
                <w:b w:val="0"/>
                <w:bCs w:val="0"/>
                <w:color w:val="auto"/>
                <w:sz w:val="32"/>
                <w:szCs w:val="32"/>
              </w:rPr>
              <w:t>参数</w:t>
            </w:r>
          </w:p>
          <w:p w14:paraId="22EEDAD0">
            <w:pPr>
              <w:numPr>
                <w:ilvl w:val="0"/>
                <w:numId w:val="12"/>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物理功能</w:t>
            </w:r>
          </w:p>
          <w:p w14:paraId="4FEF18A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1.设备整机重量（含电池）≤2.4kg，设备具有高便携性，具有便携把手。</w:t>
            </w:r>
          </w:p>
          <w:p w14:paraId="23A076D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2.主机设有机盖保护装置，电极片具有收纳仓，主机使用期限≥10年。</w:t>
            </w:r>
          </w:p>
          <w:p w14:paraId="3414220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3.主机防尘防水级别≥IP65。</w:t>
            </w:r>
          </w:p>
          <w:p w14:paraId="22F962D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4.主机通过1.6米高度跌落试验（须提供检测报告）。</w:t>
            </w:r>
          </w:p>
          <w:p w14:paraId="7DE9EE6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5.工作温度：-5℃~50℃，0%~95%（无冷凝），从室温进入到-20℃环境后，至少能工作60分钟。</w:t>
            </w:r>
          </w:p>
          <w:p w14:paraId="0DBF0FD4">
            <w:pPr>
              <w:numPr>
                <w:ilvl w:val="0"/>
                <w:numId w:val="12"/>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操作显示</w:t>
            </w:r>
          </w:p>
          <w:p w14:paraId="3BE58B1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1.采用开盖开机方式，为避免误操作，主机操作面板上按键数量≤3个。</w:t>
            </w:r>
          </w:p>
          <w:p w14:paraId="44FBF8E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2.可一键切换成人/儿童模式。</w:t>
            </w:r>
          </w:p>
          <w:p w14:paraId="1496531F">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★3.主机具有液晶显示屏，屏幕尺寸≥7英寸。</w:t>
            </w:r>
          </w:p>
          <w:p w14:paraId="72B219AB">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4.支持3种及以上语言，支持语言一键切换。</w:t>
            </w:r>
          </w:p>
          <w:p w14:paraId="52910BE1">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5.为适应急救现场嘈杂环境使用，设备能根据环境噪音强度自动调节语音播放音量。</w:t>
            </w:r>
          </w:p>
          <w:p w14:paraId="6F60A68F">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6.为适应多种急救现场，设备能根据环境光线强度自动调节屏幕亮度。</w:t>
            </w:r>
          </w:p>
          <w:p w14:paraId="0818409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7.提供语音及动画指导，指导操作人员按照AHA/ERC推荐的频率对病人实施胸部按压并进行通气。</w:t>
            </w:r>
          </w:p>
          <w:p w14:paraId="25AFF7F9">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8.设备电池盖板采用螺丝固定，保证复杂环境下的稳定性。</w:t>
            </w:r>
          </w:p>
          <w:p w14:paraId="10337EDE">
            <w:pPr>
              <w:numPr>
                <w:ilvl w:val="0"/>
                <w:numId w:val="12"/>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设备性能</w:t>
            </w:r>
          </w:p>
          <w:p w14:paraId="1969931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★1.采用双相波技术，成人最大除颤能量可达360J，儿童最大除颤能量可达100J。</w:t>
            </w:r>
          </w:p>
          <w:p w14:paraId="101FB7F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2.成人模式和儿童模式均支持5种以上除颤能量档位，以适应不同阻抗患者（须提供说明书证明）。</w:t>
            </w:r>
          </w:p>
          <w:p w14:paraId="59C4C0A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3.开始AED分析到200J放电准备就绪时间＜5s，开始AED分析到360J放电准备就绪时间＜12s。</w:t>
            </w:r>
          </w:p>
          <w:p w14:paraId="54F6D58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4.电池使用年限≥5年。</w:t>
            </w:r>
          </w:p>
          <w:p w14:paraId="04DE54A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5.在适合条件下，可支持350次200J除颤放电，可支持200次360J放电。</w:t>
            </w:r>
          </w:p>
          <w:p w14:paraId="1FECADAF">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6.首次出现电池低电量报警后，设备至少还可持续工作30分钟和6次360J除颤放电（须提供说明书或第三方检测报告）。</w:t>
            </w:r>
          </w:p>
          <w:p w14:paraId="459E4CE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7.单副电极片有效期≥36个月。</w:t>
            </w:r>
          </w:p>
          <w:p w14:paraId="0B398EE4">
            <w:pPr>
              <w:numPr>
                <w:ilvl w:val="0"/>
                <w:numId w:val="12"/>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设备自检与巡检</w:t>
            </w:r>
          </w:p>
          <w:p w14:paraId="1FD30220">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1.设备每天、每周、每月都会进行自检。</w:t>
            </w:r>
          </w:p>
          <w:p w14:paraId="2F245101">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2.主机具有至少两种不同颜色的指示灯，根据自检结果指示设备所处状态，无需开盖开机即可查看设备状态，便于人工巡检。</w:t>
            </w:r>
          </w:p>
          <w:p w14:paraId="6A9B208A">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3.主机具有电量显示屏，采用多分格式直观显示电池电量。</w:t>
            </w:r>
          </w:p>
          <w:p w14:paraId="0ECE77CC">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4.主机具有电极片可视窗，方便随时查看电极片效期。</w:t>
            </w:r>
          </w:p>
          <w:p w14:paraId="46761F63">
            <w:pPr>
              <w:numPr>
                <w:ilvl w:val="0"/>
                <w:numId w:val="12"/>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数据传输与存储</w:t>
            </w:r>
          </w:p>
          <w:p w14:paraId="2E5123D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1.主机内存容量≥2GB，可存储至少2000份自检报告。</w:t>
            </w:r>
          </w:p>
          <w:p w14:paraId="18970EE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2.可存储≥5h心电波形数据。</w:t>
            </w:r>
          </w:p>
          <w:p w14:paraId="55AF2BA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w:t>
            </w:r>
            <w:r>
              <w:rPr>
                <w:rFonts w:hint="default" w:ascii="宋体" w:hAnsi="宋体" w:eastAsia="宋体" w:cs="宋体"/>
                <w:b w:val="0"/>
                <w:bCs w:val="0"/>
                <w:i w:val="0"/>
                <w:iCs w:val="0"/>
                <w:color w:val="auto"/>
                <w:kern w:val="0"/>
                <w:sz w:val="22"/>
                <w:szCs w:val="22"/>
                <w:u w:val="none"/>
                <w:lang w:val="en-US" w:eastAsia="zh-CN" w:bidi="ar"/>
              </w:rPr>
              <w:t>3.</w:t>
            </w:r>
            <w:r>
              <w:rPr>
                <w:rFonts w:hint="eastAsia" w:ascii="宋体" w:hAnsi="宋体" w:eastAsia="宋体" w:cs="宋体"/>
                <w:b w:val="0"/>
                <w:bCs w:val="0"/>
                <w:i w:val="0"/>
                <w:iCs w:val="0"/>
                <w:color w:val="auto"/>
                <w:kern w:val="0"/>
                <w:sz w:val="22"/>
                <w:szCs w:val="22"/>
                <w:u w:val="none"/>
                <w:lang w:val="en-US" w:eastAsia="zh-CN" w:bidi="ar"/>
              </w:rPr>
              <w:t>具备录音功能，可保存≥70分钟抢救现场录音。</w:t>
            </w:r>
          </w:p>
          <w:p w14:paraId="4E0DC0E9">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4.设备支持USB接口，可通过外部USB闪存设备导出抢救记录数据。</w:t>
            </w:r>
          </w:p>
          <w:p w14:paraId="0D52BCB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5.设备配置了4G、WiFi模块，可通过4G、WiFi网络接入设备管理系统。</w:t>
            </w:r>
          </w:p>
          <w:p w14:paraId="741DBC95">
            <w:pPr>
              <w:numPr>
                <w:ilvl w:val="0"/>
                <w:numId w:val="0"/>
              </w:numPr>
              <w:jc w:val="both"/>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六、AED管理</w:t>
            </w:r>
          </w:p>
          <w:p w14:paraId="0F3864B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管理：AED网络管理平台支持列表查看维护所有AED设备信息，包括设备电池电量、电极片有效期、剩余保修年限、设备序列号、资产编号、设备位置信息、设备状态、电子围栏偏移情况等相关信息；同时也可进入设备详情界面，图形化查看设备状态，设备图示，地图定位，自检报告和安装环境图片以及设备详细记录等。</w:t>
            </w:r>
          </w:p>
          <w:p w14:paraId="4AB6481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系统反馈功能：设备运行状态实时显示，根据自检结果，显示设备状态包括故障，警告，离线，偏移等，故障或出现警告时发出报警信息并发送消息到设备管理者；具有急救事件实时反馈功能，设备一旦开机用于抢救病人即刻通过短信通知反馈并在AED管理平台首页上也弹出提示；急救事件发生时，也能够实时通过短信等方式通知急救人员，并能同步反馈到系统在 AED 地图上显示急救位置。</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5CCE">
            <w:pPr>
              <w:rPr>
                <w:rFonts w:hint="eastAsia" w:ascii="宋体" w:hAnsi="宋体" w:eastAsia="宋体" w:cs="宋体"/>
                <w:b w:val="0"/>
                <w:bCs w:val="0"/>
                <w:i w:val="0"/>
                <w:iCs w:val="0"/>
                <w:color w:val="auto"/>
                <w:sz w:val="22"/>
                <w:szCs w:val="22"/>
                <w:u w:val="none"/>
              </w:rPr>
            </w:pPr>
          </w:p>
        </w:tc>
      </w:tr>
      <w:tr w14:paraId="40CB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08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F65F">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C4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急诊抢救箱（外科急救箱）</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839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1.材质：外观采用复合ABS光面材料，铝合金固箱，内部EVA加绒布贴合；</w:t>
            </w:r>
          </w:p>
          <w:p w14:paraId="1E25CE8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2.产品尺寸：≥48*20*38cm  包装尺寸：≥53*25*45cm</w:t>
            </w:r>
          </w:p>
          <w:p w14:paraId="035979D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3.重量：约4.8KG</w:t>
            </w:r>
          </w:p>
          <w:p w14:paraId="0D65920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内部设计：急救箱采用双层设计，中间有一块可拆卸的隔板，使箱体合上后箱内物品不易散乱；隔板上车两个网兜、一个透明大袋子、三排横排共28个器械绑带；箱盖部位另车有4排共64个松紧绑带可安插1ml到10ml大小的针剂；箱子底部设计了EVA氧气瓶槽（可安放2升氧气瓶）中间长条隔层不可拆卸，另有2块可移动EVA隔板，用于安放诊断医用工具及各类医用耗材；</w:t>
            </w:r>
          </w:p>
          <w:p w14:paraId="69061E1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5.外部设计：醒目的急救标识，安全锁口，银行押款箱A级手提，铝牌箱贴；</w:t>
            </w:r>
          </w:p>
          <w:p w14:paraId="45B7613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6.携带方式：单肩背、手提；</w:t>
            </w:r>
          </w:p>
          <w:p w14:paraId="211A1DC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7.适用场所：疾控中心、120急救中心、医院各科室等</w:t>
            </w:r>
          </w:p>
          <w:p w14:paraId="2E52C82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产品配置清单：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1-医用供氧装置-2L钢瓶-1套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2-血压表-表式-1套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3-听诊器-插入式单用-1套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4-体温计-水银-1支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6-医用手电筒-金丽-1把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7-开口器-130mm-1把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8-舌钳-17cm-1把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9-医用冷敷贴-一次性-1盒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10-负压引流器器-BST-C1-1把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11-一次性麻醉喉镜-成人小型-1套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12.气管插管-304#607#-各1根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13-气管插管固定器-IV型-1个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14-医用冰袋-120g-1袋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15-手术剪刀（直）-12.5cm-1把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16-手术剪刀（弯）-12.5cm-1把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17-手术刀柄3#4#-各1把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18-手术刀片-10#11023#-各10片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19-组织镊-带齿14cm-1把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20-敷料镊子-14cm-1支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21-持针钳-12.5cm-1把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22-缝合针-10个装-1包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23-缝合线-常规-2包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24可吸收缝合线（自备）1包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25-医用弯盘（含弯盘布）-304-1套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26-叩诊锤-大圆头-1把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27-针灸针-10支装-1包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28-医用止血带-乳胶-1条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29-检伤分类卡-4色-1套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30-三角绷带-96×96×135cm-2包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31-医用脱脂纱布块-50×80cm-2包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32-医用纱布片-7.5×7.5cm-8P-10片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33-急救手册-40P-1本</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34-科室牌-绿色-1个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3D20">
            <w:pPr>
              <w:rPr>
                <w:rFonts w:hint="eastAsia" w:ascii="宋体" w:hAnsi="宋体" w:eastAsia="宋体" w:cs="宋体"/>
                <w:b w:val="0"/>
                <w:bCs w:val="0"/>
                <w:i w:val="0"/>
                <w:iCs w:val="0"/>
                <w:color w:val="auto"/>
                <w:sz w:val="22"/>
                <w:szCs w:val="22"/>
                <w:u w:val="none"/>
              </w:rPr>
            </w:pPr>
          </w:p>
        </w:tc>
      </w:tr>
      <w:tr w14:paraId="2B8D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1E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53FC">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28B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急诊抢救箱（内科急救箱）</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18F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1.材质:ABS复合光面材料+环保EVA隔层</w:t>
            </w:r>
          </w:p>
          <w:p w14:paraId="303BA22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2.携带方式:手提携带、单肩斜挎。</w:t>
            </w:r>
          </w:p>
          <w:p w14:paraId="38E1A45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内部设计:分为上中下三层，其中中间的隔层均可拆卸;中间隔层采用透明口袋设计、松紧绑带设计，松紧绑带下方车有透明便签贴存放袋;下层采用环保EVA防震发泡，可移动隔板设计;箱内物品一目了然，取用方便，合箱后不易散乱。</w:t>
            </w:r>
          </w:p>
          <w:p w14:paraId="7E66339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4.外部设计:一个银行押款箱A级把手，两个金属安全锁、铝牌箱贴。</w:t>
            </w:r>
          </w:p>
          <w:p w14:paraId="2F14516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5.外部logo:有醒目的急救标识，方便分类及存放。</w:t>
            </w:r>
          </w:p>
          <w:p w14:paraId="2F9B439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6.箱体尺寸:48x38x20cm (±1cm)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1-快速电子血糖仪-套装-1套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2-人工复苏气囊-PVC成人-1套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3-呼吸面罩-PVC-2个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4-血压表-表式-1套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5-听诊器-插入式单用-1套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6-体温计-水银-1支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8-医用手电筒-金属-1把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9-丁字开口器-130mm-1把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10-舌钳-17cm-1把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11-医用剪刀-12.5cm-1把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12-医用镊子-14cm-1支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13-医用止血带-乳胶-1个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14-医用脱脂纱布块-50×80cm-2包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15-医用纱布片-7.5×7.5cm-8P-10片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16-纱布绷带-10×600cm-2卷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17-叩诊锤-大圆头-1把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18-针灸针-10支装-1包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19-口对口呼吸面膜-单向阀-2个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20-透气胶带-1.25×900cm-2卷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21-医用检查手套-乳胶-2双</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22-医用外科口罩-一次性-2个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23-小砂轮-2x2cm-2枚</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24-酒精棉球-25粒装-1个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25-碘药棉球-25粒装-1个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26-急救药品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27-科室牌-绿色-1个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28-急救手册-40P-1本</w:t>
            </w:r>
          </w:p>
          <w:p w14:paraId="22469C2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CF19">
            <w:pPr>
              <w:rPr>
                <w:rFonts w:hint="eastAsia" w:ascii="宋体" w:hAnsi="宋体" w:eastAsia="宋体" w:cs="宋体"/>
                <w:b w:val="0"/>
                <w:bCs w:val="0"/>
                <w:i w:val="0"/>
                <w:iCs w:val="0"/>
                <w:color w:val="auto"/>
                <w:sz w:val="22"/>
                <w:szCs w:val="22"/>
                <w:u w:val="none"/>
              </w:rPr>
            </w:pPr>
          </w:p>
        </w:tc>
      </w:tr>
      <w:tr w14:paraId="618D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4D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20E7">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FC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呼吸球囊</w:t>
            </w:r>
          </w:p>
        </w:tc>
        <w:tc>
          <w:tcPr>
            <w:tcW w:w="1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6528">
            <w:pPr>
              <w:rPr>
                <w:rFonts w:hint="eastAsia" w:ascii="宋体" w:hAnsi="宋体" w:eastAsia="宋体" w:cs="宋体"/>
                <w:b w:val="0"/>
                <w:bCs w:val="0"/>
                <w:i w:val="0"/>
                <w:iCs w:val="0"/>
                <w:color w:val="auto"/>
                <w:sz w:val="22"/>
                <w:szCs w:val="22"/>
                <w:u w:val="none"/>
              </w:rPr>
            </w:pPr>
          </w:p>
          <w:p w14:paraId="7B4AF02D">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适用人群：婴儿型；儿童型；成人型</w:t>
            </w:r>
          </w:p>
          <w:p w14:paraId="5EF74399">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患者体重 ：</w:t>
            </w:r>
            <w:r>
              <w:rPr>
                <w:rFonts w:hint="eastAsia"/>
                <w:b w:val="0"/>
                <w:bCs w:val="0"/>
                <w:color w:val="auto"/>
                <w:sz w:val="24"/>
                <w:lang w:val="en-US" w:eastAsia="zh-CN"/>
              </w:rPr>
              <w:t>5</w:t>
            </w:r>
            <w:r>
              <w:rPr>
                <w:b w:val="0"/>
                <w:bCs w:val="0"/>
                <w:color w:val="auto"/>
                <w:sz w:val="24"/>
              </w:rPr>
              <w:t>kg＜B≤10kg</w:t>
            </w:r>
            <w:r>
              <w:rPr>
                <w:rFonts w:hint="eastAsia" w:ascii="宋体" w:hAnsi="宋体" w:eastAsia="宋体" w:cs="宋体"/>
                <w:b w:val="0"/>
                <w:bCs w:val="0"/>
                <w:color w:val="auto"/>
                <w:sz w:val="24"/>
              </w:rPr>
              <w:t>；10kg＜B≤23kg；＞23kg</w:t>
            </w:r>
          </w:p>
          <w:p w14:paraId="2625E6D7">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尺寸（长*外径）：约122mm*75mm；约146mm*100mm；约212mm*131mm</w:t>
            </w:r>
          </w:p>
          <w:p w14:paraId="336854D4">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产品重量：约175g；约205g；约320g</w:t>
            </w:r>
          </w:p>
          <w:p w14:paraId="06D629CF">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球体容积：约280ml±100ml；约550ml±200ml；约1500ml±200ml</w:t>
            </w:r>
          </w:p>
          <w:p w14:paraId="4E3D4DDB">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死腔量：＜20ml；＜40ml；＜65ml</w:t>
            </w:r>
          </w:p>
          <w:p w14:paraId="76D1F15A">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呼气阻抗：＜5cmH2O；＜5cmH2O；＜5cmH2O</w:t>
            </w:r>
          </w:p>
          <w:p w14:paraId="6D6A03BC">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吸气阻抗：＜5cmH2O；＜5cmH2O；＜5cmH2O</w:t>
            </w:r>
          </w:p>
          <w:p w14:paraId="3E878160">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储气袋容量：1600ml；1600ml；2000ml</w:t>
            </w:r>
          </w:p>
          <w:p w14:paraId="3E6660CB">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病人阀接头锥度尺寸：参照 YY1040.1-2015 标准执行。</w:t>
            </w:r>
          </w:p>
          <w:p w14:paraId="21801C29">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操作条件：温度：-18℃～50℃；湿度：15%～95%</w:t>
            </w:r>
          </w:p>
          <w:p w14:paraId="7F30CE5C">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储存条件：温度：-40℃～60℃；湿度：40%～95%</w:t>
            </w:r>
          </w:p>
          <w:p w14:paraId="7E78648D">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w:t>
            </w:r>
            <w:r>
              <w:rPr>
                <w:rFonts w:hint="eastAsia" w:ascii="宋体" w:hAnsi="宋体" w:eastAsia="宋体" w:cs="宋体"/>
                <w:b w:val="0"/>
                <w:bCs w:val="0"/>
                <w:color w:val="auto"/>
                <w:sz w:val="24"/>
              </w:rPr>
              <w:t>简易呼吸器由10部分组成：1麻醉面罩（硅胶型）、2患者阀、3气囊接头密封圈、4气囊接头、5气囊、6气囊进气阀、7储气袋组、8氧气管组、9口咽通气道、10口腔开口器；使用说明书上需体现出10个组件的示意图及清单，以便使用人员快速辨别；球囊为硅胶材质可经拆卸、清洗，并经高温消毒后可反复使用。</w:t>
            </w:r>
          </w:p>
          <w:p w14:paraId="3C7DCF00">
            <w:pPr>
              <w:rPr>
                <w:rFonts w:hint="eastAsia" w:ascii="宋体" w:hAnsi="宋体" w:eastAsia="宋体" w:cs="宋体"/>
                <w:b w:val="0"/>
                <w:bCs w:val="0"/>
                <w:i w:val="0"/>
                <w:iCs w:val="0"/>
                <w:color w:val="auto"/>
                <w:sz w:val="22"/>
                <w:szCs w:val="22"/>
                <w:u w:val="none"/>
              </w:rPr>
            </w:pPr>
          </w:p>
          <w:p w14:paraId="7DEE81F9">
            <w:pPr>
              <w:rPr>
                <w:rFonts w:hint="eastAsia" w:ascii="宋体" w:hAnsi="宋体" w:eastAsia="宋体" w:cs="宋体"/>
                <w:b w:val="0"/>
                <w:bCs w:val="0"/>
                <w:i w:val="0"/>
                <w:iCs w:val="0"/>
                <w:color w:val="auto"/>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FCE7">
            <w:pPr>
              <w:rPr>
                <w:rFonts w:hint="eastAsia" w:ascii="宋体" w:hAnsi="宋体" w:eastAsia="宋体" w:cs="宋体"/>
                <w:b w:val="0"/>
                <w:bCs w:val="0"/>
                <w:i w:val="0"/>
                <w:iCs w:val="0"/>
                <w:color w:val="auto"/>
                <w:sz w:val="22"/>
                <w:szCs w:val="22"/>
                <w:u w:val="none"/>
              </w:rPr>
            </w:pPr>
          </w:p>
        </w:tc>
      </w:tr>
      <w:tr w14:paraId="0722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747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3E59">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83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吸痰器（便携式）</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1B0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一、性能特点：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 机型选用大流量无油润滑真空泵作负压源，抽气速率高、负压上升快，无油雾污染，可免去泵体的日常维护和保养。外观采用全塑料外壳。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 摆动式手拉杆，推拉自如；设备的附件箱内需放置脚踏开关及电源线等，移动或贮藏时更加方便。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 大口径、大容量的贮液瓶，极易清洗；配上带密封环的瓶塞，密封性好且开启方便。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 反应灵敏、可靠的溢流保护装置，可防止液体进入中间管道和泵内。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 采用透明医用聚氯乙烯吸引软管，便于吸引时观察管内的液体；管道接头设计合理，管道连接方便、可靠。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 负压调节阀可控制吸引时所需要的负压，负压值由真空表来显示。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 设备结构紧凑、小巧；外型美观，其配置更加人性化。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二、主要技术参数：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1.极限负压值：≥0.09MPa(680mmHg)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2.抽气速率：≥32L/Min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3.贮液瓶：2500mL×2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4.负压调节范围:0.02Mpa～极限负压值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5.电源：AC220V 50Hz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6.输入功率：150VA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7.外包装尺寸：≥40cm×38cm×47cm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8.毛/净重：≥14/12kg</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6ED6">
            <w:pPr>
              <w:rPr>
                <w:rFonts w:hint="eastAsia" w:ascii="宋体" w:hAnsi="宋体" w:eastAsia="宋体" w:cs="宋体"/>
                <w:b w:val="0"/>
                <w:bCs w:val="0"/>
                <w:i w:val="0"/>
                <w:iCs w:val="0"/>
                <w:color w:val="auto"/>
                <w:sz w:val="22"/>
                <w:szCs w:val="22"/>
                <w:u w:val="none"/>
              </w:rPr>
            </w:pPr>
          </w:p>
        </w:tc>
      </w:tr>
      <w:tr w14:paraId="10D1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FC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DC1C">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D31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吸痰器（大型）</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F9B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一、特征：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1、采用负压泵作负压源，无油雾污染，可免去泵体的日常维护和保养，设备运行时压力系统不会产生正压。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2、采用交流、外接直流和机内电池三种供电方式，其中机内电池在充足情况下可连续使用 30 分钟以上，并可反复充电，在病人转运过程中使用可直接接在救护车等交通工具的点烟器（DC12V）上。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3、采用恒压限流充电，可间断累加充电，在外接 AC100V～240V，50/60Hz 或者 DC 12V 的情况下均可进行充电，有电池量分段指示。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4、通过管路上的负压调节阀控制吸引时所需要的负压值，并由面板上的真空表来显示。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5、塑料外壳轻巧，携带方便，并具有墙挂式结构，可以安装在房间内和交通工具上，也可以挂在轮椅车侧面。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二、主要技术参数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1、极限负压值：≥0.08MPa (600mmHg)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2、负压调节范围：0.02MPa(150mmHg)～极限负压值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3、抽气速率：≥20 L/min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4、噪声：≤65 dB(A)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5、贮液瓶：1000mL（PC 塑料）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6、电源：AC 100V～240V，50/60Hz；DC 12V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7、输入功率：110VA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8、毛重：≥5.5 ㎏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9、外包装尺寸：≥41 ㎝×20.5 ㎝×42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C4B7">
            <w:pPr>
              <w:rPr>
                <w:rFonts w:hint="eastAsia" w:ascii="宋体" w:hAnsi="宋体" w:eastAsia="宋体" w:cs="宋体"/>
                <w:b w:val="0"/>
                <w:bCs w:val="0"/>
                <w:i w:val="0"/>
                <w:iCs w:val="0"/>
                <w:color w:val="auto"/>
                <w:sz w:val="22"/>
                <w:szCs w:val="22"/>
                <w:u w:val="none"/>
              </w:rPr>
            </w:pPr>
          </w:p>
        </w:tc>
      </w:tr>
      <w:tr w14:paraId="1735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36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3E3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528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清创缝合器械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394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清创包 止血钳12.5CM一把， 持针钳12.5CM一把，  剪刀12.5CM一把 ， 缝合针线一包，棉签1包，手套1付，腰盘小号1个 ，碘伏1瓶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6E7C">
            <w:pPr>
              <w:rPr>
                <w:rFonts w:hint="eastAsia" w:ascii="宋体" w:hAnsi="宋体" w:eastAsia="宋体" w:cs="宋体"/>
                <w:b w:val="0"/>
                <w:bCs w:val="0"/>
                <w:i w:val="0"/>
                <w:iCs w:val="0"/>
                <w:color w:val="auto"/>
                <w:sz w:val="22"/>
                <w:szCs w:val="22"/>
                <w:u w:val="none"/>
              </w:rPr>
            </w:pPr>
          </w:p>
        </w:tc>
      </w:tr>
      <w:tr w14:paraId="1DF7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85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9407">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F1E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心电监护仪+固定架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AD37">
            <w:pPr>
              <w:keepNext w:val="0"/>
              <w:keepLines w:val="0"/>
              <w:widowControl/>
              <w:numPr>
                <w:ilvl w:val="0"/>
                <w:numId w:val="13"/>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监护仪外形结构：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1.1、便携一体式监护仪,可用于监护成人,儿童,新生儿患者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1.2、★≥12寸彩色LED背光液晶显示屏，彩色高分辨率达800*600，7通道波形显示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1.3、★整机无风扇设计，降低环境噪音干扰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2.监测参数：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2.1、标准配置可监测心电，呼吸，无创血压，血氧饱和度，脉搏和体温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2.2、采用ECG多导同步分析专利技术，保证心电监护的优异性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2.3、心电波形速度支持6.25、12.5、25和50mm/s不少于4种选择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2.4、具备智能导联脱落监测功能，个别导联脱落的情况下仍能保持监护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2.5、★提供心率变化统计界面，包括患者平均心率、夜间平均心率、白天平均心率、最快心率和最慢心率等，直观快速了解过去24小时患者的心率变化和心率分布情况。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2.6、★血氧监测时标配支持PI血氧灌注指数的监测，有效反映血氧灌注情况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2.7、采用抗干扰和弱灌注血氧技术保证血氧监护的优异性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2.8、无创血压支持手动、连续、自动和序列测量模式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2.9、成人无创血压测量范围：收缩压 27~290mmHg，舒张压 10~250mmHg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2.10、小儿无创血压测量范围：收缩压 27~240mmHg，舒张压 10~200mmHg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2.11、新生儿无创血压测量范围：收缩压 27~140mmHg，舒张压 10~115mmHg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2.12、★提供动态血压分析界面，包括平均血压、白天平均血压、夜间平均血压、最高血压、最低血压和正常血压比例等，直观快速了解过去24小时患者血压变化和分布情况。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3.1、支持中/英文输入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3.2、具有三级声光报警，参数报警级别可调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3.3、具备报警集中设置功能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3.4、具备血液动力学、药物计算功能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3.5、支持&gt;=980小时趋势数据的存储与回顾功能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3.6、具备监护模式、待机模式，演示模式、隐私模式和夜间模式不少于5种工作模式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3.7、具备趋势共存界面、呼吸氧合图界面，大字体显示界面，及标准显示界面等多种显示界面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3.8、具备网络通信功能，实现中央站的集中监护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3.9、标配一块高能锂电池，工作时间可达4小时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3.10、支持监护仪系统日志的向U盘设备的导出功能，日志包括：系统状态、异常和技术报警等，满足设备管理的日常维护需求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3.11、★主机集成附件收纳槽，支持将心电、血氧和无创血压等导联线附件进行收纳放置，方便监护仪设备的高效管理和转移。</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★3.12：产品设计使用年限≥7年。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9425">
            <w:pPr>
              <w:rPr>
                <w:rFonts w:hint="eastAsia" w:ascii="宋体" w:hAnsi="宋体" w:eastAsia="宋体" w:cs="宋体"/>
                <w:b w:val="0"/>
                <w:bCs w:val="0"/>
                <w:i w:val="0"/>
                <w:iCs w:val="0"/>
                <w:color w:val="auto"/>
                <w:sz w:val="22"/>
                <w:szCs w:val="22"/>
                <w:u w:val="none"/>
              </w:rPr>
            </w:pPr>
          </w:p>
        </w:tc>
      </w:tr>
      <w:tr w14:paraId="408E9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93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A770">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1BF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071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1.输液精度≤±5%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2.速率范围：0.1-1400ml/h,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4.快进流速范围：0.1-1400ml/h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5.支持ml/h和滴/min两种流速单位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6.屏幕不小于2.5英寸，同屏显示：速度、当前注射状态、累计量、电池状态、报警压力档位和在线压力等信息；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11.压力报警阈值可调，最低150mmHg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12.电池工作时间≥4小时@25ml/h；可升级至≥8小时@25ml/h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16.泵片用防水膜保护，防止药液进入机器内部，便于清洁和消毒。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17.整机重量不超过2kg，主机自带提手，方便携带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A3FF">
            <w:pPr>
              <w:rPr>
                <w:rFonts w:hint="eastAsia" w:ascii="宋体" w:hAnsi="宋体" w:eastAsia="宋体" w:cs="宋体"/>
                <w:b w:val="0"/>
                <w:bCs w:val="0"/>
                <w:i w:val="0"/>
                <w:iCs w:val="0"/>
                <w:color w:val="auto"/>
                <w:sz w:val="22"/>
                <w:szCs w:val="22"/>
                <w:u w:val="none"/>
              </w:rPr>
            </w:pPr>
          </w:p>
        </w:tc>
      </w:tr>
      <w:tr w14:paraId="1BBA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8BF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5EC0">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4A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注射泵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9E7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1.注射精度≤±2% 或0.005mL/h取大者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2.速率范围：0.1-1200ml/h,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4.快进流速范围：0.1-1200ml/h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5.支持注射器规格：5ml、10ml、20ml、30ml、50/60ml；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6.LCD显示屏，可同屏显示：输注模式、速度、当前注射状态、预置量、累计量、电池状态、报警压力阈值和在线压力等信息；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11.电池工作时间≥6小时@5ml/h，可升级至≥12小时@5ml/h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15.注射泵推杆无皮套设计，更易清洁，符合院感要求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16.整机重量不超过1.8kg，主机自带提手，方便携带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F7D1">
            <w:pPr>
              <w:rPr>
                <w:rFonts w:hint="eastAsia" w:ascii="宋体" w:hAnsi="宋体" w:eastAsia="宋体" w:cs="宋体"/>
                <w:b w:val="0"/>
                <w:bCs w:val="0"/>
                <w:i w:val="0"/>
                <w:iCs w:val="0"/>
                <w:color w:val="auto"/>
                <w:sz w:val="22"/>
                <w:szCs w:val="22"/>
                <w:u w:val="none"/>
              </w:rPr>
            </w:pPr>
          </w:p>
        </w:tc>
      </w:tr>
      <w:tr w14:paraId="4767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82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C784">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D1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医用储存柜</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568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产品尺寸≥ 900*400/250*1750mm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带玻门尺寸 ≥820*620mm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800*115mm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下边柜门尺寸 ≥820*550mm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上部纵向深度尺寸≥ 250mm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下部纵向深度尺寸≥ 400mm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产品净重≥ 50kg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产品毛重≥ 52kg </w:t>
            </w:r>
          </w:p>
          <w:p w14:paraId="6511E92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（提供国家权威机构CNAS第三方检测报告）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产品特点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 .整体由优质 不锈钢板及不锈钢管焊接组装而成，外型美观，平整、端正、四角平行，表面无锋棱、毛刺等明显缺陷，各焊接部件打磨平整光滑，抛光均匀，耐腐蚀，不生锈。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2.上层为对不锈钢对开门，内镶嵌 5mm 玻璃，两层搁板，高低可调。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3.中层配有两个抽屉，优质锁芯；滑道采用三节静音式滑轮，抽拉灵活，无噪音。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4.下层为不锈钢对开门,内侧有一层活动搁板。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5.门拉手为优质锌合金表面处理镀铬处理，外表美观。</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8882">
            <w:pPr>
              <w:rPr>
                <w:rFonts w:hint="eastAsia" w:ascii="宋体" w:hAnsi="宋体" w:eastAsia="宋体" w:cs="宋体"/>
                <w:b w:val="0"/>
                <w:bCs w:val="0"/>
                <w:i w:val="0"/>
                <w:iCs w:val="0"/>
                <w:color w:val="auto"/>
                <w:sz w:val="22"/>
                <w:szCs w:val="22"/>
                <w:u w:val="none"/>
              </w:rPr>
            </w:pPr>
          </w:p>
        </w:tc>
      </w:tr>
      <w:tr w14:paraId="58BC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8B2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3D1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CC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洗胃机</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E96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采用压力反馈控制系统，无需人工调节；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实现循环洗胃。适用于抢救服毒、食物中毒患者以及手术前洗胃用；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一、性能特点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1、采用膜片泵作为冲液和吸液的动力源，并通过压力传感器和CPU 控制，使冲、吸转换更可靠；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采用定量容积式转换缸，使吸出液量和冲入液量更加准确、可靠；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气压驱动的换向阀结构能够强力挤碎大块污物，使管路更通畅，清洗维护更便捷；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面板有洗胃循环次数和压力模拟显示状态，方便操作者掌握洗胃机工作状态和洗胃的进展；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产品增设手动冲、吸液量平衡装置，可解决由于胃内物质差异所引起的冲、吸液量不平衡状态；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具有“口腔插管”和“鼻腔插管”两种洗胃模式，可以根据地域海拔高度和洗胃管的规格选择不同的洗胃模式；造型轻巧、安全可靠、操作方便、能耗少、噪音低。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二、主要技术参数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流量：≥2L/min（口腔插管档）；≥1L/min（鼻腔插管档）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自控液量：冲液量：（250ml~350ml）/次；吸液量：（350ml~450ml）/次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注：吸液量大于冲液量，但不应大于 150ml/次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正、负压力设定范围：47kPa~67kPa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电源：～220V 50Hz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输入功率：110VA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噪音：≤65dB（A）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外包装尺寸：≥49.5cm×43cm×34cm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外形尺寸：≥43cm×36cm×20.5cm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电动洗胃机需求清单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主机1 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一次性胃管 28F 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洗胃导管套件 进出胃过渡导管（内径 ：Ф7.5、长 10 cm）2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进液导管（内径 ：Ф7.5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进出胃导管（内径 ：Ф7.5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排污导管（内径 ：Ф8.5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三通接头1 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熔丝管  ( Ф5×20 / F750mAL）2 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电源线 、保修卡 、说明书 、合格证等1 套</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B7C2">
            <w:pPr>
              <w:rPr>
                <w:rFonts w:hint="eastAsia" w:ascii="宋体" w:hAnsi="宋体" w:eastAsia="宋体" w:cs="宋体"/>
                <w:b w:val="0"/>
                <w:bCs w:val="0"/>
                <w:i w:val="0"/>
                <w:iCs w:val="0"/>
                <w:color w:val="auto"/>
                <w:sz w:val="22"/>
                <w:szCs w:val="22"/>
                <w:u w:val="none"/>
              </w:rPr>
            </w:pPr>
          </w:p>
        </w:tc>
      </w:tr>
      <w:tr w14:paraId="5E90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DF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00D0">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6E6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听诊器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FFF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1适用范围广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2.技术要求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弹簧片采用优质弹簧钢，（硬度HR15N82.9-88.4）耳环，扁形听诊头采用优质铜材，三通导管采用软聚氯乙烯，金属件电铳达到光亮镀络二级外观要求。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3. 产品应符合GN-89-YY-91035-1999听诊器标准要求。</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99CB">
            <w:pPr>
              <w:rPr>
                <w:rFonts w:hint="eastAsia" w:ascii="宋体" w:hAnsi="宋体" w:eastAsia="宋体" w:cs="宋体"/>
                <w:b w:val="0"/>
                <w:bCs w:val="0"/>
                <w:i w:val="0"/>
                <w:iCs w:val="0"/>
                <w:color w:val="auto"/>
                <w:sz w:val="22"/>
                <w:szCs w:val="22"/>
                <w:u w:val="none"/>
              </w:rPr>
            </w:pPr>
          </w:p>
        </w:tc>
      </w:tr>
      <w:tr w14:paraId="0EB1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E0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0D8F">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7BD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便携式超声诊断仪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CEB0">
            <w:pPr>
              <w:keepNext w:val="0"/>
              <w:keepLines w:val="0"/>
              <w:widowControl/>
              <w:numPr>
                <w:ilvl w:val="0"/>
                <w:numId w:val="14"/>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设备名称：便携式彩色多普勒超声波诊断仪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二、设备用途说明：主要用于腹部、妇产、心脏、泌尿、外周血管、小器官、肌肉骨骼、神经，介入等方面的临床诊断。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设备具备远程会诊功能，支持电脑PC端和手机APP终端，电脑PC端可完全还原测量和注释工具包；手机APP端可实现实时超声图像显示及在线语音交流功能。（请分别提供图片证明）。可进行远程维护等操作：远程系统软件更新、故障在线求助等功能，用户可在云端下载最新系统软件版本自动升级（提供证明图片）。患者可通过二维码，随时翻阅网络上的检查超声图像和诊断报告，（提供二维码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四、设备具备教学功能，触摸屏及显示器可同步显示扫查示意图及超声声像图，另显示器所展示的教学画面可进行放大缩小调节（请分别提供图片证明），并具备持续升级能力，能满足开展新的临床应用需求。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五、主要规格及系统概述：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5.1数字化二维灰阶成像单元。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5.2数字化彩色多普勒单元。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5.3数字化频谱多普勒显示和分析单元。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5.4数字化能量血流成像单元。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5.5全数字式波束形成器。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5.6 B 模式/ CFM / PWD模式分别独立角度偏转功能。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5.7两种组织谐波成像模式, 可用于全部2D探头和4D探头，谐波频率明确显示，可视可调。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5.8高清晰斑点噪音抑制技术≥13级可视可调。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5.9空间复合成像技术。(请提供≥9线偏转的曲别针试验图片）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5.10系统动态范围≥280Db，2dB逐级调节，数值明确显示。(请提供280db及2db相邻数字证明图片)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5.11自动优化，智能优化二维、彩色、频谱参数，使操作者能在一秒钟内得到优化的 B 模式、频谱多普勒。帮助不同熟练程度的操作者都能在很短的时间内得到优秀一致的扫描结果，提高操作者的工作效率。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5.12灰阶与彩色独立偏转；</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5.13立体血流成像技术，CF模式下呈现立体血流（非四维探头下融合成像技术和重建三维成像）（提供腹部单晶体探头证明图片）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5.14标配探头均支持彩色模式的彩色立体血流显示；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5.15图像剪贴板功能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5.16实时双同步、三同步。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5.17全御相关成像，全程发射及全程接收聚焦技术，使得图像近、中、远场保持均匀一致，全场图像无焦点，保证高帧频和增强对比分辨率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5.18支持跟踪对比技术，可将不同日期，不同时间、不同病人图像进行同屏对比显示，支持不同探头图像、动静态图像同屏对比显示，便于疾病的归类统计示教，且所对比的左右两幅图像大小一致（非剪贴板及病例档案界面，请提供证明图片)，并可进行图像处理和测量注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5.19梯形成像、凸型扩展功能。（支持凸阵探头、线阵探头、相控阵探头、腔内探头，请分别提供证明图片）；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5.20灰阶与彩色双幅显示，一幅二维和一幅彩色多普勒图像双幅同屏同步实时显示，方便医生对比观察；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5.21支持M型成像；</w:t>
            </w:r>
          </w:p>
          <w:p w14:paraId="5D82F704">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5.22全屏放大显示功能。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5.23Zoom 局部放大功能。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5.24连续多普勒，测量心脏高速血流，如：瓣膜反流血流速度测量，满足心脏评估；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5.25双幅实时成像，成像大小不变。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5.26≥8个焦点可调。(请提供证明图片)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5.27支持自由臂3D容积成像技术，采用简便扫查的方式，可对感兴趣组织进行快速容积成像。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5.28具备穿刺引导，并具备三种引导方式。(提供证明图片)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5.29支持穿刺增强技术，根据不同的进针角度，适时调节声束的角度，增强组织与穿刺针的显示能力，提高穿刺的准确性和成功率。(请提供证明图片)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5.30超声教学功能，提供腹部、浅表、血管、神经和肌骨关节等超声操作步骤语音解读、3D探头投影切面和扫查手法技巧介绍，并通过3D组织解剖结构与标准超声组织结构的实时动态视频进行对照，帮助临床医生或初级超声医生更快适应超声图像的识别，支持医生对超声扫查的自学和训练，实现标准化；</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5.31曲线解剖M型，取样线可放置于扫查切面内任意一段心肌，任意方向、任意形状，从而获得线段上所有心肌节段实时运动信息；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5.32支持曲线解剖 M 型：多点任意描记，提高测量准确性和效率（请提供证明图片）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5.33支持彩色M型功能。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5.34组织多普勒成像，定量分析心肌运动和功能，检测室壁运动异常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5.35组织速度成像，对心肌组织反射回来的频移信号进行与CDFI编码原则相同的彩色编码，颜色和亮度代表心肌运动的方向和速度，定量分析心肌运动和功能，检测室壁运动异常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5.36支持颈动脉内中膜自动测量，冻结模式，无需手动操作，自动获得前后壁测量结果并自动获取≥3组IMT内膜厚度值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5.37支持左心室射血分数自动测量包功能。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5.38频谱自动跟踪测量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5.39原始数据处理功能，数据储存后，可对回放的常规图像进行20种参数调节。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5.40自动工作流，可根据医生习惯自定义检查规范，减少重复操作，并具备智能程序化操作流程编辑功能，如：自动注释、体标（体标上探头的位置和方向）等，提高扫查效率。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5.41测量和分析：(B型、M型、频谱多普勒、彩色模式)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5.41.1一般测量。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5.41.2急诊、肾内、麻醉、重症、肌骨测量包。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5.41.3妇、产科测量包，支持产科自动测量。（请提供证明图片）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5.41.4血管测量包。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5.41.5泌尿科测量与分析，支持膀胱自动测量。（请提供证明图片）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5.41.6肾脏测量包。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5.41.7容积测量包。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5.41.8多普勒血流测量与分析。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5.41.9自动多普勒血流测量与分析。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5.41.10客户自定义测量。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5.42图像存储与(电影)回放重现单元。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5.43输入/输出信号：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5.43.1输入：音频。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5.43.2输出：DVI、音频。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5.44连通性：AVI, VRD，，医学数字图像格式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5.45图像管理与记录装置：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5.45.1超声图像存档与病案管理系统。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5.45.2硬盘≥120GB。（可选配500G/1T/2TSSD硬盘）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5.45.3一体化原始数据的剪贴版可以存储和回放动态及静态图像以往图像与当前图像同屏对比显示。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5.45.4 ≥2个USB接口，可一键快速将图象存储至USB、硬盘，无需其他格式转换操作，无需进入病人档案或系统设置。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5.45.5客户报告系统。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六、技术参数及要求：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6.1系统通用功能：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6.1.1≥15英寸高分辨率液晶监视器。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6.1.2≥8英寸电容操作触摸屏，可进行滑动翻页，并可在触摸屏上进行注释和体表图操作。（请提供证明图片）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6.1.3支持触摸屏参数、功能布局界面任意移动，实现专属定制（提供布局调整前、后2张图片证明）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6.1.4整机重量≤4Kg。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6.2探头规格：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★6.2.1探头可与同品牌部分型号台式机通用。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6.2.2探头数量：3个(线阵，相控阵，凸阵)。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6.2.3频率：宽频带或变频探头，所有探头及所有模式有明确的工作频率显示，实现二维、彩色、多普勒频率独立可调，基波中心频率可选择≥4种，谐波频率可选≥4种，多普勒可选不同频率≥3种。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6.2.4探头频率最高可达16MHz，可在屏幕上显示。（请提供证明图片）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6.2.5凸阵探头频率范围2-5MHZ，线阵探头频率范围6-16MHZ，相控阵探头频率范围2-5MHZ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6.2.6振子：凸阵探头有效振子数≥128振子。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★6.2.7相控阵探头角度≥120°。（请提供证明图片）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6.2.8探头可配穿刺导向装置。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6.3二维灰阶显像主要参数：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6.3.1扫描速率：凸阵探头，全视野，18cm深度时，帧速率≥30帧/秒。（请提供证明图片）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6.3.2扫描线：每帧线密度≥512超声线。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6.3.3发射声束聚焦：连续聚焦。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6.3.4接收方式：多倍信号并行处理。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6.3.5数字式声束形成器：数字式全程动态连续聚焦，数字式可变孔径及动态变迹，A/D≥12bit。</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6.3.6回放重现：回放时间≥1000秒。（请提供证明图片）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6.3.7预设条件：针对不同的检查脏器，预置最佳化图像的检查条件，并可以图形化标志显示选择界面，减少操作时的调节，及常用所需的外部调节及组合调节。(请提供证明图片)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6.3.8增益调节：B/M可独立调节，TGC分段调节。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6.3.9最大显示深度≥38cm。（请提供证明图片）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6.4频谱多普勒：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6.4.1方式：脉冲波多普勒：PWD</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6.4.2PWD：最高测量速度≥9m/s。最低测量速度≤1mm/s(非噪声信号)。(请分别提供证明图片)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6.4.3显示方式：B/PWD、B/CF+PWD。</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6.4.4取样宽度及位置范围：宽度0.5mm至30mm。（请提供证明图片）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6.4.5显示控制：反转显示(左/右；上/下)零移位。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6.4.6频谱自动跟踪与测量。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6.5彩色多普勒：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6.5.1显示方式：速度方差显示、能量显示，速度显示、方差显示。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6.5.2具有双同步 / 三同步显示(B/PW/CF、B/PW/PDI)。</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6.5.3彩色模式下支持彩色立体血流显示功能（提供线阵探头临床图片证明）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6.5.4彩色显示帧频：凸阵探头、最大角度，18cm深时，彩色显示帧频≥15帧/秒。（请提供证明图片）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6.5.5显示位置调整：线阵扫描感兴趣的图像范围：-20°～+20°。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6.5.6显示控制：零位移动分12级、黑/白与彩色比较、彩色对比。</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6.5.7彩色多普勒能量图，彩色方向性能量图。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6.5.8彩色显示速度：最低平均血流显示速度≤1cm/s（非噪声信号）。（请提供证明图片）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七、备件、资料及配置要求。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7.1备件：为保证设备正常运行，供货方存入所有必须的备件，并保证10年以上的供应期。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7.2资料。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7.2.1供货方须向甲方提供操作手册一套。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7.2.2供货方向甲方提供设备的运行、安装、使用环境要求。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7.3技术服务。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7.3.1在货物到达使用单位后，中标方应在7天内派工程技术人员到达现场，在甲方技术人员在场的情况下开箱清点货物，组织安装、调试，并承担因此发生的一切费用。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7.3.2设备安装后，医院按国际和国家标准及厂方标准进行质量验收。甲方有权委托中国有资格的单位对上述仪器进行精度校核。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7.4 配置：腹部探头1把，浅表探头1把，心脏探头1把，三拖一台车1套，便携拉杆箱1个。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50E3">
            <w:pPr>
              <w:rPr>
                <w:rFonts w:hint="eastAsia" w:ascii="宋体" w:hAnsi="宋体" w:eastAsia="宋体" w:cs="宋体"/>
                <w:b w:val="0"/>
                <w:bCs w:val="0"/>
                <w:i w:val="0"/>
                <w:iCs w:val="0"/>
                <w:color w:val="auto"/>
                <w:sz w:val="22"/>
                <w:szCs w:val="22"/>
                <w:u w:val="none"/>
              </w:rPr>
            </w:pPr>
          </w:p>
        </w:tc>
      </w:tr>
      <w:tr w14:paraId="493D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41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40F4">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4D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血糖仪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59A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调码方式:全自动免调码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红细胞压积比0%~70%|自动退片防止交叉感染|酮体过高预警功能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背光高清屏幕 多个部位采血 餐前餐后记录 试纸自动退片 酮体过高预警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信息远程传输 超大储存内存 微量采血 五秒快速反应 四组闹铃提醒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酮体警示，当血糖值&gt;240mg/dL(13.3mmol/L)时，会出现警示KETONE</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具有红细胞压积校正功能，能够修正在测量时候红细胞过多或过少所造成的测量误差，从容应对特殊人群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适用于：新生儿、脱水病人、多血症病人、透析病人、贫血病人、AIDS病人、癌症病人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25C0">
            <w:pPr>
              <w:rPr>
                <w:rFonts w:hint="eastAsia" w:ascii="宋体" w:hAnsi="宋体" w:eastAsia="宋体" w:cs="宋体"/>
                <w:b w:val="0"/>
                <w:bCs w:val="0"/>
                <w:i w:val="0"/>
                <w:iCs w:val="0"/>
                <w:color w:val="auto"/>
                <w:sz w:val="22"/>
                <w:szCs w:val="22"/>
                <w:u w:val="none"/>
              </w:rPr>
            </w:pPr>
          </w:p>
        </w:tc>
      </w:tr>
      <w:tr w14:paraId="31B1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4F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DB94">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57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担架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803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又名担架车，救护担架车，急救担架，上车担架，自动上车担架，抢救车担架，救援担架车等。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车体部分主要采用铝合金结构，配接件铝合金压铸，具有轻便韧性好，容易消毒的特点，供医院急救中心转移伤员使用。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担架车采用 PVC 材料内包海绵软垫制成，具备防水防火防腐烂功能，靠背可调节角度，最高可调整至 75°，使病员躺卧更舒适。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担架有 3 个上救护车的高度是可以调节的。采用折腿机械结构，通过右手手柄控制折叠，仅需一名救护人员把病人推上救护车。车轮外围采用橡胶材料，结实耐用。上车后必须与救护车上的固定装置锁紧，保证救护车行驶过程病人的安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担架车配备两根安全绑带，保证病人的安全。当运送病员到达病房或目的地后，打开后固定锁，慢慢从救护车内拉下，担架腿会自动放下。可搭配担架仓及担架挡板使用。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颜色可选：黑色，橘红色，蓝色</w:t>
            </w:r>
          </w:p>
          <w:p w14:paraId="7107F69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规格参数：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最高位尺寸：≥190*55*92CM </w:t>
            </w:r>
          </w:p>
          <w:p w14:paraId="6A9F9A3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最低位尺寸：≥190*55*25cm </w:t>
            </w:r>
          </w:p>
          <w:p w14:paraId="7B4D59B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背靠最大倾角:75° </w:t>
            </w:r>
          </w:p>
          <w:p w14:paraId="1D86880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包装尺寸：≥195*62*25.5cm/1PC/CTN</w:t>
            </w:r>
          </w:p>
          <w:p w14:paraId="276AF7B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承重：≤159kg </w:t>
            </w:r>
          </w:p>
          <w:p w14:paraId="1427437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净重：≥40KG </w:t>
            </w:r>
          </w:p>
          <w:p w14:paraId="4C7F16D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毛重：≥46KG</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E3B8">
            <w:pPr>
              <w:rPr>
                <w:rFonts w:hint="eastAsia" w:ascii="宋体" w:hAnsi="宋体" w:eastAsia="宋体" w:cs="宋体"/>
                <w:b w:val="0"/>
                <w:bCs w:val="0"/>
                <w:i w:val="0"/>
                <w:iCs w:val="0"/>
                <w:color w:val="auto"/>
                <w:sz w:val="22"/>
                <w:szCs w:val="22"/>
                <w:u w:val="none"/>
              </w:rPr>
            </w:pPr>
          </w:p>
        </w:tc>
      </w:tr>
      <w:tr w14:paraId="4C8A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F0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C4C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7C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远程医疗会诊管理系统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F471">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lang w:val="en-US" w:eastAsia="zh-CN" w:bidi="ar"/>
              </w:rPr>
              <w:t>1、</w:t>
            </w:r>
            <w:r>
              <w:rPr>
                <w:rFonts w:hint="eastAsia" w:ascii="宋体" w:hAnsi="宋体" w:eastAsia="宋体" w:cs="宋体"/>
                <w:b w:val="0"/>
                <w:bCs w:val="0"/>
                <w:i w:val="0"/>
                <w:iCs w:val="0"/>
                <w:color w:val="auto"/>
                <w:kern w:val="0"/>
                <w:sz w:val="22"/>
                <w:szCs w:val="22"/>
                <w:u w:val="none"/>
                <w:lang w:val="en-US" w:eastAsia="zh-CN" w:bidi="ar"/>
              </w:rPr>
              <w:t>系统基本要求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系统软件采用纯B/S架构设计，所有医生客户端无需安装应用软件，可直接通过浏览器登录系统，软件主界面包含预约分诊、检查管理、病历管理、临床浏览、数据统计、基础设置功能模块，提供包含以上功能的B/S软件主界面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(2)维护与升级：维护与升级工作集中于服务器端，医生客户端无需维护，减少医院后期的维护成本，实现系统的在线维护、无缝升级；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完整性：登录系统后的功能模块需全面含概心电电生理检查业务的全流程，需包含以下模块预约登记、心电检查、动态心电/血压检查、电生理检查、病历管理、分析诊断、报告打印、统计分析、系统管理；提供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(4)★在用户登录界面，支持用户名+密码登录、CA登录、扫码登录、人脸识别多种身份认证机制，确保身份的唯一性和安全性，提供软件截图证明；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(5)支持与HIS系统集成，实现从HIS当中获取患者资料；支持电子申请预约信息获取；提供接口交互信息管理系统软件著作权证书证明；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(6)支持具有数字接口的心电图机设备的无缝接入，连接原始数据，实现统一存储、管理、统计检索，并支持后期购置的设备无缝连接入；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要求心电数据以XML标准定义的格式进行波形的存储，建立标准心电数据库，为医院开展科研教学提供有效的数据基础；要求提供明确说明具备“以XML标准定义的格式进行波形的存储”的医疗器械注册证或其附件的复印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(8)系统易用性：系统界面设计简洁合理，符合心电检查业务流程；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可视化配置：系统具备可视化管理配置功能，医护及管理人员可通过系统对检查分类、检查项目、公共/个人模版、打印模版、危急值项目、临床浏览、参数配置、评估量表、打印模板字典、质量控制、敏感词、数据统计、心电业务等项目进行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(10)要求系统支持国产化适配，可适配国产服务器、国产操作系统、国产数据库。提供相关证书证明；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2、系统功能要求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2.1.预约分诊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2.1.1.预约登记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(2)支持常规心电、动态心电、动态血压、电生理检查项目的预约登记，实现分诊；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(3)支持直观队列可视化预约分配，清晰显示各队列号源总及已预约数量；提供截图证明；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(4)支持自动分配号源或手动选择号源；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(5)具备过号列表管理，对所有过号的检查进行列表展示，同时支持过号自动激活或手动激活功能，重新回到检查队列中；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(6)支持可预约号源的自定义可视化设置，按周、日期等不同条件自定义设置；提供可视化设置软件截图；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(7)支持检查号自动生成规则可视化设置，依据检查分类、检查项目分别设置；提供可视化设置软件截图；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2.1.2.电子叫号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(1)支持检查房间设置，用户可自定义设置房间所属科室、房间名称及房间类型；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(2)具备叫号屏管理功能，支持用户对叫号屏进行修改、新增、删除；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(3)支持用户自定义呼叫内容维护，可自定义新增、修改、删除呼叫内容；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(4)支持横屏与竖屏两种屏，可根据实际情况自定义设置；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(5)支持配置工具自定义显示参数（屏幕显示方式、检查队列/设备屏维护、过号/急诊患者字体颜色自定义、显示内容等）。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将静息心电、动态心电、动态血压、电生理检查多种不同类型的检查项目融合到一套系统中使用，并支持系统内直接新建静息心电、动态心电、动态血压、电生理检查；要求提供静息动态心电血压综合分析系统计算机软件著作权登记证书的复印件证明及在同一界面包含静息心电、动态心电、动态血压、电生理检查模块的软件功能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2.2.1.静息心电检查管理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(1)支持快速心电检查功能，可实现先采集心电图后编辑病历，适用于急诊病人心电检查；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(2)具备新患者检查向导程序，可根据医生选择的检查项目，同步显示对应的导联联接示意图。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(3)支持常规12导联同步心电加做功能，可加做右室壁、加做正后壁、加做右室壁+正后壁等组合模式，并可设置任意采集时长。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(4)支持15导、16导、18导联同步心电，心向量、心室晚电位、心率变异检查模式，并可设置采集时间。</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(5)支持阿托品试验检查项目服药前、服药后首次检查以及服药后的采集模式。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(6)支持心得安试验检查项目服药前、服药后首次检查以及服药后的采集模式。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(7)其他品牌心电设备接入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1)支持与HIS系统电子申请的对接，从而实现检查数据与病人信息的统一。</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2)支持RS-232\RJ45\USB\WIFI等多种不同类型的心电图机输出接口对接模式。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3)支持接收同步12导联，15-16导联、18导联静息心电图原始数据并存储、编辑。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4)常规心电以HL7-aECG格式保存，能够转换MFER,CDA,PDF,DICOM等国际标准。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2.2.2.动态检查管理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(1)具备动态心电、动态血压检查列表管理功能，支持检查状态显示；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(2)支持对待检查患者一键戴盒，对检查中患者一键摘盒；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(3)★支持对医院不同品牌动态心电、动态血压记录器进行统一管理，可显示记录器的使用状态，目前正佩戴的患者姓名、门诊号、住院号、开始检查时间、预计结束时间。提供软件截图证明。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2.2.3.电生理检查管理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接收具有DICOM或XML传输协议的心电图机、具有数字输出的动态心电图、运动平板心电图电生理检查设备的数据，对数据进行处理和存储，并可与医院信息管理系统进行整合，通过网络发布报告。要求提供含有DICOM或XML传输协议，动态心电图、运动平板心电图网络发布报告词语的医疗器械注册证或其附件的复印件并圈出对应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（2）支持各类型电生理设备集成，包括Holter、运动平板、脑电图、肌电图、TCD，听力检查、眼科检查、神经电生理检查等。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(1)可实现从HIS中提取患者信息并写入到电生理原机中；；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(2)可自动获取电生理原机截取的典型图，不改变医生原来的操作流程的同步获取典型图，用于报告的编写；</w:t>
            </w:r>
          </w:p>
          <w:p w14:paraId="411ECFA7">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(3)具备个性化报告助手功能，可将医生常用术语维护到系统中，方便医生书写报告；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(4)具有脑电波形数据回放显示功能，可设置增益、高通滤波、低通滤波、走纸速度及播放控制；</w:t>
            </w:r>
          </w:p>
          <w:p w14:paraId="2E19F7F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(5)具有脑电三维地形图处理功能，可生成不同频率范围的三维脑电地形图。提供三维脑电地形图处理系统演示证明（截图）；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(6)具有脑电事件记录功能，不同类型事件单独标记；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2.3.诊断管理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2.3.1.分析诊断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(2)具备新检查病历到达提醒、会诊病历到达提醒及会诊病历返回提醒功能，并支持设置是否提醒、声音提醒开启时间设置及提醒方式的设置；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(3)具备对异常测量参数标红显示，同时支持以每一个分析测量值进行手动修改；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(4)支持原始采集的心电波形进行重分析；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(5)提供测量分析工具：电子测量尺、平行尺、波形微调、波形定标、多种波形显示方式、波形放大等；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(6)直角尺测量功能，模拟直角尺工具，横向、纵向匀有刻度，横向可测量时间差并折算心率值、纵向可测量幅值差，使用鼠标右键点击直角尺横、纵向，可自动测量出数值。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(7)心拍放大分析功能：支持任意心搏单击放大分析，可对每个P、Q、T测量点进行手动微调；每个单击放大QRS波群测量参数不少于25种；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(8)同屏对比功能，患者历史检查数据多次同屏对比功能；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(9)具备导联纠错功能，可以通过软件直接修正错误导联；</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(10)★提供复合波与选中心搏两种分析模式，医生可根据波形情况在分析诊断界面手动选择不同的分析模式，保证心电诊断的准确性；提供软件界面截图；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(11)★具备AF房颤分析功能，医生可在分析诊断界面手动开启或取消房颤分析；提供软件界面截图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(12)★具备详细参数矩阵，不少于200种测量参数值，提供软件界面截图；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(13)支持常规心电转换为频谱心电、高频心电、QT 离散度、心电向量、心室晚电位、心率变异等分析功能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(14)★提供丰富的报告诊断库，避免过多的键盘输入，要求提供医疗器械注册证或其附件的复印件并圈出相应文字内容证明。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(15)★具备报告记录功能，可详细查看每一个医生对本份病历的每一次操作及报告修改记录；提供软件界面截图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具备微信分享功能，可在进行心电图诊断分析时直接将该份病历的原始心电波形分享至微信群或专家微信，并支持在微信端打开心电原始波形，进行走纸速度、灵敏度、显示模式的调整，及查看心电报告；提供具有真实二维码分享界面截图，可现场扫码验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(17)具有空间心向量环动态回放功能，可播放、暂停、停止、速度倍数调整、回放模式选择，提供包含上述功能的系统演示证明；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(18)具有心电测量值不合理报警显示功能，可设置不同测量值的不合理值范围，并在回放界面以突出方式清晰显示并弹窗预警，提供不合理值设置与回放显示及弹窗预警的系统演示证明；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(19)具有心电报告敏感词预警功能，可为不同检查项目、不同性别设置不同敏感词，当符合条件敏感词出现，系统自动弹窗预警，提供敏感词可视化设置与弹窗预警的系统演示证明；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(20)★具备心电关键字管理功能，可后台自定义新增、修改、删除，关键字内容包括但不限于不同心电诊断结论对应的心脏示意图、电轴示意图等；要求提供心电关键字管理功能截图；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2.3.2.危急值闭环管理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(1)具备自动诊断功能，支持医生可全选或自由选择自动诊断词条内容，一键录入报告结论框内；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(2)具备智能危急值预警功能，支持后台智能预分析技术，根据危急值标准自动判断危急病历，并进行危急预警提醒；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(3)支持危急值自动预警级别的设置，用户可自定义设置危急值预警级别；</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(4)支持危急值项目、危急值字典维护功能，用户可根据医院现行的危急值标准进行自定义维护，并对危急值内容进行新增、修改、删除；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对所有报危急值的病历进行统一列表管理功能，且支持与医院的危急值平台集成，同步显示临床科室处理意见、临床科室处理人、处理时间以及临床最终确认是否为危急值，实现危急值的全流程闭环管理；要提供危急值列表管理且同步显示临床科室处理信息的界面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2.3.3.心电质控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(1)图像质控：支持对心电波形图像是否良好、是否存在干扰及导联错接情况进行质控；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(2)报告质控：支持对报告诊断的规范与否，是否误诊断进行报告质量的质控；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(3)综合质控：支持图像质控与报告质量双重质控，全面评价心电图像采集与诊断的质量；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具备完整的报告质控流程，定期对报告质量进行回顾，根据病种、诊断医生、是否疑难等多个维度对报告进行质控，抽取一定数量的报告分配给多个质控医生，按照时间定期开展质控工作，并支持多轮抽查，要求提供包含以上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具备质控评分功能：依据完整性、规范性、时限性、正确性四大类进行质控评价，且医生可手动选择具体的扣分条目，系统根据医生选择的扣分项进行分值的自动计算并自动给予质控评级。同时，为医院质控医生提供质控细则的可视化设置功能，医院质控医生可根据质控制度自定设置质控细则及每一项目的分值。要求提供包含以上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(6)支持对所有质控报告进行统一列表管理，并显示质控不合格原因；提供软件截图；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2.4.病历管理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2.4.1.病历管理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(1)多类型病历列表，包含静态心电、动态心电血压、申请病历、会诊病历、已收藏病历、随访病历、危急值病历、质控病历列表；提供软件截图证明；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(2)支持多条件组合查询；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(3)具备病历导入、导出功能；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(4)支持对病历进行手动计费与退费，医生可在心电信息系统内完成心电检查的计费与退费；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2.4.2.病历收藏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(1)支持典型病例收藏功能；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(2)支持个人收藏及公共收藏两种方式，个人收藏仅病例的收藏者有权限进行查看，公共收藏所有用户均有权限进行查看；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(3)支持对收藏类型进行分类维护，可新增、修改、删除分类组；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(4)支持单独的已收藏病历显示列表，快速查看已收藏病历；提供软件截图证明；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2.4.3.病历随访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(1)具备病历随访功能；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(2)支持建立随访计划，到期自动提醒；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(3)支持单独的随访病历显示列表，快速查看随访病历结论；提供软件截图证明；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2.5.数据统计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(2)提供可自由定制的数据统计模块，所有的字段信息都可作为统计条件，并组合使用；根据需要可进行工作量、科研、教学统计；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提供统计模板的可视化配置功能，可在系统设置里对统计模板进行增加、修改、删除和查询操作，在新培训统计方案时，可自由设置按年、按月、按日进行统计，可设置柱状图、折线图、饼图、仪表盘、复合图（柱状+折线）等多种图表类型，可设置查询条件。提供包含以上功能的系统演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(4)阳性率统计：可按检查项目汇总阳性率；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(5)工作量统计：检查医生工作量、科室工作量、审核医生工作量、报告医生工作量；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(6)报告时间统计：门诊、急诊、住院等报告时限的统计；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(7)统计结果可显示统计列表、统计数量、趋势图/直方图/柱状图等多种样式的统计图表，并支持导出；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(8)统计结果可输出到EXECL表格中，并可打印成统计报表，要求提供医疗器械注册证或其附件的复印件并圈出相应文字内容证明。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2.6.设备管理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(1)具有静息心电设备可视化管理功能，可设置设备所属科室、位置、设备图片、热点、接口方式，接入心电图机自动12导转换18导、默认滤波等功能；</w:t>
            </w:r>
          </w:p>
          <w:p w14:paraId="39E0ECD8">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(2)具有动态心电记录器可视化界面设置功能，设置每一个记录器的类型、品牌、型号、使用时间、状态、分析模式（包括自主分析软件与第三方分析软件）；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(3)具有电生理报告可视化界面设置功能，为不同电生理检查项目设置专门的报告首页、字体、排序、打印、签名等设置；支持对现有设备进行新增、修改与删除，实时管理医院心电电生理设备；</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1629">
            <w:pPr>
              <w:rPr>
                <w:rFonts w:hint="eastAsia" w:ascii="宋体" w:hAnsi="宋体" w:eastAsia="宋体" w:cs="宋体"/>
                <w:b w:val="0"/>
                <w:bCs w:val="0"/>
                <w:i w:val="0"/>
                <w:iCs w:val="0"/>
                <w:color w:val="auto"/>
                <w:sz w:val="22"/>
                <w:szCs w:val="22"/>
                <w:u w:val="none"/>
              </w:rPr>
            </w:pPr>
          </w:p>
        </w:tc>
      </w:tr>
      <w:tr w14:paraId="1A54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96C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CE2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548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多功能床旁设备车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53E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规格：≥ 800*400*790-990（mm）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功能部件及设备技术参数要求：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1.主体结构为优质碳钢钣金、焊接成型，静电喷涂处理，耐久防锈抗腐蚀。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2.主体钢板厚度2-3mm。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3.桌面采用优质ABS原料生产无杂质、无异味。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4.采用双面、双轴承、刹车静音脚轮，移动灵活，使用稳定。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5.采用优质气弹簧，升降轻松。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6.组装简单易操作，省时省力(每箱均配安装工具)。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6D9F">
            <w:pPr>
              <w:rPr>
                <w:rFonts w:hint="eastAsia" w:ascii="宋体" w:hAnsi="宋体" w:eastAsia="宋体" w:cs="宋体"/>
                <w:b w:val="0"/>
                <w:bCs w:val="0"/>
                <w:i w:val="0"/>
                <w:iCs w:val="0"/>
                <w:color w:val="auto"/>
                <w:sz w:val="22"/>
                <w:szCs w:val="22"/>
                <w:u w:val="none"/>
              </w:rPr>
            </w:pPr>
          </w:p>
        </w:tc>
      </w:tr>
      <w:tr w14:paraId="5563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6E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5420">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3D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抢救车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1AF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1产品规格：≥650*400*800（mm）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2包装规格≥700*450*850（mm）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3产品毛重≥30kg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4产品净重≥28kg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5抽屉尺寸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面板尺寸：≥285*110mm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内空尺寸：≥300*250mm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6小门尺寸≥310*280mm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7大门尺寸≥440*280mm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8脚轮尺寸3寸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1.整车采用优质不锈钢管及不锈钢板焊接而成，外型美观，平整、端正、四角平行，表面无锋棱、毛刺等明显缺陷。各焊接部件打磨平整光滑，抛光均匀， 耐腐蚀，不生锈,车身坚实、美观大方、操作灵活方便。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2.车身分为上下两部分，上部大容积储物柜，内侧配置15个小药格。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3.下方左侧为单门带锁可存放物品，右侧上方为抽屉，抽屉滑轨为双节静音滑轨，下方配有单门带锁可存放污物桶。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4.脚轮采用优质 3 寸静音万向轮，四脚刹车。车轮内置高耐磨自润滑轴承，优质耐磨轮体，可有效防止头发等异物缠绕，运转灵活，长期使用无噪音、不生锈，稳定性好。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车体1 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抽屉1 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输液杆1 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扶手1 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脚轮4 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ABC8">
            <w:pPr>
              <w:rPr>
                <w:rFonts w:hint="eastAsia" w:ascii="宋体" w:hAnsi="宋体" w:eastAsia="宋体" w:cs="宋体"/>
                <w:b w:val="0"/>
                <w:bCs w:val="0"/>
                <w:i w:val="0"/>
                <w:iCs w:val="0"/>
                <w:color w:val="auto"/>
                <w:sz w:val="22"/>
                <w:szCs w:val="22"/>
                <w:u w:val="none"/>
              </w:rPr>
            </w:pPr>
          </w:p>
        </w:tc>
      </w:tr>
      <w:tr w14:paraId="4747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FE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F323">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6E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便携氧气桶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151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公称工作压力≥15.0MPa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钢瓶材料≥37Mn壁厚3.5mm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重量≥12.5kg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高度≥80厘米</w:t>
            </w:r>
          </w:p>
          <w:p w14:paraId="7337368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直径≥15.2</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容积≥10L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★配置含氧气吸入器，车架，氧桥，扳手</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4BE5">
            <w:pPr>
              <w:rPr>
                <w:rFonts w:hint="eastAsia" w:ascii="宋体" w:hAnsi="宋体" w:eastAsia="宋体" w:cs="宋体"/>
                <w:b w:val="0"/>
                <w:bCs w:val="0"/>
                <w:i w:val="0"/>
                <w:iCs w:val="0"/>
                <w:color w:val="auto"/>
                <w:sz w:val="22"/>
                <w:szCs w:val="22"/>
                <w:u w:val="none"/>
              </w:rPr>
            </w:pPr>
          </w:p>
        </w:tc>
      </w:tr>
      <w:tr w14:paraId="14AB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4A1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4659">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4C0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中央监护系统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191E">
            <w:pPr>
              <w:keepNext w:val="0"/>
              <w:keepLines w:val="0"/>
              <w:widowControl/>
              <w:numPr>
                <w:ilvl w:val="0"/>
                <w:numId w:val="15"/>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配置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 选用品牌计算机主流机型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 CPU：提供符合 HL7 协议的数据输出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 USB接口≥3个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 可选择双屏显示，显示器≥24英寸彩色液晶显示器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 分辨率≥1280×1024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 具有标准显示和大字体显示两种功能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 中央站支持≥8床位接入，单屏同时显示≥30张床位信息。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 重点观察中可同屏显示≥4小时全部参数趋势数据，双屏时可显示≥12道波形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 双屏显示时，可以一屏显示基本床位信息，另一屏显示重点监护床位所有参数信息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三、网络性能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 传输速度≥100M/S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 传输距离≥100M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 具备密码保护功能，远程访问中央站上的数据，需输入密码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 具备SSL通信加密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 具备数据断网续传功能，断网48小时内，数据不会丢失</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 具备时间同步功能，可与医院时钟服务器连接，并对联网的监护仪进行时间同步。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 网络连接方式：要求同时接入有线、无线两种组网方式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 网络控制：中央站/工作站可以控制监护仪接收/解除/转移病人。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3.9 中央站/工作站可以控制监护仪启动/停止NIBP测量。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 要求中央站/工作站可以控制监护仪报警暂停/复位，调整报警开关/级别/上下限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 中心监护系统可以控制监护仪进入待机模式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3.13 中央站/工作站支持备份或恢复中央站/工作站的配置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3.14 有双向通讯功能，在中央工作站可直接设置床边机信息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3.15 有打印机接口，打印内容包括：病人信息、药物计算结果、血液动力学计算结果、趋势图或趋势表、波形回顾、报警回顾、心排量回顾、NIBP</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3.16 中央站/工作站可监测PICCO、IBP、主/旁流CO2等参数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四、软件功能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4.1 全息波形回顾：具有≥70小时的全息波形回顾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4.2 趋势图表回顾，历史病人数据存储，报警事件存储：≥230小时趋势图表回顾，≥20000个历史病人数据存储，≥700条报警事件存储，≥700条无创血压测量回顾、≥700条CO测量结果回顾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4.3 报警信息：具有全病理参数报警功能设置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4.4 报警参数：具有心电、血压、血氧、心率、呼吸、体温、呼吸末二氧化碳参数上、下限报警等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4.5 具有声、光双重多级报警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4.6 计算功能：药物剂量计算、滴定表计算和血液动力学计算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4.7 中央监护系统可以通过软件方式接入院内信息系统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监护仪技术要求：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监护仪结构：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1.模块化插件式床边监护仪，主机、显示屏和插件槽一体化设计，主机插槽数≥6个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2.监护仪主机（非辅助插件箱）每个槽位均具备插件模块红外通讯接口以及金属硬件通讯接口（非供电接口），保证模块通讯速率及稳定性，提供监护仪主机插槽图片证明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3.≥15英寸彩色电容触摸屏，高分辨率≥1920×1080像素，≥10通道显示，显示屏亮度自动调节，屏幕支持手势滑动操作，支持穿戴医用防护手套操作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4.采用无风扇设计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5.可内置高能锂电池，供电时间≥2小时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6.配置≥4个USB接口，支持连接存储介质、鼠标、键盘、条码扫描枪等USB设备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监测参数：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7.基本功能模块支持心电，呼吸，心率，无创血压，血氧饱和度，脉搏，双通道体温和双通道有创血压的同时监测；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8.基本功能模块支持升级从监护仪拔出后作为一个独立的监护仪支持病人的无缝转移，插入监护仪操作插槽作为主机模块，具有独立操作显示屏，屏幕尺寸≥5英寸，内置锂电池供电≥4小时，无风扇设计；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9.ECG支持3/5导心电监测，可选配6/12导联心电监测。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10.支持房颤及室上性心律失常分析功能，如：室上性心动过速，SVCs/min等，标配支持≥27种实时心律失常分析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11.支持≥3通道心电波形同步分析，可进行多导心电分析，提供产品界面、手册截图或技术专利证名材料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12.提供ST段分析功能，适用于成人，小儿和新生儿，支持在专门的窗口中分组显示心脏前壁，下壁和侧壁的ST实时片段和参考片段；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13.支持RR呼吸率测量，测量范围：1～200rpm；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14.具有QT/QTc实时连续测量功能，提供QT，QTc和ΔQTc参数值的显示；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15.无创血压适用于成人，小儿和新生儿；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16.无创血压提供手动、自动间隔、连续、序列、整点五种测量模式；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17.提供辅助静脉穿刺功能；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18.NIBP 成人病人类型收缩压测量：25～290mmHg；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19.血氧监测适用于成人，小儿和新生儿；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20.提供灌注指数（PI）的监测；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21.配置指套式血氧探头，支持浸泡清洁与消毒，防水等级IPx7；</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22.支持双通道有创压IBP监测，支持升级多达6通道有创压监测；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23.有创压适用于成人，小儿和新生儿；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24.IBP有创压测量范围：-50～360mmHg；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25.提供肺动脉锲压（PAWP）的监测和PPV参数监测；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26.支持多达6道IBP波形叠加显示，满足临床对比查看和节约显示空间的需求；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27.支持升级主流、旁流、微流EtCO2监测模块，旁流EtCO2监测模块支持升级顺磁氧监测技术进行氧气监测，水槽要求易用快速更换；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28.支持升级麻醉深度BIS、肌松NMT模块或者连接肌松单机使用，须提供所售监护仪注册证证明具备该功能；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29.支持升级脑电图EEG，振幅整合脑电图aEEG监测模块，可提供4通道脑电图以及DSA致密频谱密度查看；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30.支持升级PiCCO技术监测功能模块；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31.支持升级模块，进行RM呼吸力学监测，提供呼吸力学参数参数指标，可监测包括： PIF峰值吸气流量，PEF峰值呼气流量， WOB病人呼吸功，NIF负吸入压力，RSBI浅呼吸指数；</w:t>
            </w:r>
          </w:p>
          <w:p w14:paraId="7FA85CF1">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32.支持升级模块，进行ICG参数监测，可无创监测患者连续心排量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33.支持升级模块，可与主流品牌的呼吸机、输注泵产品相连，实现呼吸机、输注泵设备的信息在监护仪上显示、存储、记录、打印或者用于参与计算。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系统功能：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34.具有图形化报警指示功能，看报警信息更容易</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35.具有报警升级功能，当参数报警经过一定的时间未被处理或伴发了其他报警，就会升级到更高一个级别</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36.具有特殊报警音，当监护仪在病人发生致命性参数报警时，发出特殊的报警音进行提示病人处于危急状态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37.支持根据病人的参数趋势变化，自动推送推荐报警限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38.具备参数组合报警功能，可对患者同时多个参数变化给出统一报警提示，预示病人不同生理系统状态改变，提供≥10个预设组合报警，并允许自定义≥10个组合报警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39.标配具备血液动力学，药物计算，氧合计算，通气计算和肾功能计算功能，并提供产品、手册截图证明材料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40.支持升级血流动力学软件工具，显示完整血流动力学参数，并以图形化界面显示病人心脏收缩力，外周血管阻力等状态，提供电子化血流动力学实验记录，重点参数蛛网图显示评估病人相关参数变化，需提供产品截图证明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41.支持≥100小时趋势表和趋势图回顾，最小分辨率1分钟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42.支持≥800条事件回顾。每条报警事件至少能够存储32秒三道相关波形，以及报警触发时所有测量参数值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43.具备≥40小时全息波形的存储与回顾功能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44.支持≥100小时ST波形片段的存储与回顾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45.患者离开科室，监护仪状态由接收患者到解除患者后，患者数据不删除，支持在监护仪回顾历史病人数据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46.工作模式提供：监护模式、待机模式、抢救模式，体外循环模式、插管模式，夜间模式、隐私模式、演示模式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47.支持与除颤监护仪，遥测，生命体征监测仪、呼吸机混合联通至中心监护系统，实现护士站的集中管理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产品设计与认证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48.产品通过国家III类注册，具备FDA认证，CE认证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49.产品设计使用年限≥9年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2644">
            <w:pPr>
              <w:rPr>
                <w:rFonts w:hint="eastAsia" w:ascii="宋体" w:hAnsi="宋体" w:eastAsia="宋体" w:cs="宋体"/>
                <w:b w:val="0"/>
                <w:bCs w:val="0"/>
                <w:i w:val="0"/>
                <w:iCs w:val="0"/>
                <w:color w:val="auto"/>
                <w:sz w:val="22"/>
                <w:szCs w:val="22"/>
                <w:u w:val="none"/>
              </w:rPr>
            </w:pPr>
          </w:p>
        </w:tc>
      </w:tr>
      <w:tr w14:paraId="3450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09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31</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150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内（儿）科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90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动态心电监测仪(HOLTER)</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0D3F">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2"/>
                <w:sz w:val="22"/>
                <w:szCs w:val="22"/>
                <w:lang w:val="en-US" w:eastAsia="zh-CN" w:bidi="ar-SA"/>
              </w:rPr>
              <w:t>（1）</w:t>
            </w:r>
            <w:r>
              <w:rPr>
                <w:rFonts w:hint="eastAsia" w:ascii="宋体" w:hAnsi="宋体" w:eastAsia="宋体" w:cs="宋体"/>
                <w:b w:val="0"/>
                <w:bCs w:val="0"/>
                <w:i w:val="0"/>
                <w:iCs w:val="0"/>
                <w:color w:val="auto"/>
                <w:kern w:val="0"/>
                <w:sz w:val="22"/>
                <w:szCs w:val="22"/>
                <w:u w:val="none"/>
                <w:lang w:val="en-US" w:eastAsia="zh-CN" w:bidi="ar"/>
              </w:rPr>
              <w:t>★设备需通过YY0505-2012 《医用电气设备 第1-2部分：安全通用要求 并列标准：电磁兼容要求和试验》标准检验。要求提供证明材料。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（2）重量（不含电池）：≤60克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（3）尺寸：70×55×20 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（4）电源：一节7号碱性电池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（5）记录时间：支持连续记录时间24小时以上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（6）导联：支持3导联、12导联心电数据记录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（7）输入阻抗：≥10MΩ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（8）共模抑制比：≥80dB</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（9）转换精度：24位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（10）起博检测：支持硬件采集起搏信号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（11）屏幕显示：支持显示心电波形、记录时间、当前时间等信息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（12）支持导联脱落提醒功能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（13）断电续采：当电池断电或没电，换上电池可继续记录心电波形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（14）★支持记录呼吸、体位及运动功能：能记录呼吸波形，可显示仰位、附位、左侧位、右侧位、坐立位和运动曲线。要求提供证明材料。</w:t>
            </w:r>
          </w:p>
          <w:p w14:paraId="2A4A7596">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（15）每套配置：动态心电记录仪、12导联线；背包；数据线；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2.动态血压记录器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（1）检测原理：示波法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（2）监测时间：大于72小时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（3）加压方式：智能拟合加压，自动调整为适当的加压高度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（4）测量范围 收缩压：60-280mmHg     舒张压：40-160mmHg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（5）脉率：30-200bpm    压力显示范围：0-299mmHg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（6）测量精度 压力：±2mmHg 脉搏：±5%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（7）袖带：扇形袖带，规格:200-350mm 标配2个袖带布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（8）超压保护：压力超过约300mmHg时，电磁阀打开；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（9）急停保护：测量时，可按下S按钮时快速释放压力；</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（10）测量模式 自动测量模式：手动间隔、自动间隔、自动表测量。(10个测量间隔和测量频率)支持自动测量和手动插入测量。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（11）测量环境：+10℃-+40℃，低于85%RH（室内湿度）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（12）储存环境：-20℃-+55℃，低于95%RH（室内湿度）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（16）每套配置：动态血压记录仪、12导联线；背包；数据线；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D7D6">
            <w:pPr>
              <w:rPr>
                <w:rFonts w:hint="eastAsia" w:ascii="宋体" w:hAnsi="宋体" w:eastAsia="宋体" w:cs="宋体"/>
                <w:b w:val="0"/>
                <w:bCs w:val="0"/>
                <w:i w:val="0"/>
                <w:iCs w:val="0"/>
                <w:color w:val="auto"/>
                <w:sz w:val="22"/>
                <w:szCs w:val="22"/>
                <w:u w:val="none"/>
              </w:rPr>
            </w:pPr>
          </w:p>
        </w:tc>
      </w:tr>
      <w:tr w14:paraId="0D7E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75C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157CA">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9A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动态血压监测仪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BE9E">
            <w:pPr>
              <w:keepNext w:val="0"/>
              <w:keepLines w:val="0"/>
              <w:widowControl/>
              <w:numPr>
                <w:ilvl w:val="0"/>
                <w:numId w:val="16"/>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ECG输入：12导同步采集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（2）★输入阻抗：≥122MΩ；提供医疗器械检测报告证明；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（3）输入回路电流：≤0.1μA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（4）噪声：≤15μVp-p</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（5）★定标电压： ≤1mV±1%；提供医疗器械检测报告证明；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（6）★频率和脉冲响应范围：0.05-500Hz；提供医疗器械检测报告证明；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（7）共模抑制比：≥100dB；</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（8）时间常数：≥3.2s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（9）★耐极化电压：≥±980mV；提供医疗器械检测报告证明；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（10）用于医疗机构描记和分析ECG（常规心电图）、VLP（心室晚电位）、HRV（心率变异）等。要求提供证明材料。</w:t>
            </w:r>
          </w:p>
          <w:p w14:paraId="7A9439A8">
            <w:pPr>
              <w:keepNext w:val="0"/>
              <w:keepLines w:val="0"/>
              <w:widowControl/>
              <w:numPr>
                <w:ilvl w:val="0"/>
                <w:numId w:val="16"/>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用于医疗机构描记和分析FCG（频谱心电图）、VCG（空间向量心电图）和TVCG（时间向量心电图）。要求提供含有FCG（频谱心电图）、VCG（空间向量心电图）和TVCG（时间向量心电图）词语的医疗器械注册证或其附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（12）★支持12导心电+心向量同步采集技术：可同时支持WILLSON与FRANK两种导联，实现一次采集12导心电图与心电向量的数据。提供“12导心电+心向量采集”的真实软件界面截图。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（13）具备波形预采功能，可用于捕捉偶发、一过性的心律失常事件，预采集时间可设置。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（14）支持起搏心电采集功能。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（15）具备自动测量、自动诊断功能，能够自动给出自动测量值与自动诊断结果。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（16）具备心电事件功能。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（17）支持阿托品、心得安试验检查模式，且具有专业报告模板；提供阿托品、心得安试验报告模板截图。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（18）具有标准的心电图诊断摸板报告助手，以辅助医生快速诊断心电图。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（19）支持与医院心电信息管理系统、HIS\EMR无缝集成，实现全院心电数据的统一存储与统一管理。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（20）每套配置：主机：I3 、16G、500G： 显示器：24寸；打印机；放大器；导联线：12导：胸导电极；肢导电极；</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1CBC">
            <w:pPr>
              <w:rPr>
                <w:rFonts w:hint="eastAsia" w:ascii="宋体" w:hAnsi="宋体" w:eastAsia="宋体" w:cs="宋体"/>
                <w:b w:val="0"/>
                <w:bCs w:val="0"/>
                <w:i w:val="0"/>
                <w:iCs w:val="0"/>
                <w:color w:val="auto"/>
                <w:sz w:val="22"/>
                <w:szCs w:val="22"/>
                <w:u w:val="none"/>
              </w:rPr>
            </w:pPr>
          </w:p>
        </w:tc>
      </w:tr>
      <w:tr w14:paraId="2F81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4E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44A6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E8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儿童输液床</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53A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一、产品规格：1890*900*630/1270（mm）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二、床体尺寸：床板 1770*700（长*宽）1.2mm 冷轧钢板表面喷塑处理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功能：背部倾斜度 75 °±5 ° , 可灵活调节背部体位；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腿部调节：45 °±5 ° 可根据个人舒适度调节；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四个五寸塑包静音轮，刹车灵活，安全可靠；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下置一个鞋盆架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可折叠式伸缩摇把，高精度丝杆，双向到位保护，操作轻松。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护栏：铝合金护栏美观牢固、四个手握式开关、气弹簧助力升降，操作轻便，并可分三级调节护栏高度。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床体涂装：床体：采用优质冷轧板材和管材焊接而成，床架采用 30*60*1.2mm 优质冷轧钢管。全床体床面经处理后防静电抗菌树脂粉 末喷涂，床体焊接采用接触面全焊，保证焊接强度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产品结构组成：由床体，床面板，床头尾板，护栏等组成。可另配输液架，床垫等配件。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儿童病床整床钢制喷塑结构，床面板为冷板拉伸条形设计，透气性强， 能有效防止褥疮。床面板采用钣金连接件连接，组装更方便。床头尾板采用ABS 材料或可选用PP 材料，4 个脚轮都带独立刹车。 用户可另配输液架，床垫等配件，使用方便。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床面板：采用优质冷轧钢板一次拉伸成型，便于透气。床面美观，易于清理。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床头床尾板：采用钢管与 ABS 塑料注塑而成，颜色为粉红色，坚固耐用，清洗方便。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床体1张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护栏1付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125 塑包轮轮4个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床垫1张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输液杆1根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5F7C">
            <w:pPr>
              <w:rPr>
                <w:rFonts w:hint="eastAsia" w:ascii="宋体" w:hAnsi="宋体" w:eastAsia="宋体" w:cs="宋体"/>
                <w:b w:val="0"/>
                <w:bCs w:val="0"/>
                <w:i w:val="0"/>
                <w:iCs w:val="0"/>
                <w:color w:val="auto"/>
                <w:sz w:val="22"/>
                <w:szCs w:val="22"/>
                <w:u w:val="none"/>
              </w:rPr>
            </w:pPr>
          </w:p>
        </w:tc>
      </w:tr>
      <w:tr w14:paraId="3900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F08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34</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D796B">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智慧疫苗系统(此项为一套报价)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C2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智慧疫苗接种箱2台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477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该冷藏箱有效容积≥61L；标配8格抽屉；配备10.1寸触屏，可进行权限管理及温度冷链监控；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制冷系统：风冷系统，保证箱内温度恒定控制在2℃~8℃范围内；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采用知名品牌变频压缩机，HC制冷剂，环保节能；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多重报警方式：高低温报警、传感器故障报警、远程报警、断电报警；报警方式：声光报警；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外置多种设备接口（RS232/USB/HDMI等），可选配接种本打印机；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产品配置指纹模块，可以实现人员权限管理；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产品配置扫描模块，可以实现对一维码、二维码的扫码功能；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冷藏箱具有医疗器械注册证, 提供相应的检测报告；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配套智能冰箱接种系统V2.0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该软件为设备的嵌入式软件，集成叫号、人与疫苗识别、疫苗出入库管理和冷链监控等功能10.1寸显控UI，强制接种时“三查七对”，实现接种信息全程监管可追溯。帮助用户高效管理、使用疫苗。</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825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智慧疫苗接种系统包含：自动终端机（排队取号机1台）、自动终端机（留观机1台）、接种配套箱2台及配套软件、冷藏箱1台及配套软件、数字化门诊全流程网络信息管理系统及配套设施1套、签核一体机（2台）及配套的家长智能签核管理系统（2套）、显示终端一体机（分辨率≥3840*2160液晶电视2台、显示终端一体机（分辨率≥1360*768液晶电视4台），含装修费用。</w:t>
            </w:r>
          </w:p>
        </w:tc>
      </w:tr>
      <w:tr w14:paraId="1870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85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0260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D8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智慧疫苗保存冷藏1台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AA7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1.有效容积:冷藏室有效容积≥506L；冷冻室有效容积≥10L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2.显示：采用微电脑控制系统，数字显示双温区温度，双温区显示精度1℃。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3.冷藏区温度恒定在2～8℃范围，科学风道设计，风冷循环，箱内温度均匀性为±3°C。</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4.多种故障报警（高低温报警、传感器报警、电池电量低报警、开门报警、断电报警）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两种报警方式（声音蜂鸣报警、灯光闪烁报警），内置蓄电池，断电后可持续显示箱内温度及声光报警48小时；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5.冷凝水汇集后自动蒸发，免除人工处理冷凝水的烦恼；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6.配备脚轮，灵活，可移动、可通过底脚固定。</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7.风机：高效节能，低噪音，使用寿命长；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8.材料：箱体采用喷粉冷轧钢板；内胆PS真空吸附内胆，有效防菌防腐蚀；</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9.发泡门：发泡层厚度为40mm，保温性能优，具有自关门功能；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八层三段式抽屉设计：标配8个抽屉，分为三段可调，支持先进先出方式，方便用户拿取疫苗；抽屉带有无限分隔功能，可根据存放物品的规格合理调整间隙，充分利用空间，本着先入先出原则，便于区分存储疫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11.门体双锁结构，防止门体随意开启，保证存储物品安全。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12.后备电池设计，断电后仍可实时显示箱内温度，时间可达48小时。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13.冷链监控功能：疫苗软件系统自带冷链监控功能，可监控冷冻和冷藏两个温区的实时温度；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14.冷冻区配有一个冷冻室，冷冻温度范围为-25±5℃，用于存储二价脊灰疫苗。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15.带有疫苗管理系统VIMS，实现疫苗信息化管理和人员权限管理；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16.出入库扫描采用无线扫码枪，可进行远程操作。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17.具有远程报警功能，可连接报警器到其他房间实现报警功能；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配套智苗冰箱管理软件V1.0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1.实现疫苗追溯码扫码入库、疫苗扫码出库、扫码疫苗盘点、库存转移、库存查询等功能；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2.支持数据与省疫苗追溯系统实时同步，扫码数据实时回传省疫苗追溯系统，智能冰箱与省疫苗追溯系统数据一致，智能冰箱可实时查看本单位所有疫苗库存。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3.与省疫苗追溯系统统一权限管理，使用相同的账号密码登录，自动锁屏，未授权用户无法查看、使用疫苗，保障疫苗存储安全使用。</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1376F">
            <w:pPr>
              <w:jc w:val="center"/>
              <w:rPr>
                <w:rFonts w:hint="eastAsia" w:ascii="宋体" w:hAnsi="宋体" w:eastAsia="宋体" w:cs="宋体"/>
                <w:b w:val="0"/>
                <w:bCs w:val="0"/>
                <w:i w:val="0"/>
                <w:iCs w:val="0"/>
                <w:color w:val="auto"/>
                <w:sz w:val="22"/>
                <w:szCs w:val="22"/>
                <w:u w:val="none"/>
              </w:rPr>
            </w:pPr>
          </w:p>
        </w:tc>
      </w:tr>
      <w:tr w14:paraId="4C87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EC5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36</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46DAA">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E8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数字化门诊全流程网络信息管理系统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0282">
            <w:pPr>
              <w:keepNext w:val="0"/>
              <w:keepLines w:val="0"/>
              <w:widowControl/>
              <w:suppressLineNumbers w:val="0"/>
              <w:jc w:val="left"/>
              <w:textAlignment w:val="center"/>
              <w:rPr>
                <w:rStyle w:val="61"/>
                <w:b w:val="0"/>
                <w:bCs w:val="0"/>
                <w:color w:val="auto"/>
                <w:lang w:val="en-US" w:eastAsia="zh-CN" w:bidi="ar"/>
              </w:rPr>
            </w:pP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包括：</w:t>
            </w:r>
            <w:r>
              <w:rPr>
                <w:rStyle w:val="60"/>
                <w:b w:val="0"/>
                <w:bCs w:val="0"/>
                <w:color w:val="auto"/>
                <w:lang w:val="en-US" w:eastAsia="zh-CN" w:bidi="ar"/>
              </w:rPr>
              <w:t>数字化预防接种门诊全流程信息管理系统接口软件,</w:t>
            </w:r>
            <w:r>
              <w:rPr>
                <w:rStyle w:val="61"/>
                <w:b w:val="0"/>
                <w:bCs w:val="0"/>
                <w:color w:val="auto"/>
                <w:lang w:val="en-US" w:eastAsia="zh-CN" w:bidi="ar"/>
              </w:rPr>
              <w:br w:type="textWrapping"/>
            </w:r>
            <w:r>
              <w:rPr>
                <w:rStyle w:val="61"/>
                <w:b w:val="0"/>
                <w:bCs w:val="0"/>
                <w:color w:val="auto"/>
                <w:lang w:val="en-US" w:eastAsia="zh-CN" w:bidi="ar"/>
              </w:rPr>
              <w:t>与《儿童预防接种信息管理系统》对接；</w:t>
            </w:r>
            <w:r>
              <w:rPr>
                <w:rStyle w:val="61"/>
                <w:b w:val="0"/>
                <w:bCs w:val="0"/>
                <w:color w:val="auto"/>
                <w:lang w:val="en-US" w:eastAsia="zh-CN" w:bidi="ar"/>
              </w:rPr>
              <w:br w:type="textWrapping"/>
            </w:r>
            <w:r>
              <w:rPr>
                <w:rStyle w:val="61"/>
                <w:b w:val="0"/>
                <w:bCs w:val="0"/>
                <w:color w:val="auto"/>
                <w:lang w:val="en-US" w:eastAsia="zh-CN" w:bidi="ar"/>
              </w:rPr>
              <w:t>排队叫号显示管理控制系统，</w:t>
            </w:r>
            <w:r>
              <w:rPr>
                <w:rStyle w:val="61"/>
                <w:b w:val="0"/>
                <w:bCs w:val="0"/>
                <w:color w:val="auto"/>
                <w:lang w:val="en-US" w:eastAsia="zh-CN" w:bidi="ar"/>
              </w:rPr>
              <w:br w:type="textWrapping"/>
            </w:r>
            <w:r>
              <w:rPr>
                <w:rStyle w:val="61"/>
                <w:b w:val="0"/>
                <w:bCs w:val="0"/>
                <w:color w:val="auto"/>
                <w:lang w:val="en-US" w:eastAsia="zh-CN" w:bidi="ar"/>
              </w:rPr>
              <w:t>虚拟呼叫和语音播报控制系统；</w:t>
            </w:r>
            <w:r>
              <w:rPr>
                <w:rStyle w:val="61"/>
                <w:b w:val="0"/>
                <w:bCs w:val="0"/>
                <w:color w:val="auto"/>
                <w:lang w:val="en-US" w:eastAsia="zh-CN" w:bidi="ar"/>
              </w:rPr>
              <w:br w:type="textWrapping"/>
            </w:r>
            <w:r>
              <w:rPr>
                <w:rStyle w:val="61"/>
                <w:b w:val="0"/>
                <w:bCs w:val="0"/>
                <w:color w:val="auto"/>
                <w:lang w:val="en-US" w:eastAsia="zh-CN" w:bidi="ar"/>
              </w:rPr>
              <w:t>虚拟呼叫和语音播报控制系统，安装于同一内网用户操作电脑上，实现呼叫和语音播报；</w:t>
            </w:r>
            <w:r>
              <w:rPr>
                <w:rStyle w:val="61"/>
                <w:b w:val="0"/>
                <w:bCs w:val="0"/>
                <w:color w:val="auto"/>
                <w:lang w:val="en-US" w:eastAsia="zh-CN" w:bidi="ar"/>
              </w:rPr>
              <w:br w:type="textWrapping"/>
            </w:r>
            <w:r>
              <w:rPr>
                <w:rStyle w:val="61"/>
                <w:b w:val="0"/>
                <w:bCs w:val="0"/>
                <w:color w:val="auto"/>
                <w:lang w:val="en-US" w:eastAsia="zh-CN" w:bidi="ar"/>
              </w:rPr>
              <w:t>多媒体信息发布系统，留观大屏可以播放视频和留观信息。</w:t>
            </w:r>
          </w:p>
          <w:p w14:paraId="0E8C2AD6">
            <w:pPr>
              <w:keepNext w:val="0"/>
              <w:keepLines w:val="0"/>
              <w:widowControl/>
              <w:suppressLineNumbers w:val="0"/>
              <w:jc w:val="left"/>
              <w:textAlignment w:val="center"/>
              <w:rPr>
                <w:rStyle w:val="61"/>
                <w:rFonts w:hint="eastAsia" w:eastAsia="宋体"/>
                <w:b w:val="0"/>
                <w:bCs w:val="0"/>
                <w:color w:val="auto"/>
                <w:lang w:val="en-US" w:eastAsia="zh-CN" w:bidi="ar"/>
              </w:rPr>
            </w:pPr>
            <w:r>
              <w:rPr>
                <w:rStyle w:val="61"/>
                <w:rFonts w:hint="eastAsia" w:eastAsia="宋体"/>
                <w:b w:val="0"/>
                <w:bCs w:val="0"/>
                <w:color w:val="auto"/>
                <w:lang w:val="en-US" w:eastAsia="zh-CN" w:bidi="ar"/>
              </w:rPr>
              <w:t>数字化门诊与智能接种冰箱数据对接接口；</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07EBE">
            <w:pPr>
              <w:jc w:val="center"/>
              <w:rPr>
                <w:rFonts w:hint="eastAsia" w:ascii="宋体" w:hAnsi="宋体" w:eastAsia="宋体" w:cs="宋体"/>
                <w:b w:val="0"/>
                <w:bCs w:val="0"/>
                <w:i w:val="0"/>
                <w:iCs w:val="0"/>
                <w:color w:val="auto"/>
                <w:sz w:val="22"/>
                <w:szCs w:val="22"/>
                <w:u w:val="none"/>
              </w:rPr>
            </w:pPr>
          </w:p>
        </w:tc>
      </w:tr>
      <w:tr w14:paraId="6FFC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CA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2AF66">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0B0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自动终端机（排队取号机1台）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2B7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32英寸液晶显示屏，16：9屏幕比例，分辨率≥1920* 1080；CPU：≥Intel I5；运行内存：≥4GB；存储空间：≥128GB；支持win7正版操作系统;使用RJ45产品联网模式，配置的扫描模块支持对一维码、二维码的扫码取号。配置热敏打印机模块，支持打印取号凭证，高速航号票打印、多种身份识别方式、高清触摸显示大屏，内嵌数字化门诊核心枢纽软件，全面协同工作。</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5AC71">
            <w:pPr>
              <w:jc w:val="center"/>
              <w:rPr>
                <w:rFonts w:hint="eastAsia" w:ascii="宋体" w:hAnsi="宋体" w:eastAsia="宋体" w:cs="宋体"/>
                <w:b w:val="0"/>
                <w:bCs w:val="0"/>
                <w:i w:val="0"/>
                <w:iCs w:val="0"/>
                <w:color w:val="auto"/>
                <w:sz w:val="22"/>
                <w:szCs w:val="22"/>
                <w:u w:val="none"/>
              </w:rPr>
            </w:pPr>
          </w:p>
        </w:tc>
      </w:tr>
      <w:tr w14:paraId="7BCEA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DC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C96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369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自动终端机（留观机1台）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A1F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32英寸液晶显示屏，16：9屏幕比例，分辨率≥1920* 1080；CPU：≥Intel I5；运行内存：≥4GB；存储空间：≥128GB；支持win7正版操作系统; 配置的扫描模块支持对一维码、二维码的扫描读取；使用支持打印留观凭证的热敏打印机模块，采用RJ45的产品联网模式。内嵌数字化门诊核心枢纽软件，全面协同工作。</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A409C">
            <w:pPr>
              <w:jc w:val="center"/>
              <w:rPr>
                <w:rFonts w:hint="eastAsia" w:ascii="宋体" w:hAnsi="宋体" w:eastAsia="宋体" w:cs="宋体"/>
                <w:b w:val="0"/>
                <w:bCs w:val="0"/>
                <w:i w:val="0"/>
                <w:iCs w:val="0"/>
                <w:color w:val="auto"/>
                <w:sz w:val="22"/>
                <w:szCs w:val="22"/>
                <w:u w:val="none"/>
              </w:rPr>
            </w:pPr>
          </w:p>
        </w:tc>
      </w:tr>
      <w:tr w14:paraId="59B6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55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0CEB">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F4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签核一体机（2台）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9D0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1.1.处理器：采用ARM六核64位处理器，主频高达1.8GHz；基于big.LITTLE大小核架构，双核Cortex-A72（大核）+四核Cortex-A53（小核）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2.2.使用Android 7.1系统，4GB+16GB存储空间，BluetoothV5.0，配备电源、USB、网口以及电磁笔等外置接口。WIFI支持IEEE 802.11a/b/g/n/ac  2.4G/5G双频。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3.3.显示屏：11.6英寸，分辨率≥1920x1080；亮度200cd/m²。</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4.4.操作端触摸屏：采用电容式的触控方式，可使用手指或电磁笔的书写方式。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5.5.电容指纹仪：电容式传感器，支持公安部认证，拒真率＜1％；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6.拍人脸摄像头：74°视场角；有效像素≥2592*1944；配备OV5648   1/4＂ CMOS感光芯片。</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DC121">
            <w:pPr>
              <w:jc w:val="center"/>
              <w:rPr>
                <w:rFonts w:hint="eastAsia" w:ascii="宋体" w:hAnsi="宋体" w:eastAsia="宋体" w:cs="宋体"/>
                <w:b w:val="0"/>
                <w:bCs w:val="0"/>
                <w:i w:val="0"/>
                <w:iCs w:val="0"/>
                <w:color w:val="auto"/>
                <w:sz w:val="22"/>
                <w:szCs w:val="22"/>
                <w:u w:val="none"/>
              </w:rPr>
            </w:pPr>
          </w:p>
        </w:tc>
      </w:tr>
      <w:tr w14:paraId="27C3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4C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AB906">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87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家长智能签核管理系统（2套）</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ACF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软件: 与《儿童预防接种信息管理系统》对接，可提供健康问询、疫苗登记等电子核签功能。</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00309">
            <w:pPr>
              <w:jc w:val="center"/>
              <w:rPr>
                <w:rFonts w:hint="eastAsia" w:ascii="宋体" w:hAnsi="宋体" w:eastAsia="宋体" w:cs="宋体"/>
                <w:b w:val="0"/>
                <w:bCs w:val="0"/>
                <w:i w:val="0"/>
                <w:iCs w:val="0"/>
                <w:color w:val="auto"/>
                <w:sz w:val="22"/>
                <w:szCs w:val="22"/>
                <w:u w:val="none"/>
              </w:rPr>
            </w:pPr>
          </w:p>
        </w:tc>
      </w:tr>
      <w:tr w14:paraId="5EFB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82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AE3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BD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显示终端一体机（液晶电视2台）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76F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使用操作系统Android 9；分辨率≥3840*2160；可视面积1209.6(H) × 680.4(V)mm；四核A55 1.9Ghz,GPU*2核800 MHz；ARM内部缓存容量≥2G/16G；具备USB多媒体播放、流媒体网络信发、多台PD数据克隆功能等。</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11F44">
            <w:pPr>
              <w:jc w:val="center"/>
              <w:rPr>
                <w:rFonts w:hint="eastAsia" w:ascii="宋体" w:hAnsi="宋体" w:eastAsia="宋体" w:cs="宋体"/>
                <w:b w:val="0"/>
                <w:bCs w:val="0"/>
                <w:i w:val="0"/>
                <w:iCs w:val="0"/>
                <w:color w:val="auto"/>
                <w:sz w:val="22"/>
                <w:szCs w:val="22"/>
                <w:u w:val="none"/>
              </w:rPr>
            </w:pPr>
          </w:p>
        </w:tc>
      </w:tr>
      <w:tr w14:paraId="72F1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A7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3224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13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显示终端一体机（液晶电视4台）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553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使用操作系统Android 9；分辨率≥1360*768  ；可视面积698.4(H) X 392.85(V)mm；CPU*4核1GHz GPU*2核 500Mhz；ARM内部缓存容量≥1G/8G；具备USB多媒体播放、流媒体网络信发、多台PD数据克隆功能等。</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0D03D">
            <w:pPr>
              <w:jc w:val="center"/>
              <w:rPr>
                <w:rFonts w:hint="eastAsia" w:ascii="宋体" w:hAnsi="宋体" w:eastAsia="宋体" w:cs="宋体"/>
                <w:b w:val="0"/>
                <w:bCs w:val="0"/>
                <w:i w:val="0"/>
                <w:iCs w:val="0"/>
                <w:color w:val="auto"/>
                <w:sz w:val="22"/>
                <w:szCs w:val="22"/>
                <w:u w:val="none"/>
              </w:rPr>
            </w:pPr>
          </w:p>
        </w:tc>
      </w:tr>
    </w:tbl>
    <w:p w14:paraId="08A76259">
      <w:pPr>
        <w:rPr>
          <w:rFonts w:hint="eastAsia"/>
          <w:lang w:val="en-US" w:eastAsia="zh-CN"/>
        </w:rPr>
      </w:pPr>
      <w:r>
        <w:rPr>
          <w:rFonts w:hint="eastAsia"/>
          <w:lang w:val="en-US" w:eastAsia="zh-CN"/>
        </w:rPr>
        <w:t xml:space="preserve"> </w:t>
      </w:r>
    </w:p>
    <w:p w14:paraId="36AD6E69">
      <w:pPr>
        <w:rPr>
          <w:rFonts w:hint="eastAsia"/>
          <w:lang w:val="en-US" w:eastAsia="zh-CN"/>
        </w:rPr>
      </w:pPr>
    </w:p>
    <w:p w14:paraId="2269EAD8">
      <w:pPr>
        <w:rPr>
          <w:rFonts w:hint="eastAsia" w:ascii="宋体" w:hAnsi="宋体" w:eastAsia="宋体" w:cs="宋体"/>
          <w:b/>
          <w:bCs/>
          <w:i w:val="0"/>
          <w:iCs w:val="0"/>
          <w:color w:val="000000"/>
          <w:kern w:val="0"/>
          <w:sz w:val="32"/>
          <w:szCs w:val="32"/>
          <w:u w:val="none"/>
          <w:lang w:val="en-US" w:eastAsia="zh-CN" w:bidi="ar"/>
        </w:rPr>
      </w:pPr>
      <w:r>
        <w:rPr>
          <w:rFonts w:hint="eastAsia"/>
          <w:b/>
          <w:bCs/>
          <w:sz w:val="28"/>
          <w:szCs w:val="36"/>
          <w:lang w:val="en-US" w:eastAsia="zh-CN"/>
        </w:rPr>
        <w:t>核心产品：监护仪、十二导联远程心电图机、</w:t>
      </w:r>
      <w:r>
        <w:rPr>
          <w:rFonts w:hint="eastAsia" w:ascii="宋体" w:hAnsi="宋体" w:eastAsia="宋体" w:cs="宋体"/>
          <w:b/>
          <w:bCs/>
          <w:i w:val="0"/>
          <w:iCs w:val="0"/>
          <w:color w:val="000000"/>
          <w:kern w:val="0"/>
          <w:sz w:val="32"/>
          <w:szCs w:val="32"/>
          <w:u w:val="none"/>
          <w:lang w:val="en-US" w:eastAsia="zh-CN" w:bidi="ar"/>
        </w:rPr>
        <w:t>便携式超声诊断仪、远程医疗会诊管理系统、智慧疫苗系统、中央监护系统</w:t>
      </w:r>
    </w:p>
    <w:p w14:paraId="0894B786">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p w14:paraId="0F4CAEF5">
      <w:pPr>
        <w:rPr>
          <w:rFonts w:hint="eastAsia" w:ascii="宋体" w:hAnsi="宋体" w:eastAsia="宋体" w:cs="宋体"/>
          <w:i w:val="0"/>
          <w:iCs w:val="0"/>
          <w:color w:val="000000"/>
          <w:kern w:val="0"/>
          <w:sz w:val="22"/>
          <w:szCs w:val="22"/>
          <w:u w:val="none"/>
          <w:lang w:val="en-US" w:eastAsia="zh-CN" w:bidi="ar"/>
        </w:rPr>
        <w:sectPr>
          <w:pgSz w:w="16838" w:h="11906" w:orient="landscape"/>
          <w:pgMar w:top="1134" w:right="1440" w:bottom="1134" w:left="1440" w:header="851" w:footer="992" w:gutter="0"/>
          <w:cols w:space="425" w:num="1"/>
          <w:docGrid w:type="lines" w:linePitch="312" w:charSpace="0"/>
        </w:sectPr>
      </w:pPr>
    </w:p>
    <w:p w14:paraId="310357E3">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阿图什市基层医疗机构改造提升项目设备采购清单（2包）</w:t>
      </w:r>
    </w:p>
    <w:tbl>
      <w:tblPr>
        <w:tblStyle w:val="2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7"/>
        <w:gridCol w:w="1065"/>
        <w:gridCol w:w="600"/>
        <w:gridCol w:w="675"/>
        <w:gridCol w:w="675"/>
        <w:gridCol w:w="900"/>
        <w:gridCol w:w="1013"/>
        <w:gridCol w:w="937"/>
        <w:gridCol w:w="1035"/>
        <w:gridCol w:w="656"/>
      </w:tblGrid>
      <w:tr w14:paraId="6BE3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F270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14:paraId="19500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7378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2ED9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阿湖</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360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阿扎克</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D5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格达良</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CB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吐古买提</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DC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小计/台套</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67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5F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EE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C44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C58A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4D3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康复医疗科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B699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红外线治疗仪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7AEC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AA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53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B6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31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4154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B3330">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A9B75">
            <w:pPr>
              <w:jc w:val="center"/>
              <w:rPr>
                <w:rFonts w:hint="eastAsia" w:ascii="宋体" w:hAnsi="宋体" w:eastAsia="宋体" w:cs="宋体"/>
                <w:i w:val="0"/>
                <w:iCs w:val="0"/>
                <w:color w:val="000000"/>
                <w:sz w:val="22"/>
                <w:szCs w:val="22"/>
                <w:u w:val="none"/>
              </w:rPr>
            </w:pPr>
          </w:p>
        </w:tc>
      </w:tr>
      <w:tr w14:paraId="5491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F665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0CB19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006A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训练用扶梯</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D2F3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53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0C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EA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4D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AA81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CC46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32E1D">
            <w:pPr>
              <w:jc w:val="center"/>
              <w:rPr>
                <w:rFonts w:hint="eastAsia" w:ascii="宋体" w:hAnsi="宋体" w:eastAsia="宋体" w:cs="宋体"/>
                <w:i w:val="0"/>
                <w:iCs w:val="0"/>
                <w:color w:val="000000"/>
                <w:sz w:val="22"/>
                <w:szCs w:val="22"/>
                <w:u w:val="none"/>
              </w:rPr>
            </w:pPr>
          </w:p>
        </w:tc>
      </w:tr>
      <w:tr w14:paraId="147B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C0B8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41A3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77F7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5869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F3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C6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5B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D5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84AA7">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F74AE">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52379">
            <w:pPr>
              <w:jc w:val="center"/>
              <w:rPr>
                <w:rFonts w:hint="eastAsia" w:ascii="宋体" w:hAnsi="宋体" w:eastAsia="宋体" w:cs="宋体"/>
                <w:i w:val="0"/>
                <w:iCs w:val="0"/>
                <w:color w:val="000000"/>
                <w:sz w:val="22"/>
                <w:szCs w:val="22"/>
                <w:u w:val="none"/>
              </w:rPr>
            </w:pPr>
          </w:p>
        </w:tc>
      </w:tr>
      <w:tr w14:paraId="1CF9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23F2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6BFA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5398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6537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53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93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CC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25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F9DF2">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AF32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FE9C3">
            <w:pPr>
              <w:jc w:val="center"/>
              <w:rPr>
                <w:rFonts w:hint="eastAsia" w:ascii="宋体" w:hAnsi="宋体" w:eastAsia="宋体" w:cs="宋体"/>
                <w:i w:val="0"/>
                <w:iCs w:val="0"/>
                <w:color w:val="000000"/>
                <w:sz w:val="22"/>
                <w:szCs w:val="22"/>
                <w:u w:val="none"/>
              </w:rPr>
            </w:pPr>
          </w:p>
        </w:tc>
      </w:tr>
      <w:tr w14:paraId="30ED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6313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34A9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4C27D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脉冲治疗仪(中频脉冲治疗仪)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B4BC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AC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64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EC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1B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1CF5D">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EB71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1A6B3">
            <w:pPr>
              <w:jc w:val="center"/>
              <w:rPr>
                <w:rFonts w:hint="eastAsia" w:ascii="宋体" w:hAnsi="宋体" w:eastAsia="宋体" w:cs="宋体"/>
                <w:i w:val="0"/>
                <w:iCs w:val="0"/>
                <w:color w:val="000000"/>
                <w:sz w:val="22"/>
                <w:szCs w:val="22"/>
                <w:u w:val="none"/>
              </w:rPr>
            </w:pPr>
          </w:p>
        </w:tc>
      </w:tr>
      <w:tr w14:paraId="6E1B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570F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DBA3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2B2C8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脉冲治疗仪(低频脉冲治疗仪)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2238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D8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EC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AC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36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CB31F">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05804">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523AD">
            <w:pPr>
              <w:jc w:val="center"/>
              <w:rPr>
                <w:rFonts w:hint="eastAsia" w:ascii="宋体" w:hAnsi="宋体" w:eastAsia="宋体" w:cs="宋体"/>
                <w:i w:val="0"/>
                <w:iCs w:val="0"/>
                <w:color w:val="000000"/>
                <w:sz w:val="22"/>
                <w:szCs w:val="22"/>
                <w:u w:val="none"/>
              </w:rPr>
            </w:pPr>
          </w:p>
        </w:tc>
      </w:tr>
      <w:tr w14:paraId="2414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7E15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1A980">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8AB6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4713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9B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89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CF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11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0EDEB">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FA61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08014">
            <w:pPr>
              <w:jc w:val="center"/>
              <w:rPr>
                <w:rFonts w:hint="eastAsia" w:ascii="宋体" w:hAnsi="宋体" w:eastAsia="宋体" w:cs="宋体"/>
                <w:i w:val="0"/>
                <w:iCs w:val="0"/>
                <w:color w:val="000000"/>
                <w:sz w:val="22"/>
                <w:szCs w:val="22"/>
                <w:u w:val="none"/>
              </w:rPr>
            </w:pPr>
          </w:p>
        </w:tc>
      </w:tr>
      <w:tr w14:paraId="3D57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F05D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AB42C">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AC76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0FEC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51C3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33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FC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EE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7BF44">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02440">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B115D">
            <w:pPr>
              <w:jc w:val="center"/>
              <w:rPr>
                <w:rFonts w:hint="eastAsia" w:ascii="宋体" w:hAnsi="宋体" w:eastAsia="宋体" w:cs="宋体"/>
                <w:i w:val="0"/>
                <w:iCs w:val="0"/>
                <w:color w:val="000000"/>
                <w:sz w:val="22"/>
                <w:szCs w:val="22"/>
                <w:u w:val="none"/>
              </w:rPr>
            </w:pPr>
          </w:p>
        </w:tc>
      </w:tr>
      <w:tr w14:paraId="01D9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CEC8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90464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B4F0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推拿治疗床</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C431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62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4E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A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0C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E374A">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0675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4423E">
            <w:pPr>
              <w:jc w:val="center"/>
              <w:rPr>
                <w:rFonts w:hint="eastAsia" w:ascii="宋体" w:hAnsi="宋体" w:eastAsia="宋体" w:cs="宋体"/>
                <w:i w:val="0"/>
                <w:iCs w:val="0"/>
                <w:color w:val="000000"/>
                <w:sz w:val="22"/>
                <w:szCs w:val="22"/>
                <w:u w:val="none"/>
              </w:rPr>
            </w:pPr>
          </w:p>
        </w:tc>
      </w:tr>
      <w:tr w14:paraId="625E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B692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AE3D7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9D68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康复训练用平行杠</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56DA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76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0B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FE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C6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3F007">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8A0E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26A31">
            <w:pPr>
              <w:jc w:val="center"/>
              <w:rPr>
                <w:rFonts w:hint="eastAsia" w:ascii="宋体" w:hAnsi="宋体" w:eastAsia="宋体" w:cs="宋体"/>
                <w:i w:val="0"/>
                <w:iCs w:val="0"/>
                <w:color w:val="000000"/>
                <w:sz w:val="22"/>
                <w:szCs w:val="22"/>
                <w:u w:val="none"/>
              </w:rPr>
            </w:pPr>
          </w:p>
        </w:tc>
      </w:tr>
      <w:tr w14:paraId="51AC5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7054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4641BD">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2C0E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康复训练用阶梯</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C387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3E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F1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0A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B3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4C9E5">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9ACD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A6D87">
            <w:pPr>
              <w:jc w:val="center"/>
              <w:rPr>
                <w:rFonts w:hint="eastAsia" w:ascii="宋体" w:hAnsi="宋体" w:eastAsia="宋体" w:cs="宋体"/>
                <w:i w:val="0"/>
                <w:iCs w:val="0"/>
                <w:color w:val="000000"/>
                <w:sz w:val="22"/>
                <w:szCs w:val="22"/>
                <w:u w:val="none"/>
              </w:rPr>
            </w:pPr>
          </w:p>
        </w:tc>
      </w:tr>
      <w:tr w14:paraId="0989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1356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FE89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FCD2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康复训练床</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97BA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50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8A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62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D2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29D21">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A238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FF449">
            <w:pPr>
              <w:jc w:val="center"/>
              <w:rPr>
                <w:rFonts w:hint="eastAsia" w:ascii="宋体" w:hAnsi="宋体" w:eastAsia="宋体" w:cs="宋体"/>
                <w:i w:val="0"/>
                <w:iCs w:val="0"/>
                <w:color w:val="000000"/>
                <w:sz w:val="22"/>
                <w:szCs w:val="22"/>
                <w:u w:val="none"/>
              </w:rPr>
            </w:pPr>
          </w:p>
        </w:tc>
      </w:tr>
      <w:tr w14:paraId="5398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C2FE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C3DE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C1EF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中医药品柜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CB78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34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5B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F3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8A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240A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CCAA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AAA71">
            <w:pPr>
              <w:jc w:val="center"/>
              <w:rPr>
                <w:rFonts w:hint="eastAsia" w:ascii="宋体" w:hAnsi="宋体" w:eastAsia="宋体" w:cs="宋体"/>
                <w:i w:val="0"/>
                <w:iCs w:val="0"/>
                <w:color w:val="000000"/>
                <w:sz w:val="22"/>
                <w:szCs w:val="22"/>
                <w:u w:val="none"/>
              </w:rPr>
            </w:pPr>
          </w:p>
        </w:tc>
      </w:tr>
      <w:tr w14:paraId="1B0C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63F9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8B8B6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3D14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中药全身熏洗设备</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3C0F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7B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EB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E3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FE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8A147">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855C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05ABE">
            <w:pPr>
              <w:jc w:val="center"/>
              <w:rPr>
                <w:rFonts w:hint="eastAsia" w:ascii="宋体" w:hAnsi="宋体" w:eastAsia="宋体" w:cs="宋体"/>
                <w:i w:val="0"/>
                <w:iCs w:val="0"/>
                <w:color w:val="000000"/>
                <w:sz w:val="22"/>
                <w:szCs w:val="22"/>
                <w:u w:val="none"/>
              </w:rPr>
            </w:pPr>
          </w:p>
        </w:tc>
      </w:tr>
      <w:tr w14:paraId="40E6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44F7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0420A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0969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康复姿势镜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0C7C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AD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7A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99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02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9C467">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AE701">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31015">
            <w:pPr>
              <w:jc w:val="center"/>
              <w:rPr>
                <w:rFonts w:hint="eastAsia" w:ascii="宋体" w:hAnsi="宋体" w:eastAsia="宋体" w:cs="宋体"/>
                <w:i w:val="0"/>
                <w:iCs w:val="0"/>
                <w:color w:val="000000"/>
                <w:sz w:val="22"/>
                <w:szCs w:val="22"/>
                <w:u w:val="none"/>
              </w:rPr>
            </w:pPr>
          </w:p>
        </w:tc>
      </w:tr>
      <w:tr w14:paraId="67BC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2EA2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F2C7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C2A4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帕雪雅治疗设备</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C286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7E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8A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AF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E8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ED5B3">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EE57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799F7">
            <w:pPr>
              <w:jc w:val="center"/>
              <w:rPr>
                <w:rFonts w:hint="eastAsia" w:ascii="宋体" w:hAnsi="宋体" w:eastAsia="宋体" w:cs="宋体"/>
                <w:i w:val="0"/>
                <w:iCs w:val="0"/>
                <w:color w:val="000000"/>
                <w:sz w:val="22"/>
                <w:szCs w:val="22"/>
                <w:u w:val="none"/>
              </w:rPr>
            </w:pPr>
          </w:p>
        </w:tc>
      </w:tr>
      <w:tr w14:paraId="21C2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CA0B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DDD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4C1D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DC7D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CB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10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8D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45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61D28">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F65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E34C6">
            <w:pPr>
              <w:jc w:val="center"/>
              <w:rPr>
                <w:rFonts w:hint="eastAsia" w:ascii="宋体" w:hAnsi="宋体" w:eastAsia="宋体" w:cs="宋体"/>
                <w:i w:val="0"/>
                <w:iCs w:val="0"/>
                <w:color w:val="000000"/>
                <w:sz w:val="22"/>
                <w:szCs w:val="22"/>
                <w:u w:val="none"/>
              </w:rPr>
            </w:pPr>
          </w:p>
        </w:tc>
      </w:tr>
      <w:tr w14:paraId="084E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49BD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9912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CC45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妇科手术/检查台</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31E1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A0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EE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FB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81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117A7">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59FA7">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7FCA9">
            <w:pPr>
              <w:jc w:val="center"/>
              <w:rPr>
                <w:rFonts w:hint="eastAsia" w:ascii="宋体" w:hAnsi="宋体" w:eastAsia="宋体" w:cs="宋体"/>
                <w:i w:val="0"/>
                <w:iCs w:val="0"/>
                <w:color w:val="000000"/>
                <w:sz w:val="22"/>
                <w:szCs w:val="22"/>
                <w:u w:val="none"/>
              </w:rPr>
            </w:pPr>
          </w:p>
        </w:tc>
      </w:tr>
      <w:tr w14:paraId="6BCC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F78F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14C8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FEA1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胎心监护仪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04C2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DA5F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87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4A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12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A4DA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A2A8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0DE1D">
            <w:pPr>
              <w:jc w:val="center"/>
              <w:rPr>
                <w:rFonts w:hint="eastAsia" w:ascii="宋体" w:hAnsi="宋体" w:eastAsia="宋体" w:cs="宋体"/>
                <w:i w:val="0"/>
                <w:iCs w:val="0"/>
                <w:color w:val="000000"/>
                <w:sz w:val="22"/>
                <w:szCs w:val="22"/>
                <w:u w:val="none"/>
              </w:rPr>
            </w:pPr>
          </w:p>
        </w:tc>
      </w:tr>
      <w:tr w14:paraId="4434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A4FB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454AE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48E0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上取环器械</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2775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162B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43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DA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69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350E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9979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1706E">
            <w:pPr>
              <w:jc w:val="center"/>
              <w:rPr>
                <w:rFonts w:hint="eastAsia" w:ascii="宋体" w:hAnsi="宋体" w:eastAsia="宋体" w:cs="宋体"/>
                <w:i w:val="0"/>
                <w:iCs w:val="0"/>
                <w:color w:val="000000"/>
                <w:sz w:val="22"/>
                <w:szCs w:val="22"/>
                <w:u w:val="none"/>
              </w:rPr>
            </w:pPr>
          </w:p>
        </w:tc>
      </w:tr>
      <w:tr w14:paraId="30A7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16E3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C2675">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4CE27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盆底肌肉训练设备(盆底康复治疗仪)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F090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6C6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92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21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87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589F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97D7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A0A06">
            <w:pPr>
              <w:jc w:val="center"/>
              <w:rPr>
                <w:rFonts w:hint="eastAsia" w:ascii="宋体" w:hAnsi="宋体" w:eastAsia="宋体" w:cs="宋体"/>
                <w:i w:val="0"/>
                <w:iCs w:val="0"/>
                <w:color w:val="000000"/>
                <w:sz w:val="22"/>
                <w:szCs w:val="22"/>
                <w:u w:val="none"/>
              </w:rPr>
            </w:pPr>
          </w:p>
        </w:tc>
      </w:tr>
      <w:tr w14:paraId="4B6D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E509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2044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A937D4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盆底肌肉训练设备(配套耗材盆底肌肉康复器)</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9DB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6FB3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55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D7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23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8A0F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BB4D4">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2593C">
            <w:pPr>
              <w:jc w:val="center"/>
              <w:rPr>
                <w:rFonts w:hint="eastAsia" w:ascii="宋体" w:hAnsi="宋体" w:eastAsia="宋体" w:cs="宋体"/>
                <w:i w:val="0"/>
                <w:iCs w:val="0"/>
                <w:color w:val="000000"/>
                <w:sz w:val="22"/>
                <w:szCs w:val="22"/>
                <w:u w:val="none"/>
              </w:rPr>
            </w:pPr>
          </w:p>
        </w:tc>
      </w:tr>
      <w:tr w14:paraId="6A6C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6349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A5FC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418C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经皮黄疸仪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CE70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12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F2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10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4C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ECA7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CF5AC">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E8D4D">
            <w:pPr>
              <w:jc w:val="center"/>
              <w:rPr>
                <w:rFonts w:hint="eastAsia" w:ascii="宋体" w:hAnsi="宋体" w:eastAsia="宋体" w:cs="宋体"/>
                <w:i w:val="0"/>
                <w:iCs w:val="0"/>
                <w:color w:val="000000"/>
                <w:sz w:val="22"/>
                <w:szCs w:val="22"/>
                <w:u w:val="none"/>
              </w:rPr>
            </w:pPr>
          </w:p>
        </w:tc>
      </w:tr>
      <w:tr w14:paraId="4D3B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CF4D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91F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全科医疗科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FA72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E3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D390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2F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F5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1C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BC15E">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B03C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F6094">
            <w:pPr>
              <w:jc w:val="center"/>
              <w:rPr>
                <w:rFonts w:hint="eastAsia" w:ascii="宋体" w:hAnsi="宋体" w:eastAsia="宋体" w:cs="宋体"/>
                <w:i w:val="0"/>
                <w:iCs w:val="0"/>
                <w:color w:val="FF0000"/>
                <w:sz w:val="22"/>
                <w:szCs w:val="22"/>
                <w:u w:val="none"/>
              </w:rPr>
            </w:pPr>
          </w:p>
        </w:tc>
      </w:tr>
      <w:tr w14:paraId="571E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254D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B4A1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B8A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雾化泵</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CA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15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67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2E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40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98A03">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E35E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CE218">
            <w:pPr>
              <w:jc w:val="center"/>
              <w:rPr>
                <w:rFonts w:hint="eastAsia" w:ascii="宋体" w:hAnsi="宋体" w:eastAsia="宋体" w:cs="宋体"/>
                <w:i w:val="0"/>
                <w:iCs w:val="0"/>
                <w:color w:val="000000"/>
                <w:sz w:val="22"/>
                <w:szCs w:val="22"/>
                <w:u w:val="none"/>
              </w:rPr>
            </w:pPr>
          </w:p>
        </w:tc>
      </w:tr>
      <w:tr w14:paraId="2D76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BA97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EA20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BCA6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验光设备和器具</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F7C7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E2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F6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AC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BA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83A5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18C6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84CC1">
            <w:pPr>
              <w:jc w:val="center"/>
              <w:rPr>
                <w:rFonts w:hint="eastAsia" w:ascii="宋体" w:hAnsi="宋体" w:eastAsia="宋体" w:cs="宋体"/>
                <w:i w:val="0"/>
                <w:iCs w:val="0"/>
                <w:color w:val="FF0000"/>
                <w:sz w:val="22"/>
                <w:szCs w:val="22"/>
                <w:u w:val="none"/>
              </w:rPr>
            </w:pPr>
          </w:p>
        </w:tc>
      </w:tr>
      <w:tr w14:paraId="7AD1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833B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403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7B58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血细胞分析仪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1E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DE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FD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7A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1A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E0D6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6B6E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95947AD">
            <w:pPr>
              <w:jc w:val="center"/>
              <w:rPr>
                <w:rFonts w:hint="eastAsia" w:ascii="宋体" w:hAnsi="宋体" w:eastAsia="宋体" w:cs="宋体"/>
                <w:i w:val="0"/>
                <w:iCs w:val="0"/>
                <w:color w:val="000000"/>
                <w:sz w:val="22"/>
                <w:szCs w:val="22"/>
                <w:u w:val="none"/>
              </w:rPr>
            </w:pPr>
          </w:p>
        </w:tc>
      </w:tr>
      <w:tr w14:paraId="0FB6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EF2C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66E2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2059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66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F6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21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B2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1E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AD0F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84CE4">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0C120">
            <w:pPr>
              <w:jc w:val="center"/>
              <w:rPr>
                <w:rFonts w:hint="eastAsia" w:ascii="宋体" w:hAnsi="宋体" w:eastAsia="宋体" w:cs="宋体"/>
                <w:i w:val="0"/>
                <w:iCs w:val="0"/>
                <w:color w:val="000000"/>
                <w:sz w:val="22"/>
                <w:szCs w:val="22"/>
                <w:u w:val="none"/>
              </w:rPr>
            </w:pPr>
          </w:p>
        </w:tc>
      </w:tr>
      <w:tr w14:paraId="0F43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605AE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746E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4AB9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14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F8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13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43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67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F1860">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B06D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48120D6">
            <w:pPr>
              <w:jc w:val="center"/>
              <w:rPr>
                <w:rFonts w:hint="eastAsia" w:ascii="宋体" w:hAnsi="宋体" w:eastAsia="宋体" w:cs="宋体"/>
                <w:i w:val="0"/>
                <w:iCs w:val="0"/>
                <w:color w:val="FF0000"/>
                <w:sz w:val="22"/>
                <w:szCs w:val="22"/>
                <w:u w:val="none"/>
              </w:rPr>
            </w:pPr>
          </w:p>
        </w:tc>
      </w:tr>
      <w:tr w14:paraId="3A78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E1CD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1F44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8D0E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碳呼气试验设备</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62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ED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6E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87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F5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D156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DC72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A4AA8">
            <w:pPr>
              <w:jc w:val="center"/>
              <w:rPr>
                <w:rFonts w:hint="eastAsia" w:ascii="宋体" w:hAnsi="宋体" w:eastAsia="宋体" w:cs="宋体"/>
                <w:i w:val="0"/>
                <w:iCs w:val="0"/>
                <w:color w:val="000000"/>
                <w:sz w:val="22"/>
                <w:szCs w:val="22"/>
                <w:u w:val="none"/>
              </w:rPr>
            </w:pPr>
          </w:p>
        </w:tc>
      </w:tr>
      <w:tr w14:paraId="24D9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8C90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2F4F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A533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电解质分析仪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6F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CF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08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F7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45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24C84">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0066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10C84">
            <w:pPr>
              <w:jc w:val="center"/>
              <w:rPr>
                <w:rFonts w:hint="eastAsia" w:ascii="宋体" w:hAnsi="宋体" w:eastAsia="宋体" w:cs="宋体"/>
                <w:i w:val="0"/>
                <w:iCs w:val="0"/>
                <w:color w:val="000000"/>
                <w:sz w:val="22"/>
                <w:szCs w:val="22"/>
                <w:u w:val="none"/>
              </w:rPr>
            </w:pPr>
          </w:p>
        </w:tc>
      </w:tr>
      <w:tr w14:paraId="2E50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3870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1C16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513C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显微镜</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93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5F6F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A3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F6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41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9B22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D490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77782">
            <w:pPr>
              <w:jc w:val="center"/>
              <w:rPr>
                <w:rFonts w:hint="eastAsia" w:ascii="宋体" w:hAnsi="宋体" w:eastAsia="宋体" w:cs="宋体"/>
                <w:i w:val="0"/>
                <w:iCs w:val="0"/>
                <w:color w:val="000000"/>
                <w:sz w:val="22"/>
                <w:szCs w:val="22"/>
                <w:u w:val="none"/>
              </w:rPr>
            </w:pPr>
          </w:p>
        </w:tc>
      </w:tr>
      <w:tr w14:paraId="3956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A893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9743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1605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便常规检测仪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FB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D9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52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07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5E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067F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5B42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92961">
            <w:pPr>
              <w:jc w:val="center"/>
              <w:rPr>
                <w:rFonts w:hint="eastAsia" w:ascii="宋体" w:hAnsi="宋体" w:eastAsia="宋体" w:cs="宋体"/>
                <w:i w:val="0"/>
                <w:iCs w:val="0"/>
                <w:color w:val="FF0000"/>
                <w:sz w:val="22"/>
                <w:szCs w:val="22"/>
                <w:u w:val="none"/>
              </w:rPr>
            </w:pPr>
          </w:p>
        </w:tc>
      </w:tr>
      <w:tr w14:paraId="2C3A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6731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61DCB5">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C518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听力计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98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C6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18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5E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18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9CA7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83E1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39191">
            <w:pPr>
              <w:jc w:val="center"/>
              <w:rPr>
                <w:rFonts w:hint="eastAsia" w:ascii="宋体" w:hAnsi="宋体" w:eastAsia="宋体" w:cs="宋体"/>
                <w:i w:val="0"/>
                <w:iCs w:val="0"/>
                <w:color w:val="000000"/>
                <w:sz w:val="22"/>
                <w:szCs w:val="22"/>
                <w:u w:val="none"/>
              </w:rPr>
            </w:pPr>
          </w:p>
        </w:tc>
      </w:tr>
      <w:tr w14:paraId="6EBF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3D0D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55D1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61655E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健康教育模型(男性、女性生殖器模型；乳房模型、新生儿护理模型、女性避孕器指导模型)</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F7B8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9F2C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18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AC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A5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1591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A7193">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4226C">
            <w:pPr>
              <w:jc w:val="center"/>
              <w:rPr>
                <w:rFonts w:hint="eastAsia" w:ascii="宋体" w:hAnsi="宋体" w:eastAsia="宋体" w:cs="宋体"/>
                <w:i w:val="0"/>
                <w:iCs w:val="0"/>
                <w:color w:val="000000"/>
                <w:sz w:val="22"/>
                <w:szCs w:val="22"/>
                <w:u w:val="none"/>
              </w:rPr>
            </w:pPr>
          </w:p>
        </w:tc>
      </w:tr>
      <w:tr w14:paraId="1263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9334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BA8ED">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E17A11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健康教育模型(</w:t>
            </w:r>
            <w:r>
              <w:rPr>
                <w:rFonts w:hint="eastAsia" w:ascii="宋体" w:hAnsi="宋体" w:eastAsia="宋体" w:cs="宋体"/>
                <w:i w:val="0"/>
                <w:iCs w:val="0"/>
                <w:color w:val="000000"/>
                <w:sz w:val="22"/>
                <w:szCs w:val="22"/>
                <w:u w:val="none"/>
              </w:rPr>
              <w:t>成人模型，骨骼，肌肉，内脏模型</w:t>
            </w:r>
            <w:r>
              <w:rPr>
                <w:rFonts w:hint="eastAsia" w:ascii="宋体" w:hAnsi="宋体" w:eastAsia="宋体" w:cs="宋体"/>
                <w:i w:val="0"/>
                <w:iCs w:val="0"/>
                <w:color w:val="000000"/>
                <w:sz w:val="22"/>
                <w:szCs w:val="22"/>
                <w:u w:val="none"/>
                <w:lang w:val="en-US" w:eastAsia="zh-CN"/>
              </w:rPr>
              <w:t>)</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F19A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100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A4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C4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A9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ED53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3392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6C80C">
            <w:pPr>
              <w:jc w:val="center"/>
              <w:rPr>
                <w:rFonts w:hint="eastAsia" w:ascii="宋体" w:hAnsi="宋体" w:eastAsia="宋体" w:cs="宋体"/>
                <w:i w:val="0"/>
                <w:iCs w:val="0"/>
                <w:color w:val="000000"/>
                <w:sz w:val="22"/>
                <w:szCs w:val="22"/>
                <w:u w:val="none"/>
              </w:rPr>
            </w:pPr>
          </w:p>
        </w:tc>
      </w:tr>
      <w:tr w14:paraId="24C8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0B0D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DB53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6447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心脏复苏模拟人</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23A2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199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B0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40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CF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A4D4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66AB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2DE0D">
            <w:pPr>
              <w:jc w:val="center"/>
              <w:rPr>
                <w:rFonts w:hint="eastAsia" w:ascii="宋体" w:hAnsi="宋体" w:eastAsia="宋体" w:cs="宋体"/>
                <w:i w:val="0"/>
                <w:iCs w:val="0"/>
                <w:color w:val="000000"/>
                <w:sz w:val="22"/>
                <w:szCs w:val="22"/>
                <w:u w:val="none"/>
              </w:rPr>
            </w:pPr>
          </w:p>
        </w:tc>
      </w:tr>
      <w:tr w14:paraId="3489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E57B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CE231">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1245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婴儿智能体检仪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06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02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82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14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E6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692EC">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40F6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623BC">
            <w:pPr>
              <w:jc w:val="center"/>
              <w:rPr>
                <w:rFonts w:hint="eastAsia" w:ascii="宋体" w:hAnsi="宋体" w:eastAsia="宋体" w:cs="宋体"/>
                <w:i w:val="0"/>
                <w:iCs w:val="0"/>
                <w:color w:val="000000"/>
                <w:sz w:val="22"/>
                <w:szCs w:val="22"/>
                <w:u w:val="none"/>
              </w:rPr>
            </w:pPr>
          </w:p>
        </w:tc>
      </w:tr>
      <w:tr w14:paraId="0CE9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5D80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451D96">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CDA7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71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42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B6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E3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D8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C4A7B">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85BE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CB026">
            <w:pPr>
              <w:jc w:val="center"/>
              <w:rPr>
                <w:rFonts w:hint="eastAsia" w:ascii="宋体" w:hAnsi="宋体" w:eastAsia="宋体" w:cs="宋体"/>
                <w:i w:val="0"/>
                <w:iCs w:val="0"/>
                <w:color w:val="000000"/>
                <w:sz w:val="22"/>
                <w:szCs w:val="22"/>
                <w:u w:val="none"/>
              </w:rPr>
            </w:pPr>
          </w:p>
        </w:tc>
      </w:tr>
      <w:tr w14:paraId="03A4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3AF4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F4155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67F7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76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BB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12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A5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F3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6E711">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EFDA7">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41114">
            <w:pPr>
              <w:jc w:val="center"/>
              <w:rPr>
                <w:rFonts w:hint="eastAsia" w:ascii="宋体" w:hAnsi="宋体" w:eastAsia="宋体" w:cs="宋体"/>
                <w:i w:val="0"/>
                <w:iCs w:val="0"/>
                <w:color w:val="000000"/>
                <w:sz w:val="22"/>
                <w:szCs w:val="22"/>
                <w:u w:val="none"/>
              </w:rPr>
            </w:pPr>
          </w:p>
        </w:tc>
      </w:tr>
      <w:tr w14:paraId="6681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A815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B8B9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D15F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水银血压计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A4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DD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40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E4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72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42E0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B72B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A6A6B">
            <w:pPr>
              <w:jc w:val="center"/>
              <w:rPr>
                <w:rFonts w:hint="eastAsia" w:ascii="宋体" w:hAnsi="宋体" w:eastAsia="宋体" w:cs="宋体"/>
                <w:i w:val="0"/>
                <w:iCs w:val="0"/>
                <w:color w:val="000000"/>
                <w:sz w:val="22"/>
                <w:szCs w:val="22"/>
                <w:u w:val="none"/>
              </w:rPr>
            </w:pPr>
          </w:p>
        </w:tc>
      </w:tr>
      <w:tr w14:paraId="79AC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A91E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DC0A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6D39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66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AA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51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A4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42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BA56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96FCB">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D6C62">
            <w:pPr>
              <w:jc w:val="center"/>
              <w:rPr>
                <w:rFonts w:hint="eastAsia" w:ascii="宋体" w:hAnsi="宋体" w:eastAsia="宋体" w:cs="宋体"/>
                <w:i w:val="0"/>
                <w:iCs w:val="0"/>
                <w:color w:val="000000"/>
                <w:sz w:val="22"/>
                <w:szCs w:val="22"/>
                <w:u w:val="none"/>
              </w:rPr>
            </w:pPr>
          </w:p>
        </w:tc>
      </w:tr>
      <w:tr w14:paraId="2B30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3278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68D46">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ED51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儿童保健体检仪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52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F6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7C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3C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BD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16E2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578E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191A0">
            <w:pPr>
              <w:jc w:val="center"/>
              <w:rPr>
                <w:rFonts w:hint="eastAsia" w:ascii="宋体" w:hAnsi="宋体" w:eastAsia="宋体" w:cs="宋体"/>
                <w:i w:val="0"/>
                <w:iCs w:val="0"/>
                <w:color w:val="000000"/>
                <w:sz w:val="22"/>
                <w:szCs w:val="22"/>
                <w:u w:val="none"/>
              </w:rPr>
            </w:pPr>
          </w:p>
        </w:tc>
      </w:tr>
      <w:tr w14:paraId="0634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DE8A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9BE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EF40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悬挂式手术无影灯</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03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70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27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A1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DC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EBD0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718E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14689">
            <w:pPr>
              <w:jc w:val="center"/>
              <w:rPr>
                <w:rFonts w:hint="eastAsia" w:ascii="宋体" w:hAnsi="宋体" w:eastAsia="宋体" w:cs="宋体"/>
                <w:i w:val="0"/>
                <w:iCs w:val="0"/>
                <w:color w:val="000000"/>
                <w:sz w:val="22"/>
                <w:szCs w:val="22"/>
                <w:u w:val="none"/>
              </w:rPr>
            </w:pPr>
          </w:p>
        </w:tc>
      </w:tr>
      <w:tr w14:paraId="1EF8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89FA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0438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E111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2F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96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7E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2D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96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1522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265A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2B400">
            <w:pPr>
              <w:jc w:val="center"/>
              <w:rPr>
                <w:rFonts w:hint="eastAsia" w:ascii="宋体" w:hAnsi="宋体" w:eastAsia="宋体" w:cs="宋体"/>
                <w:i w:val="0"/>
                <w:iCs w:val="0"/>
                <w:color w:val="000000"/>
                <w:sz w:val="22"/>
                <w:szCs w:val="22"/>
                <w:u w:val="none"/>
              </w:rPr>
            </w:pPr>
          </w:p>
        </w:tc>
      </w:tr>
      <w:tr w14:paraId="133E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9982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06C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E7BD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 X射线系统（DR）</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EA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FB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3E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11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47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7C3E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CB9FE">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291BE">
            <w:pPr>
              <w:jc w:val="center"/>
              <w:rPr>
                <w:rFonts w:hint="eastAsia" w:ascii="宋体" w:hAnsi="宋体" w:eastAsia="宋体" w:cs="宋体"/>
                <w:i w:val="0"/>
                <w:iCs w:val="0"/>
                <w:color w:val="000000"/>
                <w:sz w:val="22"/>
                <w:szCs w:val="22"/>
                <w:u w:val="none"/>
              </w:rPr>
            </w:pPr>
          </w:p>
        </w:tc>
      </w:tr>
      <w:tr w14:paraId="4137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BA27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501C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DA8B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胶片激光打印机（含软件）</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3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73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1C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61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AA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6D8E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7915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09314589">
            <w:pPr>
              <w:jc w:val="center"/>
              <w:rPr>
                <w:rFonts w:hint="eastAsia" w:ascii="宋体" w:hAnsi="宋体" w:eastAsia="宋体" w:cs="宋体"/>
                <w:i w:val="0"/>
                <w:iCs w:val="0"/>
                <w:color w:val="000000"/>
                <w:sz w:val="22"/>
                <w:szCs w:val="22"/>
                <w:u w:val="none"/>
              </w:rPr>
            </w:pPr>
          </w:p>
        </w:tc>
      </w:tr>
      <w:tr w14:paraId="29ED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A4BA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520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5E5D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牙科综合治疗台</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48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E0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36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12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D5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0A40B">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6C1A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1B15B">
            <w:pPr>
              <w:jc w:val="center"/>
              <w:rPr>
                <w:rFonts w:hint="eastAsia" w:ascii="宋体" w:hAnsi="宋体" w:eastAsia="宋体" w:cs="宋体"/>
                <w:i w:val="0"/>
                <w:iCs w:val="0"/>
                <w:color w:val="000000"/>
                <w:sz w:val="22"/>
                <w:szCs w:val="22"/>
                <w:u w:val="none"/>
              </w:rPr>
            </w:pPr>
          </w:p>
        </w:tc>
      </w:tr>
      <w:tr w14:paraId="3F38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6D15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EDE6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AE91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牙科治疗机</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02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FF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04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CF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08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B7848">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6901B">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D1553">
            <w:pPr>
              <w:jc w:val="center"/>
              <w:rPr>
                <w:rFonts w:hint="eastAsia" w:ascii="宋体" w:hAnsi="宋体" w:eastAsia="宋体" w:cs="宋体"/>
                <w:i w:val="0"/>
                <w:iCs w:val="0"/>
                <w:color w:val="000000"/>
                <w:sz w:val="22"/>
                <w:szCs w:val="22"/>
                <w:u w:val="none"/>
              </w:rPr>
            </w:pPr>
          </w:p>
        </w:tc>
      </w:tr>
      <w:tr w14:paraId="595E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572A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3C40E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EDBF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纯水机-口腔科</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83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8B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7E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06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00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941F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664E3">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14971">
            <w:pPr>
              <w:jc w:val="center"/>
              <w:rPr>
                <w:rFonts w:hint="eastAsia" w:ascii="宋体" w:hAnsi="宋体" w:eastAsia="宋体" w:cs="宋体"/>
                <w:i w:val="0"/>
                <w:iCs w:val="0"/>
                <w:color w:val="000000"/>
                <w:sz w:val="22"/>
                <w:szCs w:val="22"/>
                <w:u w:val="none"/>
              </w:rPr>
            </w:pPr>
          </w:p>
        </w:tc>
      </w:tr>
      <w:tr w14:paraId="0978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257C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5516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2045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清洗设备</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F3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81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AC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CF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42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82327">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700F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24C11">
            <w:pPr>
              <w:jc w:val="center"/>
              <w:rPr>
                <w:rFonts w:hint="eastAsia" w:ascii="宋体" w:hAnsi="宋体" w:eastAsia="宋体" w:cs="宋体"/>
                <w:i w:val="0"/>
                <w:iCs w:val="0"/>
                <w:color w:val="000000"/>
                <w:sz w:val="22"/>
                <w:szCs w:val="22"/>
                <w:u w:val="none"/>
              </w:rPr>
            </w:pPr>
          </w:p>
        </w:tc>
      </w:tr>
      <w:tr w14:paraId="0390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86CF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CE44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5DA3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灭菌器</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21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20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F8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49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2C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EDE91">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D43DC">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B4B8A">
            <w:pPr>
              <w:jc w:val="center"/>
              <w:rPr>
                <w:rFonts w:hint="eastAsia" w:ascii="宋体" w:hAnsi="宋体" w:eastAsia="宋体" w:cs="宋体"/>
                <w:i w:val="0"/>
                <w:iCs w:val="0"/>
                <w:color w:val="000000"/>
                <w:sz w:val="22"/>
                <w:szCs w:val="22"/>
                <w:u w:val="none"/>
              </w:rPr>
            </w:pPr>
          </w:p>
        </w:tc>
      </w:tr>
      <w:tr w14:paraId="549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9627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03D05">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BF69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口腔数字化影像系统</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84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1B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2F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90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A2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8C9B0">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27B3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0A471">
            <w:pPr>
              <w:jc w:val="center"/>
              <w:rPr>
                <w:rFonts w:hint="eastAsia" w:ascii="宋体" w:hAnsi="宋体" w:eastAsia="宋体" w:cs="宋体"/>
                <w:i w:val="0"/>
                <w:iCs w:val="0"/>
                <w:color w:val="000000"/>
                <w:sz w:val="22"/>
                <w:szCs w:val="22"/>
                <w:u w:val="none"/>
              </w:rPr>
            </w:pPr>
          </w:p>
        </w:tc>
      </w:tr>
      <w:tr w14:paraId="3F61D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BF57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02420">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C8EB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口腔全景X射线机</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2F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6D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71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9A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CB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6FE4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DB66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3DFEC">
            <w:pPr>
              <w:jc w:val="center"/>
              <w:rPr>
                <w:rFonts w:hint="eastAsia" w:ascii="宋体" w:hAnsi="宋体" w:eastAsia="宋体" w:cs="宋体"/>
                <w:i w:val="0"/>
                <w:iCs w:val="0"/>
                <w:color w:val="000000"/>
                <w:sz w:val="22"/>
                <w:szCs w:val="22"/>
                <w:u w:val="none"/>
              </w:rPr>
            </w:pPr>
          </w:p>
        </w:tc>
      </w:tr>
      <w:tr w14:paraId="4DC3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4D96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A9A5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CD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氧气桶</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2BD9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D238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C7FA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2E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00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6C0B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4A43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EC6BC">
            <w:pPr>
              <w:jc w:val="center"/>
              <w:rPr>
                <w:rFonts w:hint="eastAsia" w:ascii="宋体" w:hAnsi="宋体" w:eastAsia="宋体" w:cs="宋体"/>
                <w:i w:val="0"/>
                <w:iCs w:val="0"/>
                <w:color w:val="000000"/>
                <w:sz w:val="22"/>
                <w:szCs w:val="22"/>
                <w:u w:val="none"/>
              </w:rPr>
            </w:pPr>
          </w:p>
        </w:tc>
      </w:tr>
      <w:tr w14:paraId="6AD7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8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7086E9">
            <w:pPr>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合计（元）</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80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F28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FA3C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E489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6604C">
            <w:pPr>
              <w:jc w:val="center"/>
              <w:rPr>
                <w:rFonts w:hint="eastAsia" w:ascii="宋体" w:hAnsi="宋体" w:eastAsia="宋体" w:cs="宋体"/>
                <w:i w:val="0"/>
                <w:iCs w:val="0"/>
                <w:color w:val="000000"/>
                <w:sz w:val="22"/>
                <w:szCs w:val="22"/>
                <w:u w:val="none"/>
              </w:rPr>
            </w:pPr>
          </w:p>
        </w:tc>
      </w:tr>
    </w:tbl>
    <w:p w14:paraId="32FF57CD"/>
    <w:p w14:paraId="68833D8E">
      <w:pPr>
        <w:rPr>
          <w:b/>
          <w:bCs/>
          <w:sz w:val="36"/>
          <w:szCs w:val="44"/>
        </w:rPr>
      </w:pPr>
      <w:r>
        <w:rPr>
          <w:rFonts w:hint="eastAsia"/>
          <w:b/>
          <w:bCs/>
          <w:sz w:val="36"/>
          <w:szCs w:val="44"/>
        </w:rPr>
        <w:t>核心产品：DR、血细胞分析仪、尿液分析仪</w:t>
      </w:r>
    </w:p>
    <w:p w14:paraId="2035D593">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br w:type="page"/>
      </w:r>
    </w:p>
    <w:p w14:paraId="07412C9B">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t>采购清单技术参数</w:t>
      </w:r>
    </w:p>
    <w:p w14:paraId="5A3198D8">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p>
    <w:tbl>
      <w:tblPr>
        <w:tblStyle w:val="26"/>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533"/>
        <w:gridCol w:w="947"/>
        <w:gridCol w:w="6218"/>
        <w:gridCol w:w="653"/>
      </w:tblGrid>
      <w:tr w14:paraId="19F7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8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4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F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6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9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9C9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8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15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康复医疗科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E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红外线治疗仪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1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1、波长范围:能量主要分布范围0.5um~30um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2、出光口面积:≥750c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3、功率档数:三挡以上可调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4、定时范围:0-99小时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5、直升降功能:气压升降手动调节10、升降距离:40cm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6、具有倾倒断电保护。</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7BB0">
            <w:pPr>
              <w:jc w:val="center"/>
              <w:rPr>
                <w:rFonts w:hint="eastAsia" w:ascii="宋体" w:hAnsi="宋体" w:eastAsia="宋体" w:cs="宋体"/>
                <w:i w:val="0"/>
                <w:iCs w:val="0"/>
                <w:color w:val="000000"/>
                <w:sz w:val="22"/>
                <w:szCs w:val="22"/>
                <w:u w:val="none"/>
              </w:rPr>
            </w:pPr>
          </w:p>
        </w:tc>
      </w:tr>
      <w:tr w14:paraId="5F75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0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51E4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训练用扶梯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36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训练用阶梯（双向）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规格mm)：3350×830×1350~1550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扶手杠调节范围（mm）：0～200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扶手杠侧向额定载荷(kg)：70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阶梯额定载荷(kg)： 135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用途：用于患者恢复日常上下楼功能。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阶梯台高度：100mm、120mm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中间台高度600mm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5CCE">
            <w:pPr>
              <w:jc w:val="center"/>
              <w:rPr>
                <w:rFonts w:hint="eastAsia" w:ascii="宋体" w:hAnsi="宋体" w:eastAsia="宋体" w:cs="宋体"/>
                <w:i w:val="0"/>
                <w:iCs w:val="0"/>
                <w:color w:val="000000"/>
                <w:sz w:val="22"/>
                <w:szCs w:val="22"/>
                <w:u w:val="none"/>
              </w:rPr>
            </w:pPr>
          </w:p>
        </w:tc>
      </w:tr>
      <w:tr w14:paraId="467B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7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7DB6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5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B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1、微波频率：≥2450MHZ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★2、微波理疗功率：理疗模式0～99W。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3、治疗时间：理疗为：0～30分，治疗为：0～99秒。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4、功率和时间调节方式：步进为“10”和“1”两种方式。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5、使用环境：常规病房和治疗室使用设备，注册证上须未注明“在屏蔽环境使用”，无须单独设置屏蔽房。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★6、输出馈线、磁控管超温报警功能。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★7、理疗辐射器尺寸：圆形直径≥150mm。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8、自动保护装置：具有功率加强保护和功率自适应功能。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9、主机采用一体化豪华型推车机柜。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10、适用范围：设备至少能用于“耳鼻喉科、妇科、皮肤科、康复科理疗科”等科室相关疾病和炎症。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★11、使用年限：≥8年。</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5A9A">
            <w:pPr>
              <w:jc w:val="center"/>
              <w:rPr>
                <w:rFonts w:hint="eastAsia" w:ascii="宋体" w:hAnsi="宋体" w:eastAsia="宋体" w:cs="宋体"/>
                <w:i w:val="0"/>
                <w:iCs w:val="0"/>
                <w:color w:val="000000"/>
                <w:sz w:val="22"/>
                <w:szCs w:val="22"/>
                <w:u w:val="none"/>
              </w:rPr>
            </w:pPr>
          </w:p>
        </w:tc>
      </w:tr>
      <w:tr w14:paraId="3FCC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8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B3DF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0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8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1、输入电压：220V±22V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2、输入频率：50Hz±1Hz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3、输入功率：50VA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4、输出通道：单路输出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5、显示方式：液晶显示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6、声工作频率：1MHz±10%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7、输出模式：a)连续输出；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b)断续1：输出1s，间歇1s；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c)断续2：输出0.5s，间歇0.5s；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d)断续3：输出0.3s，间歇0.3s。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8、有效声强：0～1.5W/cm²。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9、定时范围：1～30min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10、尺寸：380mm×310mm×135mm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11、最大输出功率：6W，允差±20%。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12、有效辐射面积：4cm²。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13、波束不均匀性系数RBN：不超过8.0。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14、波束类型：准直型。</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5877">
            <w:pPr>
              <w:jc w:val="center"/>
              <w:rPr>
                <w:rFonts w:hint="eastAsia" w:ascii="宋体" w:hAnsi="宋体" w:eastAsia="宋体" w:cs="宋体"/>
                <w:i w:val="0"/>
                <w:iCs w:val="0"/>
                <w:color w:val="000000"/>
                <w:sz w:val="22"/>
                <w:szCs w:val="22"/>
                <w:u w:val="none"/>
              </w:rPr>
            </w:pPr>
          </w:p>
        </w:tc>
      </w:tr>
      <w:tr w14:paraId="3DC2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E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DBB8A">
            <w:pPr>
              <w:jc w:val="center"/>
              <w:rPr>
                <w:rFonts w:hint="eastAsia" w:ascii="宋体" w:hAnsi="宋体" w:eastAsia="宋体" w:cs="宋体"/>
                <w:i w:val="0"/>
                <w:iCs w:val="0"/>
                <w:color w:val="000000"/>
                <w:sz w:val="22"/>
                <w:szCs w:val="22"/>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2F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脉冲治疗仪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5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1、额定输入功率：180VA。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2、电压：220V±22V，频率50Hz±1Hz。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3、尺寸：360×340×205mm，允差±20mm。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4、显示方式：数码触摸显示。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5、输出通道：四路中频加透热输出、四路离子导入直流输出、两路干扰电输出。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6、中频频率：1kHz～10kHz，单一频率允差±10％。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7、低频调制频率：0～150Hz，单一频率允差±10％或±1Hz取大值。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8、中频载波：双向方波，脉宽50us～500us，允差±10％。调制波形：正弦波、方波、三角波、指数波、锯齿波、尖波、等幅波。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9、调制方式：连续、断续、间歇、变频、疏密和交替调制。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10、中频调幅度：0%、25%、50%、75%、100%，允差±5％。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11、干扰电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11.1工作频率：4kHz，允差±10％。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11.2调制频率：0.125Hz，允差±10％。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11.3差频频率范围：0～112Hz，允差±10％或±1Hz取较大值。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11.4差频变化周期：5.5s、32s，允差±10％。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12、保护功能：过载保护，短路保护。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13、处方：100个。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14、中频输出电流：在500Ω的负载下，每路输出电流不大于100mA。输出强度分0～99级可调。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15、输出电流稳定度：不同负载下的输出电流变化率应不大于10%。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16、中频输出峰值电压：在开路条件下测量时，中频输出峰值电压不得超过500V。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17、电极板温度：38～55℃，6档可调，允差±3℃。加热功能可单独开启及关闭。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18、离子导入输出直流电流：在500Ω的负载下，每路输出电流不超过50mA，分0～99级可调。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19、治疗时间内置于处方中，治疗结束有声音提示。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B59A">
            <w:pPr>
              <w:jc w:val="center"/>
              <w:rPr>
                <w:rFonts w:hint="eastAsia" w:ascii="宋体" w:hAnsi="宋体" w:eastAsia="宋体" w:cs="宋体"/>
                <w:i w:val="0"/>
                <w:iCs w:val="0"/>
                <w:color w:val="000000"/>
                <w:sz w:val="22"/>
                <w:szCs w:val="22"/>
                <w:u w:val="none"/>
              </w:rPr>
            </w:pPr>
          </w:p>
        </w:tc>
      </w:tr>
      <w:tr w14:paraId="1150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6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17E69">
            <w:pPr>
              <w:jc w:val="center"/>
              <w:rPr>
                <w:rFonts w:hint="eastAsia" w:ascii="宋体" w:hAnsi="宋体" w:eastAsia="宋体" w:cs="宋体"/>
                <w:i w:val="0"/>
                <w:iCs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3830">
            <w:pPr>
              <w:jc w:val="center"/>
              <w:rPr>
                <w:rFonts w:hint="eastAsia" w:ascii="宋体" w:hAnsi="宋体" w:eastAsia="宋体" w:cs="宋体"/>
                <w:i w:val="0"/>
                <w:iCs w:val="0"/>
                <w:color w:val="000000"/>
                <w:sz w:val="22"/>
                <w:szCs w:val="22"/>
                <w:u w:val="none"/>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1、额定输入功率：35VA。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2、外形尺寸（长宽高）：360×340×200mm。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3、操作显示：触控操作，数码显示。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4、输出通道：三通道脉冲输出（每个通道分两路输出）。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5、输出波形：双向不对称方波。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6、单个脉冲能量：不超过300mJ。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7、治疗模式：完全失神经、部分失神经两种。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8、完全失神经：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8.1、输出脉冲频率：500Hz，调制波频率0.5Hz～10Hz，步进为0.5Hz，允差±15%。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8.2、脉冲宽度：由5个1ms组成，调制波宽度10ms，允差±30%。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9、部分失神经：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9.1、输出脉冲频率：0.5Hz～10Hz，步进为0.5Hz，允差±15%。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9.2、脉冲宽度：10ms，允差±30%。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10、刺激仪在500Ω的负载电阻下，幅值最大50V，允差±15%。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highlight w:val="none"/>
                <w:u w:val="none"/>
                <w:lang w:val="en-US" w:eastAsia="zh-CN" w:bidi="ar"/>
              </w:rPr>
              <w:t>、治疗时间：0～99min可调，允差±10%，治疗时间结束有蜂鸣器提示声，输出停止。</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13B7">
            <w:pPr>
              <w:jc w:val="center"/>
              <w:rPr>
                <w:rFonts w:hint="eastAsia" w:ascii="宋体" w:hAnsi="宋体" w:eastAsia="宋体" w:cs="宋体"/>
                <w:i w:val="0"/>
                <w:iCs w:val="0"/>
                <w:color w:val="000000"/>
                <w:sz w:val="22"/>
                <w:szCs w:val="22"/>
                <w:u w:val="none"/>
              </w:rPr>
            </w:pPr>
          </w:p>
        </w:tc>
      </w:tr>
      <w:tr w14:paraId="416C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C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BC3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E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EA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1、额定输入功率：700VA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a)分20W、40W、60W、100W、200W五档可调，允差±20%（20W适用于急性期、40W-100W用于慢性期的治疗，200W的用于辅助肿瘤治疗）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b)输出功率的稳定性：治疗仪连续工作30min，输出功率变化不大于±10%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3、治疗时间：分10min、15min、20min、25min、30min五档可调，各档允差±5%，预热时间≤120s.治疗结束后有蜂鸣声提示治疗结束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4、外形尺寸：长mm×宽mm×高mm =430mm*330mm*830mm，允差±15％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5、工作频率：27.12MHz,允差±1.5％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6、输出线长度：1100mm，允差±10％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7、脉冲模式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 脉冲调制频率：疏波MF 70Hz，密波DF 350Hz，允差±10%；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 调制波形：方波；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 调制脉冲脉宽：疏波2.0ms，密波1.8ms，允差±20%；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 调制度：100%。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8、机器配带三种方型硅胶电极板：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4个电子管，大中小电极板各一对，大中小毡垫各一对，大中小布套各一对；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9、智能化管理系统，治疗结束后有声音提示并断开输出；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10、治疗模式分为连续和脉冲两种，满足不同治疗需求；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11、指示灯条指示输出强度</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2516">
            <w:pPr>
              <w:jc w:val="center"/>
              <w:rPr>
                <w:rFonts w:hint="eastAsia" w:ascii="宋体" w:hAnsi="宋体" w:eastAsia="宋体" w:cs="宋体"/>
                <w:i w:val="0"/>
                <w:iCs w:val="0"/>
                <w:color w:val="000000"/>
                <w:sz w:val="22"/>
                <w:szCs w:val="22"/>
                <w:u w:val="none"/>
              </w:rPr>
            </w:pPr>
          </w:p>
        </w:tc>
      </w:tr>
      <w:tr w14:paraId="71B6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EAB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3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4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1、额定输入功率：35VA。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2、外形尺寸（长宽高）：360×340×200mm。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3、操作显示：触控操作，数码显示。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4、输出通道：三通道脉冲输出（每个通道分两路输出）。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5、输出波形：双向不对称方波。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6、单个脉冲能量：不超过300mJ。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7、治疗模式：完全失神经、部分失神经两种。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8、完全失神经：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8.1、输出脉冲频率：500Hz，调制波频率0.5Hz～10Hz，步进为0.5Hz，允差±15%。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8.2、脉冲宽度：由5个1ms组成，调制波宽度10ms，允差±30%。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9、部分失神经：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9.1、输出脉冲频率：0.5Hz～10Hz，步进为0.5Hz，允差±15%。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9.2、脉冲宽度：10ms，允差±30%。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10、刺激仪在500Ω的负载电阻下，幅值最大50V，允差±15%。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11、治疗时间：0～99min可调，允差±10%，治疗时间</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1CD3">
            <w:pPr>
              <w:jc w:val="center"/>
              <w:rPr>
                <w:rFonts w:hint="eastAsia" w:ascii="宋体" w:hAnsi="宋体" w:eastAsia="宋体" w:cs="宋体"/>
                <w:i w:val="0"/>
                <w:iCs w:val="0"/>
                <w:color w:val="000000"/>
                <w:sz w:val="22"/>
                <w:szCs w:val="22"/>
                <w:u w:val="none"/>
              </w:rPr>
            </w:pPr>
          </w:p>
        </w:tc>
      </w:tr>
      <w:tr w14:paraId="692CF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9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BD69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2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推拿治疗床</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1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1、尺寸：长×宽×高（mm）：2000×620×660，允差±3%。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2、人性化设计具有肩孔、扶手和放手机平板平台。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3、方便医生针对病患进行针灸、推拿康复使用。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4、配有患者呼吸孔。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5、诊疗床最大承载重量：200kg,允差±10kg。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6、具有多体位医用诊疗床第一类医疗器械备案凭证。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产品优势：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1、人性化设计的按摩治疗设备。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2、增加手机（平板电脑）支撑垫，方便患者在治疗过程中享受操作智能产品的乐趣。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3、方便医生针对患者进行PT、评定、针灸、推拿、小针刀以及其他各种微创手术辅助应用。</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6941">
            <w:pPr>
              <w:jc w:val="center"/>
              <w:rPr>
                <w:rFonts w:hint="eastAsia" w:ascii="宋体" w:hAnsi="宋体" w:eastAsia="宋体" w:cs="宋体"/>
                <w:i w:val="0"/>
                <w:iCs w:val="0"/>
                <w:color w:val="000000"/>
                <w:sz w:val="22"/>
                <w:szCs w:val="22"/>
                <w:u w:val="none"/>
              </w:rPr>
            </w:pPr>
          </w:p>
        </w:tc>
      </w:tr>
      <w:tr w14:paraId="4016D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4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0FCDB">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F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康复训练用平行杠</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D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规格(mm)：3500×1160×780~1250，矫正板坡度15°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杠杆直径(mm)： Φ38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杠杆宽度调节范围（mm）： 340～600  允差：±20mm.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额定载荷(kg)： 135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矫正板坡度： 15°</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5348">
            <w:pPr>
              <w:jc w:val="center"/>
              <w:rPr>
                <w:rFonts w:hint="eastAsia" w:ascii="宋体" w:hAnsi="宋体" w:eastAsia="宋体" w:cs="宋体"/>
                <w:i w:val="0"/>
                <w:iCs w:val="0"/>
                <w:color w:val="000000"/>
                <w:sz w:val="22"/>
                <w:szCs w:val="22"/>
                <w:u w:val="none"/>
              </w:rPr>
            </w:pPr>
          </w:p>
        </w:tc>
      </w:tr>
      <w:tr w14:paraId="20E1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16E0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9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康复训练用阶梯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1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规格(mm)：600×330~1200×400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用途：除可作为不同高度坐具外，亦可当简易的训练阶梯使用。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阶梯差100mm规格(mm)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00FD">
            <w:pPr>
              <w:jc w:val="center"/>
              <w:rPr>
                <w:rFonts w:hint="eastAsia" w:ascii="宋体" w:hAnsi="宋体" w:eastAsia="宋体" w:cs="宋体"/>
                <w:i w:val="0"/>
                <w:iCs w:val="0"/>
                <w:color w:val="000000"/>
                <w:sz w:val="22"/>
                <w:szCs w:val="22"/>
                <w:u w:val="none"/>
              </w:rPr>
            </w:pPr>
          </w:p>
        </w:tc>
      </w:tr>
      <w:tr w14:paraId="255F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B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3595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B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康复训练床</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A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规格(mm)：1910×1240×490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床面尺寸(长×宽)mm：1910×1240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额定载荷：135.0kg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用途：用于PT训练患者床上活动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FD07">
            <w:pPr>
              <w:jc w:val="center"/>
              <w:rPr>
                <w:rFonts w:hint="eastAsia" w:ascii="宋体" w:hAnsi="宋体" w:eastAsia="宋体" w:cs="宋体"/>
                <w:i w:val="0"/>
                <w:iCs w:val="0"/>
                <w:color w:val="000000"/>
                <w:sz w:val="22"/>
                <w:szCs w:val="22"/>
                <w:u w:val="none"/>
              </w:rPr>
            </w:pPr>
          </w:p>
        </w:tc>
      </w:tr>
      <w:tr w14:paraId="7B0D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F093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A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中医药品柜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①尺寸:宽 1.5 米，高 2.15 米，宽 0.6 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②规格:横六竖八抽屉，小抽屉一屉三味，最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后一排三个大抽屉，一屉两味，一个药柜装 132味药材。</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FEF4">
            <w:pPr>
              <w:jc w:val="center"/>
              <w:rPr>
                <w:rFonts w:hint="eastAsia" w:ascii="宋体" w:hAnsi="宋体" w:eastAsia="宋体" w:cs="宋体"/>
                <w:i w:val="0"/>
                <w:iCs w:val="0"/>
                <w:color w:val="000000"/>
                <w:sz w:val="22"/>
                <w:szCs w:val="22"/>
                <w:u w:val="none"/>
              </w:rPr>
            </w:pPr>
          </w:p>
        </w:tc>
      </w:tr>
      <w:tr w14:paraId="0B0F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8249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6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中药全身熏洗设备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4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1.电源电压：交流电压220V，频率50Hz。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2.额定输入功率：1500W。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3.床体尺寸：长2010mm，宽720mm，高1070mm，允差±10%。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4.操作台尺寸：长460mm，宽370mm，高860mm，允差±10%。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5.治疗机温度：可在1～99℃范围设定，室温～45℃为熏蒸温度，步进1℃，允差为±5℃，46～99℃为煎药温度。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6.治疗机治疗时间控制：治疗总时间可在1～99min内设定，允差±30s，治疗时间达到设定时间时，有蜂鸣提示音，加热装置自动断电。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7.最大加液量：5L。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8.中药药液雾化功能：单区雾化量大于40mL/h。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9.运行模式：连续运行。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10.自动控温：出汽口处水蒸汽温度达到设定值时，加热管自动断电，使水温降低，水蒸汽温度低于设定值时，加热管自动加热，使水温升高。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11.熏蒸加热区为三区，加热方式为厚膜管状加热器，上水方式为自动。三温区温度独立控制调节，同时使用三温区熏蒸时，可根据不同熏蒸部位针对温度耐受不同而设置不同的温度，使熏蒸时更加舒适有效。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双重超温保护功能：治疗机超过工作温度设定值时，第一路保护装置应启动，停止加热。当温度降低到设定值以下后可以恢复加热。如果第一路保护装置失效造成患者皮肤温度升高至50℃时，第二路保护装置应立即启动，切断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13.熏蒸面积：1530mm*340mm，根据人体工程学，11块熏蒸垫可任意组合；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14.自动吹送蒸汽，可均匀中药蒸汽温度，确保湿度恒定；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15.独特的多风道设计，确保每区熏蒸温度恒定、舒适；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16.治疗机防干烧装置：当药液加热器无液体时，不能加热，并有提示信息。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17.独立的操作控制台，机电分离式设计，单独停止加热按钮。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18.臭氧消毒功能：a.开启臭氧消毒功能10min，臭氧浓度应不低于40mg/m³；b.正常工作是臭氧气体外泄露量应不大于0.16mg/m³。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19.亚克力材质全身式熏蒸罩；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20.蒸汽凝水回收床体内干爽；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21.亚克力床体，耐腐蚀，蒸汽部分采用食品级材料；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22.中药药液雾化功能，使蒸汽携药能力大大增强，真正充分发挥温度、药度、湿度、中药离子渗疗的熏蒸治疗效果；</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3A96">
            <w:pPr>
              <w:jc w:val="center"/>
              <w:rPr>
                <w:rFonts w:hint="eastAsia" w:ascii="宋体" w:hAnsi="宋体" w:eastAsia="宋体" w:cs="宋体"/>
                <w:i w:val="0"/>
                <w:iCs w:val="0"/>
                <w:color w:val="000000"/>
                <w:sz w:val="22"/>
                <w:szCs w:val="22"/>
                <w:u w:val="none"/>
              </w:rPr>
            </w:pPr>
          </w:p>
        </w:tc>
      </w:tr>
      <w:tr w14:paraId="0E4E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A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7550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6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康复姿势镜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8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规格(mm)：850×670×1910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镜面玻璃厚度：5mm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用途：各种姿势矫正训练</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5736">
            <w:pPr>
              <w:jc w:val="center"/>
              <w:rPr>
                <w:rFonts w:hint="eastAsia" w:ascii="宋体" w:hAnsi="宋体" w:eastAsia="宋体" w:cs="宋体"/>
                <w:i w:val="0"/>
                <w:iCs w:val="0"/>
                <w:color w:val="000000"/>
                <w:sz w:val="22"/>
                <w:szCs w:val="22"/>
                <w:u w:val="none"/>
              </w:rPr>
            </w:pPr>
          </w:p>
        </w:tc>
      </w:tr>
      <w:tr w14:paraId="606B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C145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3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D4959C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6D7C6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帕雪雅治疗设备</w:t>
            </w:r>
          </w:p>
        </w:tc>
        <w:tc>
          <w:tcPr>
            <w:tcW w:w="6218" w:type="dxa"/>
            <w:tcBorders>
              <w:top w:val="single" w:color="000000" w:sz="4" w:space="0"/>
              <w:left w:val="single" w:color="000000" w:sz="4" w:space="0"/>
              <w:bottom w:val="single" w:color="auto" w:sz="4" w:space="0"/>
              <w:right w:val="single" w:color="000000" w:sz="4" w:space="0"/>
            </w:tcBorders>
            <w:shd w:val="clear" w:color="auto" w:fill="auto"/>
            <w:vAlign w:val="center"/>
          </w:tcPr>
          <w:p w14:paraId="26DFB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1.电动升降、轻松收纳。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2.分区按摩、实现脚掌到脚跟全覆盖。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3.智能恒温感知系统、精准控温。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4.DPS隔电墙，热的更快、更安全。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5.APP远程操作、预约加热无需等待。</w:t>
            </w:r>
          </w:p>
        </w:tc>
        <w:tc>
          <w:tcPr>
            <w:tcW w:w="6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CE8B3F">
            <w:pPr>
              <w:jc w:val="center"/>
              <w:rPr>
                <w:rFonts w:hint="eastAsia" w:ascii="宋体" w:hAnsi="宋体" w:eastAsia="宋体" w:cs="宋体"/>
                <w:i w:val="0"/>
                <w:iCs w:val="0"/>
                <w:color w:val="000000"/>
                <w:sz w:val="22"/>
                <w:szCs w:val="22"/>
                <w:u w:val="none"/>
              </w:rPr>
            </w:pPr>
          </w:p>
        </w:tc>
      </w:tr>
      <w:tr w14:paraId="5714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4B819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AEB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70A34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阴道镜</w:t>
            </w:r>
          </w:p>
        </w:tc>
        <w:tc>
          <w:tcPr>
            <w:tcW w:w="6218" w:type="dxa"/>
            <w:tcBorders>
              <w:top w:val="single" w:color="auto" w:sz="4" w:space="0"/>
              <w:left w:val="single" w:color="auto" w:sz="4" w:space="0"/>
              <w:bottom w:val="single" w:color="auto" w:sz="4" w:space="0"/>
              <w:right w:val="single" w:color="auto" w:sz="4" w:space="0"/>
            </w:tcBorders>
            <w:shd w:val="clear" w:color="auto" w:fill="auto"/>
            <w:vAlign w:val="center"/>
          </w:tcPr>
          <w:p w14:paraId="06E6FC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一、电子镜头主体                                                                                                         1、一体化自动聚焦镜头 300mm-450mm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2、数码彩色CCD ★1/4″Super HAD彩色CCD，系统分辨率800线以上。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3、影像放大倍数 ★30倍光学放大，十倍数码放大。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4、影像输出格式 复合Video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★5、环型长寿命多点LED光源组 ★300mm处≥1000Lux(白光/绿光), 光源可调节强度,寿命≥10万小时.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6、视频输出信噪比i ≤52db(正常模式52db,最低48db)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7、子快门速度  1/50-1/10000秒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8、日本索尼技术AF/MF自动或手动聚焦控制，独立的放大/缩小开关镜头按键及遥控双重调节功能光源亮度逐级可调。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二、图像监视部分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1、22寸液晶显示器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2、分辨率1336*768 平面静像，逐行扫描，对比反差极强。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三、图像工作站                                                        </w:t>
            </w:r>
          </w:p>
          <w:p w14:paraId="3749B6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主板 、CPU、4GB内存 、120G固态硬盘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四、图像采集卡                                                    </w:t>
            </w:r>
          </w:p>
          <w:p w14:paraId="0CC54B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FLYVIDEO 878 1336*768采集模式 逐行采集，图像亮度动态对比度可调。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五、图文出片机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HP彩色喷墨 600x600dpi  A4幅面（可调） 每分钟14页出纸超微粒打印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六、系统软件 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1、支持动态实时录像，实时回放检查过程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2、伪彩显示，便于观察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3、自定义选择采图区域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4、可自定义设置醋酸计时自动采图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5、RCI评分功能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6、图像处理与对比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7、病人随访管理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8、多种图像处理模式，实时全屏影像显示，键控影像无级缩放，专用阴道镜血管分布增强显影模块，模块化诊断报告词典，中文报告图形输出、完善的病历查询模块。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9、一体化设计圆台车，外型美观。</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E5667">
            <w:pPr>
              <w:jc w:val="center"/>
              <w:rPr>
                <w:rFonts w:hint="eastAsia" w:ascii="宋体" w:hAnsi="宋体" w:eastAsia="宋体" w:cs="宋体"/>
                <w:i w:val="0"/>
                <w:iCs w:val="0"/>
                <w:color w:val="000000"/>
                <w:sz w:val="22"/>
                <w:szCs w:val="22"/>
                <w:u w:val="none"/>
              </w:rPr>
            </w:pPr>
          </w:p>
        </w:tc>
      </w:tr>
      <w:tr w14:paraId="4EE2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3" w:hRule="atLeast"/>
        </w:trPr>
        <w:tc>
          <w:tcPr>
            <w:tcW w:w="491" w:type="dxa"/>
            <w:tcBorders>
              <w:top w:val="single" w:color="auto" w:sz="4" w:space="0"/>
              <w:left w:val="single" w:color="000000" w:sz="4" w:space="0"/>
              <w:bottom w:val="single" w:color="000000" w:sz="4" w:space="0"/>
              <w:right w:val="single" w:color="000000" w:sz="4" w:space="0"/>
            </w:tcBorders>
            <w:shd w:val="clear" w:color="auto" w:fill="auto"/>
            <w:vAlign w:val="center"/>
          </w:tcPr>
          <w:p w14:paraId="7ED05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3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087509F">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2CB92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妇科手术/检查台</w:t>
            </w:r>
          </w:p>
        </w:tc>
        <w:tc>
          <w:tcPr>
            <w:tcW w:w="6218" w:type="dxa"/>
            <w:tcBorders>
              <w:top w:val="single" w:color="auto" w:sz="4" w:space="0"/>
              <w:left w:val="single" w:color="000000" w:sz="4" w:space="0"/>
              <w:bottom w:val="single" w:color="000000" w:sz="4" w:space="0"/>
              <w:right w:val="single" w:color="000000" w:sz="4" w:space="0"/>
            </w:tcBorders>
            <w:shd w:val="clear" w:color="auto" w:fill="auto"/>
            <w:vAlign w:val="center"/>
          </w:tcPr>
          <w:p w14:paraId="73739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一、性能说明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电动检查床是为方便妇科临床检查而设计，采用低压直流电机驱动，性能安全稳定可靠。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床架采用优质碳钢烤漆。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床垫为无缝发泡垫，外形美观，易清洁，抗菌，耐冲击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尺寸：1450×600×580mm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升降行程：≥420mm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背板上折：≥70°，背板下折：≥20°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臀板上折：≥40°，臀板下折：≥0°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主床 1 张； 托腿架 2 个（附垫）； 拉手 2 个；脚踏开关 1 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污水盆 1 个（不锈钢）</w:t>
            </w:r>
          </w:p>
        </w:tc>
        <w:tc>
          <w:tcPr>
            <w:tcW w:w="65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A26A24">
            <w:pPr>
              <w:jc w:val="center"/>
              <w:rPr>
                <w:rFonts w:hint="eastAsia" w:ascii="宋体" w:hAnsi="宋体" w:eastAsia="宋体" w:cs="宋体"/>
                <w:i w:val="0"/>
                <w:iCs w:val="0"/>
                <w:color w:val="000000"/>
                <w:sz w:val="22"/>
                <w:szCs w:val="22"/>
                <w:u w:val="none"/>
              </w:rPr>
            </w:pPr>
          </w:p>
        </w:tc>
      </w:tr>
      <w:tr w14:paraId="384F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5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0FCB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9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胎心监护仪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B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1．胎心仪技术指标：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1.1检测参数：胎心率（FHR）；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1.2一体式机身设计，整机不到180g，一手掌握，简洁时尚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1.3高灵敏度超声探头，可检测10周小孕周胎儿心率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1.4采用单片机脉冲波技术，检测面积大，检测角度要求小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1.5屏幕可显示胎心率数值、胎心信号质量、音量等级、电池电量、胎心闪烁图标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1.6触摸式开关机键和音量调节键，操作方便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1.7超声工作频率：3MHz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1.8超声输出强度：Iob&lt;10mW/cm2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1.9胎心率检测范围  50-240bpm，心率检测精度：±2bpm；分辨率：1bpm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1.10在探头表面200mm的距离处，灵敏度≥110db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1.11IP22防水防尘等级，易于清洁；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1.12采用两节5号碱性电池供电，使用时间≥6小时；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1.13无信号无任何操作机器2分钟后自动关机。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CBB6">
            <w:pPr>
              <w:jc w:val="center"/>
              <w:rPr>
                <w:rFonts w:hint="eastAsia" w:ascii="宋体" w:hAnsi="宋体" w:eastAsia="宋体" w:cs="宋体"/>
                <w:i w:val="0"/>
                <w:iCs w:val="0"/>
                <w:color w:val="000000"/>
                <w:sz w:val="22"/>
                <w:szCs w:val="22"/>
                <w:u w:val="none"/>
              </w:rPr>
            </w:pPr>
          </w:p>
        </w:tc>
      </w:tr>
      <w:tr w14:paraId="5EB8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0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FF00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1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上取环器械</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C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子宫探针：30.5cm 柔性 Φ2.5mm，亚光无镀层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子宫颈钳：25.0cm TEALE 3x4齿弯，亚光无镀层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阴道扩张器：中式 90x32mm 手术型固定式，亚光无镀层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阴道扩张器：中式 100x30mm 检查型可调式，亚光无镀层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止血钳：24.0cm CRILE-RANKIN 弯无钩，亚光无镀层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放环叉：280mm 中式，亚光无镀层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取环钳：22.0cm 弯头 RANDALL，亚光无镀层</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0E07">
            <w:pPr>
              <w:jc w:val="center"/>
              <w:rPr>
                <w:rFonts w:hint="eastAsia" w:ascii="宋体" w:hAnsi="宋体" w:eastAsia="宋体" w:cs="宋体"/>
                <w:i w:val="0"/>
                <w:iCs w:val="0"/>
                <w:color w:val="000000"/>
                <w:sz w:val="22"/>
                <w:szCs w:val="22"/>
                <w:u w:val="none"/>
              </w:rPr>
            </w:pPr>
          </w:p>
        </w:tc>
      </w:tr>
      <w:tr w14:paraId="0A61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4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219B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0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盆底肌肉训练设备(盆底康复治疗仪)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E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1.★单屏触控操作，快捷高效。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2.设备治疗通道数量≥4个，其中，电刺激和生物反馈同步治疗通道数量≥4个，独立的治疗通道，可独立或同步调节刺激强度，可同时多部位或多患者同时治疗，互不干扰。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3.盆底、产康功能完全独立，使用效率更高。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电刺激性能参数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4.★脉冲频率：1～2500Hz，1Hz步进。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5.脉冲宽度：50～2000μs，50μs步进。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6.输出强度：0～100mA,(负载为500Ω) 1mA步进。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7.★刺激波形：基础波形至少包含单面波、双面平衡波、交互波。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8.电流稳定度：不同负载下的输出电流变化率应不大于10%。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肌电性能参数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9.EMG测量范围：1.0～2000.0μV（r.m.s）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10.AD采样率≥10000Hz。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11.采样位数16位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12.分辨率≤0.1μV。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13.输入噪音≤1μV。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14.通频带宽20Hz-500Hz。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15.差模输入阻抗≥10MΩ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16.共模抑制比&gt;100dB。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17.反馈阈值准确度：在中心频率点测量时误差不大于标称值的±2uV或±10%。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压力评估及训练组件(选配)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18.测量范围0～120mmHg。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19.测量分辨率为1mmHg。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具有国际通用标准的盆底肌1分钟、3分钟快速筛查；控尿评估。评估报告内容包含前静息期肌电值、变异系数、快肌肌力、上升时间、下降时间、快慢肌协调性、慢肌肌耐力、后静息期肌电值、参考值、盆底肌肌电图、腹肌肌电图以及评估报告解读等。评估过程可回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21.具有压力评估训练模式：使用可多次使用的充气型压力探头对盆底功能进行评估，生物反馈凯格尔Kegel训练。（选配）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22.可根据测评报告自动推荐治疗疗程建议，或手动选择疗程、快速方案进行治疗。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23.★治疗模式包含：循环电刺激、触发电刺激、刺激反馈、生物反馈、场景动画生物反馈。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治疗方案包含常规产后康复（如催乳、乳腺疏通、子宫复旧、产后镇痛、腹直肌恢复等不限于此）；盆底康复（如尿失禁、盆腔器官脱垂、尿潴留、盆底肌放松、盆底肌肌力提升、性功能障碍等不限于此）常规生殖康复（性激素水平下降、外阴萎缩、卵巢保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25.系统内置治疗方案超过120种以上，包含电刺激、触发电刺激、生物反馈、刺激反馈、场景生物反馈。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26.具有针对各种临床病症需要的场景动画生物反馈训练方案，肌电值根据运动方式实时显示，训练效果通过评分判断，训练效果更直观。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27.用户可自定义治疗方案，包含电刺激参数（上升下降时间、刺激时间、刺激波形、刺激频率、刺激脉宽、延长时间、刺激阈值等）、生物反馈凯格尔Kegel训练模板、生物反馈模板语音。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28.治疗方案可根据临床需要自行组合（电刺激+触发电刺激+生物反馈+场景动画），每阶段时间可根据临床及治疗师诊断需要自由设置工作时间。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29.肌电触发电刺激阈值可选择：触发自动阈值、触发手动阈值，同时可设置阈值上刺激、阈值下刺激模式。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30.评估训练实时腹肌监测与异常动作提示报警功能（包含电极脱落提示），提高患者训练治疗准确度和依从度。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31.具有四种以上多媒体场景训练动画模板。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32.预置多媒体场景动画治疗方案≥16个，提高治疗过程趣味性与依从性.患者可直观看到张力下降、肌力提升的肌电值，同时具有训练得分，患者可对康复治疗进行自主评估。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33.动态参数调整：治疗中动态调节电刺激输出频率和脉宽。增加患者的治疗精准度与适应性。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34.所有治疗方案提供电极和传感器部位示意图，确保操作准确性。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35.具有数据统计汇总管理功能：可根据日期、临床医生、治疗师对新增人数，评估筛查数量、治疗数量进行统计、汇总，形成数据汇总。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36.具有盆底功能障碍评估系统（门诊病例、尿失禁病例、器官脱垂性学病例、治疗室检查病例、排尿日记、疗程管理）等常用评估记录量表。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37.★具有使用附件及材料是否配套和适用识别功能，可对设备使用耗材进行验证识别，保证其适用性和安全性。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38.支持通过USB进行数据导入导出功能（包含但不限于评估记录、治疗方案、统计数据）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39.无线网络共享模块，可实现多台盆底评估治疗系统数据互联互通，包含患者信息、筛查评估报告、评估数据、治疗方案、治疗档案的数据同步共享。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40.可与盆底云管理系统、盆底医联体管理系统、患者预约系统APP 无缝连接（此功能选配）。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41.压力评估训练模式：采用充气型压力探头对盆底功能进行评估，独立的压力评估报告单，压力生物反馈凯格尔Kegel训练。（可选配）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42.整机一体化结构，显示器可180°度旋转，方便医患双方观看显示屏幕。</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9006">
            <w:pPr>
              <w:jc w:val="center"/>
              <w:rPr>
                <w:rFonts w:hint="eastAsia" w:ascii="宋体" w:hAnsi="宋体" w:eastAsia="宋体" w:cs="宋体"/>
                <w:i w:val="0"/>
                <w:iCs w:val="0"/>
                <w:color w:val="000000"/>
                <w:sz w:val="22"/>
                <w:szCs w:val="22"/>
                <w:u w:val="none"/>
              </w:rPr>
            </w:pPr>
          </w:p>
        </w:tc>
      </w:tr>
      <w:tr w14:paraId="7332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E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802B2">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BC3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盆底肌肉训练设备(配套耗材盆底肌肉康复器)</w:t>
            </w:r>
          </w:p>
        </w:tc>
        <w:tc>
          <w:tcPr>
            <w:tcW w:w="6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1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型号：A:23g、B：33g、C：45g、D：50g、E：66g，每盒各一个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7EFC">
            <w:pPr>
              <w:jc w:val="center"/>
              <w:rPr>
                <w:rFonts w:hint="eastAsia" w:ascii="宋体" w:hAnsi="宋体" w:eastAsia="宋体" w:cs="宋体"/>
                <w:i w:val="0"/>
                <w:iCs w:val="0"/>
                <w:color w:val="000000"/>
                <w:sz w:val="22"/>
                <w:szCs w:val="22"/>
                <w:u w:val="none"/>
              </w:rPr>
            </w:pPr>
          </w:p>
        </w:tc>
      </w:tr>
      <w:tr w14:paraId="0257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311F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3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81F08B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13933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经皮黄疸仪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E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1、光源：采用氙闪光灯，氙闪光灯的发光光谱曲线和太阳光接近，含有更多的绿色和蓝色成分，测量更精准；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2、开机首次按压功能键后，可连续测试，操作方便；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3、具有紫外截止滤光片有效过滤掉紫外线，减少紫外线对患儿辐射；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4、检测方式：光反射式，蓝色光波(450nm)、绿色光波(550nm)比较。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5、显示方法：LCD显示屏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6、3位数字显示，直接读取测试结果，显示更为准确、直观；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7、液晶显示屏带背光，方便夜间使用；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8、两种单位显示mg/dl、μmol/l，可根据需要切换单位，无需对照换算表格；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9、自动计算2-5次平均值，测量值和平均值同时显示；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10、可删除粗大误差数据；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11、电池采用镍氢电池，充一次电可使用800多次，省电更省心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12、仪器5分钟无操作自动关机。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13、示值误差：00～15±1mg/dL、16～25±1.5mg/dL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14、精密度：RSD＜2%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15、电源：7号1.2V镍氢充电电池4节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16、净重：约157g（含电池组）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17、尺寸(mm)：175（长）×68（宽）×26（厚）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18、校验盘：对白色屏显示00.0mg/dl或00.1mg/dl，对黄色屏显示20.0±0.5mg/dl</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7DF9">
            <w:pPr>
              <w:jc w:val="center"/>
              <w:rPr>
                <w:rFonts w:hint="eastAsia" w:ascii="宋体" w:hAnsi="宋体" w:eastAsia="宋体" w:cs="宋体"/>
                <w:i w:val="0"/>
                <w:iCs w:val="0"/>
                <w:color w:val="000000"/>
                <w:sz w:val="22"/>
                <w:szCs w:val="22"/>
                <w:u w:val="none"/>
              </w:rPr>
            </w:pPr>
          </w:p>
        </w:tc>
      </w:tr>
      <w:tr w14:paraId="13D8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12426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4BE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全科医疗科</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48FDD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6218" w:type="dxa"/>
            <w:tcBorders>
              <w:top w:val="single" w:color="000000" w:sz="4" w:space="0"/>
              <w:left w:val="single" w:color="auto" w:sz="4" w:space="0"/>
              <w:bottom w:val="single" w:color="000000" w:sz="4" w:space="0"/>
              <w:right w:val="single" w:color="000000" w:sz="4" w:space="0"/>
            </w:tcBorders>
            <w:shd w:val="clear" w:color="auto" w:fill="auto"/>
            <w:vAlign w:val="center"/>
          </w:tcPr>
          <w:p w14:paraId="5AF5C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测量患者呼出或吸入的气体流量及容量，根据容积-时间曲线和流量-容积曲线，分析得出人体呼吸生理的肺通气指标,便携式设计。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检测显示参数包含：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用力肺活量：FVC、FEV1、FEV3、FEV6、V backextrapol. ex、PEF、FEF25%、FEF50%、FEF75%、 FEF25%-75%（MMEF）、FEV1/FVC、FEV1/VC、V backextrapol.ex% FVC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慢肺活量：VC、IC、VT、IRV、ERV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最大分钟通气量：MVV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流量传感器：筛网式压差传感器；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流量测量范围：(0～14)L/s；流量精确范围：±10%或0.17 L/s，取其大者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容量测量范围：(0～8)L；容量精确范围：±3%或者±0.05L，取其大者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气流阻力：流量测量范围内小于0.35Kpa/(L/s)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频率响应：应不超过±12%或者±0.25 L/s，取其大者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定标：可配合定标筒进行标准定标及验证和3流量定标及验证；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软件功能：用力肺活量测试程序，包括：流量-容积曲线展示、容积-时间曲线展示，用力肺活量展示参数。根据报告样式模板预览报告、生成报告、打印报告。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操作：肺功能检查对象信息收集及管理模块：可录入检查对象基本信息、症状、危险因素、呼吸系统疾病史、身体测量结果、禁忌症、及定期的慢阻肺高危人群及患者的随访管理等信息；随访问卷模块：CAT、mMRC、COPD-SQ等问卷配置；账号管理及设置模块：账号及密码管理，账户基本信息配置，版本升级、设备管理、预计值选择、数据同步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云端数据平台：项目管理功能、质控管理功能、信息管理功能、报告管理模块、数据导出功能、数据共享、数据安全及平台可扩展功能。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系统连接：配备肺功能检查系统软件，数据及图像输出可通过USB、蓝牙方式传输。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数据传输：可通过数据传输模块将测量数据同步到云端，让医生实现远程查看测量结果；也可以导出Excel格式的历史检查数据。</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C91D">
            <w:pPr>
              <w:jc w:val="center"/>
              <w:rPr>
                <w:rFonts w:hint="eastAsia" w:ascii="宋体" w:hAnsi="宋体" w:eastAsia="宋体" w:cs="宋体"/>
                <w:i w:val="0"/>
                <w:iCs w:val="0"/>
                <w:color w:val="000000"/>
                <w:sz w:val="22"/>
                <w:szCs w:val="22"/>
                <w:u w:val="none"/>
              </w:rPr>
            </w:pPr>
          </w:p>
        </w:tc>
      </w:tr>
      <w:tr w14:paraId="30AD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7AF53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EFE42">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0585C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雾化泵</w:t>
            </w:r>
          </w:p>
        </w:tc>
        <w:tc>
          <w:tcPr>
            <w:tcW w:w="6218" w:type="dxa"/>
            <w:tcBorders>
              <w:top w:val="single" w:color="000000" w:sz="4" w:space="0"/>
              <w:left w:val="single" w:color="auto" w:sz="4" w:space="0"/>
              <w:bottom w:val="single" w:color="000000" w:sz="4" w:space="0"/>
              <w:right w:val="single" w:color="000000" w:sz="4" w:space="0"/>
            </w:tcBorders>
            <w:shd w:val="clear" w:color="auto" w:fill="auto"/>
            <w:vAlign w:val="center"/>
          </w:tcPr>
          <w:p w14:paraId="568D5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1、电 源:AC 220v(交流)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2、雾化率:≥0.6ml/min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3、空载压力:≥0.25MPa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4、自由流量:≥8.0L/min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5、残留量:&lt;0.4ml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6、雾化颗粒:中位粒径3.0um，1-5um占比≥80%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7、噪音:≤65dB(A权计)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8、尺寸:主机(长*宽*高)=194*184*106mm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9、不锈钢气嘴设计，结实耐用。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10、专业气泵，温升低，更安全。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11、内置消音器，低噪音，低振动。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12、机体外观融合人体工程学设计，方便移动。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AB67">
            <w:pPr>
              <w:jc w:val="center"/>
              <w:rPr>
                <w:rFonts w:hint="eastAsia" w:ascii="宋体" w:hAnsi="宋体" w:eastAsia="宋体" w:cs="宋体"/>
                <w:i w:val="0"/>
                <w:iCs w:val="0"/>
                <w:color w:val="000000"/>
                <w:sz w:val="22"/>
                <w:szCs w:val="22"/>
                <w:u w:val="none"/>
              </w:rPr>
            </w:pPr>
          </w:p>
        </w:tc>
      </w:tr>
      <w:tr w14:paraId="6C3E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7" w:hRule="atLeast"/>
        </w:trPr>
        <w:tc>
          <w:tcPr>
            <w:tcW w:w="491" w:type="dxa"/>
            <w:tcBorders>
              <w:top w:val="single" w:color="auto" w:sz="4" w:space="0"/>
              <w:left w:val="single" w:color="000000" w:sz="4" w:space="0"/>
              <w:bottom w:val="single" w:color="000000" w:sz="4" w:space="0"/>
              <w:right w:val="single" w:color="000000" w:sz="4" w:space="0"/>
            </w:tcBorders>
            <w:shd w:val="clear" w:color="auto" w:fill="auto"/>
            <w:vAlign w:val="center"/>
          </w:tcPr>
          <w:p w14:paraId="7A81D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33" w:type="dxa"/>
            <w:vMerge w:val="continue"/>
            <w:tcBorders>
              <w:top w:val="single" w:color="auto" w:sz="4" w:space="0"/>
              <w:left w:val="single" w:color="000000" w:sz="4" w:space="0"/>
              <w:bottom w:val="nil"/>
              <w:right w:val="single" w:color="000000" w:sz="4" w:space="0"/>
            </w:tcBorders>
            <w:shd w:val="clear" w:color="auto" w:fill="auto"/>
            <w:vAlign w:val="center"/>
          </w:tcPr>
          <w:p w14:paraId="164F09D9">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625D8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验光设备和器具</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A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灯箱：1、规格型号：按结构不同分为LED型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具体规格型号为标准对数（普通型5m）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2、功能：供医疗单位检查眼睛视力时用。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1）正常工作条件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a)环境温度：5℃～40℃；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b)相对湿度：≤80%；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c)大气压力：80kPa～106kPa；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d)使用电源：交流220V、50Hz。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LED型视力表灯箱外形尺寸如下表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 5m、标准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验光仪:                                                                                                               球镜范围：-19.00-+16.75D，步长0.25D/3.00D；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柱镜范围：0.00--6.00D（使用辅助柱镜视范围可达0.00—8.00-1），步长0.25m-1；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步长：0.25m-1;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柱镜轴位：范围0-180，步长5°；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交叉圆柱镜：±25D；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旋转棱镜：范围50-75mm，步长1mm；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瞳距：范围50-75mm，步长1mm；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远近视切换：焦距变化 ∞ - 380mm（光心距为64mm）；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前额支架：调节范围0-16mm；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镜眼距：16mm；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标准附件镜头：-2.00D/-0.12D，辅助柱镜各2块；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尺寸：338（L）*99（W）*292（H）mm；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净重：约5Kg；</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F521">
            <w:pPr>
              <w:jc w:val="center"/>
              <w:rPr>
                <w:rFonts w:hint="eastAsia" w:ascii="宋体" w:hAnsi="宋体" w:eastAsia="宋体" w:cs="宋体"/>
                <w:i w:val="0"/>
                <w:iCs w:val="0"/>
                <w:color w:val="000000"/>
                <w:sz w:val="22"/>
                <w:szCs w:val="22"/>
                <w:u w:val="none"/>
              </w:rPr>
            </w:pPr>
          </w:p>
        </w:tc>
      </w:tr>
      <w:tr w14:paraId="7FC7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6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33" w:type="dxa"/>
            <w:vMerge w:val="restart"/>
            <w:tcBorders>
              <w:top w:val="single" w:color="000000" w:sz="4" w:space="0"/>
              <w:left w:val="single" w:color="000000" w:sz="4" w:space="0"/>
              <w:bottom w:val="nil"/>
              <w:right w:val="single" w:color="000000" w:sz="4" w:space="0"/>
            </w:tcBorders>
            <w:shd w:val="clear" w:color="auto" w:fill="auto"/>
            <w:vAlign w:val="center"/>
          </w:tcPr>
          <w:p w14:paraId="12628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0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血细胞分析仪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1.★测试速度：≥56样本/小时。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2.工作模式：全自动闭盖进样和手动开盖进样兼备，并有急诊样本优先检测功能，在全自动进样工作中可随时插入急诊标本，优先检测。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3.★急诊进样方式：要求可开盖进样，也可闭盖进样，避免具有传染病的标本造成污染。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4.★进样方式：全自动进样器一次性至少可放入≥35个标本，工作状态中可持续添加样本。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5.★测量原理：WBC五分类双通道检测（4diff通道+嗜碱通道），有独立的嗜碱性粒细胞检测通道。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6.测试参数：≥20项基本参数及≥3项研究参数和一个散点图、三个直方图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7.★检测通道：具备独立的4diff通道和嗜碱通道，实现真正的五分类检测。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8.检测精度：WBC≤2.5%，RBC≤1.5%，HGB≤1.5%，MCV≤1.5%, PLT≤4.0%。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9.操作软件：全中文操作，标配电脑主机即可实现中文输入输出。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10.样本模式：静脉全血、预稀释末梢血（配备内置稀释器，自动完成预稀释）。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11.★样本量：静脉全血≤21ul，预稀释末梢血≤20ul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12.★功能：≤21ul预稀释血可完成准确的五分类检测（非CBC计数），并可重复检测一次。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13.分析模式：具有全血、预稀释末梢血CBC+5DIFF模式。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14.采样针：采用侧开口设计，具有防“抵死”功能。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15.资料储存：海量存储样本完整结果，包括所有中文信息和全部散点图及直方图。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16.数据输出：具备USB接口和网络接口，有联网功能，可支持激光、喷墨、针式等多种打印机。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17.报告单格式：测量结果必须中文打印，多种报告格式可选。</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C99F">
            <w:pPr>
              <w:jc w:val="center"/>
              <w:rPr>
                <w:rFonts w:hint="eastAsia" w:ascii="宋体" w:hAnsi="宋体" w:eastAsia="宋体" w:cs="宋体"/>
                <w:i w:val="0"/>
                <w:iCs w:val="0"/>
                <w:color w:val="000000"/>
                <w:sz w:val="22"/>
                <w:szCs w:val="22"/>
                <w:u w:val="none"/>
              </w:rPr>
            </w:pPr>
          </w:p>
        </w:tc>
      </w:tr>
      <w:tr w14:paraId="0DAE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B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494A7D8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1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05A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测试原理：磁珠法和免疫比浊法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测试速度： 189PT/H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D二聚体检测速度：58T/H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凝固法检测通道： 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免疫比浊法检测通道：3个独立通道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预温通道：11个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急诊位：急诊样品任意插入，优先检测，不占其他样品位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标本位： 60个，均带LED指示灯，原试管直接插入，并可兼容微量标本特殊试管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试剂位：10个，均带LED指示灯，带试剂冷藏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测试杯：950个含钢珠测试杯自动单个连续导入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准确度： ±3％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重复性误差：不大于3％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温度稳定性：±0.2℃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传送系统：具有高寿命、自动抓杯系统；机械手带抓杯感应功能，抓杯滑脱时能报警提示；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加样系统：双加样针：试剂和样本均带液位检测，试剂针带恒温控制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自动稀释：样本自动稀释，支持多试剂因子实验，异常标本自动重发试验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自动定标：定标曲线，多点定标机内自动完成倍比稀释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质控体系：用户可定义的质量控制程序，提供标准质控文件和统计图。</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E981">
            <w:pPr>
              <w:jc w:val="center"/>
              <w:rPr>
                <w:rFonts w:hint="eastAsia" w:ascii="宋体" w:hAnsi="宋体" w:eastAsia="宋体" w:cs="宋体"/>
                <w:i w:val="0"/>
                <w:iCs w:val="0"/>
                <w:color w:val="000000"/>
                <w:sz w:val="22"/>
                <w:szCs w:val="22"/>
                <w:u w:val="none"/>
              </w:rPr>
            </w:pPr>
          </w:p>
        </w:tc>
      </w:tr>
      <w:tr w14:paraId="0758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3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3D7EA4E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E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0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1.尿液分析工作站组合形式：尿液干化学有形成分分析一体机；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工作原理：采用机器视觉成像自动识别技术，进行尿液有形成分分析；采用光电比色法和折射法对尿液化学成分及理学项目进行检测；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3.一次吸样可完成有形成分和干化学项目的检测；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检测项目：干化学测定参数≥13个，可提供蛋白肌酐比、微量白蛋白肌酐比；尿有形成分测定参数≥25项；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吸样量：有形成分与干化学联合分析总吸样量≤2ml；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 检测速度：有形成分检测模式≥98个测试/小时；干化学检测模式≥150个测试/小时；干化学+有形成分检测模式≥100个测试/小时；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携带污染率：干化学检测除比重和 pH 外各测试项目最高浓度结果的阳性标本，随后检测阴性样本，阴性样本不得出现阳性；有形成分分析仪对细胞的携带污染率应≤0.02%；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检出限：分析仪应能检出最小浓度水平为5个/μL的红细胞、白细胞样本；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审核规则：具有自定义审核规则设定界面；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自动调焦技术：仪器具有自动调焦技术，无需定焦液进行人工调焦；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11.可对检测区域进行全视野识别分析：拍摄图片收集视野数量≥58个；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★12.可提供红细胞位相参数：包括对红细胞大小、形状、色度的分析，可提供直方图≥3个，散点图≥2个；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条码识别：具有全自动条码扫描功能，自动识别标本信息；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急诊功能：具有急诊功能，随时插入标本进行检测；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待检区容量：一次可装载≥38份标本；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报告方式：有形成分检测可提供xx个/µl报告方式；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网络接口：标准网络接口，可以和LIS及HIS系统联网。</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097A">
            <w:pPr>
              <w:jc w:val="center"/>
              <w:rPr>
                <w:rFonts w:hint="eastAsia" w:ascii="宋体" w:hAnsi="宋体" w:eastAsia="宋体" w:cs="宋体"/>
                <w:i w:val="0"/>
                <w:iCs w:val="0"/>
                <w:color w:val="000000"/>
                <w:sz w:val="22"/>
                <w:szCs w:val="22"/>
                <w:u w:val="none"/>
              </w:rPr>
            </w:pPr>
          </w:p>
        </w:tc>
      </w:tr>
      <w:tr w14:paraId="1972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3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086F9B4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0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碳呼气试验设备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02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 、产品特点：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设备为三通道。</w:t>
            </w:r>
            <w:r>
              <w:rPr>
                <w:rFonts w:hint="eastAsia" w:ascii="宋体" w:hAnsi="宋体" w:eastAsia="宋体" w:cs="宋体"/>
                <w:i w:val="0"/>
                <w:iCs w:val="0"/>
                <w:color w:val="000000"/>
                <w:kern w:val="0"/>
                <w:sz w:val="22"/>
                <w:szCs w:val="22"/>
                <w:highlight w:val="yellow"/>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2、大彩电容触摸屏。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、测试仪最短测量时间为125s,   最长测试时间为500s,   默认测试时间为250s。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4、采用算法软处理外部辐射，从而消除了约35%因随机辐射对机器检测精度的不良影响。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5、本机设置了辐射本底的智能跟踪，实时跟踪本底变化，不但消除了地域/时间变化引起 的外部辐射变化影响，既使在检测口内部被污染的情况下也能准确检测采集卡数据，降低了 误检率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6、本机可以对A、B、C 三个检测口分别自定义精度，解决了较高的检测精度往往需耗费较 长检测时间的问题，用户可以根据相应的应用场景需求，通过自定义A 、B 、C口不同的精 度组合，掌控精度和时间效率之间的均衡。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、AI本底实时跟踪。最大限度地排除了温湿度/地磁等环境变量对检测结果的影响。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8、采用了伽玛射线抑制算法，极大地改善环境本底对检测下限的不良影响。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9、“可见即可得”的指示灯配制，极大地方便了用户的操作，在多检测口场景下，解决了 频繁误操作的问题。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10、提供0、1、2、3、4、5档超高检测精度。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11、实时温湿度显示，保证有效使用环境。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12、伪影消除功能，解决了阳性样本残留辐射导致阴性样本检测结果的假阳性，极大地提高 了检测精度和对检测结果的可信性。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13、静电消除功能，极大的解决了检测结果的不稳定性和重复性。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14、支持电脑连接，连接医院系统。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二、幽门螺杆菌测试仪基本参数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仪器工作原理 电离计数方式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对14c本底的计数率 ≤45CPM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对14C标准源的探测效率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14C探测效率的相对变化 误差 ≤25%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测试仪检测样本的重复性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电源要求 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 25VA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外形最大尺寸 345mm×280mm×245mm(长×宽×高)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最大重量 17.5 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分类 Ⅱ类、2级污染等级设备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外壳材料 ABS塑胶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5°C～40°C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 ≤70%、非冷凝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工作大气压力 86kPa～106kPa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工作环境 </w:t>
            </w:r>
          </w:p>
          <w:p w14:paraId="1DAA0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a.无霜冻、凝露、渗水、淋雨和日照；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b.应避免放射性污染和环境γ辐射及外界电磁场干扰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c.设备应有良好的接地，避免与其它大功率的用电设备同接 一 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d.注意保持设备使用环境干净，要定期对测量室进行清洁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e.放置于牢固可靠工作台上。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贮运温度 -10°C～50°℃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贮运湿度 相对湿度不大于75%、非冷凝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贮运大气压力 86kPa~106kPa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运输条件说明 在包装完好的条件下，可以汽车、火车、轮船或飞机等交通工具运输。装卸时应小心轻放、严禁暴力装卸、 严禁倒置。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储藏条件说明 无腐蚀性气体和通风良好的室温干燥室内。</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34B9">
            <w:pPr>
              <w:jc w:val="center"/>
              <w:rPr>
                <w:rFonts w:hint="eastAsia" w:ascii="宋体" w:hAnsi="宋体" w:eastAsia="宋体" w:cs="宋体"/>
                <w:i w:val="0"/>
                <w:iCs w:val="0"/>
                <w:color w:val="000000"/>
                <w:sz w:val="22"/>
                <w:szCs w:val="22"/>
                <w:u w:val="none"/>
              </w:rPr>
            </w:pPr>
          </w:p>
        </w:tc>
      </w:tr>
      <w:tr w14:paraId="1176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1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500F6A0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B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电解质分析仪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4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1.产品名称：电解质分析仪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2.检测项目：K+、Na+、Cl-、iCa2+、pH（nCa2+、TCa2+为计算参数）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3.方法学：离子选择电极法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4.测试速度：≤60s/标本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5.样本量：100ul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6.样本类型：血清、全血、尿液等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7.样本盘：单盘22个样本位（含2个急诊位）、支持离心管上机测试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8.采样能自动感应液面高度、带防撞保护功能，系统自动感应样本、一键测试。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9.操作系统：Linux操作系统，800×480彩色 LCD全触摸显示屏显示。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10.试剂系统：使用一体化纸质环保试剂包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11.可存储10万个以上的检测结果，内嵌式条码扫描仪。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12.输出方式：屏幕显示、高速热敏打印机、实时RS-232数据接口，支持LIS系统连接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13.质控查询范围：30天，可打印质控数据和曲线。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14.电极内充液有注册证书；</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2B65">
            <w:pPr>
              <w:jc w:val="center"/>
              <w:rPr>
                <w:rFonts w:hint="eastAsia" w:ascii="宋体" w:hAnsi="宋体" w:eastAsia="宋体" w:cs="宋体"/>
                <w:i w:val="0"/>
                <w:iCs w:val="0"/>
                <w:color w:val="000000"/>
                <w:sz w:val="22"/>
                <w:szCs w:val="22"/>
                <w:u w:val="none"/>
              </w:rPr>
            </w:pPr>
          </w:p>
        </w:tc>
      </w:tr>
      <w:tr w14:paraId="3E10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6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188C49CF">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E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工作温度：-10℃～+45℃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湿度：20% to 85% at 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电源：220V,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2.1主机及光学系统：无限远矫正光学系统；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2.2调焦：低位聚焦控制，自调节聚焦机制。载物台垂直运动距离不小于25mm，带聚焦粗调上限自动停止装置。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2.3粗调带助力功能，便于精准聚焦；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2.4观察镜筒：倾角为30°，目镜与镜筒集成在一起，螺丝固定防止脱落。配备用于安全旋转的指旋螺钉，可以随时任意旋转360度；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2.5照明装置：内装式，LED冷光源，连续亮度调节，色温恒定=6000K；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2.6物镜：平场消色差物镜，采用国际标准45mm齐焦距离。为适应不同样品观察，物镜需满足下面放大倍数及相应数值孔径：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4X（N.A=0.1）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10X（N.A=0.22）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40X（N.A=0.65）镜头内置保护弹簧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100X（N.A=1.25）镜头内置保护弹簧，油镜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2.7载物台：耐磨损载物台表面，尺寸≥185 mm (前面150 mm)宽x140mm深；圆形载物台边缘，无暴露齿条。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2.8样品夹：可单手操作样品夹；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2.9目镜：10X宽视野目镜，视野数≥20mm；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2.10物镜转换器：内顷式物镜转换器；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2.11聚光镜：稳定的预对焦和预制中聚光镜，防止使用过程中误操作导致位置变化。N.A≥0.9，具有物镜倍数对应标识，具有扩展相差等功能插槽；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2.12扩展功能：可扩展图像工作站，100W荧光，相差，暗场，2-5人共览等功能；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2.13防霉装置：在观察筒、目镜、物镜都做了防霉处理；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2.14主体构造、材质及防菌设计：主体结构为压铸铝，配备外部保险丝，方便更换。机体镀有银离子，有效防止细菌传播；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2.15主机机身配备USB插槽，可直接为摄像头等外置USB扩展设备供电；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2.16机身配备电源线绕线槽，方便收纳电源线；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2.17配备易搬运提手，可单手持握进行搬运。</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2A4B">
            <w:pPr>
              <w:jc w:val="center"/>
              <w:rPr>
                <w:rFonts w:hint="eastAsia" w:ascii="宋体" w:hAnsi="宋体" w:eastAsia="宋体" w:cs="宋体"/>
                <w:i w:val="0"/>
                <w:iCs w:val="0"/>
                <w:color w:val="000000"/>
                <w:sz w:val="22"/>
                <w:szCs w:val="22"/>
                <w:u w:val="none"/>
              </w:rPr>
            </w:pPr>
          </w:p>
        </w:tc>
      </w:tr>
      <w:tr w14:paraId="4CAA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8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45D3146D">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0E77">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便常规检测仪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7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1.检测速度：检测速度 ≥ 75个标本/小时（提供CFDA检测报告证明仪器速度达到此标准）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2.检测通道：流动石英计数池，通道数≥2通道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3.样本稀释方式： ≥5种以上稀释方式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4.金标项目报告格式：可定性和半定量报告模式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5.显微镜物镜：显微镜物镜≥2个，开机自动对焦，全自动一键对焦功能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6.金标卡孵育检测通道：≥20个独立检测单控孵育通道位，立体式多通道设计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7.混匀方式： 旋转混匀，混匀旋转速度可调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8.预设拍摄图片数量：可预设拍摄≥170视野，亦可自定义拍摄视野数目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9.吸样方式：吸样针从上往下穿刺，在采集杯中间吸样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10.有形成分检测：检测红细胞、白细胞、真菌、虫卵等成分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11.隐血化学物质检测：粪便金标隐血仪器可自动定性识别检测，无需人工判读。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12.金标检测项目：仪器可同时一次性吸样检测项目≥5个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13.金标孵育时间：标本一次吸样后仪器主机能满足同时≥3个不同时间点的检测：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粪便隐血设定4分钟，轮、腺病毒检测设定12分钟，HP检测设定10分钟，以上项目可以在多个不同反应时间点同时检测，使免疫学的结果更准确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14.标本送样量：待检区容纳标本数≥50个，轨道式进样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15.进样装置：自动进样，进、出样位有密封罩全密封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16.急诊功能：仪器主机进样特设独立急诊位，急诊标本随到随测，不占用试管架位，不影响批量处理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17.金标检测功能：≥5个卡盒，试剂位≥5个，批量标本间仪器可同时设定并检测≥3个不同反应时间的项目，根据免疫学反应的特性，粪便隐血设定3-5分钟，轮、腺病毒设定10-15分钟，幽门螺杆菌设定10-15分钟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18.采集杯滤网：≥2层滤网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19.采集杯腔体：</w:t>
            </w:r>
            <w:r>
              <w:rPr>
                <w:rFonts w:hint="eastAsia" w:ascii="宋体" w:hAnsi="宋体" w:eastAsia="宋体" w:cs="宋体"/>
                <w:i w:val="0"/>
                <w:iCs w:val="0"/>
                <w:color w:val="000000"/>
                <w:kern w:val="0"/>
                <w:sz w:val="22"/>
                <w:szCs w:val="22"/>
                <w:highlight w:val="none"/>
                <w:u w:val="none"/>
                <w:lang w:val="en-US" w:eastAsia="zh-CN" w:bidi="ar"/>
              </w:rPr>
              <w:t>≥3个腔体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20.图片拍摄方式：每个视野最多可拍摄≥8层图片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21.粪便有形成分质控品：注册仪器相同厂家的粪便有形成分质控品（提供注册证）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22.FOB和转铁蛋白多水平非定值质控品配套与仪器相同厂家FOB和转铁蛋白多水平非定值质控品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23.质控功能模块：软件自带功能质控功能模块，直接上机进行质控操作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24.通信功能:真正具有双向通讯双工功能</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88CB">
            <w:pPr>
              <w:jc w:val="center"/>
              <w:rPr>
                <w:rFonts w:hint="eastAsia" w:ascii="宋体" w:hAnsi="宋体" w:eastAsia="宋体" w:cs="宋体"/>
                <w:i w:val="0"/>
                <w:iCs w:val="0"/>
                <w:color w:val="000000"/>
                <w:sz w:val="22"/>
                <w:szCs w:val="22"/>
                <w:u w:val="none"/>
              </w:rPr>
            </w:pPr>
          </w:p>
        </w:tc>
      </w:tr>
      <w:tr w14:paraId="4718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33" w:type="dxa"/>
            <w:vMerge w:val="restart"/>
            <w:tcBorders>
              <w:top w:val="nil"/>
              <w:left w:val="single" w:color="000000" w:sz="4" w:space="0"/>
              <w:bottom w:val="single" w:color="000000" w:sz="4" w:space="0"/>
              <w:right w:val="single" w:color="000000" w:sz="4" w:space="0"/>
            </w:tcBorders>
            <w:shd w:val="clear" w:color="auto" w:fill="auto"/>
            <w:vAlign w:val="center"/>
          </w:tcPr>
          <w:p w14:paraId="426C2B7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9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听力计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5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纯音：用于基本听阈测试。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啭音：减少驻波干扰，适用于声场测听。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窄带噪声：用于掩蔽测试。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言语信号：如单词、句子，用于言语测听。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脉冲音：避免听觉适应，常用于儿童测试。</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48FB">
            <w:pPr>
              <w:jc w:val="center"/>
              <w:rPr>
                <w:rFonts w:hint="eastAsia" w:ascii="宋体" w:hAnsi="宋体" w:eastAsia="宋体" w:cs="宋体"/>
                <w:i w:val="0"/>
                <w:iCs w:val="0"/>
                <w:color w:val="000000"/>
                <w:sz w:val="22"/>
                <w:szCs w:val="22"/>
                <w:u w:val="none"/>
              </w:rPr>
            </w:pPr>
          </w:p>
        </w:tc>
      </w:tr>
      <w:tr w14:paraId="69F2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0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3F25FE24">
            <w:pPr>
              <w:jc w:val="center"/>
              <w:rPr>
                <w:rFonts w:hint="eastAsia" w:ascii="宋体" w:hAnsi="宋体" w:eastAsia="宋体" w:cs="宋体"/>
                <w:i w:val="0"/>
                <w:iCs w:val="0"/>
                <w:color w:val="000000"/>
                <w:sz w:val="22"/>
                <w:szCs w:val="22"/>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8A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健康教育模型</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C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男性生殖器模型：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功能特点：此模型是男性盆腔正中矢状切面，阴茎矢状切面和盆腔剖面等4个部件组成，显示了男性内外生殖器官，男性尿道以及男性盆腔器官等结构。尺寸：28*23*28cm，PVC材质。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女性生殖器模型：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功能特点：此模型是女性盆腔正中矢状切模型，由3个部件组成，显示了女性生殖器官以及膀胱和直肠等结构。尺寸：27*23*28cm，PVC材质。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乳房模型：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展示了乳房乳腺癌、囊肿、纤维腺瘤和浸润性硬癌。模型还显示了乳房结构、脂肪组织、淋巴结、肌肉和肋骨等，尺寸：20*15*10cm,pvc材质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新生儿护理模型：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用可作为婴儿洗澡，更换衣物和尿片、眼、耳护理等训练和示教工具。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模型尺寸： 自然大，高52cm，宽19cm，厚11.5cm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以上各类婴儿模型有男婴、女婴任选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女性避孕器指导模型：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该模型根据女性内外生殖器的解剖原理设计，用于教授如何放入女性避孕装置以及引导栓剂等。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显示如下部位解剖结构：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膀胱   • 阴道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耻骨   • 子宫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大阴唇   • 尾骨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小阴唇   • 直肠</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C87E">
            <w:pPr>
              <w:jc w:val="center"/>
              <w:rPr>
                <w:rFonts w:hint="eastAsia" w:ascii="宋体" w:hAnsi="宋体" w:eastAsia="宋体" w:cs="宋体"/>
                <w:i w:val="0"/>
                <w:iCs w:val="0"/>
                <w:color w:val="000000"/>
                <w:sz w:val="22"/>
                <w:szCs w:val="22"/>
                <w:u w:val="none"/>
              </w:rPr>
            </w:pPr>
          </w:p>
        </w:tc>
      </w:tr>
      <w:tr w14:paraId="7F75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F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3FE71F5F">
            <w:pPr>
              <w:jc w:val="center"/>
              <w:rPr>
                <w:rFonts w:hint="eastAsia" w:ascii="宋体" w:hAnsi="宋体" w:eastAsia="宋体" w:cs="宋体"/>
                <w:i w:val="0"/>
                <w:iCs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AFEA2">
            <w:pPr>
              <w:jc w:val="center"/>
              <w:rPr>
                <w:rFonts w:hint="eastAsia" w:ascii="宋体" w:hAnsi="宋体" w:eastAsia="宋体" w:cs="宋体"/>
                <w:i w:val="0"/>
                <w:iCs w:val="0"/>
                <w:color w:val="000000"/>
                <w:sz w:val="22"/>
                <w:szCs w:val="22"/>
                <w:u w:val="none"/>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1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人体骨骼模型: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真人大小的、关节相连的塑料模型是基础解剖教学的理想模型，物美价廉。手臂和腿部可拆下供研究。显示神经分支、脊椎动脉和腰椎间盘等。头颅含可活动的下巴、可移动的头颅盖、骨缝线和三颗可取下的下牙。用PVC制成，可水洗，不破碎。尺寸：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人体肌肉模型: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肌肉人模型，真实的展现了人体完整的肌肉和器官解剖形态。此模型也精确的展示了人体的浅表，深层肌肉结构，肌腱形态，血管和人体结构形态。主要人体器官和肌肉可以拆装的，27部件，共有347个部位数字指示标志，以便于使用者更精确地理解和详细研究之用。尺寸：33*23*80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人体内脏模型: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躯干模型，其特征是：脊椎露在外面，其中一段脊椎可拆下，一块女性胸腔盖和可互换的男女生殖器官，女性子宫中含有一胎儿。可分成23件：躯干女性胸腔盖，头，眼球，脑，一块脊椎神经，肺（2件），心（2件），肝，肾，胃（2件），肠（4件），男性生殖器官（2件），女性生殖器官带胎儿（3件）。用PVC制成，安放于塑料座上。尺寸：85C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7969">
            <w:pPr>
              <w:jc w:val="center"/>
              <w:rPr>
                <w:rFonts w:hint="eastAsia" w:ascii="宋体" w:hAnsi="宋体" w:eastAsia="宋体" w:cs="宋体"/>
                <w:i w:val="0"/>
                <w:iCs w:val="0"/>
                <w:color w:val="000000"/>
                <w:sz w:val="22"/>
                <w:szCs w:val="22"/>
                <w:u w:val="none"/>
              </w:rPr>
            </w:pPr>
          </w:p>
        </w:tc>
      </w:tr>
      <w:tr w14:paraId="1BD8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1"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3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19366E9D">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0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心脏复苏模拟人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6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该产品功能进行全面升级，突出CPR训练操作的铺助功能，以及可自行设定各项数值，更加符合临床和教学练习CPR操作要求。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执行标准：美国心脏学会(AHA)2015国际心肺复苏(CPR)＆心血管急救(ECC)指南标准。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模拟人解剖特征明显，手感真实，肤色统一，形态逼真，外形美观。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模拟生命体征：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初始状态时，模拟人瞳孔散大，颈动脉无搏动。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按压过程中，模拟人颈动脉被动搏动，搏动频率与按压频率一致。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抢救成功后，模拟人瞳孔恢复正常，颈动脉自主搏动。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瞳孔缩放和颈动脉搏动由开关可开启和关闭。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可进行人工呼吸和心外按压。可进行标准气道开放，气道指示灯变亮。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三种操作方式：可进行CPR训练、模式考核和实战考核。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方式一：CPR训练，可进行按压和吹气训练。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方式二：模式考核，在设定的时间内，根据2015国际心肺复苏标准，正确按压和吹气数30：2的比例，完成5个循环操作。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方式三：实战考核，老师可自行设定操作时间范围、操作标准、循环次数、操作频率、按压和吹气的比例。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控制器显示屏功能：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电子监测：电子指示灯显示监测气道开放和按压部位。人工呼吸和胸外按压的正确次数计数和错误次数计数。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语音提示：训练和考核中全程中文语音提示，可开启和关闭语音，调节音量。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条形码显示吹气量：正确的吹气量为500~600ml-1000ml：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吹气量过少时，条形码为黄色。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吹气量合适时，条形码为绿色。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吹气量过大时，条形码为红色。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吹入的潮气量过快或超大，造成气体进入胃部指示灯显示；数码计数显示；错误语言提示；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条形码显示按压深度，正确的按压深度5-6cm：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按压深度过少时，条形码为黄色。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按压深度合适时，条形码为绿色。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按压深度过大时，条形码为红色。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可自行设定操作时间，以秒为单位。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操作频率：2015标准为至少100次/分，也可自行设定数值。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电源状态：采用220V电源，经过稳压器稳压后输出电源12V。（可选加装锂电池，适用于无外接电源的情况下直接使用。）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操作结束后打印操作过程。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绩单内容涵盖操作方式、意识判断、急救呼吸、脉搏检查、检查呼吸、清除异物、操作频率、按压与吹气比例、循环次数、每个循环操作中按压和吹气的次数、按压正确/错误次数、按压错误的原因和次数、吹气正确/错误的原因和次数、吹气错误的原因、设定时间、操作时间和考核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皮肤、颈皮肤、胸皮肤、头发，采用进口热塑弹性体混合胶材料，由不锈钢模具、经注塑机高温注压而成，具有解剖标志准确、手感真实、肤色统一、形态逼真、外形美观、经久耐用、消毒清洗不变形，拆装更换方便等特点，其材料达到国外同等水平。</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9FA4">
            <w:pPr>
              <w:jc w:val="center"/>
              <w:rPr>
                <w:rFonts w:hint="eastAsia" w:ascii="宋体" w:hAnsi="宋体" w:eastAsia="宋体" w:cs="宋体"/>
                <w:i w:val="0"/>
                <w:iCs w:val="0"/>
                <w:color w:val="000000"/>
                <w:sz w:val="22"/>
                <w:szCs w:val="22"/>
                <w:u w:val="none"/>
              </w:rPr>
            </w:pPr>
          </w:p>
        </w:tc>
      </w:tr>
      <w:tr w14:paraId="01BD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A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2B73AB3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婴儿智能体检仪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6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1、无接触式超声波传感器测量身长；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2、称重传感器自动测量体重；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3、采用双轨外滑道方式移动挡脚板，量板床宽敞，造型美观；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4、环保工程塑料整体成型外壳，安全舒适；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5、液晶屏显示，身高体重一目了然；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6、语音提示，音量可调，测量值播报；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7、体重测量采用三点校准法。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8、体重测量范围0-60Kg，测量精度±0.05mmKg；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9、身高坐高测量范围40-100cm，测量精度±5mm；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10、标配脚踏开关，操作更方便；</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24B6">
            <w:pPr>
              <w:jc w:val="center"/>
              <w:rPr>
                <w:rFonts w:hint="eastAsia" w:ascii="宋体" w:hAnsi="宋体" w:eastAsia="宋体" w:cs="宋体"/>
                <w:i w:val="0"/>
                <w:iCs w:val="0"/>
                <w:color w:val="000000"/>
                <w:sz w:val="22"/>
                <w:szCs w:val="22"/>
                <w:u w:val="none"/>
              </w:rPr>
            </w:pPr>
          </w:p>
        </w:tc>
      </w:tr>
      <w:tr w14:paraId="35E4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9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7D440B2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E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C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肺活量仪是用于测量肺功能的医疗或运动设备，主要用于评估呼吸系统健康、肺活量、用力肺活量、一秒率等关键指标。以下是其主要参数及功能说明：基本参数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（1）测量范围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肺活量：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成人：通常 2~7 L（男性平均约4.5 L，女性约3.2 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儿童：1~5 L（随年龄增长变化）。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用力肺活量：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正常范围与VC接近，但可能略低（因气道阻力）。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一秒量：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正常值：≥80% 预计值（与年龄、性别、身高相关）。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B503">
            <w:pPr>
              <w:jc w:val="center"/>
              <w:rPr>
                <w:rFonts w:hint="eastAsia" w:ascii="宋体" w:hAnsi="宋体" w:eastAsia="宋体" w:cs="宋体"/>
                <w:i w:val="0"/>
                <w:iCs w:val="0"/>
                <w:color w:val="000000"/>
                <w:sz w:val="22"/>
                <w:szCs w:val="22"/>
                <w:u w:val="none"/>
              </w:rPr>
            </w:pPr>
          </w:p>
        </w:tc>
      </w:tr>
      <w:tr w14:paraId="0308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C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1B8A42F8">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A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7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电子血压计是一种用于测量血压和心率的医疗或家用设备。其核心参数涉及测量范围、精度、袖带规格、适用人群等。以下是详细分类说明：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基本测量参数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参数范围说明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收缩压 0~300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正常值：90~140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舒张压: 0~250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正常值：60~90 mmHg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心率 40~200 bpm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正常值：60~100 bpm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2.关键性能参数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（1）测量精度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国际标准：AAMI/ESH/ISO 81060-2（误差要求：±3 mmHg 或 ±2%）。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BHS（英国高血压协会）分级：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A级（最优）：误差≤5 mmHg（≥90%测量值）。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B级：误差≤10 mmHg（≥85%测量值）。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C级：误差≤15 mmHg（≥80%测量值）。  </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518B">
            <w:pPr>
              <w:jc w:val="center"/>
              <w:rPr>
                <w:rFonts w:hint="eastAsia" w:ascii="宋体" w:hAnsi="宋体" w:eastAsia="宋体" w:cs="宋体"/>
                <w:i w:val="0"/>
                <w:iCs w:val="0"/>
                <w:color w:val="000000"/>
                <w:sz w:val="22"/>
                <w:szCs w:val="22"/>
                <w:u w:val="none"/>
              </w:rPr>
            </w:pPr>
          </w:p>
        </w:tc>
      </w:tr>
      <w:tr w14:paraId="63F6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0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4CD7BB8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1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水银血压计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D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一、工作原理 由臂带充气压迫测量部位阻断血流，然后通过排放臂带中气体，使血液再次流动。血压测量就是根据血液再次流动时发出的血流声音或血管壁的振动变化而判断的。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二、主要材料 铝板、汞、乳胶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三、技术参数 测量范围：0-300mmHg(0-40kPa)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3.1基本误差：±3.75mmHg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3.2灵敏度：≥2.25mmHg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3.3外型尺寸：约350*92*50mm</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1A83">
            <w:pPr>
              <w:jc w:val="center"/>
              <w:rPr>
                <w:rFonts w:hint="eastAsia" w:ascii="宋体" w:hAnsi="宋体" w:eastAsia="宋体" w:cs="宋体"/>
                <w:i w:val="0"/>
                <w:iCs w:val="0"/>
                <w:color w:val="000000"/>
                <w:sz w:val="22"/>
                <w:szCs w:val="22"/>
                <w:u w:val="none"/>
              </w:rPr>
            </w:pPr>
          </w:p>
        </w:tc>
      </w:tr>
      <w:tr w14:paraId="337D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6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060ED3F7">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8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6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参数表: ACON (血红蛋白分析仪Hb)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测试原理 :反射光度法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标本类型 :毛细血管血或静脉血；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★加样量: 10μL;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★测试速度: 小于15秒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★显示结果; Hb、HCI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测试范围: 45g/l-256g/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★显示(单位制): g/dL、g/L、mmol/L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★存储功能: 自动储存和更新1000个样品数据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校正功能 :Code Chip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仪器重量 ;102g(不含电池)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 127x58x25mm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供电电源 ：市场常售电池(7号电池)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使用环境 ；10-40℃,相对湿度&lt;90%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★精密度： Hb 45g/L-100g/L范围内，标准偏差(SD)应≤8g/L;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Hb 100g/L-256g/L范围内，变异系数(CV)应≤3%。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★准确度 ：Hb 45g/L-100g/L范围内，偏差应在±10g/L范围内；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Hb 100g/L-256g/L范围内，相对偏差应在±4%范围内。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★报警功能： 试剂条过期报警功能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匹配试剂 ：血红蛋白试纸条(干式化学法)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贮存条件：(试纸) 2-30℃干燥处密封保存，请勿冷冻保存；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★有效期(试纸)： 24个月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质控品 ：原厂配置质控品(3个浓度梯度)选配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联机操作： USB端口</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1CE9">
            <w:pPr>
              <w:jc w:val="center"/>
              <w:rPr>
                <w:rFonts w:hint="eastAsia" w:ascii="宋体" w:hAnsi="宋体" w:eastAsia="宋体" w:cs="宋体"/>
                <w:i w:val="0"/>
                <w:iCs w:val="0"/>
                <w:color w:val="000000"/>
                <w:sz w:val="22"/>
                <w:szCs w:val="22"/>
                <w:u w:val="none"/>
              </w:rPr>
            </w:pPr>
          </w:p>
        </w:tc>
      </w:tr>
      <w:tr w14:paraId="6F33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3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5FB1F24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8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儿童保健体检仪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08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1.产品适宜各级妇幼保健医院、社区卫生服务中心、城乡卫生院、幼儿园、小学为儿童保健和体检之用，也可作为公共卫生服务的专用体检设备；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2.立式台面精密测量身高及称重机构,用于3-7岁幼儿体检。所测身高、体重可按WHO/中国九市标准营养等级评价，由数码显控仪表清晰显示；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3.身高测量范围：80-150cm 读书精度为： ±1mm；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4.电子秤称量范围为0－60kg </w:t>
            </w:r>
          </w:p>
          <w:p w14:paraId="4D279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称重精度：±50g, 并有：去皮、置零、校秤、修改、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自动锁定重量的功能;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5.标准RS232接口，可与PC机联网通讯；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6.电源：电源适配器；直流输出9V 1A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7.造型轻巧美观、移动方便、使用简单、性能稳定可靠。</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632E">
            <w:pPr>
              <w:jc w:val="center"/>
              <w:rPr>
                <w:rFonts w:hint="eastAsia" w:ascii="宋体" w:hAnsi="宋体" w:eastAsia="宋体" w:cs="宋体"/>
                <w:i w:val="0"/>
                <w:iCs w:val="0"/>
                <w:color w:val="000000"/>
                <w:sz w:val="22"/>
                <w:szCs w:val="22"/>
                <w:u w:val="none"/>
              </w:rPr>
            </w:pPr>
          </w:p>
        </w:tc>
      </w:tr>
      <w:tr w14:paraId="46C5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5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B1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D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悬挂式手术无影灯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A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1、超长的使用寿命：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采用新型LED冷光源，寿命可达6.5万小时以上，无需更换灯泡。优于传统卤素灯，又能满足节能与环保的要求。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2、完美的冷光效果：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采用新型LED冷光源，光谱中没有紫外线和红外线，既没有热量也没有辐射，医生头部和伤口区域温升≤1℃，几乎无温升。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3、理想的符合净化要求的外形设计：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全封闭流线型的灯头设计符合空气动力学的设计原理，彻底消除了净化空气中的流动死角，满足了现代手术室高标准的层流要求，有利于手术室的无菌要求。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4、人性化界面设计：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可根据医院对不同手术照明的需求改变照明亮度。可选配新型LED触摸液晶控制面板，实现照明的开关及对照度、色温、亮度模式的调节。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5、超强的深部照明，完美的无影效果：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LED灯头的整体设计使光束聚集为一个高亮度的均匀光柱，从而保证了柔和均匀的深部聚集效果，保证手术对高亮度，高深度的照明需求。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6、色温可调功能：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LED-700型手术无影灯的色温从3500K到6700K六档可调，使诊断更加准确，并且不会使医护人员因长时间工作而产生眼睛疲劳。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7、良好的悬挂系统：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轻巧的优质平衡臂悬挂系统（可选配进口臂），六组万向关节联动，360度全方位设计，可满足手术中的各种高度、角度和体位的需要，移动方便，定位准确。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8、明亮均匀的照明：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LED光源发出的光束透过特殊设计的高性能透镜在手术区域聚焦汇成满足手术照明所需的光域；最大照明度可达180.000LUX。采用数字方式无级调控LED的亮度，每个灯头的照明度可以分别调节。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9、故障率极低：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每一个LED模块含有10个LED灯珠，每一个模块含有独立电子控制系统，灯头具有非常低的故障率，单个LED的故障不会影响灯头的功能。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10、低产热：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LED的更大优势在于它产热少，因为它几乎不发射红外线或紫外线。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LED灯泡数量 80个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照度（Lux） 60000—180000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色温（K） 3500—6700K可调/3500—6700K可调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光斑直径（mm） 150-350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调光系统 无极调光系统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显色指数 ≥85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照明深度（mm） ≥1200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术者头部温升（℃）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术野区域温升(℃)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演色性指数(CRI) ≥96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色彩还原指数 ≥97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电源电压 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输入功率（Ｗ） 180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最低/最佳安装高度 2.2米/2.7-3.0米</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E530">
            <w:pPr>
              <w:jc w:val="center"/>
              <w:rPr>
                <w:rFonts w:hint="eastAsia" w:ascii="宋体" w:hAnsi="宋体" w:eastAsia="宋体" w:cs="宋体"/>
                <w:i w:val="0"/>
                <w:iCs w:val="0"/>
                <w:color w:val="000000"/>
                <w:sz w:val="22"/>
                <w:szCs w:val="22"/>
                <w:u w:val="none"/>
              </w:rPr>
            </w:pPr>
          </w:p>
        </w:tc>
      </w:tr>
      <w:tr w14:paraId="5D08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1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0ADB">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D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E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1.★两个3.5英寸触摸屏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2.标配台车，通过升级可组合成6通道注射4通道输液的输注集成系统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3.自动识别注射器：规格为5ml 、10ml、20 ml、30 ml、50（60）ml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4.≥8种注射模式可选，支持梯度模式、首剂量模式、序列模式、TIVA模式、微量模式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5.具备级联模式，可设置第二通道开启时间。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6.输注速率最大支持2000ml/h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7.阻塞级别：10级可选择，动态显示管路的压力状态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8.★具有手动快进、快速定量快进、自动快进等三种快进方式可选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9.支持配置药物库, 可存储至少2000种药物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10.声音音量等级：可调10级报警音量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11.夜间模式：可自动降低亮度和报警音量，时间段可调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防护等级IP34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13.界面风格可设置多种主题颜色，以便通过颜色快速识别输注药物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14.★具有“按键”放大显示输注速度功能，一键放大输注速度数值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15.内置锂电池，以5ml/h速度注射，可实现工作时间最长不少于20h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16.★可联网输注中央监护系统，实现远程集中监护10个科室，并且每个科室可显示50个房间和50个床位的输注信息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17.★可联网输注中央监护系统，其具有持续质量改进功能，并新建形成报告，用于统计输注报警事件、药物液量、输注模式等进行统计对比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18.可联网输注中央监护系统，支持显示监护仪数据，并与患者的用药情况进行同屏显示，为临床治疗提供参考</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4D25">
            <w:pPr>
              <w:jc w:val="center"/>
              <w:rPr>
                <w:rFonts w:hint="eastAsia" w:ascii="宋体" w:hAnsi="宋体" w:eastAsia="宋体" w:cs="宋体"/>
                <w:i w:val="0"/>
                <w:iCs w:val="0"/>
                <w:color w:val="000000"/>
                <w:sz w:val="22"/>
                <w:szCs w:val="22"/>
                <w:u w:val="none"/>
              </w:rPr>
            </w:pPr>
          </w:p>
        </w:tc>
      </w:tr>
      <w:tr w14:paraId="4660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2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83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0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 X射线系统（DR）</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F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1、设备用途：用于头颅、脊柱、四肢、胸部、腹部等全身站立位和卧位的数字X线摄影系统.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2、技术参数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2.1电源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2.2电压：380V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w:t>
            </w:r>
            <w:r>
              <w:rPr>
                <w:rFonts w:hint="eastAsia" w:ascii="宋体" w:hAnsi="宋体" w:eastAsia="宋体" w:cs="宋体"/>
                <w:i w:val="0"/>
                <w:iCs w:val="0"/>
                <w:color w:val="auto"/>
                <w:kern w:val="0"/>
                <w:sz w:val="22"/>
                <w:szCs w:val="22"/>
                <w:u w:val="none"/>
                <w:lang w:val="en-US" w:eastAsia="zh-CN" w:bidi="ar"/>
              </w:rPr>
              <w:t>频率：50Hz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2.4容量：≥85kVA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3、高压发生装置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3.1最大输出功率：≥50kW </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3.2主逆变频率：≥500kHz</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3.3摄影管电压：40-150KV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3.4摄影管电流：≥620mA </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★3.5摄影时间：1-10000ms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3.6摄影mAS：≥0.1mAS-620mAS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4、X射线管组件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4.1靶材：钼基铼-钨复合靶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4.2靶角：12°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4.3标称管电压：≥150 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4.4输出功率：大焦点≥74kW，小焦点≥30kW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★4.4阳极热容量 ：≥300KHU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4.5阳极最大热耗散：≥750W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4.6组件热容量：≥1300KHU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★4.7旋转阳极速度：≥8400min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4.8球管焦点：大焦≤1.2/小焦≤0.6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★4.9球管离地最低：≤35cm</w:t>
            </w:r>
            <w:r>
              <w:rPr>
                <w:rFonts w:hint="eastAsia" w:ascii="宋体" w:hAnsi="宋体" w:eastAsia="宋体" w:cs="宋体"/>
                <w:b/>
                <w:bCs/>
                <w:i w:val="0"/>
                <w:iCs w:val="0"/>
                <w:color w:val="000000"/>
                <w:kern w:val="0"/>
                <w:sz w:val="22"/>
                <w:szCs w:val="22"/>
                <w:u w:val="none"/>
                <w:lang w:val="en-US" w:eastAsia="zh-CN" w:bidi="ar"/>
              </w:rPr>
              <w:t>(提供证明文件)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5、限束器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5.1限束器视野灯：卤素灯，AC24V/100W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5.2可见光照射亮度：平均照射亮度：≥180Lux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5.3照明灯开启限时时间：≥30S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6、移动摄影床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★6.1为方便使用要求床体可推动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7、平板探测器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7.1平板探测器：非晶硅图像传感器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7.1.1像素尺寸：≤139μm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7.1.2有效像素尺寸：≥3072（H）*3072（V）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7.1.3有效区域 (H x V)：≥430（H）*430（V）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7.1.4空间分辨率：≥3.6Lp/mm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7.1.5能量范围：40kV -150kVP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7.1.6电源输入：DC24V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7.2配备两块可插拔专距专用滤线栅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8、图像采集工作站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8.1计算机系统：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8.1.1计算机：台式机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8.1.2处理器：英特尔四核处理器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8.1.3内存：≥8GB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8.1.4硬盘：≥1T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8.1.5显示器：≥19英寸"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★8.1.6球管端配备触摸控制面板，面板尺寸≥10英寸</w:t>
            </w:r>
            <w:r>
              <w:rPr>
                <w:rFonts w:hint="eastAsia" w:ascii="宋体" w:hAnsi="宋体" w:eastAsia="宋体" w:cs="宋体"/>
                <w:b/>
                <w:bCs/>
                <w:i w:val="0"/>
                <w:iCs w:val="0"/>
                <w:color w:val="000000"/>
                <w:kern w:val="0"/>
                <w:sz w:val="22"/>
                <w:szCs w:val="22"/>
                <w:u w:val="none"/>
                <w:lang w:val="en-US" w:eastAsia="zh-CN" w:bidi="ar"/>
              </w:rPr>
              <w:t>(提供图片证明文件)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★8.1.7近台触控屏需可以显示人体图形化模型，可以显示3D摆位指示引导患者迅速摆位</w:t>
            </w:r>
            <w:r>
              <w:rPr>
                <w:rFonts w:hint="eastAsia" w:ascii="宋体" w:hAnsi="宋体" w:eastAsia="宋体" w:cs="宋体"/>
                <w:b/>
                <w:bCs/>
                <w:i w:val="0"/>
                <w:iCs w:val="0"/>
                <w:color w:val="000000"/>
                <w:kern w:val="0"/>
                <w:sz w:val="22"/>
                <w:szCs w:val="22"/>
                <w:u w:val="none"/>
                <w:lang w:val="en-US" w:eastAsia="zh-CN" w:bidi="ar"/>
              </w:rPr>
              <w:t>(提供证明文件)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★8.1.8近台触控屏可以画面自适应，对于胸片位床下位可以通过重力感应画面转换方便各个角度下观看图像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★8.1.9近台触控屏与工作站电脑信息同步，双向传输无需重复录入信息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8.1.10配备DAP剂量显示功能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8.2工作站软件：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8.2.1基本功能：注册；新建病人；急诊注册；预约注册；RIS注册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8.2.2本地数据库：设置查询条件；查询结果排序和修改标题栏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8.2.3检查：编辑病人基本信息；输出病人检查；关闭检查；删除已登记检查；保护已有检查；多协议检查；检查中添加、删除和复制体位；拒绝采集的影像；恢复拒绝的影像；多检查协议之间的切换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8.2.4附加功能：调整曝光参数和曝光序列顺序；保存调整的曝光技术参数；调整X射线球管和Bucky的方位；平板状态指示；曝光状态显示；发生器控制；图像预览。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8.2.5超十万幅临床数据库保证了强大的预处理能力，90%以上图片无需后处理，即可直接用于诊断；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8.2.6系统管理功能：工作站信息；用户管理；急诊注册设置；信息统计；探测器校正；配置工具。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8.2.7用户管理：新增用户；用户权限设置；用户密码修改；删除用户。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8.2.8急诊注册设置：新建急诊注册；删除急诊注册；修改急诊注册信息；默认检查协议。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8.2.9系统远程维护，故障自我诊断并显示故障代码，快速准确判断故障状态，并具备自我保护功能。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8.2.10设备配备自动对中，自动跟踪，自动曝光控制功能(提供证明文件)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8.2.11平板在线充电功能，胸片架，摄影床片盒都有充电口，快速充电持久续航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A977">
            <w:pPr>
              <w:jc w:val="center"/>
              <w:rPr>
                <w:rFonts w:hint="eastAsia" w:ascii="宋体" w:hAnsi="宋体" w:eastAsia="宋体" w:cs="宋体"/>
                <w:i w:val="0"/>
                <w:iCs w:val="0"/>
                <w:color w:val="000000"/>
                <w:sz w:val="22"/>
                <w:szCs w:val="22"/>
                <w:u w:val="none"/>
              </w:rPr>
            </w:pPr>
          </w:p>
        </w:tc>
      </w:tr>
      <w:tr w14:paraId="4F67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8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7D79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B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胶片激光打印机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9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打印技术:激光成像打印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分辨率:508dpi/254dpi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胶片输入:24小时可打印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胶片供片盒:2个装片盒(可打印4个不同尺寸的胶片)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灰度对比度分辨率:14比特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内存卡:4GB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打印速度:35x43cm(14“x17”)2100张/小时，20x25cm(8“x10”)2120张/小时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胶片类型/尺寸:恒益彩激光胶片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35x43cm(14”x17”)，每盒100张;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26x36cm(10”x14”)，每盒150张;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25x30cm(10“x12”)，每盒150张;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20x25cm(8”x10”)，每盒150张。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密度调节:自动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网络协议:DICOM连接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重量:104kg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电源:输入电压:AC 100V-240V/单相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环境条件:存放温度:15-30℃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存放湿度:40-70%RH(15℃)至15-70%RH(30℃)(无结露）</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92C2">
            <w:pPr>
              <w:jc w:val="center"/>
              <w:rPr>
                <w:rFonts w:hint="eastAsia" w:ascii="宋体" w:hAnsi="宋体" w:eastAsia="宋体" w:cs="宋体"/>
                <w:i w:val="0"/>
                <w:iCs w:val="0"/>
                <w:color w:val="000000"/>
                <w:sz w:val="22"/>
                <w:szCs w:val="22"/>
                <w:u w:val="none"/>
              </w:rPr>
            </w:pPr>
          </w:p>
        </w:tc>
      </w:tr>
      <w:tr w14:paraId="7BBB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D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2C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6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牙科综合治疗台</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7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环境温度5℃-40℃；相对湿度≤80%；供气压力范围 0.6—0.80Mpa, 流量≥80Nl/min；水源水压范围 0.2—0.4Mpa, 流量≥5L/min。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2.牙椅注册使用期限为≥15年。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3.感应式LED冷光灯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照度可进行无极调节，照度7000Lux—32000Lux，无接触式控制，色温4500K—5700K。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4.牙科椅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 牙科椅整体采用金属材质骨架和底座，座椅承重范围≥150kg，可承受≥150kg*4的载荷试验；座椅升降范围 ：最低≤410mm，最高≥750mm；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 牙科椅具备直流∕变频∕调速系统，低压直流电机具有升降瞬间延时功能，使病人感觉不到椅子的瞬间冲力，无顿挫感；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4.3牙科椅表面皮革采用接触面无缝工艺缝制，便于感控；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4.4座椅扶手为前翻式设计，扶手连接处位于椅身中部，不阻碍医生腿部动作；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4.5牙科椅头靠可在360度范围内旋转设置任意角度，长度可伸缩调整，纵向长度不小于150mm，并可满足儿童位、轮椅位、手术位等特殊椅位需求；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4.6牙椅设置不少于4组物理安全开关，避免设备误操作的风险，确保人员和设备的安全：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4.7可通过内置指令控制牙椅的各项功能，包括牙椅的升降俯仰、口腔灯开关、冲盂及漱口供水、记忆椅位调节、预设位调节等，每次输入指令后，牙椅会响应指令并有相应的应答功能；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4.8配置多种联动功能：口腔灯与椅位；漱口水与冲盂、痰位与冲盂联动。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5.消毒抑菌系统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配带一键全自动智能进行消毒和清洗两种模式进行消毒抑菌。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5.1智能消毒系统： 牙椅进入消毒模式时可独立的消毒水瓶供水；一键即可实现水路管道冲洗、消毒液注入、静置、再冲洗全流程，无需手动逐步操作；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5.2手机水管冲洗功能，方便每次治疗前后进行单独手机管道冲洗，满足对水路日常维护的要求。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5.3具有排空吹干功能，防止细菌滋生。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6.医师治疗台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6.1医师治疗台为下挂式，可灵活广泛的移动、带气锁功能，平稳无抖动；配有透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明整体防污罩,防污罩可以对器械盘及按键做整体保护及防止交叉感染；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 独立防脱式五联枪架，预留洁牙机升级位，可根据实际需求进行枪架扩充，枪架可向器械盘内旋转55°，可向器械盘外旋转35°，方便医生使用；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配置有全电脑触摸控制面板，包括≥19个功能按键和：管路消毒键、锁屏键、设置键、水杯加热键、口腔灯键、漱口水键、冲盂水键、痰位键、牙椅升、降、俯、仰键、复位键、椅位记忆1、椅位记忆2、椅位记忆3、医生选择键、急救位键、一键下班位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6.4配≥3.5寸彩色显示屏，可显示牙椅运行状态、智能联动、用户选择显示、水温精准调节和显示，消毒进度显示、故障代码显示、闹铃设置与显示、消毒记录查询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6.5器械盘侧面外置可视气压表、总气开关及独立式水量调节旋钮，方便单独调节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每一支手机器械工作水压。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7.主箱体单元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7.1可旋转式侧箱，内部为金属框架，坚固耐用；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7.2侧箱外壳材质为优质高分子材料，耐酒精消毒，耐色变；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7.3强弱吸过滤器为外置旋入式设计，其过滤精度≤1㎜²，有效过滤面积≥600㎜²，过滤体积≥20㎜³，能更加精细地过滤，并可容纳更多固体污染物而不堵塞过滤器，强弱吸过滤器滤网采用医用高分子材料，耐酸碱腐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7.4外置式纯净水瓶，水转换开关和水瓶气开关均外置，容量≥1L。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8.痰盂组件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配置可拆卸式陶瓷痰盂，可配感应取水功能，痰盂整体可向内、向外各旋转90度。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9.助手架单元：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9.1多关节的助手架方便使用，可水平旋转，垂直抽拉；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9.2四联独立挂架，每个挂架均可独立旋转；枪架采用光电感应控制；带≥10键位触摸副控面板，包括：口腔灯、漱口水、冲盂水、复位键、痰位键、锁屏键以及牙科椅升、降、俯、仰；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9.3带三用枪、强弱吸手柄各1支；预留光固化枪位。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10.脚踏开关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可控制手机工作、有无水、吹屑气开关，可控制手术灯开启及关闭。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11.配置医生椅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至少有六个方位可调节，采用静音脚轮。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1.治疗机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2.电动驱动牙科椅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3.下挂式医生工作台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4.感应LED冷光灯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5.可旋转连体侧箱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6.可拆卸式痰盂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7.多功能脚踏开关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8.内置热水系统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9.液晶显示屏1套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10.牙椅同品牌高速手机 2支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11.牙枯同品牌低速手机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12.三用枪 2套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13.强、弱吸系统 各1 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14.纯净水系统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15.医师椅1套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6250">
            <w:pPr>
              <w:jc w:val="center"/>
              <w:rPr>
                <w:rFonts w:hint="eastAsia" w:ascii="宋体" w:hAnsi="宋体" w:eastAsia="宋体" w:cs="宋体"/>
                <w:i w:val="0"/>
                <w:iCs w:val="0"/>
                <w:color w:val="000000"/>
                <w:sz w:val="22"/>
                <w:szCs w:val="22"/>
                <w:u w:val="none"/>
              </w:rPr>
            </w:pPr>
          </w:p>
        </w:tc>
      </w:tr>
      <w:tr w14:paraId="1995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4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DD63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牙科治疗机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7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1.电源： ～220V±10％  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2.输入功率：600W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3.保险管规格：F 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4.高速手机管： 空载转速≥300000 r/min（四孔）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工作压力 0.26MPa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5.低速手机管： 空载转速 20000 r/min（四孔）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可正、反转，配直机、弯机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6.三用枪：   可喷水、喷气、喷雾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7.吸唾器（气吸）：气压为400kPa时，真空度可达到10kPa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气压为400kPa时，抽水率不小于400ml/min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8.外形尺寸：长×宽×高﹦45×31×65（单位：cm）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铝合金壳体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内置的无油空气压缩机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DCEA">
            <w:pPr>
              <w:jc w:val="center"/>
              <w:rPr>
                <w:rFonts w:hint="eastAsia" w:ascii="宋体" w:hAnsi="宋体" w:eastAsia="宋体" w:cs="宋体"/>
                <w:i w:val="0"/>
                <w:iCs w:val="0"/>
                <w:color w:val="000000"/>
                <w:sz w:val="22"/>
                <w:szCs w:val="22"/>
                <w:u w:val="none"/>
              </w:rPr>
            </w:pPr>
          </w:p>
        </w:tc>
      </w:tr>
      <w:tr w14:paraId="4F9C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1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229B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9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纯水机-口腔科</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7FC8">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1．电源：220V±10% 50Hz；额定功率：110W；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2．额定外接水压：0.1-0.4MPa，市政自来水；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3．适用水温： 5-38℃；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4．环境温度： 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5．纯水流量：120L/H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6．储水桶容积：11G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7．主机尺寸：436*500*1070（长*宽*高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8．包装尺寸：534*594*1070（长*宽*高mm）；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9．净重：≤50kg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10．工作噪音：≤60dB。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11、微电脑控制，彩色触摸屏，可按设定无人值守全自动运行、自动监测水质情况。由打印机实时记录。有记录，可追溯；</w:t>
            </w:r>
          </w:p>
          <w:p w14:paraId="44C98C4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12.两路制水系统， 避免故障停水，保证医疗用水安全可靠；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13.三级过滤+RO反渗透膜+紫外线杀菌净化水质符合国家标准；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14.恒压供水系统，0.28Mp压力保证临床用水，储水不在空气中暴露，无污染，免维护，安全可靠；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15.体积小、占地0.21㎡，节省空间、免维护、快速更换滤芯、使用成本低廉；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16.智能控制系统，按时间运、自动监控、产水率高、水满自动待机，环保节能。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1920">
            <w:pPr>
              <w:jc w:val="center"/>
              <w:rPr>
                <w:rFonts w:hint="eastAsia" w:ascii="宋体" w:hAnsi="宋体" w:eastAsia="宋体" w:cs="宋体"/>
                <w:i w:val="0"/>
                <w:iCs w:val="0"/>
                <w:color w:val="000000"/>
                <w:sz w:val="22"/>
                <w:szCs w:val="22"/>
                <w:u w:val="none"/>
              </w:rPr>
            </w:pPr>
          </w:p>
        </w:tc>
      </w:tr>
      <w:tr w14:paraId="21A0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0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C682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E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A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1、设备名称：超声波清洗机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途和要求：超声波清洗机是蓝野公司专门为诊所、医院科室等场所设计，用于清洗形状复杂夹缝多，不能用硬物洗擦的光洁或脆弱的物体，及小型医疗器械、针头、假牙等需要清洗的器械。另定时设定能帮助您控制时间，提高效率，能给您带来极大的方便。简单的操作步骤可使每个人都能现学现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3、工作条件：放置清洗机时，周围至少留10CM间距；建议将清洗机放置在通风良好的环境中；清洗机外壳散热窗口不能有异物堵住；清洗机应放置在水平的工作台上。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4、配件：1大一小两个清洗篮，1根排水管，电源线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1.清洗时间连续可调（ 2 ~ 30 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2.清洗温度连续可调（ 20℃ ~ 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3.缺水时自动停止加热。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4.全触控面板操作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5.多种振动模式可调节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6.有自动沥干功能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7、洗槽：240X142X149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9、容积：6L</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5201">
            <w:pPr>
              <w:jc w:val="center"/>
              <w:rPr>
                <w:rFonts w:hint="eastAsia" w:ascii="宋体" w:hAnsi="宋体" w:eastAsia="宋体" w:cs="宋体"/>
                <w:i w:val="0"/>
                <w:iCs w:val="0"/>
                <w:color w:val="000000"/>
                <w:sz w:val="22"/>
                <w:szCs w:val="22"/>
                <w:u w:val="none"/>
              </w:rPr>
            </w:pPr>
          </w:p>
        </w:tc>
      </w:tr>
      <w:tr w14:paraId="6454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EE03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8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灭菌器</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BAD8">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电源电压 AC 220V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    率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电线插头 国标三芯/欧标三芯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最大功率 2000VA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    流 9.1A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    积 23L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级    别 欧洲B级标准（B类）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灭菌温度 121摄氏度，134摄氏度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特殊灭菌 灭活艾滋（HV）,乙肝（HBV）疯牛病毒及芽孢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干燥程序 强力真空干燥，器械剩余湿度&lt;0.2%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    示 *触摸屏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    试 Bowie&amp;Dick测试，真空度测试，helix测试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安全性 安全阀，气动锁，故障自检系统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灭菌纪录 打印机和USB记录灭菌过程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供水系统 ★敞开式水箱可消毒清洗，净水箱容积：4L，废水箱容积：3.5L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水质检测 可检测水质是否符合设备要求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清洗程序 可自动清洗内部管路和蒸汽发生器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灭菌室配置 5层活动托盘架配3个托盘</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0EE6">
            <w:pPr>
              <w:jc w:val="center"/>
              <w:rPr>
                <w:rFonts w:hint="eastAsia" w:ascii="宋体" w:hAnsi="宋体" w:eastAsia="宋体" w:cs="宋体"/>
                <w:i w:val="0"/>
                <w:iCs w:val="0"/>
                <w:color w:val="000000"/>
                <w:sz w:val="22"/>
                <w:szCs w:val="22"/>
                <w:u w:val="none"/>
              </w:rPr>
            </w:pPr>
          </w:p>
        </w:tc>
      </w:tr>
      <w:tr w14:paraId="30E5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8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ED24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3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口腔数字化影像系统</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A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 、产品技术参数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支持影像板型号：0#,1#,2#,3#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分辨率：≥141p/mm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像素尺寸：35μm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灰度值：16bits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磷光片数据擦除方式：自动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进片方式：无损非挤压进片，对影像板零损耗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通讯接口：USB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智能交互：状态灯(待机、读片、完成)指示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电源：220V(AC),50Hz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机身尺寸(D×W×H)：296mm×170mm×196mm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支持操作系统：Windows7及Windows7以上系统(x64)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软件功能：支持患者影像归档；支持局部放大、缩放、旋转、亮度调节、对比度调节、距离测量、角度测量、文字标 注等图像处理以及图像打印操作；图像支持bmp、dcm、dcmdir等格式进行导出到本地进行保存，也可以支持登特云进行云端存储。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4D5A">
            <w:pPr>
              <w:jc w:val="center"/>
              <w:rPr>
                <w:rFonts w:hint="eastAsia" w:ascii="宋体" w:hAnsi="宋体" w:eastAsia="宋体" w:cs="宋体"/>
                <w:i w:val="0"/>
                <w:iCs w:val="0"/>
                <w:color w:val="000000"/>
                <w:sz w:val="22"/>
                <w:szCs w:val="22"/>
                <w:u w:val="none"/>
              </w:rPr>
            </w:pPr>
          </w:p>
        </w:tc>
      </w:tr>
      <w:tr w14:paraId="2049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D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CCF5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2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口腔全景X射线机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B8B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一、</w:t>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1、技术先进，本产品属于国家科技部创新基金立项的产品，应用甚高频技术（VHF）使 X 射线管电压（kV）直流(DC)输出，极大地减少了软射线对人体的危险,病人受辐射剂量减少 30%以上，是口腔影像技术数字化（DR,CR）的最佳配套产品。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2、影像清晰，X 射线穿透能力（kV）及管电流（mA）分别可调，根据就诊者的不同状态调 节，拍片质量更佳，图像对比度更高。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3、操作简便,本产品高有“胶片”及“数字化”模式可调，适合于各种牙片及数字化产品， 能获得很高的清晰度。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曝光时间由微电脑准确控制，预置了九组曝光时间，可针对不同牙片选取相应组的曝光 时间，并设置了 RVG 功能键；也可以用“固定模式”操作更简便。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4、使用安全,采用带自编码的高频电磁波无线遥控，可在距离设备 10 米内任意方位，不 受墙体阻挡远距离操控，远离 X 射线辐射；X 射线管头完整地包裹着铅板，泄漏辐射很小， 使用很安全。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5、输出稳定， 利用变频技术采用管电压、管电流闭环控制， 能在电压为 180～245V 的情 况下,输出的管电压、管电流误差不大于±10%。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6、曝光剂量显示及管电流自动调整，内置了曝光剂量显示功能，每次曝光后都有本次管 电流（反映输出 X 射线剂量）数值的显示，如出现其误差超过设定数值时，下次曝光就会根 据此次数值自动调整，直至调整到接近设定值为止。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7、定位准确，机器臂采用剪式多自由度设计的平衡臂，定位精确，操作轻松。 </w:t>
            </w:r>
          </w:p>
          <w:p w14:paraId="3C13053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二、产品主要技术指标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1．可调模式：管电压：70kVp.65kVp.60kVp.55kVp 四档可调；管电流：7mA.4mA；二档可调; </w:t>
            </w:r>
          </w:p>
          <w:p w14:paraId="3DAFC40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2.固定模式：65kV 5mA；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3.曝光时间调节范围：0.05S～2.00S；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4.X 射线发生器活动范围：垂直移动范围大于 900mm,前后移动范围大于 900mm； </w:t>
            </w:r>
          </w:p>
          <w:p w14:paraId="0D19D11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5.智能化程度：曝光剂量显示及管电流自动调整；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6．焦皮距：200mm；          7.工作电压：220V，50Hz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8.输出功率：1200W ；        9．X 射线发生器工作频率：200kHz；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占空比:1/30 ；          11. X 射线泄露辐射：0.14mGy/h（70kV/7mA）；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12.焦点尺寸:0.4 ；          13.辐照区域(园直径):&lt;60mm；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14.球管头重量:4.5kg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9716">
            <w:pPr>
              <w:jc w:val="center"/>
              <w:rPr>
                <w:rFonts w:hint="eastAsia" w:ascii="宋体" w:hAnsi="宋体" w:eastAsia="宋体" w:cs="宋体"/>
                <w:i w:val="0"/>
                <w:iCs w:val="0"/>
                <w:color w:val="000000"/>
                <w:sz w:val="22"/>
                <w:szCs w:val="22"/>
                <w:u w:val="none"/>
              </w:rPr>
            </w:pPr>
          </w:p>
        </w:tc>
      </w:tr>
      <w:tr w14:paraId="41EEF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2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5CC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D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氧气桶</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1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氧气筒高度140mm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规格40升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壁厚5.0mm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5073">
            <w:pPr>
              <w:jc w:val="center"/>
              <w:rPr>
                <w:rFonts w:hint="eastAsia" w:ascii="宋体" w:hAnsi="宋体" w:eastAsia="宋体" w:cs="宋体"/>
                <w:i w:val="0"/>
                <w:iCs w:val="0"/>
                <w:color w:val="000000"/>
                <w:sz w:val="22"/>
                <w:szCs w:val="22"/>
                <w:u w:val="none"/>
              </w:rPr>
            </w:pPr>
          </w:p>
        </w:tc>
      </w:tr>
    </w:tbl>
    <w:p w14:paraId="6345A3D5">
      <w:pPr>
        <w:rPr>
          <w:rFonts w:hint="eastAsia"/>
          <w:b/>
          <w:bCs/>
          <w:sz w:val="36"/>
          <w:szCs w:val="44"/>
        </w:rPr>
      </w:pPr>
    </w:p>
    <w:p w14:paraId="69EDA43F">
      <w:pPr>
        <w:rPr>
          <w:b/>
          <w:bCs/>
          <w:sz w:val="36"/>
          <w:szCs w:val="44"/>
        </w:rPr>
      </w:pPr>
      <w:r>
        <w:rPr>
          <w:rFonts w:hint="eastAsia"/>
          <w:b/>
          <w:bCs/>
          <w:sz w:val="36"/>
          <w:szCs w:val="44"/>
        </w:rPr>
        <w:t>核心产品：DR、血细胞分析仪、尿液分析仪</w:t>
      </w:r>
    </w:p>
    <w:p w14:paraId="583946F0">
      <w:pPr>
        <w:rPr>
          <w:rFonts w:hint="eastAsia" w:ascii="宋体" w:hAnsi="宋体" w:eastAsia="宋体" w:cs="宋体"/>
          <w:i w:val="0"/>
          <w:iCs w:val="0"/>
          <w:color w:val="000000"/>
          <w:kern w:val="0"/>
          <w:sz w:val="22"/>
          <w:szCs w:val="22"/>
          <w:u w:val="none"/>
          <w:lang w:val="en-US" w:eastAsia="zh-CN" w:bidi="ar"/>
        </w:rPr>
      </w:pPr>
    </w:p>
    <w:p w14:paraId="4DDF5EE6">
      <w:pPr>
        <w:pStyle w:val="33"/>
        <w:rPr>
          <w:rFonts w:hint="eastAsia"/>
          <w:lang w:eastAsia="zh-CN"/>
        </w:rPr>
      </w:pPr>
    </w:p>
    <w:p w14:paraId="3C44C0CA">
      <w:pPr>
        <w:spacing w:line="360" w:lineRule="auto"/>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商务要求（适用于</w:t>
      </w:r>
      <w:r>
        <w:rPr>
          <w:rFonts w:hint="eastAsia" w:ascii="仿宋" w:hAnsi="仿宋" w:eastAsia="仿宋" w:cs="仿宋"/>
          <w:b/>
          <w:bCs/>
          <w:color w:val="000000"/>
          <w:highlight w:val="none"/>
          <w:lang w:val="en-US" w:eastAsia="zh-CN"/>
        </w:rPr>
        <w:t>1包、2包</w:t>
      </w:r>
      <w:r>
        <w:rPr>
          <w:rFonts w:hint="eastAsia" w:ascii="仿宋" w:hAnsi="仿宋" w:eastAsia="仿宋" w:cs="仿宋"/>
          <w:b/>
          <w:bCs/>
          <w:color w:val="000000"/>
          <w:highlight w:val="none"/>
          <w:lang w:eastAsia="zh-CN"/>
        </w:rPr>
        <w:t>）：</w:t>
      </w:r>
    </w:p>
    <w:p w14:paraId="463352D8">
      <w:pPr>
        <w:numPr>
          <w:ilvl w:val="0"/>
          <w:numId w:val="0"/>
        </w:numPr>
        <w:spacing w:line="360" w:lineRule="auto"/>
        <w:ind w:firstLine="422" w:firstLineChars="200"/>
        <w:rPr>
          <w:rFonts w:ascii="仿宋" w:hAnsi="仿宋" w:eastAsia="仿宋" w:cs="仿宋"/>
          <w:b/>
          <w:bCs/>
          <w:color w:val="auto"/>
          <w:highlight w:val="none"/>
          <w:lang w:eastAsia="zh-CN"/>
        </w:rPr>
      </w:pPr>
      <w:r>
        <w:rPr>
          <w:rFonts w:hint="eastAsia" w:ascii="仿宋" w:hAnsi="仿宋" w:eastAsia="仿宋" w:cs="仿宋"/>
          <w:b/>
          <w:bCs/>
          <w:color w:val="auto"/>
          <w:kern w:val="2"/>
          <w:sz w:val="21"/>
          <w:szCs w:val="24"/>
          <w:highlight w:val="none"/>
          <w:lang w:val="en-US" w:eastAsia="zh-CN" w:bidi="ar-SA"/>
        </w:rPr>
        <w:t>（一）</w:t>
      </w:r>
      <w:r>
        <w:rPr>
          <w:rFonts w:hint="eastAsia" w:ascii="仿宋" w:hAnsi="仿宋" w:eastAsia="仿宋" w:cs="仿宋"/>
          <w:b/>
          <w:bCs/>
          <w:color w:val="auto"/>
          <w:highlight w:val="none"/>
          <w:lang w:eastAsia="zh-CN"/>
        </w:rPr>
        <w:t>供货期：自签订合同之日起20个日历日完成供货及安装。（具体时间按照甲乙双方合同约定执行）</w:t>
      </w:r>
    </w:p>
    <w:p w14:paraId="6C3642F6">
      <w:pPr>
        <w:numPr>
          <w:ilvl w:val="0"/>
          <w:numId w:val="0"/>
        </w:num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kern w:val="2"/>
          <w:sz w:val="21"/>
          <w:szCs w:val="24"/>
          <w:highlight w:val="none"/>
          <w:lang w:val="en-US" w:eastAsia="zh-CN" w:bidi="ar-SA"/>
        </w:rPr>
        <w:t>（二）</w:t>
      </w:r>
      <w:r>
        <w:rPr>
          <w:rFonts w:hint="eastAsia" w:ascii="仿宋" w:hAnsi="仿宋" w:eastAsia="仿宋" w:cs="仿宋"/>
          <w:b/>
          <w:bCs/>
          <w:color w:val="auto"/>
          <w:highlight w:val="none"/>
          <w:lang w:eastAsia="zh-CN"/>
        </w:rPr>
        <w:t>实施地点</w:t>
      </w:r>
      <w:r>
        <w:rPr>
          <w:rFonts w:hint="eastAsia" w:ascii="仿宋" w:hAnsi="仿宋" w:eastAsia="仿宋" w:cs="仿宋"/>
          <w:color w:val="auto"/>
          <w:highlight w:val="none"/>
          <w:lang w:eastAsia="zh-CN"/>
        </w:rPr>
        <w:t xml:space="preserve"> ：阿图什市阿扎克镇卫生院、阿湖乡卫生院、格达良乡卫生院、吐古买提乡卫生院（按照甲方指定的地点供货）</w:t>
      </w:r>
    </w:p>
    <w:p w14:paraId="2B728D65">
      <w:pPr>
        <w:spacing w:line="360" w:lineRule="auto"/>
        <w:ind w:firstLine="42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三</w:t>
      </w:r>
      <w:r>
        <w:rPr>
          <w:rFonts w:hint="eastAsia" w:ascii="仿宋" w:hAnsi="仿宋" w:eastAsia="仿宋" w:cs="仿宋"/>
          <w:b/>
          <w:bCs/>
          <w:color w:val="auto"/>
          <w:highlight w:val="none"/>
          <w:lang w:eastAsia="zh-CN"/>
        </w:rPr>
        <w:t>）报价要求</w:t>
      </w:r>
    </w:p>
    <w:p w14:paraId="31C13D1A">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本次报价为人民币报价，投标报价应包括：货物本身价格、保险费用、养护费</w:t>
      </w:r>
      <w:r>
        <w:rPr>
          <w:rFonts w:hint="eastAsia" w:ascii="仿宋" w:hAnsi="仿宋" w:eastAsia="仿宋" w:cs="仿宋"/>
          <w:i w:val="0"/>
          <w:iCs w:val="0"/>
          <w:color w:val="auto"/>
          <w:kern w:val="0"/>
          <w:sz w:val="24"/>
          <w:szCs w:val="24"/>
          <w:highlight w:val="none"/>
          <w:u w:val="none"/>
          <w:lang w:val="en-US" w:eastAsia="zh-CN" w:bidi="ar"/>
        </w:rPr>
        <w:t>、安装</w:t>
      </w:r>
      <w:r>
        <w:rPr>
          <w:rFonts w:hint="eastAsia" w:ascii="仿宋" w:hAnsi="仿宋" w:eastAsia="仿宋" w:cs="仿宋"/>
          <w:color w:val="auto"/>
          <w:highlight w:val="none"/>
          <w:lang w:eastAsia="zh-CN"/>
        </w:rPr>
        <w:t>费</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highlight w:val="none"/>
          <w:lang w:eastAsia="zh-CN"/>
        </w:rPr>
        <w:t>包装费、运输费用、二次搬运费、装卸费、损耗、税金费用、自检费、人工费、其他配件费及验收合格前和质保期内发生的一切费用、应当提供的伴随服务/售后服务费用。</w:t>
      </w:r>
    </w:p>
    <w:p w14:paraId="2CAE4F56">
      <w:pPr>
        <w:spacing w:line="360" w:lineRule="auto"/>
        <w:ind w:firstLine="42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lang w:eastAsia="zh-CN"/>
        </w:rPr>
        <w:t>）质保要求</w:t>
      </w:r>
    </w:p>
    <w:p w14:paraId="14CEC801">
      <w:pPr>
        <w:spacing w:line="360" w:lineRule="auto"/>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1、本项目货物质保期2年。</w:t>
      </w:r>
    </w:p>
    <w:p w14:paraId="55E1B256">
      <w:pPr>
        <w:spacing w:line="360" w:lineRule="auto"/>
        <w:ind w:firstLine="42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2、乙方应保证所提供的货物是全新、未使用过的原装合格正品，并完全符合国家标准和行业的相关标准。</w:t>
      </w:r>
    </w:p>
    <w:p w14:paraId="49F1EBE9">
      <w:pPr>
        <w:spacing w:line="360" w:lineRule="auto"/>
        <w:ind w:firstLine="211" w:firstLineChars="100"/>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w:t>
      </w:r>
      <w:r>
        <w:rPr>
          <w:rFonts w:hint="eastAsia" w:ascii="仿宋" w:hAnsi="仿宋" w:eastAsia="仿宋" w:cs="仿宋"/>
          <w:b/>
          <w:bCs/>
          <w:color w:val="000000"/>
          <w:highlight w:val="none"/>
          <w:lang w:val="en-US" w:eastAsia="zh-CN"/>
        </w:rPr>
        <w:t>五</w:t>
      </w:r>
      <w:r>
        <w:rPr>
          <w:rFonts w:hint="eastAsia" w:ascii="仿宋" w:hAnsi="仿宋" w:eastAsia="仿宋" w:cs="仿宋"/>
          <w:b/>
          <w:bCs/>
          <w:color w:val="000000"/>
          <w:highlight w:val="none"/>
          <w:lang w:eastAsia="zh-CN"/>
        </w:rPr>
        <w:t>）售后服务、理赔、质量技术及验收保证的承诺</w:t>
      </w:r>
    </w:p>
    <w:p w14:paraId="59C04F3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1、售后服务</w:t>
      </w:r>
    </w:p>
    <w:p w14:paraId="64032912">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1.1产品质量：在合同期内，甲方正常使用乙方所供产品而出现质量问题时，乙方负责。产品使用：甲方在使用乙方所供产品中出现问题需乙方解决时，乙方应无偿解决（质保期内，如果该产品多次出现质量问题或出现质量问题不能解决的需退换货）。</w:t>
      </w:r>
    </w:p>
    <w:p w14:paraId="37E174DF">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 xml:space="preserve">1.2质保期内，当采购人遇到使用及技术问题电话咨询不能解决的，须在48小时内到达现场进行处理。    </w:t>
      </w:r>
    </w:p>
    <w:p w14:paraId="3AC387EB">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1.3质保期内，设备出现故障，须在12小时内响应，48小时内到达现场，一般故障8小时内修复，较大故障24小时内解决问题。</w:t>
      </w:r>
    </w:p>
    <w:p w14:paraId="1F3E999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2、交货时应提供以下技术或培训资料（如涉及）</w:t>
      </w:r>
    </w:p>
    <w:p w14:paraId="06FF5AB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2.1原产地证明书(由制造厂签发)；</w:t>
      </w:r>
    </w:p>
    <w:p w14:paraId="478A93CC">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2.2提供主机及配套设备的安装图纸及说明；</w:t>
      </w:r>
    </w:p>
    <w:p w14:paraId="5D8580B8">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2.3提供主机及配套设备使用说明书、维护手册；</w:t>
      </w:r>
    </w:p>
    <w:p w14:paraId="78AA7498">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2.4备件手册、零件及易损件的图纸及相关资料；</w:t>
      </w:r>
    </w:p>
    <w:p w14:paraId="443C9E4D">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2.5其它相关技术资料。</w:t>
      </w:r>
    </w:p>
    <w:p w14:paraId="4A36B9BA">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3、 安装、现场培训：免费安装并现场培训相关人员至掌握仪器设备操作及日常维护。</w:t>
      </w:r>
    </w:p>
    <w:p w14:paraId="5C069B06">
      <w:pPr>
        <w:spacing w:line="360" w:lineRule="auto"/>
        <w:ind w:firstLine="420" w:firstLineChars="200"/>
        <w:rPr>
          <w:rFonts w:hint="eastAsia" w:ascii="仿宋" w:hAnsi="仿宋" w:eastAsia="仿宋" w:cs="仿宋"/>
          <w:b/>
          <w:bCs/>
          <w:color w:val="000000"/>
          <w:sz w:val="21"/>
          <w:szCs w:val="24"/>
          <w:highlight w:val="none"/>
          <w:lang w:eastAsia="zh-CN"/>
        </w:rPr>
      </w:pPr>
      <w:r>
        <w:rPr>
          <w:rFonts w:hint="eastAsia" w:ascii="仿宋" w:hAnsi="仿宋" w:eastAsia="仿宋" w:cs="仿宋"/>
          <w:color w:val="000000"/>
          <w:highlight w:val="none"/>
          <w:lang w:eastAsia="zh-CN"/>
        </w:rPr>
        <w:t>3.1设备到场后，</w:t>
      </w:r>
      <w:r>
        <w:rPr>
          <w:rFonts w:hint="eastAsia" w:ascii="仿宋" w:hAnsi="仿宋" w:eastAsia="仿宋" w:cs="仿宋"/>
          <w:b/>
          <w:bCs/>
          <w:color w:val="000000"/>
          <w:sz w:val="21"/>
          <w:szCs w:val="24"/>
          <w:highlight w:val="none"/>
          <w:lang w:eastAsia="zh-CN"/>
        </w:rPr>
        <w:t>供应商需至少派1名工程师现场指导安装调试。</w:t>
      </w:r>
    </w:p>
    <w:p w14:paraId="4720DC4F">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4、新购设备随仪器配备必要的维修工具，工具能满足维护人员对设备的正常维护、维修。</w:t>
      </w:r>
    </w:p>
    <w:p w14:paraId="6CDB510C">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5、在质保期内，如果供应商的产品技术升级，供应商应及时通知采购人，如采购人有相应要求，供应商应对采购人购买的产品进行升级服务。</w:t>
      </w:r>
    </w:p>
    <w:p w14:paraId="6A9114F5">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6、质保期过后，供应商应同样提供免费电话咨询服务，并应承诺提供该产品上门维护服务。</w:t>
      </w:r>
    </w:p>
    <w:p w14:paraId="5D6B1090">
      <w:pPr>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7、质保期过后，采购人需要继续由原投标人提供售后服务的，该投标人和制造商应以优惠价格提供售后服务。</w:t>
      </w:r>
    </w:p>
    <w:p w14:paraId="239E6ADD">
      <w:pPr>
        <w:spacing w:line="360" w:lineRule="auto"/>
        <w:ind w:firstLine="422" w:firstLineChars="200"/>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w:t>
      </w:r>
      <w:r>
        <w:rPr>
          <w:rFonts w:hint="eastAsia" w:ascii="仿宋" w:hAnsi="仿宋" w:eastAsia="仿宋" w:cs="仿宋"/>
          <w:b/>
          <w:bCs/>
          <w:color w:val="000000"/>
          <w:highlight w:val="none"/>
          <w:lang w:val="en-US" w:eastAsia="zh-CN"/>
        </w:rPr>
        <w:t>六</w:t>
      </w:r>
      <w:r>
        <w:rPr>
          <w:rFonts w:hint="eastAsia" w:ascii="仿宋" w:hAnsi="仿宋" w:eastAsia="仿宋" w:cs="仿宋"/>
          <w:b/>
          <w:bCs/>
          <w:color w:val="000000"/>
          <w:highlight w:val="none"/>
          <w:lang w:eastAsia="zh-CN"/>
        </w:rPr>
        <w:t>）验收</w:t>
      </w:r>
    </w:p>
    <w:p w14:paraId="7C1E25A5">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1、供应商提供的产品为全新未使用且符合相关法律法规要求的合格产品；</w:t>
      </w:r>
    </w:p>
    <w:p w14:paraId="3FE1EDD0">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2、供应商提供的产品需与投标文件、合同规定内容完全一致，且满足采购方提出的采购需求。</w:t>
      </w:r>
    </w:p>
    <w:p w14:paraId="2E4B3F97">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3、供应商提供的产品需经采购人验收小组验收，进行试验检测，按照</w:t>
      </w:r>
      <w:r>
        <w:rPr>
          <w:rFonts w:hint="eastAsia" w:ascii="仿宋" w:hAnsi="仿宋" w:eastAsia="仿宋" w:cs="仿宋"/>
          <w:color w:val="000000"/>
          <w:highlight w:val="none"/>
          <w:lang w:val="en-US" w:eastAsia="zh-CN"/>
        </w:rPr>
        <w:t>相应的要求</w:t>
      </w:r>
      <w:r>
        <w:rPr>
          <w:rFonts w:hint="eastAsia" w:ascii="仿宋" w:hAnsi="仿宋" w:eastAsia="仿宋" w:cs="仿宋"/>
          <w:color w:val="000000"/>
          <w:highlight w:val="none"/>
          <w:lang w:eastAsia="zh-CN"/>
        </w:rPr>
        <w:t>逐项进行测试，测试结果应满足相关要求，试验通过并满足要求为验收合格。</w:t>
      </w:r>
    </w:p>
    <w:p w14:paraId="115A90F2">
      <w:pPr>
        <w:spacing w:line="440" w:lineRule="exact"/>
        <w:ind w:firstLine="310" w:firstLineChars="147"/>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（七）付款方式</w:t>
      </w:r>
    </w:p>
    <w:p w14:paraId="4130C6B0">
      <w:pPr>
        <w:spacing w:line="360" w:lineRule="auto"/>
        <w:ind w:firstLine="422" w:firstLineChars="200"/>
        <w:rPr>
          <w:rFonts w:hint="eastAsia"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具体以甲乙双方签订合同为准</w:t>
      </w:r>
    </w:p>
    <w:p w14:paraId="22EEA602">
      <w:pPr>
        <w:spacing w:line="360" w:lineRule="auto"/>
        <w:ind w:firstLine="422" w:firstLineChars="200"/>
        <w:rPr>
          <w:rFonts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（八）知识产权</w:t>
      </w:r>
    </w:p>
    <w:p w14:paraId="710E6E94">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14:paraId="6A898DEF">
      <w:pPr>
        <w:spacing w:line="360" w:lineRule="auto"/>
        <w:ind w:firstLine="422" w:firstLineChars="200"/>
        <w:rPr>
          <w:rFonts w:ascii="仿宋" w:hAnsi="仿宋" w:eastAsia="仿宋" w:cs="仿宋"/>
          <w:b/>
          <w:bCs/>
          <w:color w:val="000000"/>
          <w:highlight w:val="none"/>
          <w:lang w:eastAsia="zh-CN"/>
        </w:rPr>
      </w:pPr>
      <w:bookmarkStart w:id="64" w:name="_Toc20832"/>
      <w:bookmarkStart w:id="65" w:name="_Toc12239"/>
      <w:bookmarkStart w:id="66" w:name="_Toc12840_WPSOffice_Level1"/>
      <w:bookmarkStart w:id="67" w:name="_Toc267320054"/>
      <w:bookmarkStart w:id="68" w:name="_Toc439255252"/>
      <w:bookmarkStart w:id="69" w:name="_Toc469495740"/>
      <w:r>
        <w:rPr>
          <w:rFonts w:hint="eastAsia" w:ascii="仿宋" w:hAnsi="仿宋" w:eastAsia="仿宋" w:cs="仿宋"/>
          <w:b/>
          <w:bCs/>
          <w:color w:val="000000"/>
          <w:highlight w:val="none"/>
          <w:lang w:eastAsia="zh-CN"/>
        </w:rPr>
        <w:t>（九）其他</w:t>
      </w:r>
      <w:bookmarkEnd w:id="64"/>
      <w:bookmarkEnd w:id="65"/>
    </w:p>
    <w:bookmarkEnd w:id="66"/>
    <w:bookmarkEnd w:id="67"/>
    <w:bookmarkEnd w:id="68"/>
    <w:p w14:paraId="5E8C652A">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1、供应商必须在投标文件中对以上条款和服务承诺明确列出，承诺内容必须达到本篇及招标文件其他条款的要求。</w:t>
      </w:r>
    </w:p>
    <w:p w14:paraId="09E7F1AF">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2、中标人与采购人签订《协议》后，须与用户方签订《货物采购供应合同》（包括供货范围、需求数量、单价等），明确具体供货数量、供货时间、送达地点等内容。</w:t>
      </w:r>
    </w:p>
    <w:p w14:paraId="25BA72DA">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3、其他未尽事宜由供需双方在采购合同中详细约定。</w:t>
      </w:r>
    </w:p>
    <w:p w14:paraId="37B86B6B">
      <w:pPr>
        <w:spacing w:line="360" w:lineRule="auto"/>
        <w:ind w:firstLine="420" w:firstLineChars="200"/>
        <w:rPr>
          <w:rFonts w:ascii="仿宋" w:hAnsi="仿宋" w:eastAsia="仿宋" w:cs="仿宋"/>
          <w:color w:val="000000"/>
          <w:highlight w:val="none"/>
          <w:lang w:eastAsia="zh-CN"/>
        </w:rPr>
      </w:pPr>
      <w:r>
        <w:rPr>
          <w:rFonts w:hint="eastAsia" w:ascii="仿宋" w:hAnsi="仿宋" w:eastAsia="仿宋" w:cs="仿宋"/>
          <w:color w:val="000000"/>
          <w:highlight w:val="none"/>
          <w:lang w:eastAsia="zh-CN"/>
        </w:rPr>
        <w:t>4、 若供应商不能按招标文件规定的供货期正常完工，采购方有权终止采购合同，并将相关情况上报给采购计划主管部门，取消其中标资格。</w:t>
      </w:r>
    </w:p>
    <w:p w14:paraId="4B32F39F">
      <w:pPr>
        <w:spacing w:line="360" w:lineRule="auto"/>
        <w:ind w:firstLine="420" w:firstLineChars="200"/>
        <w:rPr>
          <w:rFonts w:ascii="仿宋" w:hAnsi="仿宋" w:eastAsia="仿宋" w:cs="仿宋"/>
          <w:b/>
          <w:color w:val="000000"/>
          <w:sz w:val="30"/>
          <w:szCs w:val="30"/>
          <w:highlight w:val="none"/>
          <w:lang w:eastAsia="zh-CN"/>
        </w:rPr>
      </w:pPr>
      <w:r>
        <w:rPr>
          <w:rFonts w:hint="eastAsia" w:ascii="仿宋" w:hAnsi="仿宋" w:eastAsia="仿宋" w:cs="仿宋"/>
          <w:color w:val="000000"/>
          <w:highlight w:val="none"/>
          <w:lang w:eastAsia="zh-CN"/>
        </w:rPr>
        <w:t>5、</w:t>
      </w:r>
      <w:r>
        <w:rPr>
          <w:rFonts w:hint="eastAsia" w:ascii="仿宋" w:hAnsi="仿宋" w:eastAsia="仿宋" w:cs="仿宋"/>
          <w:color w:val="000000"/>
          <w:kern w:val="2"/>
          <w:highlight w:val="none"/>
          <w:lang w:eastAsia="zh-CN" w:bidi="ar-SA"/>
        </w:rPr>
        <w:t>其他未尽事宜由供需双方在采购合同中详细约定。</w:t>
      </w:r>
      <w:bookmarkEnd w:id="69"/>
    </w:p>
    <w:p w14:paraId="2FA3675E">
      <w:pPr>
        <w:spacing w:line="480" w:lineRule="exact"/>
        <w:jc w:val="center"/>
        <w:outlineLvl w:val="1"/>
        <w:rPr>
          <w:rFonts w:hint="eastAsia" w:ascii="仿宋" w:hAnsi="仿宋" w:eastAsia="仿宋" w:cs="仿宋"/>
          <w:b/>
          <w:color w:val="000000"/>
          <w:sz w:val="30"/>
          <w:szCs w:val="30"/>
          <w:highlight w:val="yellow"/>
          <w:lang w:eastAsia="zh-CN"/>
        </w:rPr>
      </w:pPr>
    </w:p>
    <w:p w14:paraId="1E3F11D4">
      <w:r>
        <w:rPr>
          <w:rFonts w:hint="eastAsia" w:ascii="仿宋" w:hAnsi="仿宋" w:eastAsia="仿宋" w:cs="仿宋"/>
          <w:b/>
          <w:bCs/>
          <w:color w:val="auto"/>
          <w:kern w:val="2"/>
          <w:sz w:val="40"/>
          <w:szCs w:val="40"/>
          <w:highlight w:val="none"/>
          <w:u w:val="none"/>
          <w:shd w:val="clear" w:color="auto" w:fill="auto"/>
          <w:lang w:val="en-US" w:eastAsia="zh-CN" w:bidi="ar-SA"/>
        </w:rPr>
        <w:br w:type="page"/>
      </w:r>
    </w:p>
    <w:bookmarkEnd w:id="63"/>
    <w:p w14:paraId="20E866EF">
      <w:pPr>
        <w:pageBreakBefore/>
        <w:shd w:val="clear" w:color="auto" w:fill="auto"/>
        <w:spacing w:line="360" w:lineRule="auto"/>
        <w:jc w:val="center"/>
        <w:outlineLvl w:val="0"/>
        <w:rPr>
          <w:rFonts w:hint="eastAsia" w:ascii="仿宋" w:hAnsi="仿宋" w:eastAsia="仿宋" w:cs="仿宋"/>
          <w:b/>
          <w:color w:val="auto"/>
          <w:sz w:val="40"/>
          <w:szCs w:val="40"/>
          <w:highlight w:val="none"/>
          <w:lang w:eastAsia="zh-CN"/>
        </w:rPr>
      </w:pPr>
      <w:bookmarkStart w:id="70" w:name="_Toc6896"/>
      <w:bookmarkStart w:id="71" w:name="_Toc2264"/>
      <w:bookmarkStart w:id="72" w:name="_Toc15403"/>
      <w:r>
        <w:rPr>
          <w:rFonts w:hint="eastAsia" w:ascii="仿宋" w:hAnsi="仿宋" w:eastAsia="仿宋" w:cs="仿宋"/>
          <w:b/>
          <w:color w:val="auto"/>
          <w:sz w:val="40"/>
          <w:szCs w:val="40"/>
          <w:highlight w:val="none"/>
          <w:lang w:eastAsia="zh-CN"/>
        </w:rPr>
        <w:t>第五章 合同条款及格式</w:t>
      </w:r>
      <w:bookmarkEnd w:id="70"/>
      <w:bookmarkStart w:id="73" w:name="_Toc20669"/>
    </w:p>
    <w:p w14:paraId="2B3FE8C0">
      <w:pPr>
        <w:spacing w:line="480" w:lineRule="exact"/>
        <w:jc w:val="center"/>
        <w:outlineLvl w:val="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73"/>
    </w:p>
    <w:p w14:paraId="4450A6F3">
      <w:pPr>
        <w:keepNext w:val="0"/>
        <w:keepLines w:val="0"/>
        <w:pageBreakBefore w:val="0"/>
        <w:widowControl/>
        <w:numPr>
          <w:ilvl w:val="0"/>
          <w:numId w:val="17"/>
        </w:numPr>
        <w:kinsoku/>
        <w:wordWrap/>
        <w:overflowPunct/>
        <w:topLinePunct w:val="0"/>
        <w:autoSpaceDE/>
        <w:autoSpaceDN/>
        <w:bidi w:val="0"/>
        <w:adjustRightInd/>
        <w:snapToGrid/>
        <w:spacing w:line="440" w:lineRule="exact"/>
        <w:jc w:val="center"/>
        <w:textAlignment w:val="baseline"/>
        <w:outlineLvl w:val="9"/>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74" w:name="_Toc469495741"/>
      <w:r>
        <w:rPr>
          <w:rFonts w:hint="eastAsia" w:ascii="仿宋" w:hAnsi="仿宋" w:eastAsia="仿宋" w:cs="仿宋"/>
          <w:b/>
          <w:color w:val="auto"/>
          <w:sz w:val="30"/>
          <w:szCs w:val="30"/>
          <w:highlight w:val="none"/>
        </w:rPr>
        <w:t>合同协议书</w:t>
      </w:r>
      <w:bookmarkEnd w:id="74"/>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7F0883A7">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9"/>
        <w:rPr>
          <w:rFonts w:ascii="仿宋" w:hAnsi="仿宋" w:eastAsia="仿宋" w:cs="仿宋"/>
          <w:color w:val="auto"/>
          <w:highlight w:val="none"/>
        </w:rPr>
      </w:pPr>
      <w:r>
        <w:rPr>
          <w:rFonts w:hint="eastAsia" w:ascii="仿宋" w:hAnsi="仿宋" w:eastAsia="仿宋" w:cs="仿宋"/>
          <w:color w:val="auto"/>
          <w:highlight w:val="none"/>
        </w:rPr>
        <w:t>编号</w:t>
      </w:r>
    </w:p>
    <w:p w14:paraId="7D8A2DB1">
      <w:pPr>
        <w:keepNext w:val="0"/>
        <w:keepLines w:val="0"/>
        <w:pageBreakBefore w:val="0"/>
        <w:kinsoku/>
        <w:wordWrap/>
        <w:overflowPunct/>
        <w:topLinePunct w:val="0"/>
        <w:autoSpaceDE/>
        <w:autoSpaceDN/>
        <w:bidi w:val="0"/>
        <w:adjustRightInd/>
        <w:snapToGrid/>
        <w:spacing w:line="440" w:lineRule="exact"/>
        <w:ind w:firstLine="420" w:firstLineChars="200"/>
        <w:outlineLvl w:val="9"/>
        <w:rPr>
          <w:rFonts w:ascii="仿宋" w:hAnsi="仿宋" w:eastAsia="仿宋" w:cs="仿宋"/>
          <w:color w:val="auto"/>
          <w:highlight w:val="none"/>
        </w:rPr>
      </w:pPr>
      <w:r>
        <w:rPr>
          <w:rFonts w:hint="eastAsia" w:ascii="仿宋" w:hAnsi="仿宋" w:eastAsia="仿宋" w:cs="仿宋"/>
          <w:color w:val="auto"/>
          <w:highlight w:val="none"/>
        </w:rPr>
        <w:t>买    方：                                   卖    方：</w:t>
      </w:r>
    </w:p>
    <w:p w14:paraId="72661465">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7E795DF9">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3E399287">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为中标人。按照《中华人民共和国民法典》的规定，买卖双方同意按照下述的条款和条件，签署本合同。</w:t>
      </w:r>
    </w:p>
    <w:p w14:paraId="684DBB9F">
      <w:pPr>
        <w:keepNext w:val="0"/>
        <w:keepLines w:val="0"/>
        <w:pageBreakBefore w:val="0"/>
        <w:kinsoku/>
        <w:wordWrap/>
        <w:overflowPunct/>
        <w:topLinePunct w:val="0"/>
        <w:autoSpaceDE/>
        <w:autoSpaceDN/>
        <w:bidi w:val="0"/>
        <w:adjustRightInd/>
        <w:snapToGrid/>
        <w:spacing w:line="4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7649B1D3">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06ACE1D9">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2412E0D8">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41860D68">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0B00AC00">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6D6F0ADF">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2CD8CB0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sz w:val="24"/>
          <w:szCs w:val="24"/>
          <w:lang w:val="en-US" w:eastAsia="zh-CN"/>
        </w:rPr>
        <w:t>货物到达采购人指定地点，验收合格后，一次性支付全部货款。</w:t>
      </w:r>
      <w:r>
        <w:rPr>
          <w:rFonts w:hint="eastAsia" w:ascii="仿宋" w:hAnsi="仿宋" w:eastAsia="仿宋" w:cs="仿宋"/>
          <w:b w:val="0"/>
          <w:bCs w:val="0"/>
          <w:color w:val="auto"/>
          <w:highlight w:val="none"/>
          <w:lang w:eastAsia="zh-CN"/>
        </w:rPr>
        <w:t>（具体以甲乙双方签订合同为准）</w:t>
      </w:r>
    </w:p>
    <w:p w14:paraId="374E25CD">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7C23481B">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B37D4E7">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510A51CB">
      <w:pPr>
        <w:spacing w:line="4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13360C9B">
      <w:pPr>
        <w:pStyle w:val="12"/>
        <w:spacing w:after="0" w:line="42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B2EA5E4">
      <w:pPr>
        <w:pStyle w:val="12"/>
        <w:spacing w:after="0" w:line="42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6FE77E74">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2C226887">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3DAAD313">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6303DD47">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FEAE2">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4A16CDDA">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0367AC24">
      <w:pPr>
        <w:pStyle w:val="12"/>
        <w:spacing w:after="0" w:line="360" w:lineRule="exact"/>
        <w:ind w:left="0" w:leftChars="0" w:firstLine="42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664D44B5">
      <w:pPr>
        <w:pStyle w:val="12"/>
        <w:spacing w:after="0" w:line="360" w:lineRule="exact"/>
        <w:ind w:left="0" w:leftChars="0" w:firstLine="420" w:firstLineChars="200"/>
        <w:rPr>
          <w:rFonts w:hint="default" w:eastAsia="浠垮畫" w:cs="浠垮畫" w:asciiTheme="minorAscii" w:hAnsiTheme="minorAscii"/>
          <w:b/>
          <w:bCs/>
          <w:color w:val="000000"/>
          <w:kern w:val="0"/>
          <w:sz w:val="30"/>
          <w:szCs w:val="30"/>
          <w:lang w:val="en-US" w:eastAsia="zh-CN" w:bidi="ar"/>
        </w:rPr>
      </w:pPr>
      <w:r>
        <w:rPr>
          <w:rFonts w:hint="eastAsia" w:ascii="仿宋" w:hAnsi="仿宋" w:eastAsia="仿宋" w:cs="仿宋"/>
          <w:color w:val="auto"/>
          <w:highlight w:val="none"/>
          <w:u w:color="000000"/>
          <w:lang w:eastAsia="zh-CN"/>
        </w:rPr>
        <w:t>帐    号：                          帐    号：</w:t>
      </w:r>
    </w:p>
    <w:p w14:paraId="65F836D2">
      <w:pPr>
        <w:pStyle w:val="12"/>
        <w:spacing w:after="0" w:line="420" w:lineRule="exact"/>
        <w:ind w:left="0" w:leftChars="0" w:firstLine="602"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p>
    <w:p w14:paraId="5C28C7FE">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2F77227">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540F409D">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515CB7A6">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5E746E71">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19DF95D5">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24827E46">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21D207F9">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C332713">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02A5F043">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2E8B4C1E">
      <w:pPr>
        <w:spacing w:line="440" w:lineRule="exact"/>
        <w:ind w:firstLine="42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5161C7F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BEE8E18">
      <w:pPr>
        <w:pStyle w:val="8"/>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720AC285">
      <w:pPr>
        <w:pStyle w:val="8"/>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5128AF0E">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2A444F1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4DB2FFC6">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DDE5C7F">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42DF2987">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69571B92">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A39C4B4">
      <w:pPr>
        <w:pStyle w:val="8"/>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627C25C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75FFC43B">
      <w:pPr>
        <w:pStyle w:val="8"/>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38389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4C8811E9">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2200D95F">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291A4C09">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A406A87">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1939AED1">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486E6C6A">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06A2639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41D567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0CEF0E13">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3CF9A4B1">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5A2C74F6">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4A6317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4818570F">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486C2341">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78AA031A">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DA4258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466ABC5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533D2DBC">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25D77931">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2EC5D3C7">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2C082646">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70193656">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6507699B">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19139E48">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7C691E3A">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22DC70FE">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1E9D789B">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08989778">
      <w:pPr>
        <w:pStyle w:val="8"/>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3CF3EC7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39DDFD9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48F9CA9">
      <w:pPr>
        <w:pStyle w:val="8"/>
        <w:spacing w:line="440" w:lineRule="exact"/>
        <w:ind w:firstLine="48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7ADE51A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7640E9A4">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78232A3C">
      <w:pPr>
        <w:pStyle w:val="8"/>
        <w:overflowPunct w:val="0"/>
        <w:spacing w:line="440" w:lineRule="exact"/>
        <w:ind w:right="-334"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3B161972">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68B287B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7BD38F58">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79BF2588">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6FF58A7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01D188B2">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064AAF35">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419EAA4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72773CC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46DB2EF4">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B4B661">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27AAA235">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07C15E79">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0FCA799C">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40BECC7C">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D755716">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475A09BB">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5EE750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5C171BD6">
      <w:pPr>
        <w:pStyle w:val="8"/>
        <w:overflowPunct w:val="0"/>
        <w:spacing w:line="440" w:lineRule="exact"/>
        <w:ind w:firstLine="600"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68573130">
      <w:pPr>
        <w:pStyle w:val="8"/>
        <w:overflowPunct w:val="0"/>
        <w:spacing w:line="440" w:lineRule="exact"/>
        <w:ind w:right="-334"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6CD218F6">
      <w:pPr>
        <w:pStyle w:val="8"/>
        <w:overflowPunct w:val="0"/>
        <w:spacing w:line="440" w:lineRule="exact"/>
        <w:ind w:right="-874"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462B1352">
      <w:pPr>
        <w:pStyle w:val="8"/>
        <w:overflowPunct w:val="0"/>
        <w:spacing w:line="440" w:lineRule="exact"/>
        <w:ind w:right="-874"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757644C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326BC99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307A597C">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1774C874">
      <w:pPr>
        <w:pStyle w:val="8"/>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0A10648E">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1539C49C">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60B649A9">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5A403E4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6F8A8F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3520088">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352B297E">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7901201D">
      <w:pPr>
        <w:spacing w:line="44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149D30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348E51E">
      <w:pPr>
        <w:spacing w:line="440" w:lineRule="exact"/>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45082A98">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4CA6B74">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1AF07843">
      <w:pPr>
        <w:pStyle w:val="8"/>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213C24BF">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136003B2">
      <w:pPr>
        <w:spacing w:line="440" w:lineRule="exact"/>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6AACCF6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6E8D55C">
      <w:pPr>
        <w:spacing w:line="440" w:lineRule="exact"/>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4EBCE2F0">
      <w:pPr>
        <w:spacing w:line="440" w:lineRule="exact"/>
        <w:ind w:firstLine="525" w:firstLineChars="25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3EF12535">
      <w:pPr>
        <w:ind w:firstLine="420" w:firstLineChars="200"/>
        <w:rPr>
          <w:rFonts w:hint="eastAsia" w:ascii="仿宋" w:hAnsi="仿宋" w:eastAsia="仿宋" w:cs="仿宋"/>
          <w:color w:val="auto"/>
          <w:highlight w:val="none"/>
          <w:lang w:eastAsia="zh-CN"/>
        </w:rPr>
      </w:pPr>
    </w:p>
    <w:p w14:paraId="3A761B8D">
      <w:pPr>
        <w:pStyle w:val="51"/>
        <w:keepNext/>
        <w:keepLines/>
        <w:spacing w:before="0" w:after="0"/>
        <w:outlineLvl w:val="0"/>
        <w:rPr>
          <w:rFonts w:hint="eastAsia" w:ascii="仿宋" w:hAnsi="仿宋" w:eastAsia="仿宋" w:cs="仿宋"/>
          <w:b/>
          <w:bCs/>
          <w:color w:val="auto"/>
          <w:sz w:val="40"/>
          <w:szCs w:val="40"/>
        </w:rPr>
      </w:pPr>
    </w:p>
    <w:p w14:paraId="14B21646">
      <w:pPr>
        <w:pStyle w:val="51"/>
        <w:keepNext/>
        <w:keepLines/>
        <w:spacing w:before="0" w:after="0"/>
        <w:outlineLvl w:val="0"/>
        <w:rPr>
          <w:rFonts w:hint="eastAsia" w:ascii="仿宋" w:hAnsi="仿宋" w:eastAsia="仿宋" w:cs="仿宋"/>
          <w:b/>
          <w:bCs/>
          <w:color w:val="auto"/>
          <w:sz w:val="40"/>
          <w:szCs w:val="40"/>
        </w:rPr>
      </w:pPr>
    </w:p>
    <w:p w14:paraId="1A0DF362">
      <w:pPr>
        <w:pStyle w:val="51"/>
        <w:keepNext/>
        <w:keepLines/>
        <w:spacing w:before="0" w:after="0"/>
        <w:outlineLvl w:val="0"/>
        <w:rPr>
          <w:rFonts w:hint="eastAsia" w:ascii="仿宋" w:hAnsi="仿宋" w:eastAsia="仿宋" w:cs="仿宋"/>
          <w:b/>
          <w:bCs/>
          <w:color w:val="auto"/>
          <w:sz w:val="40"/>
          <w:szCs w:val="40"/>
        </w:rPr>
      </w:pPr>
    </w:p>
    <w:p w14:paraId="49148A3A">
      <w:pPr>
        <w:rPr>
          <w:rFonts w:hint="eastAsia" w:ascii="仿宋" w:hAnsi="仿宋" w:eastAsia="仿宋" w:cs="仿宋"/>
          <w:b/>
          <w:bCs/>
          <w:color w:val="auto"/>
          <w:sz w:val="40"/>
          <w:szCs w:val="40"/>
        </w:rPr>
      </w:pPr>
      <w:bookmarkStart w:id="75" w:name="_Toc23744"/>
      <w:r>
        <w:rPr>
          <w:rFonts w:hint="eastAsia" w:ascii="仿宋" w:hAnsi="仿宋" w:eastAsia="仿宋" w:cs="仿宋"/>
          <w:b/>
          <w:bCs/>
          <w:color w:val="auto"/>
          <w:sz w:val="40"/>
          <w:szCs w:val="40"/>
        </w:rPr>
        <w:br w:type="page"/>
      </w:r>
    </w:p>
    <w:p w14:paraId="1E6B0A6A">
      <w:pPr>
        <w:pStyle w:val="51"/>
        <w:keepNext/>
        <w:keepLines/>
        <w:spacing w:before="0" w:after="0"/>
        <w:outlineLvl w:val="0"/>
        <w:rPr>
          <w:rFonts w:ascii="仿宋" w:hAnsi="仿宋" w:eastAsia="仿宋" w:cs="仿宋"/>
          <w:b/>
          <w:bCs/>
          <w:color w:val="auto"/>
          <w:sz w:val="40"/>
          <w:szCs w:val="40"/>
        </w:rPr>
      </w:pPr>
      <w:r>
        <w:rPr>
          <w:rFonts w:hint="eastAsia" w:ascii="仿宋" w:hAnsi="仿宋" w:eastAsia="仿宋" w:cs="仿宋"/>
          <w:b/>
          <w:bCs/>
          <w:color w:val="auto"/>
          <w:sz w:val="40"/>
          <w:szCs w:val="40"/>
        </w:rPr>
        <w:t>第</w:t>
      </w:r>
      <w:r>
        <w:rPr>
          <w:rFonts w:hint="eastAsia" w:ascii="仿宋" w:hAnsi="仿宋" w:eastAsia="仿宋" w:cs="仿宋"/>
          <w:b/>
          <w:bCs/>
          <w:color w:val="auto"/>
          <w:sz w:val="40"/>
          <w:szCs w:val="40"/>
          <w:lang w:eastAsia="zh-CN"/>
        </w:rPr>
        <w:t>六</w:t>
      </w:r>
      <w:r>
        <w:rPr>
          <w:rFonts w:hint="eastAsia" w:ascii="仿宋" w:hAnsi="仿宋" w:eastAsia="仿宋" w:cs="仿宋"/>
          <w:b/>
          <w:bCs/>
          <w:color w:val="auto"/>
          <w:sz w:val="40"/>
          <w:szCs w:val="40"/>
          <w:lang w:val="en-US" w:eastAsia="zh-CN"/>
        </w:rPr>
        <w:t xml:space="preserve">章 </w:t>
      </w:r>
      <w:r>
        <w:rPr>
          <w:rFonts w:hint="eastAsia" w:ascii="仿宋" w:hAnsi="仿宋" w:eastAsia="仿宋" w:cs="仿宋"/>
          <w:b/>
          <w:bCs/>
          <w:color w:val="auto"/>
          <w:sz w:val="40"/>
          <w:szCs w:val="40"/>
        </w:rPr>
        <w:t>投标文件格式</w:t>
      </w:r>
      <w:bookmarkEnd w:id="71"/>
      <w:bookmarkEnd w:id="72"/>
      <w:bookmarkEnd w:id="75"/>
    </w:p>
    <w:p w14:paraId="35390783">
      <w:pPr>
        <w:adjustRightInd w:val="0"/>
        <w:snapToGrid w:val="0"/>
        <w:spacing w:line="360" w:lineRule="auto"/>
        <w:jc w:val="center"/>
        <w:outlineLvl w:val="9"/>
        <w:rPr>
          <w:rFonts w:ascii="仿宋" w:hAnsi="仿宋" w:eastAsia="仿宋" w:cs="仿宋"/>
          <w:b/>
          <w:caps/>
          <w:color w:val="auto"/>
          <w:lang w:eastAsia="zh-CN"/>
        </w:rPr>
      </w:pPr>
      <w:bookmarkStart w:id="76" w:name="bookmark196"/>
    </w:p>
    <w:p w14:paraId="2CE35142">
      <w:pPr>
        <w:pStyle w:val="35"/>
        <w:rPr>
          <w:lang w:eastAsia="zh-CN"/>
        </w:rPr>
      </w:pPr>
    </w:p>
    <w:p w14:paraId="0BFA5902">
      <w:pPr>
        <w:pStyle w:val="36"/>
        <w:rPr>
          <w:lang w:eastAsia="zh-CN"/>
        </w:rPr>
      </w:pPr>
    </w:p>
    <w:p w14:paraId="02880DCC">
      <w:pPr>
        <w:adjustRightInd w:val="0"/>
        <w:snapToGrid w:val="0"/>
        <w:spacing w:line="360" w:lineRule="auto"/>
        <w:jc w:val="center"/>
        <w:outlineLvl w:val="9"/>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14:paraId="3F2FBBC1">
      <w:pPr>
        <w:adjustRightInd w:val="0"/>
        <w:snapToGrid w:val="0"/>
        <w:spacing w:line="360" w:lineRule="auto"/>
        <w:jc w:val="both"/>
        <w:outlineLvl w:val="9"/>
        <w:rPr>
          <w:rFonts w:ascii="仿宋" w:hAnsi="仿宋" w:eastAsia="仿宋" w:cs="仿宋"/>
          <w:bCs/>
          <w:color w:val="auto"/>
          <w:sz w:val="32"/>
          <w:szCs w:val="32"/>
          <w:lang w:eastAsia="zh-CN"/>
        </w:rPr>
      </w:pPr>
    </w:p>
    <w:p w14:paraId="54459F39">
      <w:pPr>
        <w:adjustRightInd w:val="0"/>
        <w:snapToGrid w:val="0"/>
        <w:spacing w:line="360" w:lineRule="auto"/>
        <w:jc w:val="center"/>
        <w:outlineLvl w:val="9"/>
        <w:rPr>
          <w:rFonts w:ascii="仿宋" w:hAnsi="仿宋" w:eastAsia="仿宋" w:cs="仿宋"/>
          <w:bCs/>
          <w:color w:val="auto"/>
          <w:sz w:val="32"/>
          <w:szCs w:val="32"/>
          <w:lang w:eastAsia="zh-CN"/>
        </w:rPr>
      </w:pPr>
    </w:p>
    <w:p w14:paraId="77C16864">
      <w:pPr>
        <w:adjustRightInd w:val="0"/>
        <w:snapToGrid w:val="0"/>
        <w:spacing w:line="360" w:lineRule="auto"/>
        <w:jc w:val="center"/>
        <w:outlineLvl w:val="9"/>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41BA33F8">
      <w:pPr>
        <w:adjustRightInd w:val="0"/>
        <w:snapToGrid w:val="0"/>
        <w:spacing w:line="360" w:lineRule="auto"/>
        <w:jc w:val="center"/>
        <w:outlineLvl w:val="9"/>
        <w:rPr>
          <w:rFonts w:ascii="仿宋" w:hAnsi="仿宋" w:eastAsia="仿宋" w:cs="仿宋"/>
          <w:bCs/>
          <w:color w:val="auto"/>
          <w:sz w:val="32"/>
          <w:szCs w:val="32"/>
          <w:lang w:eastAsia="zh-CN"/>
        </w:rPr>
      </w:pPr>
    </w:p>
    <w:p w14:paraId="0D55A076">
      <w:pPr>
        <w:adjustRightInd w:val="0"/>
        <w:snapToGrid w:val="0"/>
        <w:spacing w:line="360" w:lineRule="auto"/>
        <w:jc w:val="both"/>
        <w:outlineLvl w:val="9"/>
        <w:rPr>
          <w:rFonts w:ascii="仿宋" w:hAnsi="仿宋" w:eastAsia="仿宋" w:cs="仿宋"/>
          <w:bCs/>
          <w:color w:val="auto"/>
          <w:sz w:val="32"/>
          <w:szCs w:val="32"/>
          <w:lang w:eastAsia="zh-CN"/>
        </w:rPr>
      </w:pPr>
    </w:p>
    <w:p w14:paraId="0F6E31F6">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496842130"/>
          <w:lang w:eastAsia="zh-CN"/>
        </w:rPr>
        <w:t>供应商名称（公章）：</w:t>
      </w:r>
    </w:p>
    <w:p w14:paraId="7920F5C1">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0225A9FB">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94185094"/>
          <w:lang w:eastAsia="zh-CN"/>
        </w:rPr>
        <w:t>法定代表人（签章或盖章）</w:t>
      </w:r>
      <w:r>
        <w:rPr>
          <w:rFonts w:hint="eastAsia" w:ascii="仿宋" w:hAnsi="仿宋" w:eastAsia="仿宋" w:cs="仿宋"/>
          <w:b/>
          <w:caps/>
          <w:color w:val="auto"/>
          <w:spacing w:val="-1"/>
          <w:w w:val="77"/>
          <w:kern w:val="0"/>
          <w:sz w:val="28"/>
          <w:szCs w:val="28"/>
          <w:fitText w:val="2810" w:id="94185094"/>
          <w:lang w:eastAsia="zh-CN"/>
        </w:rPr>
        <w:t>：</w:t>
      </w:r>
    </w:p>
    <w:p w14:paraId="2ED5413F">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02369D49">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1508115476"/>
          <w:lang w:eastAsia="zh-CN"/>
        </w:rPr>
        <w:t>供应商地址</w:t>
      </w:r>
      <w:r>
        <w:rPr>
          <w:rFonts w:hint="eastAsia" w:ascii="仿宋" w:hAnsi="仿宋" w:eastAsia="仿宋" w:cs="仿宋"/>
          <w:b/>
          <w:caps/>
          <w:color w:val="auto"/>
          <w:spacing w:val="0"/>
          <w:kern w:val="0"/>
          <w:sz w:val="28"/>
          <w:szCs w:val="28"/>
          <w:fitText w:val="2810" w:id="1508115476"/>
          <w:lang w:eastAsia="zh-CN"/>
        </w:rPr>
        <w:t>：</w:t>
      </w:r>
    </w:p>
    <w:p w14:paraId="550EEE03">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3BCC2E43">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1230780294"/>
          <w:lang w:eastAsia="zh-CN"/>
        </w:rPr>
        <w:t>联系人</w:t>
      </w:r>
      <w:r>
        <w:rPr>
          <w:rFonts w:hint="eastAsia" w:ascii="仿宋" w:hAnsi="仿宋" w:eastAsia="仿宋" w:cs="仿宋"/>
          <w:b/>
          <w:caps/>
          <w:color w:val="auto"/>
          <w:spacing w:val="2"/>
          <w:kern w:val="0"/>
          <w:sz w:val="28"/>
          <w:szCs w:val="28"/>
          <w:fitText w:val="2810" w:id="1230780294"/>
          <w:lang w:eastAsia="zh-CN"/>
        </w:rPr>
        <w:t>：</w:t>
      </w:r>
    </w:p>
    <w:p w14:paraId="7D48BDBB">
      <w:pPr>
        <w:adjustRightInd w:val="0"/>
        <w:snapToGrid w:val="0"/>
        <w:spacing w:line="360" w:lineRule="auto"/>
        <w:ind w:right="-134" w:rightChars="-64"/>
        <w:outlineLvl w:val="9"/>
        <w:rPr>
          <w:rFonts w:ascii="仿宋" w:hAnsi="仿宋" w:eastAsia="仿宋" w:cs="仿宋"/>
          <w:b/>
          <w:caps/>
          <w:color w:val="auto"/>
          <w:sz w:val="28"/>
          <w:szCs w:val="28"/>
          <w:lang w:eastAsia="zh-CN"/>
        </w:rPr>
      </w:pPr>
    </w:p>
    <w:p w14:paraId="3B988628">
      <w:pPr>
        <w:adjustRightInd w:val="0"/>
        <w:snapToGrid w:val="0"/>
        <w:spacing w:line="360" w:lineRule="auto"/>
        <w:ind w:right="-134" w:rightChars="-64"/>
        <w:outlineLvl w:val="9"/>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871005141"/>
          <w:lang w:eastAsia="zh-CN"/>
        </w:rPr>
        <w:t>联系电话</w:t>
      </w:r>
      <w:r>
        <w:rPr>
          <w:rFonts w:hint="eastAsia" w:ascii="仿宋" w:hAnsi="仿宋" w:eastAsia="仿宋" w:cs="仿宋"/>
          <w:b/>
          <w:caps/>
          <w:color w:val="auto"/>
          <w:spacing w:val="1"/>
          <w:kern w:val="0"/>
          <w:sz w:val="28"/>
          <w:szCs w:val="28"/>
          <w:fitText w:val="2810" w:id="871005141"/>
          <w:lang w:eastAsia="zh-CN"/>
        </w:rPr>
        <w:t>：</w:t>
      </w:r>
    </w:p>
    <w:p w14:paraId="19FA8F85">
      <w:pPr>
        <w:adjustRightInd w:val="0"/>
        <w:snapToGrid w:val="0"/>
        <w:spacing w:line="360" w:lineRule="auto"/>
        <w:jc w:val="center"/>
        <w:outlineLvl w:val="9"/>
        <w:rPr>
          <w:rFonts w:ascii="仿宋" w:hAnsi="仿宋" w:eastAsia="仿宋" w:cs="仿宋"/>
          <w:b/>
          <w:caps/>
          <w:color w:val="auto"/>
          <w:sz w:val="28"/>
          <w:szCs w:val="28"/>
          <w:lang w:eastAsia="zh-CN"/>
        </w:rPr>
      </w:pPr>
    </w:p>
    <w:p w14:paraId="120866EA">
      <w:pPr>
        <w:adjustRightInd w:val="0"/>
        <w:snapToGrid w:val="0"/>
        <w:spacing w:line="360" w:lineRule="auto"/>
        <w:jc w:val="center"/>
        <w:outlineLvl w:val="9"/>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bookmarkEnd w:id="76"/>
    <w:p w14:paraId="1FFC1CDB">
      <w:pPr>
        <w:rPr>
          <w:rFonts w:hint="eastAsia" w:ascii="仿宋" w:hAnsi="仿宋" w:eastAsia="仿宋" w:cs="仿宋"/>
          <w:bCs/>
          <w:color w:val="auto"/>
          <w:sz w:val="32"/>
          <w:szCs w:val="32"/>
          <w:highlight w:val="none"/>
          <w:lang w:eastAsia="zh-CN"/>
        </w:rPr>
      </w:pPr>
      <w:bookmarkStart w:id="77" w:name="_Toc515647803"/>
      <w:bookmarkStart w:id="78" w:name="_Toc18694"/>
      <w:bookmarkStart w:id="79" w:name="_Toc18974"/>
      <w:bookmarkStart w:id="80" w:name="_Toc8919"/>
      <w:r>
        <w:rPr>
          <w:rFonts w:hint="eastAsia" w:ascii="仿宋" w:hAnsi="仿宋" w:eastAsia="仿宋" w:cs="仿宋"/>
          <w:bCs/>
          <w:color w:val="auto"/>
          <w:sz w:val="32"/>
          <w:szCs w:val="32"/>
          <w:highlight w:val="none"/>
          <w:lang w:eastAsia="zh-CN"/>
        </w:rPr>
        <w:br w:type="page"/>
      </w:r>
    </w:p>
    <w:p w14:paraId="6BCEB036">
      <w:pPr>
        <w:pageBreakBefore w:val="0"/>
        <w:widowControl w:val="0"/>
        <w:numPr>
          <w:ilvl w:val="0"/>
          <w:numId w:val="0"/>
        </w:numPr>
        <w:tabs>
          <w:tab w:val="left" w:pos="540"/>
        </w:tabs>
        <w:wordWrap/>
        <w:topLinePunct w:val="0"/>
        <w:autoSpaceDE/>
        <w:autoSpaceDN/>
        <w:bidi w:val="0"/>
        <w:adjustRightInd/>
        <w:snapToGrid/>
        <w:spacing w:line="360" w:lineRule="auto"/>
        <w:ind w:left="431" w:leftChars="0"/>
        <w:jc w:val="center"/>
        <w:textAlignment w:val="auto"/>
        <w:outlineLvl w:val="9"/>
        <w:rPr>
          <w:rFonts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lang w:eastAsia="zh-CN"/>
        </w:rPr>
        <w:t>第一部分 资格证明文件</w:t>
      </w:r>
      <w:bookmarkEnd w:id="77"/>
      <w:bookmarkEnd w:id="78"/>
      <w:bookmarkEnd w:id="79"/>
      <w:bookmarkEnd w:id="80"/>
    </w:p>
    <w:p w14:paraId="79178C33">
      <w:pPr>
        <w:pageBreakBefore w:val="0"/>
        <w:widowControl w:val="0"/>
        <w:wordWrap/>
        <w:topLinePunct w:val="0"/>
        <w:autoSpaceDE/>
        <w:autoSpaceDN/>
        <w:bidi w:val="0"/>
        <w:adjustRightInd/>
        <w:snapToGrid/>
        <w:spacing w:line="360" w:lineRule="auto"/>
        <w:ind w:left="717" w:hanging="619" w:hangingChars="295"/>
        <w:jc w:val="center"/>
        <w:textAlignment w:val="auto"/>
        <w:outlineLvl w:val="9"/>
        <w:rPr>
          <w:rFonts w:ascii="仿宋" w:hAnsi="仿宋" w:eastAsia="仿宋" w:cs="仿宋"/>
          <w:color w:val="auto"/>
          <w:highlight w:val="none"/>
          <w:lang w:eastAsia="zh-CN"/>
        </w:rPr>
      </w:pPr>
    </w:p>
    <w:p w14:paraId="344DB442">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0002D186">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2、法定代表人参加的需提供法定代表人身份证明及身份证原件扫描件，授权委托人参加的需提供附有法定代表人身份证明的授权委托书及被委托人身份证原件扫描件;</w:t>
      </w:r>
    </w:p>
    <w:p w14:paraId="6BFDBFA6">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3、投标企业须提供投标人（被授权本单位在职人员）近6个月内任何1个月已依法缴纳社会保险的凭据（依法不需要缴纳社会保障资金的供应商，应提供相应证明文件）；</w:t>
      </w:r>
    </w:p>
    <w:p w14:paraId="179D1AF7">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083E7634">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投标人不得被列入“信用中国”网站（www.creditchina.gov.cn）、中国政府采购网站（www.ccgp.gov.cn）失信被执行人、重大税收违法案件当事人名单、政府采购严重违法失信行为记录名单；（提供查询结果网页截图并加盖供应商公章）</w:t>
      </w:r>
    </w:p>
    <w:p w14:paraId="7FBFE188">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72EBC6C3">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w:t>
      </w:r>
      <w:r>
        <w:rPr>
          <w:rFonts w:hint="eastAsia" w:ascii="仿宋" w:hAnsi="仿宋" w:eastAsia="仿宋" w:cs="仿宋"/>
          <w:b w:val="0"/>
          <w:bCs/>
          <w:color w:val="auto"/>
          <w:sz w:val="24"/>
          <w:szCs w:val="24"/>
          <w:highlight w:val="none"/>
          <w:lang w:eastAsia="zh-CN"/>
        </w:rPr>
        <w:t>提</w:t>
      </w:r>
      <w:r>
        <w:rPr>
          <w:rFonts w:hint="eastAsia" w:ascii="仿宋" w:hAnsi="仿宋" w:eastAsia="仿宋" w:cs="仿宋"/>
          <w:b w:val="0"/>
          <w:bCs/>
          <w:color w:val="auto"/>
          <w:sz w:val="24"/>
          <w:szCs w:val="24"/>
          <w:highlight w:val="none"/>
        </w:rPr>
        <w:t>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6F2C33EF">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8、具有履行合同所必需的设备和专业技术能力（提供书面声明函）；</w:t>
      </w:r>
    </w:p>
    <w:p w14:paraId="28D2F08B">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w:t>
      </w:r>
      <w:r>
        <w:rPr>
          <w:rFonts w:hint="eastAsia" w:ascii="仿宋" w:hAnsi="仿宋" w:eastAsia="仿宋" w:cs="仿宋"/>
          <w:color w:val="auto"/>
          <w:kern w:val="0"/>
          <w:sz w:val="24"/>
          <w:szCs w:val="24"/>
          <w:highlight w:val="none"/>
          <w:lang w:val="en-US" w:eastAsia="zh-CN" w:bidi="ar"/>
        </w:rPr>
        <w:t>提供参加政府采购活动前三年内，在经营活动中没有重大违法记录（承诺函原件扫描件）；</w:t>
      </w:r>
    </w:p>
    <w:p w14:paraId="462642FA">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10、企业负责人为同一人或者存在直接控股、管理关系的不同投标人，不得参加同一合同项下的政府采购活动（提供书面声明函）；</w:t>
      </w:r>
    </w:p>
    <w:p w14:paraId="32F24A50">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、投标保证金缴纳凭证（银行回单）或保函等票据；</w:t>
      </w:r>
    </w:p>
    <w:p w14:paraId="613E4042">
      <w:pP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、供应商须知资料表要求的其他资格证明文件;</w:t>
      </w:r>
    </w:p>
    <w:p w14:paraId="6EF574F2">
      <w:pPr>
        <w:outlineLvl w:val="9"/>
        <w:rPr>
          <w:rFonts w:ascii="仿宋" w:hAnsi="仿宋" w:eastAsia="仿宋" w:cs="仿宋"/>
          <w:b/>
          <w:bCs/>
          <w:color w:val="auto"/>
          <w:sz w:val="36"/>
          <w:szCs w:val="36"/>
          <w:lang w:eastAsia="zh-CN"/>
        </w:rPr>
      </w:pPr>
    </w:p>
    <w:p w14:paraId="14A24DB5">
      <w:pPr>
        <w:pStyle w:val="10"/>
        <w:numPr>
          <w:ilvl w:val="0"/>
          <w:numId w:val="0"/>
        </w:numPr>
        <w:kinsoku w:val="0"/>
        <w:overflowPunct w:val="0"/>
        <w:spacing w:before="34" w:line="440" w:lineRule="exact"/>
        <w:ind w:left="480" w:right="126"/>
        <w:jc w:val="center"/>
        <w:outlineLvl w:val="9"/>
        <w:rPr>
          <w:rFonts w:hint="eastAsia" w:ascii="仿宋" w:hAnsi="仿宋" w:eastAsia="仿宋" w:cs="仿宋"/>
          <w:b/>
          <w:bCs/>
          <w:color w:val="auto"/>
          <w:sz w:val="36"/>
          <w:szCs w:val="36"/>
          <w:lang w:eastAsia="zh-CN"/>
        </w:rPr>
      </w:pPr>
    </w:p>
    <w:p w14:paraId="7013D5D5">
      <w:pPr>
        <w:pStyle w:val="11"/>
        <w:rPr>
          <w:rFonts w:hint="eastAsia" w:ascii="仿宋" w:hAnsi="仿宋" w:eastAsia="仿宋" w:cs="仿宋"/>
          <w:b/>
          <w:bCs/>
          <w:color w:val="auto"/>
          <w:sz w:val="36"/>
          <w:szCs w:val="36"/>
          <w:lang w:eastAsia="zh-CN"/>
        </w:rPr>
      </w:pPr>
    </w:p>
    <w:p w14:paraId="23A651FE">
      <w:pPr>
        <w:rPr>
          <w:rFonts w:hint="eastAsia" w:ascii="仿宋" w:hAnsi="仿宋" w:eastAsia="仿宋" w:cs="仿宋"/>
          <w:b/>
          <w:bCs/>
          <w:color w:val="auto"/>
          <w:sz w:val="36"/>
          <w:szCs w:val="36"/>
          <w:lang w:eastAsia="zh-CN"/>
        </w:rPr>
      </w:pPr>
    </w:p>
    <w:p w14:paraId="60E65064">
      <w:pPr>
        <w:pStyle w:val="5"/>
        <w:rPr>
          <w:rFonts w:hint="eastAsia"/>
          <w:lang w:eastAsia="zh-CN"/>
        </w:rPr>
      </w:pPr>
    </w:p>
    <w:p w14:paraId="6150BC95">
      <w:pPr>
        <w:pStyle w:val="10"/>
        <w:numPr>
          <w:ilvl w:val="0"/>
          <w:numId w:val="0"/>
        </w:numPr>
        <w:kinsoku w:val="0"/>
        <w:overflowPunct w:val="0"/>
        <w:spacing w:before="34" w:line="440" w:lineRule="exact"/>
        <w:ind w:left="480" w:right="126"/>
        <w:jc w:val="left"/>
        <w:outlineLvl w:val="9"/>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51C6EF68">
      <w:pPr>
        <w:pStyle w:val="16"/>
        <w:tabs>
          <w:tab w:val="left" w:pos="5580"/>
        </w:tabs>
        <w:spacing w:line="400" w:lineRule="exact"/>
        <w:ind w:left="1080" w:leftChars="257" w:hanging="540"/>
        <w:jc w:val="center"/>
        <w:outlineLvl w:val="9"/>
        <w:rPr>
          <w:rFonts w:ascii="仿宋" w:hAnsi="仿宋" w:eastAsia="仿宋" w:cs="仿宋"/>
          <w:b/>
          <w:color w:val="auto"/>
          <w:lang w:eastAsia="zh-CN"/>
        </w:rPr>
      </w:pPr>
    </w:p>
    <w:p w14:paraId="2E3034B8">
      <w:pPr>
        <w:pStyle w:val="16"/>
        <w:tabs>
          <w:tab w:val="left" w:pos="5580"/>
        </w:tabs>
        <w:spacing w:line="400" w:lineRule="exact"/>
        <w:ind w:left="1080" w:leftChars="257" w:hanging="540"/>
        <w:outlineLvl w:val="9"/>
        <w:rPr>
          <w:rFonts w:ascii="仿宋" w:hAnsi="仿宋" w:eastAsia="仿宋" w:cs="仿宋"/>
          <w:b/>
          <w:color w:val="auto"/>
          <w:lang w:eastAsia="zh-CN"/>
        </w:rPr>
      </w:pPr>
    </w:p>
    <w:p w14:paraId="30D705B5">
      <w:pPr>
        <w:pStyle w:val="16"/>
        <w:tabs>
          <w:tab w:val="left" w:pos="5580"/>
        </w:tabs>
        <w:spacing w:line="400" w:lineRule="exact"/>
        <w:ind w:left="1080" w:leftChars="257" w:hanging="540"/>
        <w:outlineLvl w:val="9"/>
        <w:rPr>
          <w:rFonts w:ascii="仿宋" w:hAnsi="仿宋" w:eastAsia="仿宋" w:cs="仿宋"/>
          <w:b/>
          <w:color w:val="auto"/>
          <w:lang w:eastAsia="zh-CN"/>
        </w:rPr>
      </w:pPr>
    </w:p>
    <w:p w14:paraId="29FE0A5D">
      <w:pPr>
        <w:pStyle w:val="16"/>
        <w:tabs>
          <w:tab w:val="left" w:pos="5580"/>
        </w:tabs>
        <w:spacing w:line="400" w:lineRule="exact"/>
        <w:ind w:left="1080" w:leftChars="257" w:hanging="540"/>
        <w:outlineLvl w:val="9"/>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14:paraId="0C5A7531">
      <w:pPr>
        <w:pStyle w:val="16"/>
        <w:tabs>
          <w:tab w:val="left" w:pos="5580"/>
        </w:tabs>
        <w:spacing w:line="400" w:lineRule="exact"/>
        <w:ind w:left="1080" w:leftChars="257" w:hanging="540"/>
        <w:outlineLvl w:val="9"/>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14:paraId="77EB455D">
      <w:pPr>
        <w:pStyle w:val="16"/>
        <w:tabs>
          <w:tab w:val="left" w:pos="5580"/>
        </w:tabs>
        <w:spacing w:line="400" w:lineRule="exact"/>
        <w:ind w:left="1080" w:leftChars="257" w:hanging="540"/>
        <w:outlineLvl w:val="9"/>
        <w:rPr>
          <w:rFonts w:ascii="仿宋" w:hAnsi="仿宋" w:eastAsia="仿宋" w:cs="仿宋"/>
          <w:color w:val="auto"/>
          <w:lang w:eastAsia="zh-CN"/>
        </w:rPr>
      </w:pPr>
    </w:p>
    <w:p w14:paraId="00FFF0E1">
      <w:pPr>
        <w:pStyle w:val="34"/>
        <w:outlineLvl w:val="9"/>
        <w:rPr>
          <w:rFonts w:ascii="仿宋" w:hAnsi="仿宋" w:eastAsia="仿宋" w:cs="仿宋"/>
          <w:b/>
          <w:bCs/>
          <w:color w:val="auto"/>
          <w:sz w:val="36"/>
          <w:szCs w:val="36"/>
          <w:lang w:eastAsia="zh-CN"/>
        </w:rPr>
      </w:pPr>
    </w:p>
    <w:p w14:paraId="45587E5D">
      <w:pPr>
        <w:pStyle w:val="34"/>
        <w:outlineLvl w:val="9"/>
        <w:rPr>
          <w:rFonts w:ascii="仿宋" w:hAnsi="仿宋" w:eastAsia="仿宋" w:cs="仿宋"/>
          <w:b/>
          <w:bCs/>
          <w:color w:val="auto"/>
          <w:sz w:val="36"/>
          <w:szCs w:val="36"/>
          <w:lang w:eastAsia="zh-CN"/>
        </w:rPr>
      </w:pPr>
    </w:p>
    <w:p w14:paraId="1D924B28">
      <w:pPr>
        <w:pStyle w:val="34"/>
        <w:outlineLvl w:val="9"/>
        <w:rPr>
          <w:rFonts w:ascii="仿宋" w:hAnsi="仿宋" w:eastAsia="仿宋" w:cs="仿宋"/>
          <w:b/>
          <w:bCs/>
          <w:color w:val="auto"/>
          <w:sz w:val="36"/>
          <w:szCs w:val="36"/>
          <w:lang w:eastAsia="zh-CN"/>
        </w:rPr>
      </w:pPr>
    </w:p>
    <w:p w14:paraId="63093D2D">
      <w:pPr>
        <w:pStyle w:val="10"/>
        <w:numPr>
          <w:ilvl w:val="0"/>
          <w:numId w:val="0"/>
        </w:numPr>
        <w:kinsoku w:val="0"/>
        <w:overflowPunct w:val="0"/>
        <w:spacing w:before="34" w:line="440" w:lineRule="exact"/>
        <w:ind w:right="126"/>
        <w:jc w:val="both"/>
        <w:outlineLvl w:val="9"/>
        <w:rPr>
          <w:rFonts w:ascii="仿宋" w:hAnsi="仿宋" w:eastAsia="仿宋" w:cs="仿宋"/>
          <w:b/>
          <w:bCs/>
          <w:color w:val="auto"/>
          <w:sz w:val="36"/>
          <w:szCs w:val="36"/>
          <w:lang w:eastAsia="zh-CN"/>
        </w:rPr>
      </w:pPr>
    </w:p>
    <w:p w14:paraId="1014DB4E">
      <w:pPr>
        <w:pStyle w:val="10"/>
        <w:numPr>
          <w:ilvl w:val="0"/>
          <w:numId w:val="0"/>
        </w:numPr>
        <w:kinsoku w:val="0"/>
        <w:overflowPunct w:val="0"/>
        <w:spacing w:before="34" w:line="440" w:lineRule="exact"/>
        <w:ind w:left="480" w:right="126"/>
        <w:jc w:val="center"/>
        <w:outlineLvl w:val="9"/>
        <w:rPr>
          <w:rFonts w:hint="eastAsia" w:ascii="仿宋" w:hAnsi="仿宋" w:eastAsia="仿宋" w:cs="仿宋"/>
          <w:b/>
          <w:bCs/>
          <w:color w:val="auto"/>
          <w:sz w:val="36"/>
          <w:szCs w:val="36"/>
          <w:lang w:eastAsia="zh-CN"/>
        </w:rPr>
      </w:pPr>
      <w:bookmarkStart w:id="81" w:name="_Toc29899"/>
      <w:bookmarkStart w:id="82" w:name="_Toc515647805"/>
      <w:bookmarkStart w:id="83" w:name="_Toc4844"/>
      <w:bookmarkStart w:id="84" w:name="_Toc17577"/>
    </w:p>
    <w:bookmarkEnd w:id="81"/>
    <w:bookmarkEnd w:id="82"/>
    <w:bookmarkEnd w:id="83"/>
    <w:bookmarkEnd w:id="84"/>
    <w:p w14:paraId="68BBF8E7">
      <w:pP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br w:type="page"/>
      </w:r>
    </w:p>
    <w:p w14:paraId="3B3A02AC">
      <w:pPr>
        <w:pStyle w:val="10"/>
        <w:numPr>
          <w:ilvl w:val="0"/>
          <w:numId w:val="0"/>
        </w:numPr>
        <w:kinsoku w:val="0"/>
        <w:overflowPunct w:val="0"/>
        <w:spacing w:before="34" w:line="440" w:lineRule="exact"/>
        <w:ind w:left="480" w:right="126"/>
        <w:jc w:val="center"/>
        <w:outlineLvl w:val="9"/>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w:t>
      </w: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lang w:eastAsia="zh-CN"/>
        </w:rPr>
        <w:t>法定代表人身份证明</w:t>
      </w:r>
    </w:p>
    <w:p w14:paraId="397D5284">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14:paraId="07130E09">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14:paraId="03258022">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14:paraId="702892FD">
      <w:pPr>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65402A32">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14:paraId="26C3049F">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14:paraId="0A98CC44">
      <w:pPr>
        <w:spacing w:line="420" w:lineRule="exact"/>
        <w:ind w:firstLine="420" w:firstLineChars="200"/>
        <w:outlineLvl w:val="9"/>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14:paraId="19AE7D7C">
      <w:pPr>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14:paraId="239C1271">
      <w:pPr>
        <w:spacing w:line="420" w:lineRule="exact"/>
        <w:ind w:firstLine="840" w:firstLineChars="400"/>
        <w:outlineLvl w:val="9"/>
        <w:rPr>
          <w:rFonts w:ascii="仿宋" w:hAnsi="仿宋" w:eastAsia="仿宋" w:cs="仿宋"/>
          <w:color w:val="auto"/>
        </w:rPr>
      </w:pPr>
      <w:r>
        <w:rPr>
          <w:rFonts w:hint="eastAsia" w:ascii="仿宋" w:hAnsi="仿宋" w:eastAsia="仿宋" w:cs="仿宋"/>
          <w:color w:val="auto"/>
        </w:rPr>
        <w:t>特此证明。</w:t>
      </w:r>
    </w:p>
    <w:p w14:paraId="41725327">
      <w:pPr>
        <w:pStyle w:val="10"/>
        <w:numPr>
          <w:ilvl w:val="0"/>
          <w:numId w:val="0"/>
        </w:numPr>
        <w:kinsoku w:val="0"/>
        <w:overflowPunct w:val="0"/>
        <w:outlineLvl w:val="9"/>
        <w:rPr>
          <w:rFonts w:ascii="仿宋" w:hAnsi="仿宋" w:eastAsia="仿宋" w:cs="仿宋"/>
          <w:color w:val="auto"/>
          <w:sz w:val="20"/>
          <w:szCs w:val="20"/>
        </w:rPr>
      </w:pPr>
      <w:r>
        <w:rPr>
          <w:color w:val="auto"/>
          <w:sz w:val="25"/>
        </w:rPr>
        <mc:AlternateContent>
          <mc:Choice Requires="wps">
            <w:drawing>
              <wp:anchor distT="0" distB="0" distL="114300" distR="114300" simplePos="0" relativeHeight="251665408" behindDoc="1" locked="0" layoutInCell="1" allowOverlap="1">
                <wp:simplePos x="0" y="0"/>
                <wp:positionH relativeFrom="column">
                  <wp:posOffset>348615</wp:posOffset>
                </wp:positionH>
                <wp:positionV relativeFrom="paragraph">
                  <wp:posOffset>180340</wp:posOffset>
                </wp:positionV>
                <wp:extent cx="2371725" cy="1403350"/>
                <wp:effectExtent l="5080" t="5080" r="15875" b="8890"/>
                <wp:wrapTight wrapText="bothSides">
                  <wp:wrapPolygon>
                    <wp:start x="925" y="-78"/>
                    <wp:lineTo x="-46" y="1564"/>
                    <wp:lineTo x="-46" y="20329"/>
                    <wp:lineTo x="1064" y="21502"/>
                    <wp:lineTo x="20357" y="21502"/>
                    <wp:lineTo x="21467" y="20329"/>
                    <wp:lineTo x="21467" y="1095"/>
                    <wp:lineTo x="20495" y="-78"/>
                    <wp:lineTo x="925" y="-78"/>
                  </wp:wrapPolygon>
                </wp:wrapTight>
                <wp:docPr id="5"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871CFA3">
                            <w:pPr>
                              <w:jc w:val="center"/>
                              <w:rPr>
                                <w:rFonts w:hint="eastAsia" w:ascii="仿宋" w:hAnsi="仿宋" w:eastAsia="仿宋" w:cs="仿宋"/>
                                <w:sz w:val="24"/>
                                <w:szCs w:val="24"/>
                              </w:rPr>
                            </w:pPr>
                          </w:p>
                          <w:p w14:paraId="62B2883C">
                            <w:pPr>
                              <w:jc w:val="center"/>
                              <w:rPr>
                                <w:rFonts w:hint="eastAsia" w:ascii="仿宋" w:hAnsi="仿宋" w:eastAsia="仿宋" w:cs="仿宋"/>
                                <w:sz w:val="24"/>
                                <w:szCs w:val="24"/>
                              </w:rPr>
                            </w:pPr>
                          </w:p>
                          <w:p w14:paraId="76CAB68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42A47CF9"/>
                        </w:txbxContent>
                      </wps:txbx>
                      <wps:bodyPr upright="1"/>
                    </wps:wsp>
                  </a:graphicData>
                </a:graphic>
              </wp:anchor>
            </w:drawing>
          </mc:Choice>
          <mc:Fallback>
            <w:pict>
              <v:roundrect id="自选图形 91" o:spid="_x0000_s1026" o:spt="2" style="position:absolute;left:0pt;margin-left:27.45pt;margin-top:14.2pt;height:110.5pt;width:186.75pt;mso-wrap-distance-left:9pt;mso-wrap-distance-right:9pt;z-index:-251651072;mso-width-relative:page;mso-height-relative:page;" fillcolor="#FFFFFF" filled="t" stroked="t" coordsize="21600,21600" wrapcoords="925 -78 -46 1564 -46 20329 1064 21502 20357 21502 21467 20329 21467 1095 20495 -78 925 -78" arcsize="0.166666666666667" o:gfxdata="UEsDBAoAAAAAAIdO4kAAAAAAAAAAAAAAAAAEAAAAZHJzL1BLAwQUAAAACACHTuJAZEQML9UAAAAJ&#10;AQAADwAAAGRycy9kb3ducmV2LnhtbE2PMU/DMBCFdyT+g3VIbNRulaImjdMBCVZEYGB04iOJGp9T&#10;20kLv56DBba7e0/vvlceLm4UC4Y4eNKwXikQSK23A3Ua3l4f73YgYjJkzegJNXxihEN1fVWawvoz&#10;veBSp05wCMXCaOhTmgopY9ujM3HlJyTWPnxwJvEaOmmDOXO4G+VGqXvpzED8oTcTPvTYHuvZaWit&#10;mlV4X57zZpvqr2U+kXw6aX17s1Z7EAkv6c8MP/iMDhUzNX4mG8WoYZvl7NSw2WUgWM9+h4YPWZ6B&#10;rEr5v0H1DVBLAwQUAAAACACHTuJAzSC8aCI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HCNNFDT8&#10;56dvvz5+vvny4+b7V3RRRIs660vIvLZXblx5CKPevnYqPkEJ6pOtx5OtvA+IwsvpbFksp4BPYa94&#10;ms9m82R8dltunQ8vuVEoBhV2Zq/ZW2he8pQcXvmQzGUjRcI+YFQrCa06EImKxWKxjDwBcUyG6A9m&#10;rPRGCrYVUqaFa3bPpUNQWuFtusbie2lSo67CF/PEnMCk1zBhIEJZcMvrJnG7V+HvAufp+hdwJLYh&#10;vh0IJISYRsqWE/ZCMxSOFvqg4fjhSEFxhpHkcFpjlDIDEfKcTLBBavAlNnBoWYxCv+vHPu4MO8IA&#10;7K0TTQvOp3andBi4ZOh4OOJE310n0Ns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EQML9UA&#10;AAAJAQAADwAAAAAAAAABACAAAAAiAAAAZHJzL2Rvd25yZXYueG1sUEsBAhQAFAAAAAgAh07iQM0g&#10;vGgiAgAAWAQAAA4AAAAAAAAAAQAgAAAAJAEAAGRycy9lMm9Eb2MueG1sUEsFBgAAAAAGAAYAWQEA&#10;ALgFAAAAAA==&#10;">
                <v:fill on="t" focussize="0,0"/>
                <v:stroke color="#000000" joinstyle="round"/>
                <v:imagedata o:title=""/>
                <o:lock v:ext="edit" aspectratio="f"/>
                <v:textbox>
                  <w:txbxContent>
                    <w:p w14:paraId="6871CFA3">
                      <w:pPr>
                        <w:jc w:val="center"/>
                        <w:rPr>
                          <w:rFonts w:hint="eastAsia" w:ascii="仿宋" w:hAnsi="仿宋" w:eastAsia="仿宋" w:cs="仿宋"/>
                          <w:sz w:val="24"/>
                          <w:szCs w:val="24"/>
                        </w:rPr>
                      </w:pPr>
                    </w:p>
                    <w:p w14:paraId="62B2883C">
                      <w:pPr>
                        <w:jc w:val="center"/>
                        <w:rPr>
                          <w:rFonts w:hint="eastAsia" w:ascii="仿宋" w:hAnsi="仿宋" w:eastAsia="仿宋" w:cs="仿宋"/>
                          <w:sz w:val="24"/>
                          <w:szCs w:val="24"/>
                        </w:rPr>
                      </w:pPr>
                    </w:p>
                    <w:p w14:paraId="76CAB68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42A47CF9"/>
                  </w:txbxContent>
                </v:textbox>
                <w10:wrap type="tight"/>
              </v:roundrect>
            </w:pict>
          </mc:Fallback>
        </mc:AlternateContent>
      </w:r>
      <w:r>
        <w:rPr>
          <w:color w:val="auto"/>
          <w:sz w:val="25"/>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8890" b="9525"/>
                <wp:wrapSquare wrapText="bothSides"/>
                <wp:docPr id="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9A04BD7">
                            <w:pPr>
                              <w:jc w:val="center"/>
                              <w:rPr>
                                <w:rFonts w:hint="eastAsia" w:ascii="仿宋" w:hAnsi="仿宋" w:eastAsia="仿宋" w:cs="仿宋"/>
                                <w:sz w:val="24"/>
                                <w:szCs w:val="24"/>
                              </w:rPr>
                            </w:pPr>
                          </w:p>
                          <w:p w14:paraId="3127FD93">
                            <w:pPr>
                              <w:jc w:val="center"/>
                              <w:rPr>
                                <w:rFonts w:hint="eastAsia" w:ascii="仿宋" w:hAnsi="仿宋" w:eastAsia="仿宋" w:cs="仿宋"/>
                                <w:sz w:val="24"/>
                                <w:szCs w:val="24"/>
                              </w:rPr>
                            </w:pPr>
                          </w:p>
                          <w:p w14:paraId="43BB8C0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239DA4C6"/>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5g+w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QZTAJGhmho&#10;+M9P3359/Hzz5cfN969osUgWdS5UkHntrvywChAmvb3wOj1BCeqzrYeTrbyPiMLLyXQ+vViA4xT2&#10;xhfldDrLxhe35c6H+JJbjVJQY293hr2F5mVPyf5ViNlcNlAk7ANGQito1Z4oNJ7P55knIA7JEP3B&#10;TJXBKsk2Uqm88M32ufIISmu8yVcSCSX30pRBXY2fzSYzYE5g0gVMGITagVvBNJnbvYpwF7jM17+A&#10;E7E1Ce2RQEZIaaRqOWEvDEPx4KAPBo4fThQ0ZxgpDqc1RTkzEqnOyQRNyoC01MBjy1IU+20/9HFr&#10;2QEGYOe8bFpwfpwJpyQYuOzJcDjSRN9dZ9DbH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5g+wJAIAAFgEAAAOAAAAAAAAAAEAIAAAACYBAABkcnMvZTJvRG9jLnhtbFBLBQYAAAAABgAG&#10;AFkBAAC8BQAAAAA=&#10;">
                <v:fill on="t" focussize="0,0"/>
                <v:stroke color="#000000" joinstyle="round"/>
                <v:imagedata o:title=""/>
                <o:lock v:ext="edit" aspectratio="f"/>
                <v:textbox>
                  <w:txbxContent>
                    <w:p w14:paraId="39A04BD7">
                      <w:pPr>
                        <w:jc w:val="center"/>
                        <w:rPr>
                          <w:rFonts w:hint="eastAsia" w:ascii="仿宋" w:hAnsi="仿宋" w:eastAsia="仿宋" w:cs="仿宋"/>
                          <w:sz w:val="24"/>
                          <w:szCs w:val="24"/>
                        </w:rPr>
                      </w:pPr>
                    </w:p>
                    <w:p w14:paraId="3127FD93">
                      <w:pPr>
                        <w:jc w:val="center"/>
                        <w:rPr>
                          <w:rFonts w:hint="eastAsia" w:ascii="仿宋" w:hAnsi="仿宋" w:eastAsia="仿宋" w:cs="仿宋"/>
                          <w:sz w:val="24"/>
                          <w:szCs w:val="24"/>
                        </w:rPr>
                      </w:pPr>
                    </w:p>
                    <w:p w14:paraId="43BB8C0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239DA4C6"/>
                  </w:txbxContent>
                </v:textbox>
                <w10:wrap type="square"/>
              </v:roundrect>
            </w:pict>
          </mc:Fallback>
        </mc:AlternateContent>
      </w:r>
    </w:p>
    <w:p w14:paraId="6D10A05A">
      <w:pPr>
        <w:pStyle w:val="10"/>
        <w:numPr>
          <w:ilvl w:val="0"/>
          <w:numId w:val="0"/>
        </w:numPr>
        <w:kinsoku w:val="0"/>
        <w:overflowPunct w:val="0"/>
        <w:spacing w:before="7"/>
        <w:outlineLvl w:val="9"/>
        <w:rPr>
          <w:rFonts w:ascii="仿宋" w:hAnsi="仿宋" w:eastAsia="仿宋" w:cs="仿宋"/>
          <w:color w:val="auto"/>
          <w:sz w:val="25"/>
          <w:szCs w:val="25"/>
        </w:rPr>
      </w:pPr>
    </w:p>
    <w:p w14:paraId="23AC2798">
      <w:pPr>
        <w:pStyle w:val="10"/>
        <w:numPr>
          <w:ilvl w:val="0"/>
          <w:numId w:val="0"/>
        </w:numPr>
        <w:kinsoku w:val="0"/>
        <w:overflowPunct w:val="0"/>
        <w:spacing w:line="200" w:lineRule="atLeast"/>
        <w:outlineLvl w:val="9"/>
        <w:rPr>
          <w:rFonts w:ascii="仿宋" w:hAnsi="仿宋" w:eastAsia="仿宋" w:cs="仿宋"/>
          <w:color w:val="auto"/>
          <w:sz w:val="20"/>
          <w:szCs w:val="20"/>
        </w:rPr>
      </w:pPr>
    </w:p>
    <w:p w14:paraId="67BAD48B">
      <w:pPr>
        <w:wordWrap w:val="0"/>
        <w:spacing w:line="420" w:lineRule="exact"/>
        <w:ind w:firstLine="420" w:firstLineChars="200"/>
        <w:jc w:val="right"/>
        <w:outlineLvl w:val="9"/>
        <w:rPr>
          <w:rFonts w:ascii="仿宋" w:hAnsi="仿宋" w:eastAsia="仿宋" w:cs="仿宋"/>
          <w:color w:val="auto"/>
        </w:rPr>
      </w:pPr>
    </w:p>
    <w:p w14:paraId="75233EFA">
      <w:pPr>
        <w:pStyle w:val="10"/>
        <w:numPr>
          <w:ilvl w:val="0"/>
          <w:numId w:val="0"/>
        </w:numPr>
        <w:kinsoku w:val="0"/>
        <w:overflowPunct w:val="0"/>
        <w:spacing w:before="34" w:line="357" w:lineRule="auto"/>
        <w:ind w:right="126"/>
        <w:jc w:val="both"/>
        <w:outlineLvl w:val="9"/>
        <w:rPr>
          <w:rFonts w:hint="eastAsia" w:ascii="仿宋" w:hAnsi="仿宋" w:eastAsia="仿宋" w:cs="仿宋"/>
          <w:color w:val="auto"/>
          <w:sz w:val="24"/>
          <w:lang w:eastAsia="zh-CN"/>
        </w:rPr>
      </w:pPr>
    </w:p>
    <w:p w14:paraId="49A3574F">
      <w:pPr>
        <w:pStyle w:val="10"/>
        <w:numPr>
          <w:ilvl w:val="0"/>
          <w:numId w:val="0"/>
        </w:numPr>
        <w:kinsoku w:val="0"/>
        <w:overflowPunct w:val="0"/>
        <w:spacing w:before="34" w:line="357" w:lineRule="auto"/>
        <w:ind w:right="126"/>
        <w:jc w:val="both"/>
        <w:outlineLvl w:val="9"/>
        <w:rPr>
          <w:rFonts w:hint="eastAsia" w:ascii="仿宋" w:hAnsi="仿宋" w:eastAsia="仿宋" w:cs="仿宋"/>
          <w:color w:val="auto"/>
          <w:sz w:val="24"/>
          <w:lang w:eastAsia="zh-CN"/>
        </w:rPr>
      </w:pPr>
    </w:p>
    <w:p w14:paraId="1C4AA4F8">
      <w:pPr>
        <w:pStyle w:val="10"/>
        <w:numPr>
          <w:ilvl w:val="0"/>
          <w:numId w:val="0"/>
        </w:numPr>
        <w:kinsoku w:val="0"/>
        <w:overflowPunct w:val="0"/>
        <w:spacing w:before="34" w:line="357" w:lineRule="auto"/>
        <w:ind w:right="126"/>
        <w:jc w:val="both"/>
        <w:outlineLvl w:val="9"/>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14:paraId="2AB960EE">
      <w:pPr>
        <w:pStyle w:val="10"/>
        <w:numPr>
          <w:ilvl w:val="0"/>
          <w:numId w:val="0"/>
        </w:numPr>
        <w:kinsoku w:val="0"/>
        <w:overflowPunct w:val="0"/>
        <w:spacing w:before="34" w:line="357" w:lineRule="auto"/>
        <w:ind w:right="126"/>
        <w:jc w:val="both"/>
        <w:outlineLvl w:val="9"/>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14:paraId="46ABB5F3">
      <w:pPr>
        <w:pStyle w:val="10"/>
        <w:numPr>
          <w:ilvl w:val="0"/>
          <w:numId w:val="0"/>
        </w:numPr>
        <w:kinsoku w:val="0"/>
        <w:overflowPunct w:val="0"/>
        <w:spacing w:before="34" w:line="357" w:lineRule="auto"/>
        <w:ind w:right="126"/>
        <w:jc w:val="both"/>
        <w:outlineLvl w:val="9"/>
        <w:rPr>
          <w:rFonts w:ascii="仿宋" w:hAnsi="仿宋" w:eastAsia="仿宋" w:cs="仿宋"/>
          <w:color w:val="auto"/>
          <w:lang w:eastAsia="zh-CN"/>
        </w:rPr>
      </w:pPr>
    </w:p>
    <w:p w14:paraId="2329D396">
      <w:pPr>
        <w:pStyle w:val="10"/>
        <w:numPr>
          <w:ilvl w:val="0"/>
          <w:numId w:val="0"/>
        </w:numPr>
        <w:kinsoku w:val="0"/>
        <w:overflowPunct w:val="0"/>
        <w:spacing w:before="34" w:line="357" w:lineRule="auto"/>
        <w:ind w:right="126"/>
        <w:jc w:val="both"/>
        <w:outlineLvl w:val="9"/>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14:paraId="3287A143">
      <w:pPr>
        <w:pStyle w:val="10"/>
        <w:numPr>
          <w:ilvl w:val="0"/>
          <w:numId w:val="0"/>
        </w:numPr>
        <w:kinsoku w:val="0"/>
        <w:overflowPunct w:val="0"/>
        <w:spacing w:before="34" w:line="357" w:lineRule="auto"/>
        <w:ind w:left="480" w:right="126"/>
        <w:jc w:val="center"/>
        <w:outlineLvl w:val="9"/>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val="en-US" w:eastAsia="zh-CN"/>
        </w:rPr>
        <w:t>2.2</w:t>
      </w:r>
      <w:r>
        <w:rPr>
          <w:rFonts w:hint="eastAsia" w:ascii="仿宋" w:hAnsi="仿宋" w:eastAsia="仿宋" w:cs="仿宋"/>
          <w:b/>
          <w:bCs/>
          <w:color w:val="auto"/>
          <w:sz w:val="36"/>
          <w:szCs w:val="36"/>
          <w:lang w:eastAsia="zh-CN"/>
        </w:rPr>
        <w:t>法定代表人授权委托书</w:t>
      </w:r>
    </w:p>
    <w:p w14:paraId="478880A2">
      <w:pPr>
        <w:spacing w:line="420" w:lineRule="exact"/>
        <w:outlineLvl w:val="9"/>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14:paraId="47B0CEC5">
      <w:pPr>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14:paraId="6A6C376D">
      <w:pPr>
        <w:adjustRightInd w:val="0"/>
        <w:snapToGrid w:val="0"/>
        <w:spacing w:line="420" w:lineRule="exact"/>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14:paraId="41DBD355">
      <w:pPr>
        <w:pStyle w:val="10"/>
        <w:tabs>
          <w:tab w:val="left" w:pos="780"/>
        </w:tabs>
        <w:kinsoku w:val="0"/>
        <w:overflowPunct w:val="0"/>
        <w:adjustRightInd w:val="0"/>
        <w:snapToGrid w:val="0"/>
        <w:spacing w:before="12"/>
        <w:outlineLvl w:val="9"/>
        <w:rPr>
          <w:rFonts w:ascii="仿宋" w:hAnsi="仿宋" w:eastAsia="仿宋" w:cs="仿宋"/>
          <w:color w:val="auto"/>
          <w:sz w:val="4"/>
          <w:szCs w:val="4"/>
          <w:lang w:eastAsia="zh-CN"/>
        </w:rPr>
      </w:pPr>
    </w:p>
    <w:p w14:paraId="44C8EB95">
      <w:pPr>
        <w:pStyle w:val="10"/>
        <w:numPr>
          <w:ilvl w:val="0"/>
          <w:numId w:val="0"/>
        </w:numPr>
        <w:kinsoku w:val="0"/>
        <w:overflowPunct w:val="0"/>
        <w:adjustRightInd w:val="0"/>
        <w:snapToGrid w:val="0"/>
        <w:spacing w:line="200" w:lineRule="atLeast"/>
        <w:ind w:right="1669" w:rightChars="795"/>
        <w:jc w:val="both"/>
        <w:outlineLvl w:val="9"/>
        <w:rPr>
          <w:rFonts w:ascii="仿宋" w:hAnsi="仿宋" w:eastAsia="仿宋" w:cs="仿宋"/>
          <w:color w:val="auto"/>
          <w:sz w:val="18"/>
          <w:szCs w:val="20"/>
        </w:rPr>
      </w:pP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252730</wp:posOffset>
                </wp:positionH>
                <wp:positionV relativeFrom="paragraph">
                  <wp:posOffset>1524635</wp:posOffset>
                </wp:positionV>
                <wp:extent cx="2348230" cy="1367155"/>
                <wp:effectExtent l="4445" t="4445" r="9525" b="15240"/>
                <wp:wrapSquare wrapText="bothSides"/>
                <wp:docPr id="4"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04E3BFC">
                            <w:pPr>
                              <w:jc w:val="center"/>
                              <w:rPr>
                                <w:rFonts w:hint="eastAsia" w:ascii="仿宋" w:hAnsi="仿宋" w:eastAsia="仿宋" w:cs="仿宋"/>
                                <w:sz w:val="24"/>
                                <w:szCs w:val="24"/>
                              </w:rPr>
                            </w:pPr>
                          </w:p>
                          <w:p w14:paraId="37A57F87">
                            <w:pPr>
                              <w:jc w:val="center"/>
                              <w:rPr>
                                <w:rFonts w:hint="eastAsia" w:ascii="仿宋" w:hAnsi="仿宋" w:eastAsia="仿宋" w:cs="仿宋"/>
                                <w:sz w:val="24"/>
                                <w:szCs w:val="24"/>
                              </w:rPr>
                            </w:pPr>
                          </w:p>
                          <w:p w14:paraId="0254B9D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3CA82E0"/>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yItc7JAIAAFgEAAAOAAAAZHJzL2Uyb0RvYy54bWytVEuS&#10;0zAQ3VPFHVTaE8fOxDO44syCEDYUTDFwAEWSbVH6laTEzo4dxRnYsZw7wG2mCm5BSzGZDyyyQAu5&#10;JXU/vX7d8uJyUBLtuPPC6BrnkylGXFPDhG5r/OH9+tkFRj4QzYg0mtd4zz2+XD59suhtxQvTGcm4&#10;QwCifdXbGnch2CrLPO24In5iLNdw2BinSIClazPmSA/oSmbFdFpmvXHMOkO597C7OhziEdGdAmia&#10;RlC+MnSruA4HVMclCZCS74T1eJnYNg2n4W3TeB6QrDFkGtIMl4C9iXO2XJCqdcR2go4UyCkUHuWk&#10;iNBw6RFqRQJBWyf+glKCOuNNEybUqOyQSFIEssinj7S57ojlKReQ2tuj6P7/wdI3uyuHBKvxGUaa&#10;KCj4z883vz59uf364/b7N1QWUaLe+go8r+2VG1cezJjv0DgVv5AJGpKs+6OsfAiIwmYxO7soZqA4&#10;hbN8Vp7n83lEze7CrfPhFTcKRaPGzmw1ewfFS5qS3WsfkrhspEjYR4waJaFUOyJRXpbl+Yg4OgP2&#10;H8wY6Y0UbC2kTAvXbl5IhyC0xus0xuAHblKjvsbP58UcmBPo9AY6DExlQS2v28TtQYS/DzxN41/A&#10;kdiK+O5AICFEN1J1nLCXmqGwt1AHDc8PRwqKM4wkh9careQZiJCneIIMUoPSsYCHkkUrDJthrOPG&#10;sD00wNY60XagfJ4IRydouFSi8XHEjr6/TqB3P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yItc7JAIAAFgEAAAOAAAAAAAAAAEAIAAAACYBAABkcnMvZTJvRG9jLnhtbFBLBQYAAAAABgAG&#10;AFkBAAC8BQAAAAA=&#10;">
                <v:fill on="t" focussize="0,0"/>
                <v:stroke color="#000000" joinstyle="round"/>
                <v:imagedata o:title=""/>
                <o:lock v:ext="edit" aspectratio="f"/>
                <v:textbox>
                  <w:txbxContent>
                    <w:p w14:paraId="504E3BFC">
                      <w:pPr>
                        <w:jc w:val="center"/>
                        <w:rPr>
                          <w:rFonts w:hint="eastAsia" w:ascii="仿宋" w:hAnsi="仿宋" w:eastAsia="仿宋" w:cs="仿宋"/>
                          <w:sz w:val="24"/>
                          <w:szCs w:val="24"/>
                        </w:rPr>
                      </w:pPr>
                    </w:p>
                    <w:p w14:paraId="37A57F87">
                      <w:pPr>
                        <w:jc w:val="center"/>
                        <w:rPr>
                          <w:rFonts w:hint="eastAsia" w:ascii="仿宋" w:hAnsi="仿宋" w:eastAsia="仿宋" w:cs="仿宋"/>
                          <w:sz w:val="24"/>
                          <w:szCs w:val="24"/>
                        </w:rPr>
                      </w:pPr>
                    </w:p>
                    <w:p w14:paraId="0254B9D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3CA82E0"/>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0160" b="15240"/>
                <wp:wrapTight wrapText="bothSides">
                  <wp:wrapPolygon>
                    <wp:start x="929" y="-70"/>
                    <wp:lineTo x="-40" y="1134"/>
                    <wp:lineTo x="-40" y="19915"/>
                    <wp:lineTo x="790" y="21359"/>
                    <wp:lineTo x="20585" y="21359"/>
                    <wp:lineTo x="20862" y="21359"/>
                    <wp:lineTo x="21554" y="19674"/>
                    <wp:lineTo x="21554" y="1615"/>
                    <wp:lineTo x="20585" y="-70"/>
                    <wp:lineTo x="929" y="-70"/>
                  </wp:wrapPolygon>
                </wp:wrapTight>
                <wp:docPr id="2"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74DC5A4">
                            <w:pPr>
                              <w:jc w:val="center"/>
                              <w:rPr>
                                <w:rFonts w:hint="eastAsia" w:ascii="仿宋" w:hAnsi="仿宋" w:eastAsia="仿宋" w:cs="仿宋"/>
                                <w:sz w:val="24"/>
                                <w:szCs w:val="24"/>
                              </w:rPr>
                            </w:pPr>
                          </w:p>
                          <w:p w14:paraId="63FDE368">
                            <w:pPr>
                              <w:jc w:val="center"/>
                              <w:rPr>
                                <w:rFonts w:hint="eastAsia" w:ascii="仿宋" w:hAnsi="仿宋" w:eastAsia="仿宋" w:cs="仿宋"/>
                                <w:sz w:val="24"/>
                                <w:szCs w:val="24"/>
                              </w:rPr>
                            </w:pPr>
                          </w:p>
                          <w:p w14:paraId="722771EA">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483366F9">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929 -70 -40 1134 -40 19915 790 21359 20585 21359 20862 21359 21554 19674 21554 1615 20585 -70 929 -70"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QEGpByMCAABY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r8RQjTRQU&#10;/Ofn778+fbn7+uPu9hsqk0S99RV43thrB4LFlQcz5js0TsUvZIKGJOv+KCsfAqKwOb2YX+bzGUYU&#10;zoqLcl7MZlH47BRunQ+vuFEoGjV2ZqvZOyhe0pTsXvuQxGUjRcI+YtQoCaXaEYmKsiznI+LoDNh/&#10;MGOkN1KwtZAyLVy7eSEdgtAar9MYgx+4SY36Gj+fTSNzAp3eQIeBqSyo5XWbuD2I8PeB8zT+BRyJ&#10;rYjvDgQSQnQjVccJe6kZCnsLddDw/HCkoDjDSHJ4rdFKnoEIeY4nyCA1KH0qWbTCsBnGOm4M20MD&#10;bK0TbQfKF4lwdIKGSyUaH0fs6PvrBHr6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A&#10;QakHIwIAAFgEAAAOAAAAAAAAAAEAIAAAACQBAABkcnMvZTJvRG9jLnhtbFBLBQYAAAAABgAGAFkB&#10;AAC5BQAAAAA=&#10;">
                <v:fill on="t" focussize="0,0"/>
                <v:stroke color="#000000" joinstyle="round"/>
                <v:imagedata o:title=""/>
                <o:lock v:ext="edit" aspectratio="f"/>
                <v:textbox>
                  <w:txbxContent>
                    <w:p w14:paraId="174DC5A4">
                      <w:pPr>
                        <w:jc w:val="center"/>
                        <w:rPr>
                          <w:rFonts w:hint="eastAsia" w:ascii="仿宋" w:hAnsi="仿宋" w:eastAsia="仿宋" w:cs="仿宋"/>
                          <w:sz w:val="24"/>
                          <w:szCs w:val="24"/>
                        </w:rPr>
                      </w:pPr>
                    </w:p>
                    <w:p w14:paraId="63FDE368">
                      <w:pPr>
                        <w:jc w:val="center"/>
                        <w:rPr>
                          <w:rFonts w:hint="eastAsia" w:ascii="仿宋" w:hAnsi="仿宋" w:eastAsia="仿宋" w:cs="仿宋"/>
                          <w:sz w:val="24"/>
                          <w:szCs w:val="24"/>
                        </w:rPr>
                      </w:pPr>
                    </w:p>
                    <w:p w14:paraId="722771EA">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483366F9">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5240"/>
                <wp:wrapSquare wrapText="bothSides"/>
                <wp:docPr id="6"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3702107">
                            <w:pPr>
                              <w:jc w:val="center"/>
                              <w:rPr>
                                <w:rFonts w:hint="eastAsia" w:ascii="仿宋" w:hAnsi="仿宋" w:eastAsia="仿宋" w:cs="仿宋"/>
                                <w:sz w:val="24"/>
                                <w:szCs w:val="24"/>
                              </w:rPr>
                            </w:pPr>
                          </w:p>
                          <w:p w14:paraId="45DBB6AD">
                            <w:pPr>
                              <w:jc w:val="center"/>
                              <w:rPr>
                                <w:rFonts w:hint="eastAsia" w:ascii="仿宋" w:hAnsi="仿宋" w:eastAsia="仿宋" w:cs="仿宋"/>
                                <w:sz w:val="24"/>
                                <w:szCs w:val="24"/>
                              </w:rPr>
                            </w:pPr>
                          </w:p>
                          <w:p w14:paraId="3589F39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3A51CD4"/>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LnsBQYjAgAAWAQAAA4AAABkcnMvZTJvRG9jLnhtbK1US5LT&#10;MBDdU8UdVNozjpOJB1xxZkEIGwqmGDiAoo8tSr+SlNjZsaM4AzuW3AFuM1VwC1qKyXxgkQVayC2p&#10;++n165YXl4NWaMd9kNY0uDybYMQNtUyatsHv362fPMUoRGIYUdbwBu95wJfLx48Wvav51HZWMe4R&#10;gJhQ967BXYyuLopAO65JOLOOGzgU1msSYenbgnnSA7pWxXQyqYreeua8pTwE2F0dDvGI6E8BtEJI&#10;yleWbjU38YDquSIRUgqddAEvM1shOI1vhAg8ItVgyDTmGS4Be5PmYrkgdeuJ6yQdKZBTKDzISRNp&#10;4NIj1IpEgrZe/gWlJfU2WBHPqNXFIZGsCGRRTh5oc90Rx3MuIHVwR9HD/4Olr3dXHknW4AojQzQU&#10;/Oenb78+fr758uPm+1dUzZJEvQs1eF67Kz+uApgp30F4nb6QCRqyrPujrHyIiMLmdHZeTs/nGFE4&#10;K2fVRTmfJ9TiNtz5EF9yq1EyGuzt1rC3ULysKdm9CjGLy0aKhH3ASGgFpdoRhcqqqi5GxNEZsP9g&#10;pshglWRrqVRe+HbzXHkEoQ1e5zEG33NTBvUNfjafJuYEOl1Ah4GpHagVTJu53YsId4EnefwLOBFb&#10;kdAdCGSE5EbqjhP2wjAU9w7qYOD54URBc4aR4vBak5U9I5HqFE+QQRlQOhXwULJkxWEzjHXcWLaH&#10;Btg6L9sOlC8z4eQEDZdLND6O1NF31xn09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uewFBiMCAABYBAAADgAAAAAAAAABACAAAAAlAQAAZHJzL2Uyb0RvYy54bWxQSwUGAAAAAAYABgBZ&#10;AQAAugUAAAAA&#10;">
                <v:fill on="t" focussize="0,0"/>
                <v:stroke color="#000000" joinstyle="round"/>
                <v:imagedata o:title=""/>
                <o:lock v:ext="edit" aspectratio="f"/>
                <v:textbox>
                  <w:txbxContent>
                    <w:p w14:paraId="53702107">
                      <w:pPr>
                        <w:jc w:val="center"/>
                        <w:rPr>
                          <w:rFonts w:hint="eastAsia" w:ascii="仿宋" w:hAnsi="仿宋" w:eastAsia="仿宋" w:cs="仿宋"/>
                          <w:sz w:val="24"/>
                          <w:szCs w:val="24"/>
                        </w:rPr>
                      </w:pPr>
                    </w:p>
                    <w:p w14:paraId="45DBB6AD">
                      <w:pPr>
                        <w:jc w:val="center"/>
                        <w:rPr>
                          <w:rFonts w:hint="eastAsia" w:ascii="仿宋" w:hAnsi="仿宋" w:eastAsia="仿宋" w:cs="仿宋"/>
                          <w:sz w:val="24"/>
                          <w:szCs w:val="24"/>
                        </w:rPr>
                      </w:pPr>
                    </w:p>
                    <w:p w14:paraId="3589F39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3A51CD4"/>
                  </w:txbxContent>
                </v:textbox>
                <w10:wrap type="square"/>
              </v:roundrect>
            </w:pict>
          </mc:Fallback>
        </mc:AlternateContent>
      </w:r>
      <w:r>
        <w:rPr>
          <w:color w:val="auto"/>
          <w:sz w:val="18"/>
        </w:rPr>
        <mc:AlternateContent>
          <mc:Choice Requires="wps">
            <w:drawing>
              <wp:anchor distT="0" distB="0" distL="114300" distR="114300" simplePos="0" relativeHeight="251663360" behindDoc="0" locked="0" layoutInCell="1" allowOverlap="1">
                <wp:simplePos x="0" y="0"/>
                <wp:positionH relativeFrom="column">
                  <wp:posOffset>2902585</wp:posOffset>
                </wp:positionH>
                <wp:positionV relativeFrom="paragraph">
                  <wp:posOffset>41275</wp:posOffset>
                </wp:positionV>
                <wp:extent cx="2327275" cy="1367155"/>
                <wp:effectExtent l="4445" t="4445" r="15240" b="15240"/>
                <wp:wrapSquare wrapText="bothSides"/>
                <wp:docPr id="7"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CD4BD9E">
                            <w:pPr>
                              <w:jc w:val="center"/>
                              <w:rPr>
                                <w:rFonts w:hint="eastAsia" w:ascii="仿宋" w:hAnsi="仿宋" w:eastAsia="仿宋" w:cs="仿宋"/>
                                <w:sz w:val="24"/>
                                <w:szCs w:val="24"/>
                              </w:rPr>
                            </w:pPr>
                          </w:p>
                          <w:p w14:paraId="0D4B1F85">
                            <w:pPr>
                              <w:jc w:val="center"/>
                              <w:rPr>
                                <w:rFonts w:hint="eastAsia" w:ascii="仿宋" w:hAnsi="仿宋" w:eastAsia="仿宋" w:cs="仿宋"/>
                                <w:sz w:val="24"/>
                                <w:szCs w:val="24"/>
                              </w:rPr>
                            </w:pPr>
                          </w:p>
                          <w:p w14:paraId="693F0E2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25264061"/>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3360;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V85VhyICAABYBAAADgAAAGRycy9lMm9Eb2MueG1srVRLktMw&#10;EN1TxR1U2hN/puKAK84sCGFDwRQDB1Ak2RalX0lK7OzYUZyBHUvuALeZKrgFLcVkPrDIAi/sltX9&#10;/Pq9lpeXo5Joz50XRje4mOUYcU0NE7pr8Pt3mydPMfKBaEak0bzBB+7x5erxo+Vga16a3kjGHQIQ&#10;7evBNrgPwdZZ5mnPFfEzY7mGzdY4RQIsXZcxRwZAVzIr87zKBuOYdYZy7+Ht+riJJ0R3DqBpW0H5&#10;2tCd4jocUR2XJEBLvhfW41Vi27achjdt63lAssHQaUh3+AjE23jPVktSd47YXtCJAjmHwoOeFBEa&#10;PnqCWpNA0M6Jv6CUoM5404YZNSo7NpIUgS6K/IE21z2xPPUCUnt7Et3/P1j6en/lkGANXmCkiQLD&#10;f3769uvj55svP26+f0VVESUarK8h89peuWnlIYz9jq1T8QmdoDHJejjJyseAKLwsL8pFuZhjRGGv&#10;uKgWxXweUbPbcut8eMmNQjFosDM7zd6CeUlTsn/lQxKXTRQJ+4BRqyRYtScSFVVVLSbEKRmw/2DG&#10;Sm+kYBshZVq4bvtcOgSlDd6kayq+lyY1Ghr8bF5G5gQmvYUJg1BZUMvrLnG7V+HvAufp+hdwJLYm&#10;vj8SSAgxjdQ9J+yFZigcLPig4fjhSEFxhpHkcFpjlDIDEfKcTJBBalA6Gni0LEZh3I6Tj1vDDjAA&#10;O+tE14Pyye6UDgOXLJoOR5zou+sEevtD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S+tgtUA&#10;AAAJAQAADwAAAAAAAAABACAAAAAiAAAAZHJzL2Rvd25yZXYueG1sUEsBAhQAFAAAAAgAh07iQFfO&#10;VYciAgAAWAQAAA4AAAAAAAAAAQAgAAAAJAEAAGRycy9lMm9Eb2MueG1sUEsFBgAAAAAGAAYAWQEA&#10;ALgFAAAAAA==&#10;">
                <v:fill on="t" focussize="0,0"/>
                <v:stroke color="#000000" joinstyle="round"/>
                <v:imagedata o:title=""/>
                <o:lock v:ext="edit" aspectratio="f"/>
                <v:textbox>
                  <w:txbxContent>
                    <w:p w14:paraId="4CD4BD9E">
                      <w:pPr>
                        <w:jc w:val="center"/>
                        <w:rPr>
                          <w:rFonts w:hint="eastAsia" w:ascii="仿宋" w:hAnsi="仿宋" w:eastAsia="仿宋" w:cs="仿宋"/>
                          <w:sz w:val="24"/>
                          <w:szCs w:val="24"/>
                        </w:rPr>
                      </w:pPr>
                    </w:p>
                    <w:p w14:paraId="0D4B1F85">
                      <w:pPr>
                        <w:jc w:val="center"/>
                        <w:rPr>
                          <w:rFonts w:hint="eastAsia" w:ascii="仿宋" w:hAnsi="仿宋" w:eastAsia="仿宋" w:cs="仿宋"/>
                          <w:sz w:val="24"/>
                          <w:szCs w:val="24"/>
                        </w:rPr>
                      </w:pPr>
                    </w:p>
                    <w:p w14:paraId="693F0E2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25264061"/>
                  </w:txbxContent>
                </v:textbox>
                <w10:wrap type="square"/>
              </v:roundrect>
            </w:pict>
          </mc:Fallback>
        </mc:AlternateContent>
      </w:r>
    </w:p>
    <w:p w14:paraId="6C659A0D">
      <w:pPr>
        <w:pStyle w:val="10"/>
        <w:numPr>
          <w:ilvl w:val="0"/>
          <w:numId w:val="0"/>
        </w:numPr>
        <w:kinsoku w:val="0"/>
        <w:overflowPunct w:val="0"/>
        <w:adjustRightInd w:val="0"/>
        <w:snapToGrid w:val="0"/>
        <w:spacing w:line="200" w:lineRule="atLeast"/>
        <w:outlineLvl w:val="9"/>
        <w:rPr>
          <w:rFonts w:ascii="仿宋" w:hAnsi="仿宋" w:eastAsia="仿宋" w:cs="仿宋"/>
          <w:color w:val="auto"/>
          <w:sz w:val="18"/>
          <w:szCs w:val="20"/>
        </w:rPr>
      </w:pPr>
    </w:p>
    <w:p w14:paraId="1EB56903">
      <w:pPr>
        <w:outlineLvl w:val="9"/>
        <w:rPr>
          <w:rFonts w:ascii="仿宋" w:hAnsi="仿宋" w:eastAsia="仿宋" w:cs="仿宋"/>
          <w:color w:val="auto"/>
          <w:sz w:val="18"/>
          <w:szCs w:val="20"/>
        </w:rPr>
      </w:pPr>
    </w:p>
    <w:p w14:paraId="29054A12">
      <w:pPr>
        <w:pStyle w:val="34"/>
        <w:outlineLvl w:val="9"/>
        <w:rPr>
          <w:rFonts w:ascii="仿宋" w:hAnsi="仿宋" w:eastAsia="仿宋" w:cs="仿宋"/>
          <w:color w:val="auto"/>
          <w:sz w:val="18"/>
          <w:szCs w:val="20"/>
        </w:rPr>
      </w:pPr>
    </w:p>
    <w:p w14:paraId="55829B4A">
      <w:pPr>
        <w:pStyle w:val="34"/>
        <w:outlineLvl w:val="9"/>
        <w:rPr>
          <w:rFonts w:ascii="仿宋" w:hAnsi="仿宋" w:eastAsia="仿宋" w:cs="仿宋"/>
          <w:color w:val="auto"/>
          <w:sz w:val="18"/>
          <w:szCs w:val="20"/>
        </w:rPr>
      </w:pPr>
    </w:p>
    <w:p w14:paraId="2584D504">
      <w:pPr>
        <w:pStyle w:val="34"/>
        <w:outlineLvl w:val="9"/>
        <w:rPr>
          <w:rFonts w:ascii="仿宋" w:hAnsi="仿宋" w:eastAsia="仿宋" w:cs="仿宋"/>
          <w:color w:val="auto"/>
          <w:sz w:val="18"/>
          <w:szCs w:val="20"/>
        </w:rPr>
      </w:pPr>
    </w:p>
    <w:p w14:paraId="28B352A4">
      <w:pPr>
        <w:pStyle w:val="34"/>
        <w:outlineLvl w:val="9"/>
        <w:rPr>
          <w:rFonts w:ascii="仿宋" w:hAnsi="仿宋" w:eastAsia="仿宋" w:cs="仿宋"/>
          <w:color w:val="auto"/>
          <w:sz w:val="18"/>
          <w:szCs w:val="20"/>
        </w:rPr>
      </w:pPr>
    </w:p>
    <w:p w14:paraId="550660CD">
      <w:pPr>
        <w:pStyle w:val="10"/>
        <w:numPr>
          <w:ilvl w:val="0"/>
          <w:numId w:val="0"/>
        </w:numPr>
        <w:tabs>
          <w:tab w:val="left" w:pos="5295"/>
        </w:tabs>
        <w:kinsoku w:val="0"/>
        <w:overflowPunct w:val="0"/>
        <w:adjustRightInd w:val="0"/>
        <w:snapToGrid w:val="0"/>
        <w:spacing w:line="360" w:lineRule="auto"/>
        <w:ind w:left="709"/>
        <w:outlineLvl w:val="9"/>
        <w:rPr>
          <w:rFonts w:hint="eastAsia" w:ascii="仿宋" w:hAnsi="仿宋" w:eastAsia="仿宋" w:cs="仿宋"/>
          <w:color w:val="auto"/>
          <w:sz w:val="24"/>
          <w:lang w:eastAsia="zh-CN"/>
        </w:rPr>
      </w:pPr>
    </w:p>
    <w:p w14:paraId="1AA4A3F7">
      <w:pPr>
        <w:pStyle w:val="10"/>
        <w:numPr>
          <w:ilvl w:val="0"/>
          <w:numId w:val="0"/>
        </w:numPr>
        <w:tabs>
          <w:tab w:val="left" w:pos="5295"/>
        </w:tabs>
        <w:kinsoku w:val="0"/>
        <w:overflowPunct w:val="0"/>
        <w:adjustRightInd w:val="0"/>
        <w:snapToGrid w:val="0"/>
        <w:spacing w:line="360" w:lineRule="auto"/>
        <w:ind w:left="709"/>
        <w:outlineLvl w:val="9"/>
        <w:rPr>
          <w:rFonts w:ascii="仿宋" w:hAnsi="仿宋" w:eastAsia="仿宋" w:cs="仿宋"/>
          <w:color w:val="auto"/>
          <w:sz w:val="24"/>
          <w:lang w:eastAsia="zh-CN"/>
        </w:rPr>
      </w:pPr>
      <w:r>
        <w:rPr>
          <w:rFonts w:hint="eastAsia" w:ascii="仿宋" w:hAnsi="仿宋" w:eastAsia="仿宋" w:cs="仿宋"/>
          <w:color w:val="auto"/>
          <w:sz w:val="24"/>
          <w:lang w:eastAsia="zh-CN"/>
        </w:rPr>
        <w:t>被授权代表（签字或盖章）：          供应商法定代表人（签字或盖章）：</w:t>
      </w:r>
    </w:p>
    <w:p w14:paraId="31B7CE2E">
      <w:pPr>
        <w:pStyle w:val="10"/>
        <w:numPr>
          <w:ilvl w:val="0"/>
          <w:numId w:val="0"/>
        </w:numPr>
        <w:tabs>
          <w:tab w:val="left" w:pos="1098"/>
          <w:tab w:val="left" w:pos="5298"/>
          <w:tab w:val="left" w:pos="5778"/>
        </w:tabs>
        <w:kinsoku w:val="0"/>
        <w:overflowPunct w:val="0"/>
        <w:adjustRightInd w:val="0"/>
        <w:snapToGrid w:val="0"/>
        <w:spacing w:line="360" w:lineRule="auto"/>
        <w:ind w:left="709"/>
        <w:outlineLvl w:val="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049C2BA6">
      <w:pPr>
        <w:pStyle w:val="10"/>
        <w:numPr>
          <w:ilvl w:val="0"/>
          <w:numId w:val="0"/>
        </w:numPr>
        <w:tabs>
          <w:tab w:val="left" w:pos="1098"/>
          <w:tab w:val="left" w:pos="5298"/>
          <w:tab w:val="left" w:pos="5778"/>
        </w:tabs>
        <w:kinsoku w:val="0"/>
        <w:overflowPunct w:val="0"/>
        <w:adjustRightInd w:val="0"/>
        <w:snapToGrid w:val="0"/>
        <w:spacing w:line="360" w:lineRule="auto"/>
        <w:ind w:left="709"/>
        <w:outlineLvl w:val="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79517394">
      <w:pPr>
        <w:pStyle w:val="10"/>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outlineLvl w:val="9"/>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3730C893">
      <w:pPr>
        <w:pStyle w:val="10"/>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05" w:leftChars="50" w:right="238" w:firstLine="2880" w:firstLineChars="1200"/>
        <w:jc w:val="both"/>
        <w:outlineLvl w:val="9"/>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29BD8341">
      <w:pPr>
        <w:pStyle w:val="34"/>
        <w:outlineLvl w:val="9"/>
        <w:rPr>
          <w:rFonts w:ascii="仿宋" w:hAnsi="仿宋" w:eastAsia="仿宋" w:cs="仿宋"/>
          <w:b/>
          <w:bCs/>
          <w:color w:val="auto"/>
          <w:sz w:val="36"/>
          <w:szCs w:val="36"/>
          <w:lang w:eastAsia="zh-CN"/>
        </w:rPr>
      </w:pPr>
      <w:r>
        <w:rPr>
          <w:rFonts w:hint="eastAsia" w:ascii="仿宋" w:hAnsi="仿宋" w:eastAsia="仿宋" w:cs="仿宋"/>
          <w:color w:val="auto"/>
          <w:lang w:eastAsia="zh-CN"/>
        </w:rPr>
        <w:br w:type="page"/>
      </w:r>
    </w:p>
    <w:p w14:paraId="00BD7E10">
      <w:pPr>
        <w:pStyle w:val="16"/>
        <w:tabs>
          <w:tab w:val="left" w:pos="5580"/>
        </w:tabs>
        <w:spacing w:line="240" w:lineRule="auto"/>
        <w:ind w:left="0" w:leftChars="0" w:firstLine="0"/>
        <w:outlineLvl w:val="9"/>
        <w:rPr>
          <w:rFonts w:ascii="仿宋" w:hAnsi="仿宋" w:eastAsia="仿宋" w:cs="仿宋"/>
          <w:color w:val="auto"/>
          <w:highlight w:val="none"/>
          <w:lang w:eastAsia="zh-CN"/>
        </w:rPr>
      </w:pPr>
      <w:r>
        <w:rPr>
          <w:rFonts w:hint="eastAsia" w:ascii="仿宋" w:hAnsi="仿宋" w:eastAsia="仿宋" w:cs="仿宋"/>
          <w:b/>
          <w:bCs/>
          <w:color w:val="auto"/>
          <w:sz w:val="28"/>
          <w:szCs w:val="28"/>
          <w:lang w:eastAsia="zh-CN"/>
        </w:rPr>
        <w:t>3、投标企业须提供投标人（被授权本单位在职人员）近6个月内任何1个月已依法缴纳社会保险的凭据（依法不需要缴纳社会保障资金的供应商，应提供相应证明文件）；</w:t>
      </w:r>
      <w:r>
        <w:rPr>
          <w:rFonts w:hint="eastAsia" w:ascii="仿宋" w:hAnsi="仿宋" w:eastAsia="仿宋" w:cs="仿宋"/>
          <w:color w:val="auto"/>
          <w:highlight w:val="none"/>
          <w:lang w:eastAsia="zh-CN"/>
        </w:rPr>
        <w:t>说明：</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．按照招标文件的规定加盖单位章。</w:t>
      </w:r>
    </w:p>
    <w:p w14:paraId="798A98A7">
      <w:pPr>
        <w:pStyle w:val="16"/>
        <w:tabs>
          <w:tab w:val="left" w:pos="5580"/>
        </w:tabs>
        <w:spacing w:line="360" w:lineRule="auto"/>
        <w:ind w:left="1080" w:leftChars="257" w:hanging="540"/>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p>
    <w:p w14:paraId="369142F0">
      <w:pPr>
        <w:pStyle w:val="8"/>
        <w:ind w:left="0" w:leftChars="0" w:firstLine="0" w:firstLineChars="0"/>
        <w:jc w:val="left"/>
        <w:outlineLvl w:val="9"/>
        <w:rPr>
          <w:rFonts w:ascii="仿宋" w:hAnsi="仿宋" w:eastAsia="仿宋" w:cs="仿宋"/>
          <w:color w:val="auto"/>
        </w:rPr>
      </w:pPr>
      <w:r>
        <w:rPr>
          <w:rFonts w:hint="eastAsia" w:ascii="仿宋" w:hAnsi="仿宋" w:eastAsia="仿宋" w:cs="仿宋"/>
          <w:b/>
          <w:bCs/>
          <w:color w:val="auto"/>
          <w:sz w:val="28"/>
          <w:szCs w:val="28"/>
          <w:lang w:eastAsia="zh-CN"/>
        </w:rPr>
        <w:t>4、具有良好的商业信誉和健全的财务会计制度（提供2024年经审计的财务报告；或提供2024年的财务报表，新成立公司不足一年的提供成立至今的财务报表；或提供开户银行出具的资信证明；或提供财政部门认可的政府采购专业担保机构出具的投标担保函）</w:t>
      </w:r>
    </w:p>
    <w:p w14:paraId="543CEA47">
      <w:pPr>
        <w:pStyle w:val="17"/>
        <w:ind w:left="840" w:leftChars="0" w:firstLine="420" w:firstLineChars="0"/>
        <w:outlineLvl w:val="9"/>
        <w:rPr>
          <w:rFonts w:hint="default"/>
          <w:lang w:val="en-US" w:eastAsia="zh-CN"/>
        </w:rPr>
      </w:pPr>
      <w:r>
        <w:rPr>
          <w:rFonts w:hint="eastAsia" w:ascii="仿宋" w:hAnsi="仿宋" w:eastAsia="仿宋" w:cs="仿宋"/>
          <w:color w:val="auto"/>
          <w:lang w:eastAsia="zh-CN"/>
        </w:rPr>
        <w:t>说明：1.</w:t>
      </w:r>
      <w:r>
        <w:rPr>
          <w:rFonts w:hint="eastAsia" w:ascii="仿宋" w:hAnsi="仿宋" w:eastAsia="仿宋" w:cs="仿宋"/>
          <w:color w:val="auto"/>
          <w:lang w:val="en-US" w:eastAsia="zh-CN"/>
        </w:rPr>
        <w:t>投标人自行提供。</w:t>
      </w:r>
    </w:p>
    <w:p w14:paraId="2EA9E6F2">
      <w:pPr>
        <w:pStyle w:val="8"/>
        <w:outlineLvl w:val="9"/>
        <w:rPr>
          <w:rFonts w:ascii="仿宋" w:hAnsi="仿宋" w:eastAsia="仿宋" w:cs="仿宋"/>
          <w:color w:val="auto"/>
        </w:rPr>
      </w:pPr>
    </w:p>
    <w:p w14:paraId="260747E7">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4D3C4799">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8"/>
          <w:szCs w:val="28"/>
          <w:lang w:val="en-US" w:eastAsia="zh-CN" w:bidi="ar-SA"/>
        </w:rPr>
        <w:t>5、</w:t>
      </w:r>
      <w:r>
        <w:rPr>
          <w:rFonts w:hint="eastAsia" w:ascii="仿宋" w:hAnsi="仿宋" w:eastAsia="仿宋" w:cs="仿宋"/>
          <w:b/>
          <w:bCs/>
          <w:color w:val="auto"/>
          <w:sz w:val="28"/>
          <w:szCs w:val="28"/>
          <w:lang w:val="en-US" w:eastAsia="zh-CN"/>
        </w:rPr>
        <w:t>投标人不得被列入“信用中国”网站（www.creditchina.gov.cn）、中国政府采购网站（www.ccgp.gov.cn）失信被执行人、重大税收违法案件当事人名单、政府采购严重违法失信行为记录名单；（提供查询结果网页截图并加盖供应商公章）</w:t>
      </w:r>
    </w:p>
    <w:p w14:paraId="7DD7157C">
      <w:pPr>
        <w:numPr>
          <w:ilvl w:val="0"/>
          <w:numId w:val="0"/>
        </w:numPr>
        <w:rPr>
          <w:rFonts w:hint="eastAsia" w:ascii="仿宋" w:hAnsi="仿宋" w:eastAsia="仿宋" w:cs="仿宋"/>
          <w:b/>
          <w:bCs/>
          <w:color w:val="auto"/>
          <w:sz w:val="28"/>
          <w:szCs w:val="28"/>
          <w:lang w:val="en-US" w:eastAsia="zh-CN"/>
        </w:rPr>
      </w:pPr>
    </w:p>
    <w:p w14:paraId="202D2A82">
      <w:pPr>
        <w:numPr>
          <w:ilvl w:val="0"/>
          <w:numId w:val="0"/>
        </w:numPr>
        <w:rPr>
          <w:rFonts w:hint="eastAsia" w:ascii="仿宋" w:hAnsi="仿宋" w:eastAsia="仿宋" w:cs="仿宋"/>
          <w:b/>
          <w:bCs/>
          <w:color w:val="auto"/>
          <w:sz w:val="28"/>
          <w:szCs w:val="28"/>
          <w:lang w:val="en-US" w:eastAsia="zh-CN"/>
        </w:rPr>
      </w:pPr>
    </w:p>
    <w:p w14:paraId="2B3C31AB">
      <w:pPr>
        <w:numPr>
          <w:ilvl w:val="0"/>
          <w:numId w:val="0"/>
        </w:numPr>
        <w:rPr>
          <w:rFonts w:hint="eastAsia" w:ascii="仿宋" w:hAnsi="仿宋" w:eastAsia="仿宋" w:cs="仿宋"/>
          <w:b/>
          <w:bCs/>
          <w:color w:val="auto"/>
          <w:sz w:val="28"/>
          <w:szCs w:val="28"/>
          <w:lang w:val="en-US" w:eastAsia="zh-CN"/>
        </w:rPr>
      </w:pPr>
    </w:p>
    <w:p w14:paraId="2FADD05E">
      <w:pPr>
        <w:numPr>
          <w:ilvl w:val="0"/>
          <w:numId w:val="0"/>
        </w:numPr>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8"/>
          <w:szCs w:val="28"/>
          <w:lang w:val="en-US" w:eastAsia="zh-CN" w:bidi="ar-SA"/>
        </w:rPr>
        <w:t>6、</w:t>
      </w:r>
      <w:r>
        <w:rPr>
          <w:rFonts w:hint="eastAsia" w:ascii="仿宋" w:hAnsi="仿宋" w:eastAsia="仿宋" w:cs="仿宋"/>
          <w:b/>
          <w:bCs/>
          <w:color w:val="auto"/>
          <w:sz w:val="28"/>
          <w:szCs w:val="28"/>
          <w:lang w:val="en-US" w:eastAsia="zh-CN"/>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1A3FC525">
      <w:pPr>
        <w:numPr>
          <w:ilvl w:val="0"/>
          <w:numId w:val="0"/>
        </w:numPr>
        <w:ind w:left="0" w:leftChars="0" w:firstLine="353" w:firstLineChars="0"/>
        <w:rPr>
          <w:rFonts w:hint="eastAsia" w:ascii="仿宋" w:hAnsi="仿宋" w:eastAsia="仿宋" w:cs="仿宋"/>
          <w:b/>
          <w:bCs/>
          <w:color w:val="auto"/>
          <w:sz w:val="28"/>
          <w:szCs w:val="28"/>
          <w:lang w:val="en-US" w:eastAsia="zh-CN"/>
        </w:rPr>
      </w:pPr>
    </w:p>
    <w:p w14:paraId="5253CFE1">
      <w:pPr>
        <w:numPr>
          <w:ilvl w:val="0"/>
          <w:numId w:val="0"/>
        </w:numPr>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5DB7E371">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5E2296A4">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8、具有履行合同所必需的设备和专业技术能力（提供书面声明函）；</w:t>
      </w:r>
    </w:p>
    <w:p w14:paraId="530E932E">
      <w:pPr>
        <w:numPr>
          <w:ilvl w:val="0"/>
          <w:numId w:val="0"/>
        </w:numPr>
        <w:rPr>
          <w:rFonts w:hint="eastAsia" w:ascii="仿宋" w:hAnsi="仿宋" w:eastAsia="仿宋" w:cs="仿宋"/>
          <w:b/>
          <w:bCs/>
          <w:color w:val="auto"/>
          <w:sz w:val="28"/>
          <w:szCs w:val="28"/>
          <w:lang w:val="en-US" w:eastAsia="zh-CN"/>
        </w:rPr>
      </w:pPr>
    </w:p>
    <w:p w14:paraId="3D5337B9">
      <w:pPr>
        <w:numPr>
          <w:ilvl w:val="0"/>
          <w:numId w:val="0"/>
        </w:numPr>
        <w:rPr>
          <w:rFonts w:hint="eastAsia" w:ascii="仿宋" w:hAnsi="仿宋" w:eastAsia="仿宋" w:cs="仿宋"/>
          <w:b/>
          <w:bCs/>
          <w:color w:val="auto"/>
          <w:sz w:val="28"/>
          <w:szCs w:val="28"/>
          <w:lang w:val="en-US" w:eastAsia="zh-CN"/>
        </w:rPr>
      </w:pPr>
    </w:p>
    <w:p w14:paraId="45BD3AEB">
      <w:pPr>
        <w:numPr>
          <w:ilvl w:val="0"/>
          <w:numId w:val="0"/>
        </w:numPr>
        <w:rPr>
          <w:rFonts w:hint="eastAsia" w:ascii="仿宋" w:hAnsi="仿宋" w:eastAsia="仿宋" w:cs="仿宋"/>
          <w:b/>
          <w:bCs/>
          <w:color w:val="auto"/>
          <w:sz w:val="28"/>
          <w:szCs w:val="28"/>
          <w:lang w:val="en-US" w:eastAsia="zh-CN"/>
        </w:rPr>
      </w:pPr>
    </w:p>
    <w:p w14:paraId="0454BF6B">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9、提供参加政府采购活动前三年内，在经营活动中没有重大违法记录（承诺函原件扫描件）；</w:t>
      </w:r>
    </w:p>
    <w:p w14:paraId="1206CF1D">
      <w:pPr>
        <w:numPr>
          <w:ilvl w:val="0"/>
          <w:numId w:val="0"/>
        </w:numPr>
        <w:rPr>
          <w:rFonts w:hint="eastAsia" w:ascii="仿宋" w:hAnsi="仿宋" w:eastAsia="仿宋" w:cs="仿宋"/>
          <w:b/>
          <w:bCs/>
          <w:color w:val="auto"/>
          <w:sz w:val="28"/>
          <w:szCs w:val="28"/>
          <w:lang w:val="en-US" w:eastAsia="zh-CN"/>
        </w:rPr>
      </w:pPr>
    </w:p>
    <w:p w14:paraId="35881B2E">
      <w:pPr>
        <w:numPr>
          <w:ilvl w:val="0"/>
          <w:numId w:val="0"/>
        </w:numPr>
        <w:rPr>
          <w:rFonts w:hint="eastAsia" w:ascii="仿宋" w:hAnsi="仿宋" w:eastAsia="仿宋" w:cs="仿宋"/>
          <w:b/>
          <w:bCs/>
          <w:color w:val="auto"/>
          <w:sz w:val="28"/>
          <w:szCs w:val="28"/>
          <w:lang w:val="en-US" w:eastAsia="zh-CN"/>
        </w:rPr>
      </w:pPr>
    </w:p>
    <w:p w14:paraId="6721956B">
      <w:pPr>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10、企业负责人为同一人或者存在直接控股、管理关系的不同投标人，不得参加同一合同项下的政府采购活动（提供书面声明函）；</w:t>
      </w:r>
    </w:p>
    <w:p w14:paraId="3FD04924">
      <w:pPr>
        <w:rPr>
          <w:rFonts w:hint="eastAsia"/>
          <w:lang w:val="en-US" w:eastAsia="zh-CN"/>
        </w:rPr>
      </w:pPr>
    </w:p>
    <w:p w14:paraId="6494AAC3">
      <w:pPr>
        <w:numPr>
          <w:ilvl w:val="0"/>
          <w:numId w:val="0"/>
        </w:numPr>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7D705592">
      <w:pPr>
        <w:numPr>
          <w:ilvl w:val="0"/>
          <w:numId w:val="0"/>
        </w:numPr>
        <w:spacing w:line="360" w:lineRule="auto"/>
        <w:ind w:leftChars="0"/>
        <w:jc w:val="both"/>
        <w:outlineLvl w:val="9"/>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11、</w:t>
      </w:r>
      <w:r>
        <w:rPr>
          <w:rFonts w:hint="eastAsia" w:ascii="仿宋" w:hAnsi="仿宋" w:eastAsia="仿宋" w:cs="仿宋"/>
          <w:b/>
          <w:bCs/>
          <w:color w:val="auto"/>
          <w:sz w:val="28"/>
          <w:szCs w:val="28"/>
          <w:lang w:eastAsia="zh-CN"/>
        </w:rPr>
        <w:t>投标保证金缴纳凭证（银行回单）或保函等票据；</w:t>
      </w:r>
    </w:p>
    <w:p w14:paraId="0E044606">
      <w:pPr>
        <w:shd w:val="clear" w:color="auto" w:fill="auto"/>
        <w:outlineLvl w:val="9"/>
        <w:rPr>
          <w:rFonts w:hint="eastAsia" w:ascii="仿宋" w:hAnsi="仿宋" w:eastAsia="仿宋" w:cs="仿宋"/>
          <w:color w:val="auto"/>
          <w:sz w:val="24"/>
          <w:szCs w:val="24"/>
          <w:highlight w:val="none"/>
        </w:rPr>
      </w:pPr>
    </w:p>
    <w:tbl>
      <w:tblPr>
        <w:tblStyle w:val="26"/>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928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14:paraId="72346617">
            <w:pPr>
              <w:shd w:val="clear" w:color="auto" w:fill="auto"/>
              <w:outlineLvl w:val="9"/>
              <w:rPr>
                <w:rFonts w:hint="eastAsia" w:ascii="仿宋" w:hAnsi="仿宋" w:eastAsia="仿宋" w:cs="仿宋"/>
                <w:b/>
                <w:bCs/>
                <w:color w:val="auto"/>
                <w:sz w:val="24"/>
                <w:szCs w:val="24"/>
                <w:highlight w:val="none"/>
              </w:rPr>
            </w:pPr>
          </w:p>
          <w:p w14:paraId="5A7FF833">
            <w:pPr>
              <w:shd w:val="clear" w:color="auto" w:fill="auto"/>
              <w:jc w:val="center"/>
              <w:outlineLvl w:val="9"/>
              <w:rPr>
                <w:rFonts w:hint="eastAsia" w:ascii="仿宋" w:hAnsi="仿宋" w:eastAsia="仿宋" w:cs="仿宋"/>
                <w:b/>
                <w:bCs/>
                <w:color w:val="auto"/>
                <w:sz w:val="24"/>
                <w:szCs w:val="24"/>
                <w:highlight w:val="none"/>
              </w:rPr>
            </w:pPr>
          </w:p>
          <w:p w14:paraId="24CA3D0A">
            <w:pPr>
              <w:shd w:val="clear" w:color="auto" w:fill="auto"/>
              <w:jc w:val="center"/>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投标保证金缴纳凭证（银行回单）</w:t>
            </w:r>
          </w:p>
          <w:p w14:paraId="5D2D9D7F">
            <w:pPr>
              <w:shd w:val="clear" w:color="auto" w:fill="auto"/>
              <w:jc w:val="center"/>
              <w:outlineLvl w:val="9"/>
              <w:rPr>
                <w:rFonts w:hint="eastAsia" w:ascii="仿宋" w:hAnsi="仿宋" w:eastAsia="仿宋" w:cs="仿宋"/>
                <w:b/>
                <w:bCs/>
                <w:color w:val="auto"/>
                <w:sz w:val="24"/>
                <w:szCs w:val="24"/>
                <w:highlight w:val="none"/>
              </w:rPr>
            </w:pPr>
          </w:p>
          <w:p w14:paraId="30779550">
            <w:pPr>
              <w:shd w:val="clear" w:color="auto" w:fill="auto"/>
              <w:jc w:val="center"/>
              <w:outlineLvl w:val="9"/>
              <w:rPr>
                <w:rFonts w:hint="eastAsia" w:ascii="仿宋" w:hAnsi="仿宋" w:eastAsia="仿宋" w:cs="仿宋"/>
                <w:b/>
                <w:bCs/>
                <w:color w:val="auto"/>
                <w:sz w:val="24"/>
                <w:szCs w:val="24"/>
                <w:highlight w:val="none"/>
              </w:rPr>
            </w:pPr>
          </w:p>
        </w:tc>
      </w:tr>
    </w:tbl>
    <w:p w14:paraId="23B16628">
      <w:pPr>
        <w:pStyle w:val="35"/>
        <w:numPr>
          <w:ilvl w:val="4"/>
          <w:numId w:val="0"/>
        </w:numPr>
        <w:ind w:leftChars="0"/>
        <w:outlineLvl w:val="9"/>
        <w:rPr>
          <w:rFonts w:hint="eastAsia"/>
          <w:lang w:eastAsia="zh-CN"/>
        </w:rPr>
      </w:pPr>
    </w:p>
    <w:p w14:paraId="314C849E">
      <w:pPr>
        <w:pStyle w:val="36"/>
        <w:outlineLvl w:val="9"/>
        <w:rPr>
          <w:rFonts w:hint="eastAsia"/>
          <w:lang w:eastAsia="zh-CN"/>
        </w:rPr>
      </w:pPr>
    </w:p>
    <w:p w14:paraId="284B4D60">
      <w:pPr>
        <w:pStyle w:val="36"/>
        <w:outlineLvl w:val="9"/>
        <w:rPr>
          <w:rFonts w:hint="eastAsia"/>
          <w:lang w:eastAsia="zh-CN"/>
        </w:rPr>
      </w:pPr>
    </w:p>
    <w:p w14:paraId="6C9DE810">
      <w:pPr>
        <w:pStyle w:val="36"/>
        <w:outlineLvl w:val="9"/>
        <w:rPr>
          <w:rFonts w:hint="eastAsia"/>
          <w:lang w:eastAsia="zh-CN"/>
        </w:rPr>
      </w:pPr>
    </w:p>
    <w:p w14:paraId="5E2C0E87">
      <w:pPr>
        <w:pStyle w:val="36"/>
        <w:outlineLvl w:val="9"/>
        <w:rPr>
          <w:rFonts w:hint="eastAsia"/>
          <w:lang w:eastAsia="zh-CN"/>
        </w:rPr>
      </w:pPr>
    </w:p>
    <w:p w14:paraId="129E079C">
      <w:pPr>
        <w:pStyle w:val="36"/>
        <w:outlineLvl w:val="9"/>
        <w:rPr>
          <w:rFonts w:hint="eastAsia"/>
          <w:lang w:eastAsia="zh-CN"/>
        </w:rPr>
      </w:pPr>
    </w:p>
    <w:p w14:paraId="1665E05C">
      <w:pPr>
        <w:pStyle w:val="36"/>
        <w:outlineLvl w:val="9"/>
        <w:rPr>
          <w:rFonts w:hint="eastAsia"/>
          <w:lang w:eastAsia="zh-CN"/>
        </w:rPr>
      </w:pPr>
    </w:p>
    <w:p w14:paraId="495C8023">
      <w:pPr>
        <w:outlineLvl w:val="9"/>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br w:type="page"/>
      </w:r>
    </w:p>
    <w:p w14:paraId="11BD60AF">
      <w:pPr>
        <w:spacing w:line="360" w:lineRule="auto"/>
        <w:jc w:val="center"/>
        <w:outlineLvl w:val="9"/>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7C573E22">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编号：</w:t>
      </w:r>
    </w:p>
    <w:p w14:paraId="513AAFA4">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14:paraId="4CC792AC">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（以下简称“供应商”）拟参加编号为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512317DA">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37A9D402">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一、保证责任的情形及保证金额</w:t>
      </w:r>
    </w:p>
    <w:p w14:paraId="2C2A8A38">
      <w:pPr>
        <w:spacing w:line="360" w:lineRule="auto"/>
        <w:ind w:firstLine="210" w:firstLineChars="100"/>
        <w:outlineLvl w:val="9"/>
        <w:rPr>
          <w:rFonts w:ascii="仿宋" w:hAnsi="仿宋" w:eastAsia="仿宋" w:cs="仿宋"/>
          <w:color w:val="auto"/>
          <w:lang w:eastAsia="zh-CN"/>
        </w:rPr>
      </w:pPr>
      <w:r>
        <w:rPr>
          <w:rFonts w:hint="eastAsia" w:ascii="仿宋" w:hAnsi="仿宋" w:eastAsia="仿宋" w:cs="仿宋"/>
          <w:color w:val="auto"/>
          <w:lang w:eastAsia="zh-CN"/>
        </w:rPr>
        <w:t>（一）在供应商出现下列情形之一时，我方承担保证责任：</w:t>
      </w:r>
    </w:p>
    <w:p w14:paraId="21A618AC">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1．中标后供应商无正当理由不与采购人或者采购代理机构签订《政府采购合同》；</w:t>
      </w:r>
    </w:p>
    <w:p w14:paraId="3BE7DCDD">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2．询价通知书规定的供应商应当缴纳保证金的其他情形。</w:t>
      </w:r>
    </w:p>
    <w:p w14:paraId="2D9DD5CD">
      <w:pPr>
        <w:spacing w:line="360" w:lineRule="auto"/>
        <w:ind w:firstLine="210" w:firstLineChars="100"/>
        <w:outlineLvl w:val="9"/>
        <w:rPr>
          <w:rFonts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14:paraId="03827445">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二、保证的方式及保证期间</w:t>
      </w:r>
    </w:p>
    <w:p w14:paraId="47E3D8C5">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我方保证的方式为：连带责任保证。</w:t>
      </w:r>
    </w:p>
    <w:p w14:paraId="77B8E46E">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14:paraId="3B2D1B08">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三、承担保证责任的程序</w:t>
      </w:r>
    </w:p>
    <w:p w14:paraId="6B2FE359">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671E5253">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个工作日内进行审查，符合应承担保证责任情形的，我方应按照你方的要求代供应商向你方支付投标保证金。</w:t>
      </w:r>
    </w:p>
    <w:p w14:paraId="0D80C220">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四、保证责任的终止</w:t>
      </w:r>
    </w:p>
    <w:p w14:paraId="6912176D">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14:paraId="4027CB4D">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14:paraId="421884C8">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14:paraId="1EC01AE0">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五、免责条款</w:t>
      </w:r>
    </w:p>
    <w:p w14:paraId="70269177">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1．依照法律规定或你方与供应商的另行约定，全部或者部分免除供应商投标保证金义务时，我方亦免除相应的保证责任。</w:t>
      </w:r>
    </w:p>
    <w:p w14:paraId="3062D284">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2．因你方原因致使供应商发生本保函第一条第（一）款约定情形的，我方不承担保证责任。</w:t>
      </w:r>
    </w:p>
    <w:p w14:paraId="492B6EB0">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3．因不可抗力造成供应商发生本保函第一条约定情形的，我方不承担保证责任。</w:t>
      </w:r>
    </w:p>
    <w:p w14:paraId="14D80A54">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14:paraId="1D7580CC">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六、争议的解决</w:t>
      </w:r>
    </w:p>
    <w:p w14:paraId="057AEF53">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14:paraId="6D6C6518">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七、保函的生效</w:t>
      </w:r>
    </w:p>
    <w:p w14:paraId="06AFEE85">
      <w:pPr>
        <w:spacing w:line="360" w:lineRule="auto"/>
        <w:ind w:firstLine="420" w:firstLineChars="200"/>
        <w:outlineLvl w:val="9"/>
        <w:rPr>
          <w:rFonts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14:paraId="3EFAB490">
      <w:pPr>
        <w:spacing w:line="360" w:lineRule="auto"/>
        <w:ind w:firstLine="5565" w:firstLineChars="2650"/>
        <w:outlineLvl w:val="9"/>
        <w:rPr>
          <w:rFonts w:ascii="仿宋" w:hAnsi="仿宋" w:eastAsia="仿宋" w:cs="仿宋"/>
          <w:color w:val="auto"/>
          <w:lang w:eastAsia="zh-CN"/>
        </w:rPr>
      </w:pPr>
    </w:p>
    <w:p w14:paraId="6310BEE2">
      <w:pPr>
        <w:spacing w:line="360" w:lineRule="auto"/>
        <w:ind w:firstLine="5565" w:firstLineChars="2650"/>
        <w:outlineLvl w:val="9"/>
        <w:rPr>
          <w:rFonts w:ascii="仿宋" w:hAnsi="仿宋" w:eastAsia="仿宋" w:cs="仿宋"/>
          <w:color w:val="auto"/>
          <w:lang w:eastAsia="zh-CN"/>
        </w:rPr>
      </w:pPr>
    </w:p>
    <w:p w14:paraId="128746E4">
      <w:pPr>
        <w:spacing w:line="360" w:lineRule="auto"/>
        <w:ind w:firstLine="5565" w:firstLineChars="2650"/>
        <w:outlineLvl w:val="9"/>
        <w:rPr>
          <w:rFonts w:ascii="仿宋" w:hAnsi="仿宋" w:eastAsia="仿宋" w:cs="仿宋"/>
          <w:color w:val="auto"/>
          <w:lang w:eastAsia="zh-CN"/>
        </w:rPr>
      </w:pPr>
      <w:r>
        <w:rPr>
          <w:rFonts w:hint="eastAsia" w:ascii="仿宋" w:hAnsi="仿宋" w:eastAsia="仿宋" w:cs="仿宋"/>
          <w:color w:val="auto"/>
          <w:lang w:eastAsia="zh-CN"/>
        </w:rPr>
        <w:t>保证人：（公章）</w:t>
      </w:r>
    </w:p>
    <w:p w14:paraId="681BB801">
      <w:pPr>
        <w:spacing w:line="360" w:lineRule="auto"/>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p>
    <w:p w14:paraId="25B1E196">
      <w:pPr>
        <w:spacing w:line="360" w:lineRule="auto"/>
        <w:ind w:firstLine="5460" w:firstLineChars="2600"/>
        <w:outlineLvl w:val="9"/>
        <w:rPr>
          <w:rFonts w:ascii="仿宋" w:hAnsi="仿宋" w:eastAsia="仿宋" w:cs="仿宋"/>
          <w:color w:val="auto"/>
          <w:lang w:eastAsia="zh-CN"/>
        </w:rPr>
        <w:sectPr>
          <w:headerReference r:id="rId7" w:type="default"/>
          <w:footerReference r:id="rId8" w:type="default"/>
          <w:pgSz w:w="11905" w:h="16838"/>
          <w:pgMar w:top="1440" w:right="1134" w:bottom="1440" w:left="1134" w:header="850" w:footer="992" w:gutter="0"/>
          <w:pgNumType w:fmt="decimal"/>
          <w:cols w:space="0" w:num="1"/>
          <w:rtlGutter w:val="0"/>
          <w:docGrid w:type="lines" w:linePitch="321" w:charSpace="0"/>
        </w:sectPr>
      </w:pPr>
      <w:r>
        <w:rPr>
          <w:rFonts w:hint="eastAsia" w:ascii="仿宋" w:hAnsi="仿宋" w:eastAsia="仿宋" w:cs="仿宋"/>
          <w:color w:val="auto"/>
          <w:lang w:eastAsia="zh-CN"/>
        </w:rPr>
        <w:t>年     月      日</w:t>
      </w:r>
    </w:p>
    <w:p w14:paraId="121BC8A8">
      <w:pPr>
        <w:numPr>
          <w:ilvl w:val="0"/>
          <w:numId w:val="0"/>
        </w:numPr>
        <w:spacing w:line="360" w:lineRule="auto"/>
        <w:ind w:leftChars="0"/>
        <w:jc w:val="both"/>
        <w:outlineLvl w:val="9"/>
        <w:rPr>
          <w:rFonts w:hint="eastAsia" w:ascii="仿宋" w:hAnsi="仿宋" w:eastAsia="仿宋" w:cs="仿宋"/>
          <w:b/>
          <w:bCs/>
          <w:color w:val="auto"/>
          <w:sz w:val="28"/>
          <w:szCs w:val="28"/>
          <w:highlight w:val="none"/>
          <w:lang w:eastAsia="zh-CN"/>
        </w:rPr>
      </w:pPr>
      <w:bookmarkStart w:id="85" w:name="_Toc22967"/>
      <w:bookmarkStart w:id="86" w:name="_Toc5695"/>
      <w:bookmarkStart w:id="87" w:name="_Toc11180"/>
      <w:bookmarkStart w:id="88" w:name="_Toc515647816"/>
      <w:r>
        <w:rPr>
          <w:rFonts w:hint="eastAsia" w:ascii="仿宋" w:hAnsi="仿宋" w:eastAsia="仿宋" w:cs="仿宋"/>
          <w:b/>
          <w:bCs/>
          <w:color w:val="auto"/>
          <w:sz w:val="28"/>
          <w:szCs w:val="28"/>
          <w:highlight w:val="none"/>
          <w:lang w:val="en-US" w:eastAsia="zh-CN"/>
        </w:rPr>
        <w:t>12</w:t>
      </w:r>
      <w:r>
        <w:rPr>
          <w:rFonts w:hint="eastAsia" w:ascii="仿宋" w:hAnsi="仿宋" w:eastAsia="仿宋" w:cs="仿宋"/>
          <w:b/>
          <w:bCs/>
          <w:color w:val="auto"/>
          <w:sz w:val="28"/>
          <w:szCs w:val="28"/>
          <w:highlight w:val="none"/>
          <w:lang w:eastAsia="zh-CN"/>
        </w:rPr>
        <w:t xml:space="preserve">、供应商须知资料表要求的其他资格证明文件; </w:t>
      </w:r>
    </w:p>
    <w:p w14:paraId="651321B9">
      <w:pPr>
        <w:numPr>
          <w:ilvl w:val="0"/>
          <w:numId w:val="0"/>
        </w:numPr>
        <w:spacing w:line="360" w:lineRule="auto"/>
        <w:ind w:leftChars="0"/>
        <w:jc w:val="both"/>
        <w:outlineLvl w:val="9"/>
        <w:rPr>
          <w:rFonts w:hint="eastAsia" w:ascii="仿宋" w:hAnsi="仿宋" w:eastAsia="仿宋" w:cs="仿宋"/>
          <w:b/>
          <w:bCs/>
          <w:color w:val="auto"/>
          <w:sz w:val="28"/>
          <w:szCs w:val="28"/>
          <w:highlight w:val="yellow"/>
          <w:lang w:eastAsia="zh-CN"/>
        </w:rPr>
      </w:pPr>
    </w:p>
    <w:p w14:paraId="00BFC99B">
      <w:pPr>
        <w:outlineLvl w:val="9"/>
        <w:rPr>
          <w:rFonts w:hint="eastAsia" w:ascii="仿宋" w:hAnsi="仿宋" w:eastAsia="仿宋" w:cs="仿宋"/>
          <w:color w:val="auto"/>
          <w:sz w:val="32"/>
          <w:szCs w:val="32"/>
          <w:lang w:eastAsia="zh-CN"/>
        </w:rPr>
      </w:pPr>
    </w:p>
    <w:p w14:paraId="1EEE6E4A">
      <w:pPr>
        <w:outlineLvl w:val="9"/>
        <w:rPr>
          <w:rFonts w:hint="eastAsia"/>
          <w:color w:val="auto"/>
          <w:lang w:eastAsia="zh-CN"/>
        </w:rPr>
      </w:pPr>
    </w:p>
    <w:p w14:paraId="49AEEA57">
      <w:pPr>
        <w:spacing w:before="40" w:after="40" w:line="579" w:lineRule="auto"/>
        <w:jc w:val="center"/>
        <w:outlineLvl w:val="9"/>
        <w:rPr>
          <w:rFonts w:hint="eastAsia" w:ascii="仿宋" w:hAnsi="仿宋" w:eastAsia="仿宋" w:cs="仿宋"/>
          <w:color w:val="auto"/>
          <w:sz w:val="32"/>
          <w:szCs w:val="32"/>
          <w:lang w:eastAsia="zh-CN"/>
        </w:rPr>
      </w:pPr>
    </w:p>
    <w:p w14:paraId="12911124">
      <w:pPr>
        <w:spacing w:before="40" w:after="40" w:line="579" w:lineRule="auto"/>
        <w:jc w:val="center"/>
        <w:outlineLvl w:val="9"/>
        <w:rPr>
          <w:rFonts w:hint="eastAsia" w:ascii="仿宋" w:hAnsi="仿宋" w:eastAsia="仿宋" w:cs="仿宋"/>
          <w:color w:val="auto"/>
          <w:sz w:val="32"/>
          <w:szCs w:val="32"/>
          <w:lang w:eastAsia="zh-CN"/>
        </w:rPr>
      </w:pPr>
    </w:p>
    <w:p w14:paraId="32BEF544">
      <w:pPr>
        <w:spacing w:before="40" w:after="40" w:line="579" w:lineRule="auto"/>
        <w:jc w:val="center"/>
        <w:outlineLvl w:val="9"/>
        <w:rPr>
          <w:rFonts w:hint="eastAsia" w:ascii="仿宋" w:hAnsi="仿宋" w:eastAsia="仿宋" w:cs="仿宋"/>
          <w:color w:val="auto"/>
          <w:sz w:val="32"/>
          <w:szCs w:val="32"/>
          <w:lang w:eastAsia="zh-CN"/>
        </w:rPr>
      </w:pPr>
    </w:p>
    <w:p w14:paraId="7E384BA3">
      <w:pPr>
        <w:outlineLvl w:val="9"/>
        <w:rPr>
          <w:rFonts w:hint="eastAsia" w:ascii="仿宋" w:hAnsi="仿宋" w:eastAsia="仿宋" w:cs="仿宋"/>
          <w:color w:val="auto"/>
          <w:sz w:val="32"/>
          <w:szCs w:val="32"/>
          <w:lang w:eastAsia="zh-CN"/>
        </w:rPr>
      </w:pPr>
    </w:p>
    <w:p w14:paraId="0BB1B40B">
      <w:pPr>
        <w:pStyle w:val="35"/>
        <w:outlineLvl w:val="9"/>
        <w:rPr>
          <w:rFonts w:hint="eastAsia"/>
          <w:color w:val="auto"/>
          <w:lang w:eastAsia="zh-CN"/>
        </w:rPr>
      </w:pPr>
    </w:p>
    <w:p w14:paraId="5FA27C58">
      <w:pPr>
        <w:outlineLvl w:val="9"/>
        <w:rPr>
          <w:rFonts w:hint="eastAsia"/>
          <w:color w:val="auto"/>
          <w:lang w:eastAsia="zh-CN"/>
        </w:rPr>
      </w:pPr>
      <w:r>
        <w:rPr>
          <w:rFonts w:hint="eastAsia"/>
          <w:color w:val="auto"/>
          <w:lang w:eastAsia="zh-CN"/>
        </w:rPr>
        <w:br w:type="page"/>
      </w:r>
    </w:p>
    <w:p w14:paraId="5F7EFE80">
      <w:pPr>
        <w:pStyle w:val="53"/>
        <w:outlineLvl w:val="9"/>
        <w:rPr>
          <w:rFonts w:hint="eastAsia"/>
          <w:color w:val="auto"/>
          <w:lang w:eastAsia="zh-CN"/>
        </w:rPr>
      </w:pPr>
    </w:p>
    <w:p w14:paraId="6B650B6E">
      <w:pPr>
        <w:spacing w:before="40" w:after="40" w:line="579" w:lineRule="auto"/>
        <w:jc w:val="center"/>
        <w:outlineLvl w:val="9"/>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85"/>
      <w:bookmarkEnd w:id="86"/>
      <w:bookmarkEnd w:id="87"/>
      <w:bookmarkEnd w:id="88"/>
    </w:p>
    <w:p w14:paraId="61691EED">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附件1</w:t>
      </w:r>
      <w:r>
        <w:rPr>
          <w:rFonts w:hint="eastAsia" w:ascii="仿宋" w:hAnsi="仿宋" w:eastAsia="仿宋" w:cs="仿宋"/>
          <w:color w:val="auto"/>
          <w:sz w:val="24"/>
          <w:szCs w:val="24"/>
          <w:highlight w:val="none"/>
          <w:lang w:eastAsia="zh-CN"/>
        </w:rPr>
        <w:t>）</w:t>
      </w:r>
    </w:p>
    <w:p w14:paraId="62E86D1A">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default"/>
          <w:lang w:val="en-US"/>
        </w:rPr>
      </w:pPr>
      <w:r>
        <w:rPr>
          <w:rFonts w:hint="eastAsia" w:ascii="仿宋" w:hAnsi="仿宋" w:eastAsia="仿宋" w:cs="仿宋"/>
          <w:color w:val="auto"/>
          <w:sz w:val="24"/>
          <w:szCs w:val="24"/>
          <w:highlight w:val="none"/>
          <w:lang w:val="en-US" w:eastAsia="zh-CN"/>
        </w:rPr>
        <w:t>2、开标一览表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附件2</w:t>
      </w:r>
      <w:r>
        <w:rPr>
          <w:rFonts w:hint="eastAsia" w:ascii="仿宋" w:hAnsi="仿宋" w:eastAsia="仿宋" w:cs="仿宋"/>
          <w:color w:val="auto"/>
          <w:sz w:val="24"/>
          <w:szCs w:val="24"/>
          <w:highlight w:val="none"/>
          <w:lang w:eastAsia="zh-CN"/>
        </w:rPr>
        <w:t>）</w:t>
      </w:r>
    </w:p>
    <w:p w14:paraId="3E8BF609">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投标分项报价表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附件3</w:t>
      </w:r>
      <w:r>
        <w:rPr>
          <w:rFonts w:hint="eastAsia" w:ascii="仿宋" w:hAnsi="仿宋" w:eastAsia="仿宋" w:cs="仿宋"/>
          <w:color w:val="auto"/>
          <w:sz w:val="24"/>
          <w:szCs w:val="24"/>
          <w:highlight w:val="none"/>
          <w:lang w:eastAsia="zh-CN"/>
        </w:rPr>
        <w:t>）</w:t>
      </w:r>
    </w:p>
    <w:p w14:paraId="46906E62">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4、货物</w:t>
      </w:r>
      <w:r>
        <w:rPr>
          <w:rFonts w:hint="eastAsia" w:ascii="仿宋" w:hAnsi="仿宋" w:eastAsia="仿宋" w:cs="仿宋"/>
          <w:color w:val="auto"/>
          <w:sz w:val="24"/>
          <w:szCs w:val="24"/>
          <w:highlight w:val="none"/>
        </w:rPr>
        <w:t>说明一览表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附件4</w:t>
      </w:r>
      <w:r>
        <w:rPr>
          <w:rFonts w:hint="eastAsia" w:ascii="仿宋" w:hAnsi="仿宋" w:eastAsia="仿宋" w:cs="仿宋"/>
          <w:color w:val="auto"/>
          <w:sz w:val="24"/>
          <w:szCs w:val="24"/>
          <w:highlight w:val="none"/>
          <w:lang w:eastAsia="zh-CN"/>
        </w:rPr>
        <w:t>）</w:t>
      </w:r>
    </w:p>
    <w:p w14:paraId="4D9F231A">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技术规格偏离表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附件5</w:t>
      </w:r>
      <w:r>
        <w:rPr>
          <w:rFonts w:hint="eastAsia" w:ascii="仿宋" w:hAnsi="仿宋" w:eastAsia="仿宋" w:cs="仿宋"/>
          <w:color w:val="auto"/>
          <w:sz w:val="24"/>
          <w:szCs w:val="24"/>
          <w:highlight w:val="none"/>
          <w:lang w:eastAsia="zh-CN"/>
        </w:rPr>
        <w:t>）</w:t>
      </w:r>
    </w:p>
    <w:p w14:paraId="65A2C9CD">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商务条款偏离表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附件6</w:t>
      </w:r>
      <w:r>
        <w:rPr>
          <w:rFonts w:hint="eastAsia" w:ascii="仿宋" w:hAnsi="仿宋" w:eastAsia="仿宋" w:cs="仿宋"/>
          <w:color w:val="auto"/>
          <w:sz w:val="24"/>
          <w:szCs w:val="24"/>
          <w:highlight w:val="none"/>
          <w:lang w:eastAsia="zh-CN"/>
        </w:rPr>
        <w:t>）</w:t>
      </w:r>
    </w:p>
    <w:p w14:paraId="4784E27C">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7、投标人关联单位的说明</w:t>
      </w:r>
    </w:p>
    <w:p w14:paraId="3A3A5FD5">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8、中小企业声明函（货物）不符合中小企业的投标人无需提供。</w:t>
      </w:r>
    </w:p>
    <w:p w14:paraId="23411BE5">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《残疾人福利性单位声明函》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附件7</w:t>
      </w:r>
      <w:r>
        <w:rPr>
          <w:rFonts w:hint="eastAsia" w:ascii="仿宋" w:hAnsi="仿宋" w:eastAsia="仿宋" w:cs="仿宋"/>
          <w:color w:val="auto"/>
          <w:sz w:val="24"/>
          <w:szCs w:val="24"/>
          <w:highlight w:val="none"/>
          <w:lang w:eastAsia="zh-CN"/>
        </w:rPr>
        <w:t>）</w:t>
      </w:r>
    </w:p>
    <w:p w14:paraId="2C57EBF7">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评分标准和细则中技术部分证明材料（格式自拟）</w:t>
      </w:r>
    </w:p>
    <w:p w14:paraId="17D18B06">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评分标准和细则中</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lang w:eastAsia="zh-CN"/>
        </w:rPr>
        <w:t>部分证明材料（格式自拟）</w:t>
      </w:r>
    </w:p>
    <w:p w14:paraId="7A3C0D5F">
      <w:pPr>
        <w:keepNext w:val="0"/>
        <w:keepLines w:val="0"/>
        <w:pageBreakBefore w:val="0"/>
        <w:widowControl w:val="0"/>
        <w:kinsoku/>
        <w:wordWrap/>
        <w:overflowPunct/>
        <w:topLinePunct w:val="0"/>
        <w:autoSpaceDE/>
        <w:autoSpaceDN/>
        <w:bidi w:val="0"/>
        <w:adjustRightInd/>
        <w:snapToGrid/>
        <w:spacing w:line="500" w:lineRule="exact"/>
        <w:ind w:firstLine="477"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投标人认为有必要提供的其他证明材料（格式自拟）</w:t>
      </w:r>
    </w:p>
    <w:p w14:paraId="54144D52">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宋体" w:hAnsi="宋体" w:eastAsia="宋体" w:cs="宋体"/>
          <w:b/>
          <w:bCs/>
          <w:color w:val="auto"/>
          <w:sz w:val="24"/>
          <w:highlight w:val="none"/>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附件1</w:t>
      </w:r>
      <w:r>
        <w:rPr>
          <w:rFonts w:hint="eastAsia" w:ascii="仿宋" w:hAnsi="仿宋" w:eastAsia="仿宋" w:cs="仿宋"/>
          <w:color w:val="auto"/>
          <w:sz w:val="24"/>
          <w:szCs w:val="24"/>
          <w:highlight w:val="none"/>
          <w:lang w:eastAsia="zh-CN"/>
        </w:rPr>
        <w:t>）</w:t>
      </w:r>
    </w:p>
    <w:p w14:paraId="48678846">
      <w:pPr>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rPr>
      </w:pPr>
      <w:r>
        <w:rPr>
          <w:rFonts w:hint="eastAsia" w:ascii="仿宋" w:hAnsi="仿宋" w:eastAsia="仿宋" w:cs="仿宋"/>
          <w:b/>
          <w:bCs/>
          <w:color w:val="auto"/>
          <w:sz w:val="32"/>
          <w:szCs w:val="32"/>
          <w:highlight w:val="none"/>
        </w:rPr>
        <w:t xml:space="preserve">1 </w:t>
      </w:r>
      <w:bookmarkStart w:id="89" w:name="_Hlt520355504"/>
      <w:bookmarkEnd w:id="89"/>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投标</w:t>
      </w:r>
      <w:r>
        <w:rPr>
          <w:rFonts w:hint="eastAsia" w:ascii="仿宋" w:hAnsi="仿宋" w:eastAsia="仿宋" w:cs="仿宋"/>
          <w:b/>
          <w:bCs/>
          <w:color w:val="auto"/>
          <w:sz w:val="32"/>
          <w:szCs w:val="32"/>
          <w:highlight w:val="none"/>
          <w:lang w:val="en-US" w:eastAsia="zh-CN"/>
        </w:rPr>
        <w:t>函</w:t>
      </w:r>
    </w:p>
    <w:p w14:paraId="4E9FDD2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80" w:lineRule="exact"/>
        <w:ind w:left="1080" w:leftChars="257" w:hanging="540"/>
        <w:textAlignment w:val="auto"/>
        <w:outlineLvl w:val="9"/>
        <w:rPr>
          <w:rFonts w:hint="eastAsia" w:ascii="宋体" w:hAnsi="宋体" w:eastAsia="宋体" w:cs="宋体"/>
          <w:color w:val="auto"/>
          <w:sz w:val="24"/>
          <w:highlight w:val="none"/>
        </w:rPr>
      </w:pPr>
    </w:p>
    <w:p w14:paraId="55B1203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u w:val="single"/>
        </w:rPr>
      </w:pPr>
      <w:bookmarkStart w:id="90" w:name="_Toc1266"/>
      <w:bookmarkStart w:id="91" w:name="_Toc10107"/>
      <w:bookmarkStart w:id="92" w:name="_Toc23473"/>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招标人、代理公司</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 xml:space="preserve">                    </w:t>
      </w:r>
    </w:p>
    <w:p w14:paraId="1A15D23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14:paraId="26ECD22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14:paraId="3622606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0E1E85B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14:paraId="336B22B7">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14:paraId="26F4E9EB">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14:paraId="1F3C0001">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A11BF27">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14:paraId="7918FB8C">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w:t>
      </w:r>
    </w:p>
    <w:p w14:paraId="0308622F">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14:paraId="62A37F81">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14:paraId="31CDFF0E">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14:paraId="32C7F826">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14:paraId="7C24FE01">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14:paraId="33397228">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14:paraId="6336EB1C">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14:paraId="0FA9A17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14:paraId="30C55C7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14:paraId="1E9D950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14:paraId="6F1B9CE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14:paraId="76D6D39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14:paraId="490D967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14:paraId="1B1030C9">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14:paraId="3497A84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14:paraId="287F3AC5">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E739120">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B54D0E2">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8DBE6C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9F3FF11">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31E83C51">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15344D30">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14:paraId="3C82038C">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p>
    <w:p w14:paraId="18BCA38B">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p>
    <w:p w14:paraId="015463A2">
      <w:pPr>
        <w:keepNext w:val="0"/>
        <w:keepLines w:val="0"/>
        <w:pageBreakBefore w:val="0"/>
        <w:widowControl w:val="0"/>
        <w:wordWrap w:val="0"/>
        <w:topLinePunct w:val="0"/>
        <w:autoSpaceDE/>
        <w:autoSpaceDN/>
        <w:bidi w:val="0"/>
        <w:adjustRightInd/>
        <w:snapToGrid/>
        <w:spacing w:line="360" w:lineRule="auto"/>
        <w:ind w:firstLine="480"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478D9182">
      <w:pPr>
        <w:pStyle w:val="8"/>
        <w:shd w:val="clear" w:color="auto" w:fill="auto"/>
        <w:tabs>
          <w:tab w:val="left" w:pos="5580"/>
        </w:tabs>
        <w:spacing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附件2</w:t>
      </w:r>
      <w:r>
        <w:rPr>
          <w:rFonts w:hint="eastAsia" w:ascii="仿宋" w:hAnsi="仿宋" w:eastAsia="仿宋" w:cs="仿宋"/>
          <w:color w:val="auto"/>
          <w:sz w:val="24"/>
          <w:szCs w:val="24"/>
          <w:highlight w:val="none"/>
          <w:lang w:eastAsia="zh-CN"/>
        </w:rPr>
        <w:t>）</w:t>
      </w:r>
    </w:p>
    <w:p w14:paraId="2AFBFEDF">
      <w:pPr>
        <w:pStyle w:val="8"/>
        <w:shd w:val="clear" w:color="auto" w:fill="auto"/>
        <w:tabs>
          <w:tab w:val="left" w:pos="5580"/>
        </w:tabs>
        <w:spacing w:line="240" w:lineRule="atLeast"/>
        <w:jc w:val="center"/>
        <w:outlineLvl w:val="9"/>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rPr>
        <w:t>开标一览表</w:t>
      </w:r>
      <w:r>
        <w:rPr>
          <w:rFonts w:hint="eastAsia" w:ascii="仿宋" w:hAnsi="仿宋" w:eastAsia="仿宋" w:cs="仿宋"/>
          <w:b/>
          <w:bCs w:val="0"/>
          <w:color w:val="auto"/>
          <w:sz w:val="36"/>
          <w:szCs w:val="24"/>
          <w:highlight w:val="none"/>
        </w:rPr>
        <w:cr/>
      </w:r>
    </w:p>
    <w:p w14:paraId="1BF7BAEA">
      <w:pPr>
        <w:shd w:val="clear" w:color="auto" w:fill="auto"/>
        <w:adjustRightInd w:val="0"/>
        <w:snapToGrid w:val="0"/>
        <w:spacing w:line="500" w:lineRule="exact"/>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p>
    <w:p w14:paraId="0DADF381">
      <w:pPr>
        <w:shd w:val="clear" w:color="auto" w:fill="auto"/>
        <w:adjustRightInd w:val="0"/>
        <w:snapToGrid w:val="0"/>
        <w:spacing w:line="500" w:lineRule="exact"/>
        <w:outlineLvl w:val="9"/>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4E74134A">
      <w:pPr>
        <w:shd w:val="clear" w:color="auto" w:fill="auto"/>
        <w:spacing w:line="5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6"/>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760C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22079E65">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38F77738">
            <w:pPr>
              <w:shd w:val="clear" w:color="auto" w:fill="auto"/>
              <w:outlineLvl w:val="9"/>
              <w:rPr>
                <w:rFonts w:hint="eastAsia" w:ascii="仿宋" w:hAnsi="仿宋" w:eastAsia="仿宋" w:cs="仿宋"/>
                <w:color w:val="auto"/>
                <w:szCs w:val="21"/>
                <w:highlight w:val="none"/>
              </w:rPr>
            </w:pPr>
          </w:p>
        </w:tc>
      </w:tr>
      <w:tr w14:paraId="46A2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72E451CB">
            <w:pPr>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14:paraId="01125975">
            <w:pPr>
              <w:shd w:val="clear" w:color="auto" w:fill="auto"/>
              <w:jc w:val="center"/>
              <w:outlineLvl w:val="9"/>
              <w:rPr>
                <w:rFonts w:hint="eastAsia" w:ascii="仿宋" w:hAnsi="仿宋" w:eastAsia="仿宋" w:cs="仿宋"/>
                <w:color w:val="auto"/>
                <w:szCs w:val="21"/>
                <w:highlight w:val="none"/>
              </w:rPr>
            </w:pPr>
          </w:p>
        </w:tc>
      </w:tr>
      <w:tr w14:paraId="4B02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5397CE7E">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3917ABB7">
            <w:pPr>
              <w:shd w:val="clear" w:color="auto" w:fill="auto"/>
              <w:jc w:val="center"/>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5854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4A9D10D1">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2A7C539D">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52602FC2">
            <w:pPr>
              <w:widowControl/>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239239CB">
            <w:pPr>
              <w:shd w:val="clear" w:color="auto" w:fill="auto"/>
              <w:jc w:val="center"/>
              <w:outlineLvl w:val="9"/>
              <w:rPr>
                <w:rFonts w:hint="eastAsia" w:ascii="仿宋" w:hAnsi="仿宋" w:eastAsia="仿宋" w:cs="仿宋"/>
                <w:color w:val="auto"/>
                <w:szCs w:val="21"/>
                <w:highlight w:val="none"/>
              </w:rPr>
            </w:pPr>
          </w:p>
        </w:tc>
      </w:tr>
      <w:tr w14:paraId="2DB3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5A89E61B">
            <w:pPr>
              <w:shd w:val="clear" w:color="auto" w:fill="auto"/>
              <w:jc w:val="center"/>
              <w:outlineLvl w:val="9"/>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0BF90E4B">
            <w:pPr>
              <w:widowControl/>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56BF9583">
            <w:pPr>
              <w:shd w:val="clear" w:color="auto" w:fill="auto"/>
              <w:jc w:val="center"/>
              <w:outlineLvl w:val="9"/>
              <w:rPr>
                <w:rFonts w:hint="eastAsia" w:ascii="仿宋" w:hAnsi="仿宋" w:eastAsia="仿宋" w:cs="仿宋"/>
                <w:color w:val="auto"/>
                <w:szCs w:val="21"/>
                <w:highlight w:val="none"/>
              </w:rPr>
            </w:pPr>
          </w:p>
        </w:tc>
      </w:tr>
    </w:tbl>
    <w:p w14:paraId="688458CB">
      <w:pPr>
        <w:shd w:val="clear" w:color="auto" w:fill="auto"/>
        <w:spacing w:line="500" w:lineRule="exact"/>
        <w:ind w:firstLine="411"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0FBC81E4">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兹声明：以上投标报价在投标有效期内一直有效。</w:t>
      </w:r>
    </w:p>
    <w:p w14:paraId="1FA94096">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5E642538">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2A184956">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14:paraId="20240AB3">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5D4EC120">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6D08088E">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B675025">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FD833EC">
      <w:pPr>
        <w:shd w:val="clear" w:color="auto" w:fill="auto"/>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6E39ECD">
      <w:pPr>
        <w:numPr>
          <w:ilvl w:val="0"/>
          <w:numId w:val="0"/>
        </w:numPr>
        <w:shd w:val="clear" w:color="auto" w:fill="auto"/>
        <w:tabs>
          <w:tab w:val="left" w:pos="540"/>
        </w:tabs>
        <w:spacing w:before="0" w:line="240" w:lineRule="atLeast"/>
        <w:outlineLvl w:val="9"/>
        <w:rPr>
          <w:rFonts w:hint="eastAsia" w:ascii="宋体" w:hAnsi="宋体" w:eastAsia="宋体" w:cs="宋体"/>
          <w:b/>
          <w:bCs/>
          <w:color w:val="auto"/>
          <w:sz w:val="24"/>
          <w:highlight w:val="none"/>
        </w:rPr>
      </w:pPr>
    </w:p>
    <w:p w14:paraId="5FFF2685">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附件3</w:t>
      </w:r>
      <w:r>
        <w:rPr>
          <w:rFonts w:hint="eastAsia" w:ascii="仿宋" w:hAnsi="仿宋" w:eastAsia="仿宋" w:cs="仿宋"/>
          <w:color w:val="auto"/>
          <w:sz w:val="24"/>
          <w:szCs w:val="24"/>
          <w:highlight w:val="none"/>
          <w:lang w:eastAsia="zh-CN"/>
        </w:rPr>
        <w:t>）</w:t>
      </w:r>
    </w:p>
    <w:p w14:paraId="6043778F">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bookmarkStart w:id="93" w:name="_Toc5865"/>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eastAsia="zh-CN"/>
        </w:rPr>
        <w:t>、</w:t>
      </w:r>
      <w:bookmarkEnd w:id="90"/>
      <w:bookmarkEnd w:id="91"/>
      <w:bookmarkEnd w:id="92"/>
      <w:bookmarkStart w:id="94" w:name="_Toc1881"/>
      <w:bookmarkStart w:id="95" w:name="_Toc515647818"/>
      <w:bookmarkStart w:id="96" w:name="_Toc10313"/>
      <w:bookmarkStart w:id="97" w:name="_Toc216582815"/>
      <w:bookmarkStart w:id="98" w:name="_Toc20897"/>
      <w:bookmarkStart w:id="99" w:name="_Toc22563"/>
      <w:bookmarkStart w:id="100" w:name="_Toc28959"/>
      <w:bookmarkStart w:id="101" w:name="_Toc515647820"/>
      <w:bookmarkStart w:id="102" w:name="_Toc216582817"/>
      <w:r>
        <w:rPr>
          <w:rFonts w:hint="eastAsia" w:ascii="仿宋" w:hAnsi="仿宋" w:eastAsia="仿宋" w:cs="仿宋"/>
          <w:b/>
          <w:bCs/>
          <w:color w:val="auto"/>
          <w:sz w:val="32"/>
          <w:szCs w:val="32"/>
          <w:highlight w:val="none"/>
        </w:rPr>
        <w:t>投标分项报价表</w:t>
      </w:r>
      <w:bookmarkEnd w:id="93"/>
      <w:bookmarkEnd w:id="94"/>
      <w:bookmarkEnd w:id="95"/>
      <w:bookmarkEnd w:id="96"/>
      <w:bookmarkEnd w:id="97"/>
      <w:bookmarkEnd w:id="98"/>
    </w:p>
    <w:p w14:paraId="4000F707">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17C13C18">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编号:                  包号: 　 </w:t>
      </w:r>
    </w:p>
    <w:p w14:paraId="536BB72F">
      <w:pPr>
        <w:pStyle w:val="16"/>
        <w:shd w:val="clear" w:color="auto" w:fill="auto"/>
        <w:spacing w:line="240" w:lineRule="atLeast"/>
        <w:ind w:left="1080" w:leftChars="257" w:hanging="54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单位：元（人民币）</w:t>
      </w:r>
    </w:p>
    <w:tbl>
      <w:tblPr>
        <w:tblStyle w:val="2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15"/>
        <w:gridCol w:w="1506"/>
        <w:gridCol w:w="1506"/>
        <w:gridCol w:w="696"/>
        <w:gridCol w:w="936"/>
        <w:gridCol w:w="1416"/>
        <w:gridCol w:w="696"/>
        <w:gridCol w:w="696"/>
        <w:gridCol w:w="696"/>
      </w:tblGrid>
      <w:tr w14:paraId="527F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3" w:type="dxa"/>
            <w:noWrap w:val="0"/>
            <w:vAlign w:val="center"/>
          </w:tcPr>
          <w:p w14:paraId="1038B1C4">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015" w:type="dxa"/>
            <w:noWrap w:val="0"/>
            <w:vAlign w:val="center"/>
          </w:tcPr>
          <w:p w14:paraId="4DED09EA">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1506" w:type="dxa"/>
            <w:noWrap w:val="0"/>
            <w:vAlign w:val="center"/>
          </w:tcPr>
          <w:p w14:paraId="62440FAE">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技术要求</w:t>
            </w:r>
          </w:p>
        </w:tc>
        <w:tc>
          <w:tcPr>
            <w:tcW w:w="1506" w:type="dxa"/>
            <w:noWrap w:val="0"/>
            <w:vAlign w:val="center"/>
          </w:tcPr>
          <w:p w14:paraId="2EE24B2F">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型号和规格</w:t>
            </w:r>
          </w:p>
        </w:tc>
        <w:tc>
          <w:tcPr>
            <w:tcW w:w="696" w:type="dxa"/>
            <w:noWrap w:val="0"/>
            <w:vAlign w:val="center"/>
          </w:tcPr>
          <w:p w14:paraId="6A259D25">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936" w:type="dxa"/>
            <w:noWrap w:val="0"/>
            <w:vAlign w:val="center"/>
          </w:tcPr>
          <w:p w14:paraId="7F4A9443">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原产地</w:t>
            </w:r>
          </w:p>
        </w:tc>
        <w:tc>
          <w:tcPr>
            <w:tcW w:w="1416" w:type="dxa"/>
            <w:noWrap w:val="0"/>
            <w:vAlign w:val="center"/>
          </w:tcPr>
          <w:p w14:paraId="3B477DB0">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制造商名称</w:t>
            </w:r>
          </w:p>
        </w:tc>
        <w:tc>
          <w:tcPr>
            <w:tcW w:w="696" w:type="dxa"/>
            <w:noWrap w:val="0"/>
            <w:vAlign w:val="center"/>
          </w:tcPr>
          <w:p w14:paraId="5B2564EF">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696" w:type="dxa"/>
            <w:noWrap w:val="0"/>
            <w:vAlign w:val="center"/>
          </w:tcPr>
          <w:p w14:paraId="7A46103A">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696" w:type="dxa"/>
            <w:noWrap w:val="0"/>
            <w:vAlign w:val="center"/>
          </w:tcPr>
          <w:p w14:paraId="4EAD1362">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3173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3" w:type="dxa"/>
            <w:noWrap w:val="0"/>
            <w:vAlign w:val="center"/>
          </w:tcPr>
          <w:p w14:paraId="0E9DECF1">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015" w:type="dxa"/>
            <w:noWrap w:val="0"/>
            <w:vAlign w:val="center"/>
          </w:tcPr>
          <w:p w14:paraId="110A9297">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6EBBFC08">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13849EEE">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0EC7316">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4150A874">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27030A0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6ECD49A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2769858">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6093BCD">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5EC7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119106F2">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15" w:type="dxa"/>
            <w:noWrap w:val="0"/>
            <w:vAlign w:val="center"/>
          </w:tcPr>
          <w:p w14:paraId="074DE628">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07EC9E69">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3BF72818">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14F953F4">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45B7EB2C">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752AB8D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8D0208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0CA9AD7D">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867C720">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6876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0086D696">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015" w:type="dxa"/>
            <w:noWrap w:val="0"/>
            <w:vAlign w:val="center"/>
          </w:tcPr>
          <w:p w14:paraId="2581D7AD">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2B6F8A3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7458ACBB">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DC2067B">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0458ADE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668F7BA9">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6370E4E8">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5CF86E54">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59F003E7">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5541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0EE578A1">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015" w:type="dxa"/>
            <w:noWrap w:val="0"/>
            <w:vAlign w:val="center"/>
          </w:tcPr>
          <w:p w14:paraId="236ABAC4">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1C03E3D1">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44E3AC3C">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5D437507">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661E02B5">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5D9EC6AD">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B4C517A">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262DB0F9">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4750911">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6B22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3" w:type="dxa"/>
            <w:noWrap w:val="0"/>
            <w:vAlign w:val="center"/>
          </w:tcPr>
          <w:p w14:paraId="40851CF7">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15" w:type="dxa"/>
            <w:noWrap w:val="0"/>
            <w:vAlign w:val="center"/>
          </w:tcPr>
          <w:p w14:paraId="055BABB0">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6C76D8F0">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3D7EE817">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7A683553">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6DF98EDC">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649C5AFB">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E4BD4A8">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0B868460">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58259F9">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4203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66133EAC">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015" w:type="dxa"/>
            <w:noWrap w:val="0"/>
            <w:vAlign w:val="center"/>
          </w:tcPr>
          <w:p w14:paraId="3B9395A8">
            <w:pPr>
              <w:pStyle w:val="16"/>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35E62FC9">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506" w:type="dxa"/>
            <w:noWrap w:val="0"/>
            <w:vAlign w:val="center"/>
          </w:tcPr>
          <w:p w14:paraId="1D262EF6">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258A26F">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14:paraId="55D31314">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14:paraId="11400C57">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34DF76F3">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2A70043">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14:paraId="46D597B6">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14:paraId="136F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18" w:type="dxa"/>
            <w:gridSpan w:val="2"/>
            <w:noWrap w:val="0"/>
            <w:vAlign w:val="center"/>
          </w:tcPr>
          <w:p w14:paraId="5FBB12BA">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756" w:type="dxa"/>
            <w:gridSpan w:val="6"/>
            <w:noWrap w:val="0"/>
            <w:vAlign w:val="center"/>
          </w:tcPr>
          <w:p w14:paraId="5C3C8639">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总价（元）：</w:t>
            </w:r>
          </w:p>
        </w:tc>
        <w:tc>
          <w:tcPr>
            <w:tcW w:w="1392" w:type="dxa"/>
            <w:gridSpan w:val="2"/>
            <w:noWrap w:val="0"/>
            <w:vAlign w:val="center"/>
          </w:tcPr>
          <w:p w14:paraId="32529B7C">
            <w:pPr>
              <w:pStyle w:val="16"/>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bl>
    <w:p w14:paraId="2C1FB365">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17AE9878">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3AE7850D">
      <w:pPr>
        <w:pStyle w:val="16"/>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2A75AAE3">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0EC1C87D">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.如果按单价计算的结果与总价不一致,以单价为准修正总价。</w:t>
      </w:r>
    </w:p>
    <w:p w14:paraId="3BEBFEC9">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.如果不提供详细分项报价将视为没有实质性响应</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w:t>
      </w:r>
    </w:p>
    <w:p w14:paraId="560885E9">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.如果开标一览表（报价表）内容与投标文件中明细表内容不一致的，以开标一览表（报价表）内容为准。</w:t>
      </w:r>
    </w:p>
    <w:p w14:paraId="552CF1B4">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宋体" w:hAnsi="宋体" w:eastAsia="宋体" w:cs="宋体"/>
          <w:color w:val="auto"/>
          <w:sz w:val="24"/>
          <w:highlight w:val="none"/>
        </w:rPr>
        <w:br w:type="page"/>
      </w:r>
      <w:bookmarkStart w:id="103" w:name="_Toc515647819"/>
      <w:bookmarkStart w:id="104" w:name="_Toc4012"/>
      <w:bookmarkStart w:id="105" w:name="_Toc13899"/>
      <w:bookmarkStart w:id="106" w:name="_Toc14037"/>
      <w:bookmarkStart w:id="107" w:name="_Toc216582816"/>
      <w:bookmarkStart w:id="108" w:name="_Toc18267"/>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附件4</w:t>
      </w:r>
      <w:r>
        <w:rPr>
          <w:rFonts w:hint="eastAsia" w:ascii="仿宋" w:hAnsi="仿宋" w:eastAsia="仿宋" w:cs="仿宋"/>
          <w:color w:val="auto"/>
          <w:sz w:val="24"/>
          <w:szCs w:val="24"/>
          <w:highlight w:val="none"/>
          <w:lang w:eastAsia="zh-CN"/>
        </w:rPr>
        <w:t>）</w:t>
      </w:r>
    </w:p>
    <w:p w14:paraId="47286C08">
      <w:pPr>
        <w:pStyle w:val="16"/>
        <w:shd w:val="clear" w:color="auto" w:fill="auto"/>
        <w:spacing w:line="240" w:lineRule="atLeast"/>
        <w:ind w:left="1080" w:leftChars="257" w:hanging="540"/>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货物</w:t>
      </w:r>
      <w:r>
        <w:rPr>
          <w:rFonts w:hint="eastAsia" w:ascii="宋体" w:hAnsi="宋体" w:eastAsia="宋体" w:cs="宋体"/>
          <w:b/>
          <w:bCs/>
          <w:color w:val="auto"/>
          <w:sz w:val="24"/>
          <w:highlight w:val="none"/>
        </w:rPr>
        <w:t>说明一览表</w:t>
      </w:r>
      <w:bookmarkEnd w:id="103"/>
      <w:bookmarkEnd w:id="104"/>
      <w:bookmarkEnd w:id="105"/>
      <w:bookmarkEnd w:id="106"/>
      <w:bookmarkEnd w:id="107"/>
      <w:bookmarkEnd w:id="108"/>
    </w:p>
    <w:p w14:paraId="5344A370">
      <w:pPr>
        <w:pStyle w:val="16"/>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3BE2F6D2">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F6FE7BE">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编号:                       包号:                      </w:t>
      </w:r>
    </w:p>
    <w:p w14:paraId="0CF72101">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0A6C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noWrap w:val="0"/>
            <w:vAlign w:val="top"/>
          </w:tcPr>
          <w:p w14:paraId="31AB7C6D">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top"/>
          </w:tcPr>
          <w:p w14:paraId="49A650A5">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top"/>
          </w:tcPr>
          <w:p w14:paraId="7CA6FDC6">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top"/>
          </w:tcPr>
          <w:p w14:paraId="0EA99A0F">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top"/>
          </w:tcPr>
          <w:p w14:paraId="03466424">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供货期</w:t>
            </w:r>
          </w:p>
        </w:tc>
        <w:tc>
          <w:tcPr>
            <w:tcW w:w="1250" w:type="dxa"/>
            <w:noWrap w:val="0"/>
            <w:vAlign w:val="top"/>
          </w:tcPr>
          <w:p w14:paraId="6DC0B37A">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供货地点</w:t>
            </w:r>
          </w:p>
        </w:tc>
        <w:tc>
          <w:tcPr>
            <w:tcW w:w="1690" w:type="dxa"/>
            <w:noWrap w:val="0"/>
            <w:vAlign w:val="top"/>
          </w:tcPr>
          <w:p w14:paraId="3BEC69B9">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482F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7336DBB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2939291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0A5BE10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7BB74CF1">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408F38B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01DE101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3C6901B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A29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7A28C9F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450874D1">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4F24F1C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0F143671">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097242E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5E5BFD4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35D0AF72">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7C48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72C2BB7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5A3D425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3DDAA91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407D8C4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70CEDF3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5720D12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44276841">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4766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2A8139A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0650253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5C9C1B9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659BA82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3516539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24E9084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64D1C5C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5910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noWrap w:val="0"/>
            <w:vAlign w:val="top"/>
          </w:tcPr>
          <w:p w14:paraId="28146BC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4C1ED05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0A89B1C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0AB774B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228A9E5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418C225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0DA3DFF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36C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noWrap w:val="0"/>
            <w:vAlign w:val="top"/>
          </w:tcPr>
          <w:p w14:paraId="4FDC92F2">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5ADC317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377A5BC2">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35BD980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16681BB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0F0E3B4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35B9798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7935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noWrap w:val="0"/>
            <w:vAlign w:val="top"/>
          </w:tcPr>
          <w:p w14:paraId="7C50AE0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1B4B892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501F10E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14F6FA3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2E4C842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12D98201">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13C9CBD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BDE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noWrap w:val="0"/>
            <w:vAlign w:val="top"/>
          </w:tcPr>
          <w:p w14:paraId="4B73A24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14:paraId="09757D0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14:paraId="5D3F9E4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14:paraId="02D6CAA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3FBAFAB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14:paraId="005AB5B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14:paraId="7460C08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bl>
    <w:p w14:paraId="65252CAF">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70E2157D">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7897ADDA">
      <w:pPr>
        <w:pStyle w:val="16"/>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30B887CA">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27EE5148">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14:paraId="5448E209">
      <w:pPr>
        <w:pStyle w:val="16"/>
        <w:shd w:val="clear" w:color="auto" w:fill="auto"/>
        <w:spacing w:line="240" w:lineRule="atLeast"/>
        <w:ind w:left="1080" w:leftChars="257" w:hanging="540"/>
        <w:jc w:val="center"/>
        <w:outlineLvl w:val="9"/>
        <w:rPr>
          <w:rFonts w:hint="eastAsia" w:ascii="宋体" w:hAnsi="宋体" w:eastAsia="宋体" w:cs="宋体"/>
          <w:color w:val="auto"/>
          <w:sz w:val="24"/>
          <w:highlight w:val="none"/>
        </w:rPr>
      </w:pPr>
    </w:p>
    <w:p w14:paraId="4D0B8A14">
      <w:pPr>
        <w:pStyle w:val="16"/>
        <w:shd w:val="clear" w:color="auto" w:fill="auto"/>
        <w:spacing w:line="240" w:lineRule="atLeast"/>
        <w:ind w:left="1080" w:leftChars="257" w:hanging="540"/>
        <w:jc w:val="center"/>
        <w:outlineLvl w:val="9"/>
        <w:rPr>
          <w:rFonts w:hint="eastAsia" w:ascii="宋体" w:hAnsi="宋体" w:eastAsia="宋体" w:cs="宋体"/>
          <w:color w:val="auto"/>
          <w:sz w:val="24"/>
          <w:highlight w:val="none"/>
        </w:rPr>
        <w:sectPr>
          <w:pgSz w:w="11905" w:h="16838"/>
          <w:pgMar w:top="1440" w:right="1134" w:bottom="1440" w:left="1134" w:header="850" w:footer="992" w:gutter="0"/>
          <w:pgBorders>
            <w:top w:val="none" w:sz="0" w:space="0"/>
            <w:left w:val="none" w:sz="0" w:space="0"/>
            <w:bottom w:val="none" w:sz="0" w:space="0"/>
            <w:right w:val="none" w:sz="0" w:space="0"/>
          </w:pgBorders>
          <w:pgNumType w:fmt="decimal"/>
          <w:cols w:space="0" w:num="1"/>
          <w:rtlGutter w:val="0"/>
          <w:docGrid w:type="lines" w:linePitch="321" w:charSpace="0"/>
        </w:sectPr>
      </w:pPr>
    </w:p>
    <w:p w14:paraId="6224E387">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bookmarkStart w:id="109" w:name="_Toc12170"/>
      <w:bookmarkStart w:id="110" w:name="_Toc15586"/>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附件5</w:t>
      </w:r>
      <w:r>
        <w:rPr>
          <w:rFonts w:hint="eastAsia" w:ascii="仿宋" w:hAnsi="仿宋" w:eastAsia="仿宋" w:cs="仿宋"/>
          <w:color w:val="auto"/>
          <w:sz w:val="24"/>
          <w:szCs w:val="24"/>
          <w:highlight w:val="none"/>
          <w:lang w:eastAsia="zh-CN"/>
        </w:rPr>
        <w:t>）</w:t>
      </w:r>
    </w:p>
    <w:p w14:paraId="2092BBA4">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技术规格偏离表</w:t>
      </w:r>
      <w:bookmarkEnd w:id="99"/>
      <w:bookmarkEnd w:id="100"/>
      <w:bookmarkEnd w:id="101"/>
      <w:bookmarkEnd w:id="102"/>
      <w:bookmarkEnd w:id="109"/>
      <w:bookmarkEnd w:id="110"/>
    </w:p>
    <w:p w14:paraId="2370C5D6">
      <w:pPr>
        <w:pStyle w:val="16"/>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498D9941">
      <w:pPr>
        <w:pStyle w:val="16"/>
        <w:shd w:val="clear" w:color="auto" w:fill="auto"/>
        <w:spacing w:line="240" w:lineRule="atLeas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                 包号:</w:t>
      </w:r>
    </w:p>
    <w:p w14:paraId="69BCDC94">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68BF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75CBC4DC">
            <w:pPr>
              <w:pStyle w:val="16"/>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14:paraId="1081F085">
            <w:pPr>
              <w:pStyle w:val="16"/>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1640" w:type="dxa"/>
            <w:noWrap w:val="0"/>
            <w:vAlign w:val="center"/>
          </w:tcPr>
          <w:p w14:paraId="4D61D1F7">
            <w:pPr>
              <w:pStyle w:val="16"/>
              <w:shd w:val="clear" w:color="auto" w:fill="auto"/>
              <w:spacing w:line="240" w:lineRule="atLeast"/>
              <w:ind w:left="269" w:leftChars="128"/>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采购文件条款号</w:t>
            </w:r>
          </w:p>
        </w:tc>
        <w:tc>
          <w:tcPr>
            <w:tcW w:w="1186" w:type="dxa"/>
            <w:noWrap w:val="0"/>
            <w:vAlign w:val="center"/>
          </w:tcPr>
          <w:p w14:paraId="76D289B6">
            <w:pPr>
              <w:pStyle w:val="16"/>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82" w:type="dxa"/>
            <w:noWrap w:val="0"/>
            <w:vAlign w:val="center"/>
          </w:tcPr>
          <w:p w14:paraId="7DF2B11C">
            <w:pPr>
              <w:pStyle w:val="16"/>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2414" w:type="dxa"/>
            <w:noWrap w:val="0"/>
            <w:vAlign w:val="center"/>
          </w:tcPr>
          <w:p w14:paraId="287BC6D5">
            <w:pPr>
              <w:pStyle w:val="16"/>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700" w:type="dxa"/>
            <w:noWrap w:val="0"/>
            <w:vAlign w:val="center"/>
          </w:tcPr>
          <w:p w14:paraId="54884DB6">
            <w:pPr>
              <w:pStyle w:val="16"/>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49C6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951A89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2613EB0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0DF9B3D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0B0A0CB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708D9CC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center"/>
          </w:tcPr>
          <w:p w14:paraId="2C86548E">
            <w:pPr>
              <w:pStyle w:val="16"/>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u w:val="single" w:color="auto"/>
                <w:lang w:val="en-US" w:eastAsia="zh-CN"/>
              </w:rPr>
              <w:t>如有正偏离需提供证明材料，证明材料附后(并注明页码)</w:t>
            </w:r>
          </w:p>
        </w:tc>
        <w:tc>
          <w:tcPr>
            <w:tcW w:w="700" w:type="dxa"/>
            <w:noWrap w:val="0"/>
            <w:vAlign w:val="top"/>
          </w:tcPr>
          <w:p w14:paraId="189844E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0C7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5CEBB3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3C4FC11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457640A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3BA0BFA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5B8C398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5C02B66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3C3CD0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4FA8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B71E68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32F1591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0F4EBF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261A06E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61C1CEB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6AEF9D4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42C5456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2B13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3A1A19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04438E7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2A704D4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0FC1B63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462726A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3B975D1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6C0225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63F8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48F3AB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40C1B3C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29D50B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48D9F39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197E1B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2C5FDB8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126DEBB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050E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2BFDBC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32493BB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3F193A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1BED4CF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139BFF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0EF4118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B6EB20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7EB4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E84D4A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14FD830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0C79890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79F326C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579443D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476BDA5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2A932F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05F0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212CB1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42A4F8A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0B64D23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3C466182">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1C77EB4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3CBD81C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6A01B0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A95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E76069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63219D3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777082E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519D812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046E64E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66275A5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673EF8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4AB7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7BB378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0E418CF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2B8273B7">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5D1CE12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750063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2948300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3CCFCD42">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B9C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751FAC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4306231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5BC4A8A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18635C0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2002910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75F2DA5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77A8E70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0FE0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D81299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1CDF03E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665AB87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6F2C41D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64718A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0751CD7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1A5182A1">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BA9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4D5082E">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16F5515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3A114B63">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1751E14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2A6D81B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5C21E0A8">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1B245E6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37E8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5A223E0">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58F2FB5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4B1DB1B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0C7691D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4E9AD26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4F45CCE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2ECBCF25">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14:paraId="2EF2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7FD0714">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14:paraId="65AD319A">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14:paraId="4416E60F">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14:paraId="717E818C">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B2DB949">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3E215C3D">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14:paraId="6FFC3F76">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bl>
    <w:p w14:paraId="09496E2E">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p>
    <w:p w14:paraId="571A8FAB">
      <w:pPr>
        <w:pStyle w:val="16"/>
        <w:shd w:val="clear" w:color="auto" w:fill="auto"/>
        <w:spacing w:line="240" w:lineRule="atLeast"/>
        <w:ind w:left="1080" w:leftChars="257" w:hanging="540"/>
        <w:outlineLvl w:val="9"/>
        <w:rPr>
          <w:rFonts w:hint="eastAsia" w:ascii="仿宋" w:hAnsi="仿宋" w:eastAsia="仿宋" w:cs="仿宋"/>
          <w:color w:val="auto"/>
          <w:sz w:val="24"/>
          <w:highlight w:val="none"/>
          <w:lang w:eastAsia="zh-CN"/>
        </w:rPr>
      </w:pPr>
    </w:p>
    <w:p w14:paraId="1E194DF6">
      <w:pPr>
        <w:pStyle w:val="16"/>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7102727F">
      <w:pPr>
        <w:pStyle w:val="16"/>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62443948">
      <w:pPr>
        <w:pStyle w:val="16"/>
        <w:shd w:val="clear" w:color="auto" w:fill="auto"/>
        <w:tabs>
          <w:tab w:val="left" w:pos="5580"/>
        </w:tabs>
        <w:spacing w:line="240" w:lineRule="atLeast"/>
        <w:ind w:left="1080" w:leftChars="257" w:hanging="54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br w:type="page"/>
      </w:r>
    </w:p>
    <w:p w14:paraId="2FB35BFE">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bookmarkStart w:id="111" w:name="_Toc515647821"/>
      <w:bookmarkStart w:id="112" w:name="_Toc21391"/>
      <w:bookmarkStart w:id="113" w:name="_Toc216582818"/>
      <w:bookmarkStart w:id="114" w:name="_Toc1980"/>
      <w:bookmarkStart w:id="115" w:name="_Toc24025"/>
      <w:bookmarkStart w:id="116" w:name="_Toc23"/>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附件6</w:t>
      </w:r>
      <w:r>
        <w:rPr>
          <w:rFonts w:hint="eastAsia" w:ascii="仿宋" w:hAnsi="仿宋" w:eastAsia="仿宋" w:cs="仿宋"/>
          <w:color w:val="auto"/>
          <w:sz w:val="24"/>
          <w:szCs w:val="24"/>
          <w:highlight w:val="none"/>
          <w:lang w:eastAsia="zh-CN"/>
        </w:rPr>
        <w:t>）</w:t>
      </w:r>
    </w:p>
    <w:p w14:paraId="55533569">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商务条款偏离表</w:t>
      </w:r>
      <w:bookmarkEnd w:id="111"/>
      <w:bookmarkEnd w:id="112"/>
      <w:bookmarkEnd w:id="113"/>
      <w:bookmarkEnd w:id="114"/>
      <w:bookmarkEnd w:id="115"/>
      <w:bookmarkEnd w:id="116"/>
    </w:p>
    <w:p w14:paraId="4B63E0BB">
      <w:pPr>
        <w:pStyle w:val="16"/>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5F476930">
      <w:pPr>
        <w:pStyle w:val="16"/>
        <w:shd w:val="clear" w:color="auto" w:fill="auto"/>
        <w:spacing w:line="240" w:lineRule="atLeast"/>
        <w:ind w:left="1080" w:leftChars="257" w:hanging="540"/>
        <w:outlineLvl w:val="9"/>
        <w:rPr>
          <w:rFonts w:hint="eastAsia" w:ascii="宋体" w:hAnsi="宋体" w:eastAsia="宋体" w:cs="宋体"/>
          <w:color w:val="auto"/>
          <w:sz w:val="24"/>
          <w:highlight w:val="none"/>
        </w:rPr>
      </w:pPr>
    </w:p>
    <w:p w14:paraId="684CAAE5">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 xml:space="preserve">编号: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包号:</w:t>
      </w:r>
    </w:p>
    <w:p w14:paraId="4D5C0535">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4AC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24EA7C4">
            <w:pPr>
              <w:pStyle w:val="16"/>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040" w:type="dxa"/>
            <w:noWrap w:val="0"/>
            <w:vAlign w:val="top"/>
          </w:tcPr>
          <w:p w14:paraId="3810B681">
            <w:pPr>
              <w:pStyle w:val="16"/>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采购文件条款号</w:t>
            </w:r>
          </w:p>
        </w:tc>
        <w:tc>
          <w:tcPr>
            <w:tcW w:w="2520" w:type="dxa"/>
            <w:noWrap w:val="0"/>
            <w:vAlign w:val="top"/>
          </w:tcPr>
          <w:p w14:paraId="11ACC5A8">
            <w:pPr>
              <w:pStyle w:val="16"/>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采购文件的商务条款</w:t>
            </w:r>
          </w:p>
        </w:tc>
        <w:tc>
          <w:tcPr>
            <w:tcW w:w="2520" w:type="dxa"/>
            <w:noWrap w:val="0"/>
            <w:vAlign w:val="top"/>
          </w:tcPr>
          <w:p w14:paraId="34F80ED7">
            <w:pPr>
              <w:pStyle w:val="16"/>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投标文件的商务条款</w:t>
            </w:r>
          </w:p>
        </w:tc>
        <w:tc>
          <w:tcPr>
            <w:tcW w:w="900" w:type="dxa"/>
            <w:noWrap w:val="0"/>
            <w:vAlign w:val="top"/>
          </w:tcPr>
          <w:p w14:paraId="43A2BD0D">
            <w:pPr>
              <w:pStyle w:val="16"/>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p>
        </w:tc>
      </w:tr>
      <w:tr w14:paraId="285A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5DA33CF">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68AD676">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AE9A4B2">
            <w:pPr>
              <w:pStyle w:val="16"/>
              <w:shd w:val="clear" w:color="auto" w:fill="auto"/>
              <w:spacing w:line="240" w:lineRule="atLeast"/>
              <w:ind w:left="1080" w:leftChars="257" w:hanging="540"/>
              <w:jc w:val="center"/>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D4CDA4A">
            <w:pPr>
              <w:pStyle w:val="16"/>
              <w:shd w:val="clear" w:color="auto" w:fill="auto"/>
              <w:spacing w:line="240" w:lineRule="atLeast"/>
              <w:ind w:left="1080" w:leftChars="257" w:hanging="540"/>
              <w:jc w:val="center"/>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8BEBA5E">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3CF4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05C956A">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2475CE1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9E4E00C">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32D2BE8">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59BBA6F">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7C89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7A9681F">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E7A66E3">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0A18C8A">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8FEACC3">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0B6CAF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D06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7150BB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3C7FF840">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0022753">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B2EA59C">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FBEF57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2FCD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481FA40">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093C74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358B65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15C0758">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6E721FD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1D28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F215936">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4B9A6A10">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39A25C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65ED51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4645C39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E88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223139E">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16EA7B6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FA609FD">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1A6E2A5">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1F7CCB3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12FA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275106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9DE502F">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9B2720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D44A9FB">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6FC0FD91">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094D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F2D8C91">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29C27D26">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B1EE16A">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8BA6883">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226EA02">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78B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FD0B7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677F75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8E43708">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01B4FCA">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8BE9C56">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730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6976C5D">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A197568">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0A2DADD">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EC05DD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5432F2C">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50BF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C0539D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31C8D0E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C9E02DA">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AE8FFC0">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593ACAE0">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3653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4A94282">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BD304FE">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A6BE72C">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802A1B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3EBA277F">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5F92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1C2133B">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02F4EE3">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74BFD8E">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D0CEF02">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45D0143F">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001B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641AD09">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42E772B2">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6C639D6">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EE42871">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58C717BC">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28EF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2A3549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DC500B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A04C602">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EF40F94">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03DD78D">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r w14:paraId="4DFA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C736C5E">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3E16466">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14BBE80">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6D3619E">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A6AE9F7">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lang w:val="en-US" w:eastAsia="zh-CN"/>
              </w:rPr>
            </w:pPr>
          </w:p>
        </w:tc>
      </w:tr>
    </w:tbl>
    <w:p w14:paraId="5A4C91E1">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p>
    <w:p w14:paraId="4BB85568">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p>
    <w:p w14:paraId="6279AF52">
      <w:pPr>
        <w:pStyle w:val="16"/>
        <w:shd w:val="clear" w:color="auto" w:fill="auto"/>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2E9585D7">
      <w:pPr>
        <w:pStyle w:val="16"/>
        <w:shd w:val="clear" w:color="auto" w:fill="auto"/>
        <w:tabs>
          <w:tab w:val="left" w:pos="5370"/>
        </w:tabs>
        <w:spacing w:line="240" w:lineRule="atLeast"/>
        <w:ind w:left="1080" w:leftChars="257" w:hanging="54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投标人(盖单位章):</w:t>
      </w:r>
      <w:r>
        <w:rPr>
          <w:rFonts w:hint="eastAsia" w:ascii="仿宋" w:hAnsi="仿宋" w:eastAsia="仿宋" w:cs="仿宋"/>
          <w:color w:val="auto"/>
          <w:sz w:val="24"/>
          <w:szCs w:val="24"/>
          <w:highlight w:val="none"/>
          <w:u w:val="single"/>
        </w:rPr>
        <w:tab/>
      </w:r>
    </w:p>
    <w:p w14:paraId="7C749CAD">
      <w:pPr>
        <w:numPr>
          <w:ilvl w:val="0"/>
          <w:numId w:val="0"/>
        </w:numPr>
        <w:shd w:val="clear" w:color="auto" w:fill="auto"/>
        <w:spacing w:before="0" w:line="240" w:lineRule="atLeast"/>
        <w:jc w:val="both"/>
        <w:outlineLvl w:val="9"/>
        <w:rPr>
          <w:rFonts w:hint="eastAsia" w:ascii="宋体" w:hAnsi="宋体" w:eastAsia="宋体" w:cs="宋体"/>
          <w:color w:val="auto"/>
          <w:highlight w:val="none"/>
        </w:rPr>
      </w:pPr>
      <w:r>
        <w:rPr>
          <w:rFonts w:hint="eastAsia" w:ascii="仿宋" w:hAnsi="仿宋" w:eastAsia="仿宋" w:cs="仿宋"/>
          <w:color w:val="auto"/>
          <w:sz w:val="24"/>
          <w:szCs w:val="24"/>
          <w:highlight w:val="none"/>
        </w:rPr>
        <w:br w:type="page"/>
      </w:r>
      <w:bookmarkStart w:id="117" w:name="_Toc515647823"/>
      <w:bookmarkStart w:id="118" w:name="_Toc2963"/>
      <w:bookmarkStart w:id="119" w:name="_Toc21312"/>
      <w:bookmarkStart w:id="120" w:name="_Toc10725"/>
      <w:bookmarkStart w:id="121" w:name="_Toc30795"/>
      <w:bookmarkStart w:id="122" w:name="_Toc515647827"/>
      <w:bookmarkStart w:id="123" w:name="_Toc28099"/>
    </w:p>
    <w:bookmarkEnd w:id="117"/>
    <w:bookmarkEnd w:id="118"/>
    <w:bookmarkEnd w:id="119"/>
    <w:bookmarkEnd w:id="120"/>
    <w:p w14:paraId="0E3C1C94">
      <w:pPr>
        <w:shd w:val="clear" w:color="auto" w:fill="auto"/>
        <w:spacing w:line="360" w:lineRule="auto"/>
        <w:jc w:val="center"/>
        <w:outlineLvl w:val="9"/>
        <w:rPr>
          <w:rFonts w:hint="eastAsia" w:ascii="仿宋" w:hAnsi="仿宋" w:eastAsia="仿宋" w:cs="仿宋"/>
          <w:b/>
          <w:bCs w:val="0"/>
          <w:color w:val="auto"/>
          <w:kern w:val="0"/>
          <w:sz w:val="36"/>
          <w:szCs w:val="36"/>
          <w:highlight w:val="none"/>
          <w:lang w:eastAsia="zh-CN"/>
        </w:rPr>
      </w:pPr>
      <w:bookmarkStart w:id="124" w:name="_Toc13119"/>
      <w:r>
        <w:rPr>
          <w:rFonts w:hint="eastAsia" w:ascii="仿宋" w:hAnsi="仿宋" w:eastAsia="仿宋" w:cs="仿宋"/>
          <w:b/>
          <w:bCs w:val="0"/>
          <w:color w:val="auto"/>
          <w:kern w:val="0"/>
          <w:sz w:val="36"/>
          <w:szCs w:val="36"/>
          <w:highlight w:val="none"/>
          <w:lang w:val="en-US" w:eastAsia="zh-CN"/>
        </w:rPr>
        <w:t>7</w:t>
      </w:r>
      <w:r>
        <w:rPr>
          <w:rFonts w:hint="eastAsia" w:ascii="仿宋" w:hAnsi="仿宋" w:eastAsia="仿宋" w:cs="仿宋"/>
          <w:b/>
          <w:bCs w:val="0"/>
          <w:color w:val="auto"/>
          <w:kern w:val="0"/>
          <w:sz w:val="36"/>
          <w:szCs w:val="36"/>
          <w:highlight w:val="none"/>
          <w:lang w:eastAsia="zh-CN"/>
        </w:rPr>
        <w:t>、</w:t>
      </w:r>
      <w:r>
        <w:rPr>
          <w:rFonts w:hint="eastAsia" w:ascii="仿宋" w:hAnsi="仿宋" w:eastAsia="仿宋" w:cs="仿宋"/>
          <w:b/>
          <w:bCs w:val="0"/>
          <w:color w:val="auto"/>
          <w:kern w:val="0"/>
          <w:sz w:val="36"/>
          <w:szCs w:val="36"/>
          <w:highlight w:val="none"/>
        </w:rPr>
        <w:t>投标人关联单位的说明</w:t>
      </w:r>
      <w:bookmarkEnd w:id="124"/>
      <w:r>
        <w:rPr>
          <w:rFonts w:hint="eastAsia" w:ascii="仿宋" w:hAnsi="仿宋" w:eastAsia="仿宋" w:cs="仿宋"/>
          <w:b/>
          <w:bCs w:val="0"/>
          <w:color w:val="auto"/>
          <w:kern w:val="0"/>
          <w:sz w:val="36"/>
          <w:szCs w:val="36"/>
          <w:highlight w:val="none"/>
          <w:lang w:eastAsia="zh-CN"/>
        </w:rPr>
        <w:t>（</w:t>
      </w:r>
      <w:r>
        <w:rPr>
          <w:rFonts w:hint="eastAsia" w:ascii="仿宋" w:hAnsi="仿宋" w:eastAsia="仿宋" w:cs="仿宋"/>
          <w:b/>
          <w:bCs w:val="0"/>
          <w:color w:val="auto"/>
          <w:kern w:val="0"/>
          <w:sz w:val="36"/>
          <w:szCs w:val="36"/>
          <w:highlight w:val="none"/>
          <w:lang w:val="en-US" w:eastAsia="zh-CN"/>
        </w:rPr>
        <w:t>格式自拟</w:t>
      </w:r>
      <w:r>
        <w:rPr>
          <w:rFonts w:hint="eastAsia" w:ascii="仿宋" w:hAnsi="仿宋" w:eastAsia="仿宋" w:cs="仿宋"/>
          <w:b/>
          <w:bCs w:val="0"/>
          <w:color w:val="auto"/>
          <w:kern w:val="0"/>
          <w:sz w:val="36"/>
          <w:szCs w:val="36"/>
          <w:highlight w:val="none"/>
          <w:lang w:eastAsia="zh-CN"/>
        </w:rPr>
        <w:t>）</w:t>
      </w:r>
    </w:p>
    <w:p w14:paraId="267A79A2">
      <w:pPr>
        <w:pStyle w:val="8"/>
        <w:shd w:val="clear" w:color="auto" w:fill="auto"/>
        <w:jc w:val="center"/>
        <w:outlineLvl w:val="9"/>
        <w:rPr>
          <w:rFonts w:hint="eastAsia" w:ascii="宋体" w:hAnsi="宋体" w:eastAsia="宋体" w:cs="宋体"/>
          <w:color w:val="auto"/>
          <w:highlight w:val="none"/>
        </w:rPr>
      </w:pPr>
    </w:p>
    <w:p w14:paraId="0D04F1F0">
      <w:pPr>
        <w:pStyle w:val="8"/>
        <w:shd w:val="clear" w:color="auto" w:fill="auto"/>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说明：投标人应当如实披露与本单位存在下列关联关系的单位名称：</w:t>
      </w:r>
    </w:p>
    <w:p w14:paraId="10829578">
      <w:pPr>
        <w:pStyle w:val="8"/>
        <w:shd w:val="clear" w:color="auto" w:fill="auto"/>
        <w:ind w:firstLine="480" w:firstLineChars="200"/>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（1）与投标人单位负责人为同一人的其他单位；</w:t>
      </w:r>
    </w:p>
    <w:p w14:paraId="3A1B11A1">
      <w:pPr>
        <w:pStyle w:val="8"/>
        <w:shd w:val="clear" w:color="auto" w:fill="auto"/>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（2）与投标人存在直接控股、管理关系的其他单位。</w:t>
      </w:r>
    </w:p>
    <w:p w14:paraId="1AF4905C">
      <w:pPr>
        <w:pStyle w:val="8"/>
        <w:shd w:val="clear" w:color="auto" w:fill="auto"/>
        <w:ind w:firstLine="0"/>
        <w:outlineLvl w:val="9"/>
        <w:rPr>
          <w:rFonts w:hint="eastAsia" w:ascii="宋体" w:hAnsi="宋体" w:eastAsia="宋体" w:cs="宋体"/>
          <w:color w:val="auto"/>
          <w:highlight w:val="none"/>
        </w:rPr>
      </w:pPr>
    </w:p>
    <w:p w14:paraId="6D5FB3F9">
      <w:pPr>
        <w:numPr>
          <w:ilvl w:val="0"/>
          <w:numId w:val="0"/>
        </w:numPr>
        <w:spacing w:line="360" w:lineRule="auto"/>
        <w:jc w:val="both"/>
        <w:outlineLvl w:val="9"/>
        <w:rPr>
          <w:rFonts w:hint="eastAsia" w:ascii="仿宋" w:hAnsi="仿宋" w:eastAsia="仿宋" w:cs="仿宋"/>
          <w:b/>
          <w:bCs/>
          <w:color w:val="auto"/>
          <w:sz w:val="28"/>
          <w:szCs w:val="28"/>
          <w:lang w:val="en-US" w:eastAsia="zh-CN"/>
        </w:rPr>
      </w:pPr>
      <w:r>
        <w:rPr>
          <w:rFonts w:hint="eastAsia" w:ascii="仿宋" w:hAnsi="仿宋" w:eastAsia="仿宋" w:cs="仿宋"/>
          <w:b/>
          <w:bCs w:val="0"/>
          <w:color w:val="auto"/>
          <w:kern w:val="0"/>
          <w:sz w:val="36"/>
          <w:szCs w:val="36"/>
          <w:highlight w:val="none"/>
          <w:lang w:val="en-US" w:eastAsia="zh-CN"/>
        </w:rPr>
        <w:br w:type="page"/>
      </w:r>
      <w:r>
        <w:rPr>
          <w:rFonts w:hint="eastAsia" w:ascii="仿宋" w:hAnsi="仿宋" w:eastAsia="仿宋" w:cs="仿宋"/>
          <w:b/>
          <w:bCs/>
          <w:color w:val="auto"/>
          <w:sz w:val="28"/>
          <w:szCs w:val="28"/>
          <w:lang w:val="en-US" w:eastAsia="zh-CN"/>
        </w:rPr>
        <w:t>8、中小企业声明函(货物)</w:t>
      </w:r>
    </w:p>
    <w:p w14:paraId="3E3428DF">
      <w:pPr>
        <w:shd w:val="clear" w:color="auto" w:fill="auto"/>
        <w:spacing w:line="360" w:lineRule="auto"/>
        <w:jc w:val="center"/>
        <w:outlineLvl w:val="9"/>
        <w:rPr>
          <w:rFonts w:hint="eastAsia" w:ascii="仿宋" w:hAnsi="仿宋" w:eastAsia="仿宋" w:cs="仿宋"/>
          <w:b/>
          <w:bCs w:val="0"/>
          <w:color w:val="auto"/>
          <w:kern w:val="0"/>
          <w:sz w:val="36"/>
          <w:szCs w:val="36"/>
          <w:highlight w:val="none"/>
        </w:rPr>
      </w:pPr>
      <w:r>
        <w:rPr>
          <w:rFonts w:hint="eastAsia" w:ascii="仿宋" w:hAnsi="仿宋" w:eastAsia="仿宋" w:cs="仿宋"/>
          <w:b/>
          <w:bCs w:val="0"/>
          <w:color w:val="auto"/>
          <w:kern w:val="0"/>
          <w:sz w:val="36"/>
          <w:szCs w:val="36"/>
          <w:highlight w:val="none"/>
        </w:rPr>
        <w:t>中小企业声明函(</w:t>
      </w:r>
      <w:r>
        <w:rPr>
          <w:rFonts w:hint="eastAsia" w:ascii="仿宋" w:hAnsi="仿宋" w:eastAsia="仿宋" w:cs="仿宋"/>
          <w:b/>
          <w:bCs w:val="0"/>
          <w:color w:val="auto"/>
          <w:kern w:val="0"/>
          <w:sz w:val="36"/>
          <w:szCs w:val="36"/>
          <w:highlight w:val="none"/>
          <w:lang w:eastAsia="zh-CN"/>
        </w:rPr>
        <w:t>货物</w:t>
      </w:r>
      <w:r>
        <w:rPr>
          <w:rFonts w:hint="eastAsia" w:ascii="仿宋" w:hAnsi="仿宋" w:eastAsia="仿宋" w:cs="仿宋"/>
          <w:b/>
          <w:bCs w:val="0"/>
          <w:color w:val="auto"/>
          <w:kern w:val="0"/>
          <w:sz w:val="36"/>
          <w:szCs w:val="36"/>
          <w:highlight w:val="none"/>
        </w:rPr>
        <w:t>)</w:t>
      </w:r>
    </w:p>
    <w:p w14:paraId="1D975BF1">
      <w:pPr>
        <w:ind w:left="1280"/>
        <w:outlineLvl w:val="9"/>
        <w:rPr>
          <w:rFonts w:hint="eastAsia" w:ascii="仿宋" w:hAnsi="仿宋" w:eastAsia="仿宋" w:cs="仿宋"/>
          <w:color w:val="auto"/>
          <w:sz w:val="32"/>
          <w:szCs w:val="32"/>
          <w:highlight w:val="none"/>
        </w:rPr>
      </w:pPr>
    </w:p>
    <w:p w14:paraId="603851B8">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78D0080">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1.（标的名称），属于</w:t>
      </w:r>
      <w:r>
        <w:rPr>
          <w:rFonts w:hint="eastAsia" w:ascii="仿宋" w:hAnsi="仿宋" w:eastAsia="仿宋" w:cs="仿宋"/>
          <w:b/>
          <w:bCs/>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（采购文件中明确的所属行业）；制造商为（企业名称），从业人员  人，营业收入为  万元，资产总额为  万元，属于（中型企业、小型企业、微型企业）；</w:t>
      </w:r>
    </w:p>
    <w:p w14:paraId="5098CC56">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（标的名称），属于（采购文件中明确的所属行业）；制造商为（企业名称），从业人员  人，营业收入为  万元，资产总额为  万元，属于（中型企业、小型企业、微型企业）；</w:t>
      </w:r>
    </w:p>
    <w:p w14:paraId="1D7A462F">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B511B4F">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45E4C015">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p>
    <w:p w14:paraId="4F7C00E5">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5770AA69">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4B290EDE">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p>
    <w:p w14:paraId="0BB37CE7">
      <w:pPr>
        <w:shd w:val="clear" w:color="auto" w:fill="auto"/>
        <w:spacing w:line="360" w:lineRule="auto"/>
        <w:ind w:firstLine="4560" w:firstLineChars="19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2C08E46A">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日期：</w:t>
      </w:r>
    </w:p>
    <w:p w14:paraId="4B2B7EB2">
      <w:pPr>
        <w:numPr>
          <w:ilvl w:val="0"/>
          <w:numId w:val="0"/>
        </w:numPr>
        <w:shd w:val="clear" w:color="auto" w:fill="auto"/>
        <w:spacing w:before="0" w:line="240" w:lineRule="atLeast"/>
        <w:outlineLvl w:val="9"/>
        <w:rPr>
          <w:rFonts w:hint="eastAsia" w:ascii="宋体" w:hAnsi="宋体" w:eastAsia="宋体" w:cs="宋体"/>
          <w:color w:val="auto"/>
          <w:sz w:val="24"/>
          <w:highlight w:val="none"/>
          <w:lang w:val="en-US" w:eastAsia="zh-CN"/>
        </w:rPr>
      </w:pPr>
    </w:p>
    <w:p w14:paraId="6944FC6E">
      <w:pPr>
        <w:pStyle w:val="16"/>
        <w:shd w:val="clear" w:color="auto" w:fill="auto"/>
        <w:tabs>
          <w:tab w:val="left" w:pos="5580"/>
        </w:tabs>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说明：从业人员、营业收入、 资产总额填报上一年度数据，无上一年度数据的新成立企业可不填报。</w:t>
      </w:r>
    </w:p>
    <w:p w14:paraId="011382E8">
      <w:pPr>
        <w:pStyle w:val="16"/>
        <w:shd w:val="clear" w:color="auto" w:fill="auto"/>
        <w:tabs>
          <w:tab w:val="left" w:pos="5580"/>
        </w:tabs>
        <w:spacing w:line="240" w:lineRule="atLeas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(中小企业声明函（货物）不符合中小企业的投标人无需提供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若投标文件中无上述文件，则在评审时不考虑对该</w:t>
      </w:r>
      <w:r>
        <w:rPr>
          <w:rFonts w:hint="eastAsia" w:ascii="仿宋" w:hAnsi="仿宋" w:eastAsia="仿宋" w:cs="仿宋"/>
          <w:color w:val="auto"/>
          <w:sz w:val="24"/>
          <w:szCs w:val="24"/>
          <w:highlight w:val="none"/>
          <w:lang w:eastAsia="zh-CN"/>
        </w:rPr>
        <w:t>企业进行</w:t>
      </w:r>
      <w:r>
        <w:rPr>
          <w:rFonts w:hint="eastAsia" w:ascii="仿宋" w:hAnsi="仿宋" w:eastAsia="仿宋" w:cs="仿宋"/>
          <w:color w:val="auto"/>
          <w:sz w:val="24"/>
          <w:szCs w:val="24"/>
          <w:highlight w:val="none"/>
        </w:rPr>
        <w:t>小、微企业的相关优惠。)</w:t>
      </w:r>
    </w:p>
    <w:p w14:paraId="54E6DD1E">
      <w:pPr>
        <w:rPr>
          <w:rFonts w:hint="eastAsia" w:ascii="仿宋" w:hAnsi="仿宋" w:eastAsia="仿宋" w:cs="仿宋"/>
          <w:color w:val="auto"/>
          <w:spacing w:val="0"/>
          <w:w w:val="100"/>
          <w:position w:val="0"/>
          <w:sz w:val="36"/>
          <w:szCs w:val="36"/>
          <w:highlight w:val="none"/>
          <w:lang w:val="en-US" w:eastAsia="zh-CN"/>
        </w:rPr>
      </w:pPr>
    </w:p>
    <w:p w14:paraId="28C9EB9C">
      <w:pPr>
        <w:pStyle w:val="5"/>
        <w:rPr>
          <w:rFonts w:hint="eastAsia" w:ascii="仿宋" w:hAnsi="仿宋" w:eastAsia="仿宋" w:cs="仿宋"/>
          <w:color w:val="auto"/>
          <w:spacing w:val="0"/>
          <w:w w:val="100"/>
          <w:position w:val="0"/>
          <w:sz w:val="36"/>
          <w:szCs w:val="36"/>
          <w:highlight w:val="none"/>
          <w:lang w:val="en-US" w:eastAsia="zh-CN"/>
        </w:rPr>
      </w:pPr>
    </w:p>
    <w:p w14:paraId="7C83EAA5">
      <w:pPr>
        <w:rPr>
          <w:rFonts w:hint="eastAsia" w:ascii="仿宋" w:hAnsi="仿宋" w:eastAsia="仿宋" w:cs="仿宋"/>
          <w:color w:val="auto"/>
          <w:spacing w:val="0"/>
          <w:w w:val="100"/>
          <w:position w:val="0"/>
          <w:sz w:val="36"/>
          <w:szCs w:val="36"/>
          <w:highlight w:val="none"/>
          <w:lang w:val="en-US" w:eastAsia="zh-CN"/>
        </w:rPr>
      </w:pPr>
    </w:p>
    <w:p w14:paraId="6AAC3A84">
      <w:pPr>
        <w:pStyle w:val="5"/>
        <w:rPr>
          <w:rFonts w:hint="eastAsia"/>
          <w:sz w:val="22"/>
          <w:szCs w:val="22"/>
          <w:lang w:val="en-US" w:eastAsia="zh-CN"/>
        </w:rPr>
      </w:pPr>
      <w:r>
        <w:rPr>
          <w:rFonts w:hint="eastAsia"/>
          <w:sz w:val="22"/>
          <w:szCs w:val="22"/>
          <w:lang w:val="en-US" w:eastAsia="zh-CN"/>
        </w:rPr>
        <w:t>（附件7）</w:t>
      </w:r>
    </w:p>
    <w:p w14:paraId="469E44A3">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r>
        <w:rPr>
          <w:rFonts w:hint="eastAsia" w:ascii="仿宋" w:hAnsi="仿宋" w:eastAsia="仿宋" w:cs="仿宋"/>
          <w:color w:val="auto"/>
          <w:spacing w:val="0"/>
          <w:w w:val="100"/>
          <w:position w:val="0"/>
          <w:sz w:val="36"/>
          <w:szCs w:val="36"/>
          <w:highlight w:val="none"/>
          <w:lang w:val="en-US" w:eastAsia="zh-CN"/>
        </w:rPr>
        <w:t>9</w:t>
      </w:r>
      <w:r>
        <w:rPr>
          <w:rFonts w:hint="eastAsia" w:ascii="仿宋" w:hAnsi="仿宋" w:eastAsia="仿宋" w:cs="仿宋"/>
          <w:color w:val="auto"/>
          <w:spacing w:val="0"/>
          <w:w w:val="100"/>
          <w:position w:val="0"/>
          <w:sz w:val="36"/>
          <w:szCs w:val="36"/>
          <w:highlight w:val="none"/>
          <w:lang w:eastAsia="zh-CN"/>
        </w:rPr>
        <w:t>、</w:t>
      </w:r>
      <w:r>
        <w:rPr>
          <w:rFonts w:hint="eastAsia" w:ascii="仿宋" w:hAnsi="仿宋" w:eastAsia="仿宋" w:cs="仿宋"/>
          <w:b/>
          <w:bCs/>
          <w:color w:val="auto"/>
          <w:spacing w:val="6"/>
          <w:kern w:val="0"/>
          <w:sz w:val="36"/>
          <w:szCs w:val="36"/>
          <w:highlight w:val="none"/>
        </w:rPr>
        <w:t>残疾人福利性单位声明函</w:t>
      </w:r>
    </w:p>
    <w:p w14:paraId="52BFCBA5">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p>
    <w:p w14:paraId="5871E7E3">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A871D2">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14:paraId="45BE0F61">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w:t>
      </w:r>
    </w:p>
    <w:p w14:paraId="5C18615D">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14:paraId="2B42749D">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w:t>
      </w:r>
    </w:p>
    <w:p w14:paraId="038A0B5B">
      <w:pPr>
        <w:numPr>
          <w:ilvl w:val="1"/>
          <w:numId w:val="0"/>
        </w:numPr>
        <w:shd w:val="clear" w:color="auto" w:fill="auto"/>
        <w:tabs>
          <w:tab w:val="left" w:pos="540"/>
        </w:tabs>
        <w:spacing w:before="0" w:line="240" w:lineRule="atLeast"/>
        <w:jc w:val="left"/>
        <w:outlineLvl w:val="9"/>
        <w:rPr>
          <w:rFonts w:hint="eastAsia" w:ascii="仿宋" w:hAnsi="仿宋" w:eastAsia="仿宋" w:cs="仿宋"/>
          <w:b/>
          <w:bCs/>
          <w:color w:val="auto"/>
          <w:sz w:val="24"/>
          <w:highlight w:val="none"/>
          <w:lang w:val="en-US" w:eastAsia="zh-CN"/>
        </w:rPr>
      </w:pPr>
    </w:p>
    <w:p w14:paraId="3AEE8D64">
      <w:pPr>
        <w:shd w:val="clear" w:color="auto" w:fill="auto"/>
        <w:spacing w:line="240" w:lineRule="atLeast"/>
        <w:ind w:left="1080" w:leftChars="257" w:hanging="540"/>
        <w:outlineLvl w:val="9"/>
        <w:rPr>
          <w:rFonts w:hint="eastAsia" w:ascii="宋体" w:hAnsi="宋体" w:eastAsia="宋体" w:cs="宋体"/>
          <w:color w:val="auto"/>
          <w:kern w:val="0"/>
          <w:sz w:val="24"/>
          <w:szCs w:val="20"/>
          <w:highlight w:val="none"/>
        </w:rPr>
      </w:pPr>
    </w:p>
    <w:p w14:paraId="37F69A53">
      <w:pPr>
        <w:shd w:val="clear" w:color="auto" w:fill="auto"/>
        <w:spacing w:line="240" w:lineRule="atLeast"/>
        <w:ind w:left="1080" w:leftChars="257" w:hanging="540"/>
        <w:jc w:val="center"/>
        <w:outlineLvl w:val="9"/>
        <w:rPr>
          <w:rFonts w:hint="eastAsia" w:ascii="宋体" w:hAnsi="宋体" w:eastAsia="宋体" w:cs="宋体"/>
          <w:color w:val="auto"/>
          <w:kern w:val="0"/>
          <w:sz w:val="24"/>
          <w:szCs w:val="20"/>
          <w:highlight w:val="none"/>
        </w:rPr>
      </w:pPr>
    </w:p>
    <w:p w14:paraId="70B24883">
      <w:pPr>
        <w:widowControl/>
        <w:adjustRightInd w:val="0"/>
        <w:snapToGrid w:val="0"/>
        <w:spacing w:line="440" w:lineRule="exact"/>
        <w:jc w:val="righ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残疾人福利性单位名称（盖单位章）：______________</w:t>
      </w:r>
    </w:p>
    <w:p w14:paraId="54E9F515">
      <w:pPr>
        <w:widowControl/>
        <w:adjustRightInd w:val="0"/>
        <w:snapToGrid w:val="0"/>
        <w:spacing w:line="440" w:lineRule="exact"/>
        <w:jc w:val="righ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期：_____________________________________________</w:t>
      </w:r>
    </w:p>
    <w:p w14:paraId="0FCAF514">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highlight w:val="none"/>
        </w:rPr>
      </w:pPr>
    </w:p>
    <w:p w14:paraId="070E7E18">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highlight w:val="none"/>
        </w:rPr>
      </w:pPr>
    </w:p>
    <w:p w14:paraId="5E0A019C">
      <w:pPr>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p>
    <w:p w14:paraId="222259D8">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bookmarkStart w:id="125" w:name="_Toc6386"/>
    </w:p>
    <w:p w14:paraId="70A22A85">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33932947">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14332CB5">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0BAE9EF1">
      <w:pPr>
        <w:shd w:val="clear" w:color="auto" w:fill="auto"/>
        <w:outlineLvl w:val="9"/>
        <w:rPr>
          <w:rFonts w:hint="eastAsia" w:ascii="宋体" w:hAnsi="宋体" w:eastAsia="宋体" w:cs="宋体"/>
          <w:color w:val="auto"/>
          <w:sz w:val="24"/>
          <w:highlight w:val="none"/>
        </w:rPr>
      </w:pPr>
    </w:p>
    <w:p w14:paraId="28BED17F">
      <w:pPr>
        <w:pStyle w:val="34"/>
        <w:shd w:val="clear" w:color="auto" w:fill="auto"/>
        <w:outlineLvl w:val="9"/>
        <w:rPr>
          <w:rFonts w:hint="eastAsia" w:ascii="宋体" w:hAnsi="宋体" w:eastAsia="宋体" w:cs="宋体"/>
          <w:color w:val="auto"/>
          <w:sz w:val="24"/>
          <w:highlight w:val="none"/>
        </w:rPr>
      </w:pPr>
    </w:p>
    <w:p w14:paraId="18BD7367">
      <w:pPr>
        <w:pStyle w:val="34"/>
        <w:shd w:val="clear" w:color="auto" w:fill="auto"/>
        <w:outlineLvl w:val="9"/>
        <w:rPr>
          <w:rFonts w:hint="eastAsia" w:ascii="宋体" w:hAnsi="宋体" w:eastAsia="宋体" w:cs="宋体"/>
          <w:color w:val="auto"/>
          <w:sz w:val="24"/>
          <w:highlight w:val="none"/>
        </w:rPr>
      </w:pPr>
    </w:p>
    <w:p w14:paraId="064B7B7A">
      <w:pPr>
        <w:pStyle w:val="34"/>
        <w:shd w:val="clear" w:color="auto" w:fill="auto"/>
        <w:outlineLvl w:val="9"/>
        <w:rPr>
          <w:rFonts w:hint="eastAsia" w:ascii="宋体" w:hAnsi="宋体" w:eastAsia="宋体" w:cs="宋体"/>
          <w:color w:val="auto"/>
          <w:sz w:val="24"/>
          <w:highlight w:val="none"/>
        </w:rPr>
      </w:pPr>
    </w:p>
    <w:p w14:paraId="705A9575">
      <w:pPr>
        <w:pStyle w:val="34"/>
        <w:shd w:val="clear" w:color="auto" w:fill="auto"/>
        <w:outlineLvl w:val="9"/>
        <w:rPr>
          <w:rFonts w:hint="eastAsia" w:ascii="宋体" w:hAnsi="宋体" w:eastAsia="宋体" w:cs="宋体"/>
          <w:color w:val="auto"/>
          <w:sz w:val="24"/>
          <w:highlight w:val="none"/>
        </w:rPr>
      </w:pPr>
    </w:p>
    <w:p w14:paraId="0818F7E7">
      <w:pPr>
        <w:pStyle w:val="34"/>
        <w:shd w:val="clear" w:color="auto" w:fill="auto"/>
        <w:outlineLvl w:val="9"/>
        <w:rPr>
          <w:rFonts w:hint="eastAsia" w:ascii="宋体" w:hAnsi="宋体" w:eastAsia="宋体" w:cs="宋体"/>
          <w:color w:val="auto"/>
          <w:sz w:val="24"/>
          <w:highlight w:val="none"/>
        </w:rPr>
      </w:pPr>
    </w:p>
    <w:p w14:paraId="07D4DE04">
      <w:pPr>
        <w:pStyle w:val="34"/>
        <w:shd w:val="clear" w:color="auto" w:fill="auto"/>
        <w:outlineLvl w:val="9"/>
        <w:rPr>
          <w:rFonts w:hint="eastAsia" w:ascii="宋体" w:hAnsi="宋体" w:eastAsia="宋体" w:cs="宋体"/>
          <w:color w:val="auto"/>
          <w:sz w:val="24"/>
          <w:highlight w:val="none"/>
        </w:rPr>
      </w:pPr>
    </w:p>
    <w:p w14:paraId="0F8CDA29">
      <w:pPr>
        <w:pStyle w:val="34"/>
        <w:shd w:val="clear" w:color="auto" w:fill="auto"/>
        <w:outlineLvl w:val="9"/>
        <w:rPr>
          <w:rFonts w:hint="eastAsia" w:ascii="宋体" w:hAnsi="宋体" w:eastAsia="宋体" w:cs="宋体"/>
          <w:color w:val="auto"/>
          <w:sz w:val="24"/>
          <w:highlight w:val="none"/>
        </w:rPr>
      </w:pPr>
    </w:p>
    <w:p w14:paraId="0FF6C973">
      <w:pPr>
        <w:pStyle w:val="34"/>
        <w:shd w:val="clear" w:color="auto" w:fill="auto"/>
        <w:outlineLvl w:val="9"/>
        <w:rPr>
          <w:rFonts w:hint="eastAsia" w:ascii="宋体" w:hAnsi="宋体" w:eastAsia="宋体" w:cs="宋体"/>
          <w:color w:val="auto"/>
          <w:sz w:val="24"/>
          <w:highlight w:val="none"/>
        </w:rPr>
      </w:pPr>
    </w:p>
    <w:p w14:paraId="65A932DA">
      <w:pPr>
        <w:pStyle w:val="34"/>
        <w:shd w:val="clear" w:color="auto" w:fill="auto"/>
        <w:outlineLvl w:val="9"/>
        <w:rPr>
          <w:rFonts w:hint="eastAsia" w:ascii="宋体" w:hAnsi="宋体" w:eastAsia="宋体" w:cs="宋体"/>
          <w:color w:val="auto"/>
          <w:sz w:val="24"/>
          <w:highlight w:val="none"/>
        </w:rPr>
      </w:pPr>
    </w:p>
    <w:p w14:paraId="39B654F1">
      <w:pPr>
        <w:pStyle w:val="34"/>
        <w:shd w:val="clear" w:color="auto" w:fill="auto"/>
        <w:outlineLvl w:val="9"/>
        <w:rPr>
          <w:rFonts w:hint="eastAsia" w:ascii="宋体" w:hAnsi="宋体" w:eastAsia="宋体" w:cs="宋体"/>
          <w:color w:val="auto"/>
          <w:sz w:val="24"/>
          <w:highlight w:val="none"/>
        </w:rPr>
      </w:pPr>
    </w:p>
    <w:p w14:paraId="3744CEFB">
      <w:pPr>
        <w:pStyle w:val="34"/>
        <w:shd w:val="clear" w:color="auto" w:fill="auto"/>
        <w:outlineLvl w:val="9"/>
        <w:rPr>
          <w:rFonts w:hint="eastAsia" w:ascii="宋体" w:hAnsi="宋体" w:eastAsia="宋体" w:cs="宋体"/>
          <w:color w:val="auto"/>
          <w:sz w:val="24"/>
          <w:highlight w:val="none"/>
        </w:rPr>
      </w:pPr>
    </w:p>
    <w:p w14:paraId="696A74D7">
      <w:pPr>
        <w:numPr>
          <w:ilvl w:val="0"/>
          <w:numId w:val="0"/>
        </w:numPr>
        <w:tabs>
          <w:tab w:val="left" w:pos="3600"/>
        </w:tabs>
        <w:adjustRightInd w:val="0"/>
        <w:snapToGrid w:val="0"/>
        <w:spacing w:line="440" w:lineRule="exact"/>
        <w:jc w:val="both"/>
        <w:outlineLvl w:val="9"/>
        <w:rPr>
          <w:rFonts w:hint="eastAsia" w:ascii="仿宋" w:hAnsi="仿宋" w:eastAsia="仿宋" w:cs="仿宋"/>
          <w:b/>
          <w:bCs/>
          <w:color w:val="auto"/>
          <w:spacing w:val="6"/>
          <w:kern w:val="0"/>
          <w:sz w:val="36"/>
          <w:szCs w:val="36"/>
          <w:highlight w:val="none"/>
          <w:lang w:eastAsia="zh-CN"/>
        </w:rPr>
      </w:pPr>
      <w:r>
        <w:rPr>
          <w:rFonts w:hint="eastAsia" w:ascii="仿宋" w:hAnsi="仿宋" w:eastAsia="仿宋" w:cs="仿宋"/>
          <w:b/>
          <w:bCs/>
          <w:color w:val="auto"/>
          <w:spacing w:val="6"/>
          <w:kern w:val="0"/>
          <w:sz w:val="36"/>
          <w:szCs w:val="36"/>
          <w:highlight w:val="none"/>
          <w:lang w:val="en-US" w:eastAsia="zh-CN"/>
        </w:rPr>
        <w:t>10、</w:t>
      </w:r>
      <w:r>
        <w:rPr>
          <w:rFonts w:hint="eastAsia" w:ascii="仿宋" w:hAnsi="仿宋" w:eastAsia="仿宋" w:cs="仿宋"/>
          <w:b/>
          <w:bCs/>
          <w:color w:val="auto"/>
          <w:spacing w:val="6"/>
          <w:kern w:val="0"/>
          <w:sz w:val="36"/>
          <w:szCs w:val="36"/>
          <w:highlight w:val="none"/>
          <w:lang w:eastAsia="zh-CN"/>
        </w:rPr>
        <w:t>评分标准和细则中技术部分证明材料（格式自拟）</w:t>
      </w:r>
    </w:p>
    <w:p w14:paraId="7F0BC465">
      <w:pPr>
        <w:pStyle w:val="16"/>
        <w:pageBreakBefore w:val="0"/>
        <w:widowControl w:val="0"/>
        <w:shd w:val="clear" w:color="auto" w:fill="auto"/>
        <w:tabs>
          <w:tab w:val="left" w:pos="5580"/>
        </w:tabs>
        <w:kinsoku/>
        <w:wordWrap/>
        <w:overflowPunct/>
        <w:topLinePunct w:val="0"/>
        <w:autoSpaceDE/>
        <w:autoSpaceDN/>
        <w:bidi w:val="0"/>
        <w:adjustRightInd/>
        <w:snapToGrid/>
        <w:spacing w:line="360" w:lineRule="auto"/>
        <w:ind w:left="1080"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（主要包括：技术部分技术指标、参数响应情况；）</w:t>
      </w:r>
      <w:r>
        <w:rPr>
          <w:rFonts w:hint="eastAsia" w:ascii="仿宋" w:hAnsi="仿宋" w:eastAsia="仿宋" w:cs="仿宋"/>
          <w:color w:val="auto"/>
          <w:sz w:val="24"/>
          <w:highlight w:val="none"/>
        </w:rPr>
        <w:t>。</w:t>
      </w:r>
    </w:p>
    <w:p w14:paraId="5F035F79">
      <w:pPr>
        <w:pStyle w:val="37"/>
        <w:numPr>
          <w:ilvl w:val="0"/>
          <w:numId w:val="18"/>
        </w:numPr>
        <w:ind w:left="84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复印件上应加盖本单位章（自然人投标的无需盖章，需要签字）。</w:t>
      </w:r>
    </w:p>
    <w:p w14:paraId="1EEC0F02">
      <w:pPr>
        <w:pStyle w:val="37"/>
        <w:numPr>
          <w:ilvl w:val="0"/>
          <w:numId w:val="0"/>
        </w:numPr>
        <w:ind w:left="1260" w:leftChars="0"/>
        <w:rPr>
          <w:rFonts w:hint="eastAsia" w:ascii="仿宋" w:hAnsi="仿宋" w:eastAsia="仿宋" w:cs="仿宋"/>
          <w:color w:val="auto"/>
          <w:sz w:val="24"/>
          <w:highlight w:val="none"/>
          <w:lang w:eastAsia="zh-CN"/>
        </w:rPr>
      </w:pPr>
    </w:p>
    <w:p w14:paraId="107A8BA9">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lang w:val="en-US" w:eastAsia="zh-CN"/>
        </w:rPr>
      </w:pPr>
    </w:p>
    <w:p w14:paraId="7B0AB822">
      <w:pPr>
        <w:tabs>
          <w:tab w:val="left" w:pos="3600"/>
        </w:tabs>
        <w:adjustRightInd w:val="0"/>
        <w:snapToGrid w:val="0"/>
        <w:spacing w:line="440" w:lineRule="exact"/>
        <w:jc w:val="both"/>
        <w:outlineLvl w:val="9"/>
        <w:rPr>
          <w:rFonts w:hint="eastAsia" w:ascii="仿宋" w:hAnsi="仿宋" w:eastAsia="仿宋" w:cs="仿宋"/>
          <w:b/>
          <w:bCs/>
          <w:color w:val="auto"/>
          <w:spacing w:val="6"/>
          <w:kern w:val="0"/>
          <w:sz w:val="36"/>
          <w:szCs w:val="36"/>
          <w:highlight w:val="none"/>
          <w:lang w:eastAsia="zh-CN"/>
        </w:rPr>
      </w:pPr>
      <w:r>
        <w:rPr>
          <w:rFonts w:hint="eastAsia" w:ascii="仿宋" w:hAnsi="仿宋" w:eastAsia="仿宋" w:cs="仿宋"/>
          <w:b/>
          <w:bCs/>
          <w:color w:val="auto"/>
          <w:spacing w:val="6"/>
          <w:kern w:val="0"/>
          <w:sz w:val="36"/>
          <w:szCs w:val="36"/>
          <w:highlight w:val="none"/>
          <w:lang w:val="en-US" w:eastAsia="zh-CN"/>
        </w:rPr>
        <w:t>11、</w:t>
      </w:r>
      <w:r>
        <w:rPr>
          <w:rFonts w:hint="eastAsia" w:ascii="仿宋" w:hAnsi="仿宋" w:eastAsia="仿宋" w:cs="仿宋"/>
          <w:b/>
          <w:bCs/>
          <w:color w:val="auto"/>
          <w:spacing w:val="6"/>
          <w:kern w:val="0"/>
          <w:sz w:val="36"/>
          <w:szCs w:val="36"/>
          <w:highlight w:val="none"/>
          <w:lang w:eastAsia="zh-CN"/>
        </w:rPr>
        <w:t>评分标准和细则中</w:t>
      </w:r>
      <w:r>
        <w:rPr>
          <w:rFonts w:hint="eastAsia" w:ascii="仿宋" w:hAnsi="仿宋" w:eastAsia="仿宋" w:cs="仿宋"/>
          <w:b/>
          <w:bCs/>
          <w:color w:val="auto"/>
          <w:spacing w:val="6"/>
          <w:kern w:val="0"/>
          <w:sz w:val="36"/>
          <w:szCs w:val="36"/>
          <w:highlight w:val="none"/>
          <w:lang w:val="en-US" w:eastAsia="zh-CN"/>
        </w:rPr>
        <w:t>商务</w:t>
      </w:r>
      <w:r>
        <w:rPr>
          <w:rFonts w:hint="eastAsia" w:ascii="仿宋" w:hAnsi="仿宋" w:eastAsia="仿宋" w:cs="仿宋"/>
          <w:b/>
          <w:bCs/>
          <w:color w:val="auto"/>
          <w:spacing w:val="6"/>
          <w:kern w:val="0"/>
          <w:sz w:val="36"/>
          <w:szCs w:val="36"/>
          <w:highlight w:val="none"/>
          <w:lang w:eastAsia="zh-CN"/>
        </w:rPr>
        <w:t>部分证明材料（格式自拟）</w:t>
      </w:r>
    </w:p>
    <w:p w14:paraId="1B5896CC">
      <w:pPr>
        <w:pStyle w:val="16"/>
        <w:keepNext w:val="0"/>
        <w:keepLines w:val="0"/>
        <w:pageBreakBefore w:val="0"/>
        <w:widowControl w:val="0"/>
        <w:shd w:val="clear" w:color="auto" w:fill="auto"/>
        <w:tabs>
          <w:tab w:val="left" w:pos="5580"/>
        </w:tabs>
        <w:kinsoku/>
        <w:wordWrap/>
        <w:overflowPunct/>
        <w:topLinePunct w:val="0"/>
        <w:autoSpaceDE/>
        <w:autoSpaceDN/>
        <w:bidi w:val="0"/>
        <w:spacing w:line="360" w:lineRule="auto"/>
        <w:ind w:left="1080" w:leftChars="257" w:hanging="54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w:t>
      </w:r>
      <w:r>
        <w:rPr>
          <w:rFonts w:hint="eastAsia" w:ascii="仿宋" w:hAnsi="仿宋" w:eastAsia="仿宋" w:cs="仿宋"/>
          <w:color w:val="auto"/>
          <w:sz w:val="24"/>
          <w:highlight w:val="none"/>
          <w:lang w:val="en-US" w:eastAsia="zh-CN"/>
        </w:rPr>
        <w:t>类似业绩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售后服务</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p>
    <w:p w14:paraId="352510E1">
      <w:pPr>
        <w:pStyle w:val="37"/>
        <w:numPr>
          <w:ilvl w:val="0"/>
          <w:numId w:val="18"/>
        </w:numPr>
        <w:ind w:left="84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复印件上应加盖本单位章（自然人投标的无需盖章，需要签字）</w:t>
      </w:r>
    </w:p>
    <w:p w14:paraId="24ADBC65">
      <w:pPr>
        <w:pStyle w:val="37"/>
        <w:numPr>
          <w:ilvl w:val="0"/>
          <w:numId w:val="0"/>
        </w:numPr>
        <w:ind w:left="1260" w:leftChars="0"/>
        <w:rPr>
          <w:rFonts w:hint="eastAsia" w:ascii="仿宋" w:hAnsi="仿宋" w:eastAsia="仿宋" w:cs="仿宋"/>
          <w:color w:val="auto"/>
          <w:sz w:val="24"/>
          <w:highlight w:val="none"/>
          <w:lang w:eastAsia="zh-CN"/>
        </w:rPr>
      </w:pPr>
    </w:p>
    <w:p w14:paraId="46EA0C48">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lang w:val="en-US" w:eastAsia="zh-CN"/>
        </w:rPr>
      </w:pPr>
    </w:p>
    <w:p w14:paraId="4E0989B1">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r>
        <w:rPr>
          <w:rFonts w:hint="eastAsia" w:ascii="仿宋" w:hAnsi="仿宋" w:eastAsia="仿宋" w:cs="仿宋"/>
          <w:b/>
          <w:bCs/>
          <w:color w:val="auto"/>
          <w:spacing w:val="6"/>
          <w:kern w:val="0"/>
          <w:sz w:val="36"/>
          <w:szCs w:val="36"/>
          <w:highlight w:val="none"/>
          <w:lang w:val="en-US" w:eastAsia="zh-CN"/>
        </w:rPr>
        <w:t>12、</w:t>
      </w:r>
      <w:r>
        <w:rPr>
          <w:rFonts w:hint="eastAsia" w:ascii="仿宋" w:hAnsi="仿宋" w:eastAsia="仿宋" w:cs="仿宋"/>
          <w:b/>
          <w:bCs/>
          <w:color w:val="auto"/>
          <w:spacing w:val="6"/>
          <w:kern w:val="0"/>
          <w:sz w:val="36"/>
          <w:szCs w:val="36"/>
          <w:highlight w:val="none"/>
          <w:lang w:eastAsia="zh-CN"/>
        </w:rPr>
        <w:t>投标人认为有必要提供的其他证明材料（格式自拟）</w:t>
      </w:r>
    </w:p>
    <w:p w14:paraId="099E10A4">
      <w:pPr>
        <w:numPr>
          <w:ilvl w:val="0"/>
          <w:numId w:val="0"/>
        </w:numPr>
        <w:shd w:val="clear" w:color="auto" w:fill="auto"/>
        <w:spacing w:before="0" w:line="240" w:lineRule="atLeast"/>
        <w:jc w:val="left"/>
        <w:outlineLvl w:val="9"/>
        <w:rPr>
          <w:rFonts w:hint="eastAsia" w:ascii="宋体" w:hAnsi="宋体" w:eastAsia="宋体" w:cs="宋体"/>
          <w:b/>
          <w:bCs/>
          <w:color w:val="auto"/>
          <w:sz w:val="24"/>
          <w:highlight w:val="none"/>
          <w:lang w:val="en-US" w:eastAsia="zh-CN"/>
        </w:rPr>
      </w:pPr>
    </w:p>
    <w:bookmarkEnd w:id="121"/>
    <w:bookmarkEnd w:id="122"/>
    <w:bookmarkEnd w:id="123"/>
    <w:bookmarkEnd w:id="125"/>
    <w:p w14:paraId="489BC63B">
      <w:pPr>
        <w:pStyle w:val="16"/>
        <w:shd w:val="clear" w:color="auto" w:fill="auto"/>
        <w:tabs>
          <w:tab w:val="left" w:pos="5580"/>
        </w:tabs>
        <w:spacing w:line="240" w:lineRule="atLeas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说明：复印件上应加盖本单位章（自然人投标的无需盖章，需要签字）。</w:t>
      </w:r>
    </w:p>
    <w:p w14:paraId="4975DC7F">
      <w:pPr>
        <w:pStyle w:val="8"/>
        <w:shd w:val="clear" w:color="auto" w:fill="auto"/>
        <w:ind w:firstLine="0"/>
        <w:outlineLvl w:val="9"/>
        <w:rPr>
          <w:rFonts w:hint="eastAsia" w:ascii="宋体" w:hAnsi="宋体" w:eastAsia="宋体" w:cs="宋体"/>
          <w:color w:val="auto"/>
          <w:highlight w:val="none"/>
        </w:rPr>
      </w:pPr>
    </w:p>
    <w:p w14:paraId="7EC9DCE0">
      <w:pPr>
        <w:pStyle w:val="17"/>
        <w:ind w:left="2880"/>
        <w:outlineLvl w:val="9"/>
        <w:rPr>
          <w:color w:val="auto"/>
          <w:lang w:eastAsia="zh-CN"/>
        </w:rPr>
      </w:pPr>
    </w:p>
    <w:p w14:paraId="53271EC0">
      <w:pPr>
        <w:pStyle w:val="34"/>
        <w:outlineLvl w:val="9"/>
        <w:rPr>
          <w:rFonts w:hint="eastAsia" w:ascii="仿宋" w:hAnsi="仿宋" w:eastAsia="仿宋" w:cs="仿宋"/>
          <w:sz w:val="24"/>
          <w:szCs w:val="24"/>
        </w:rPr>
      </w:pPr>
    </w:p>
    <w:p w14:paraId="4D8C66CD">
      <w:pPr>
        <w:pStyle w:val="34"/>
        <w:outlineLvl w:val="9"/>
        <w:rPr>
          <w:rFonts w:hint="eastAsia" w:ascii="仿宋" w:hAnsi="仿宋" w:eastAsia="仿宋" w:cs="仿宋"/>
          <w:sz w:val="24"/>
          <w:szCs w:val="24"/>
        </w:rPr>
      </w:pPr>
    </w:p>
    <w:p w14:paraId="2C916137">
      <w:pPr>
        <w:pStyle w:val="34"/>
        <w:outlineLvl w:val="9"/>
        <w:rPr>
          <w:rFonts w:hint="eastAsia" w:ascii="仿宋" w:hAnsi="仿宋" w:eastAsia="仿宋" w:cs="仿宋"/>
          <w:sz w:val="24"/>
          <w:szCs w:val="24"/>
        </w:rPr>
      </w:pPr>
    </w:p>
    <w:p w14:paraId="64DB466B">
      <w:pPr>
        <w:pStyle w:val="34"/>
        <w:outlineLvl w:val="9"/>
        <w:rPr>
          <w:rFonts w:hint="eastAsia" w:ascii="仿宋" w:hAnsi="仿宋" w:eastAsia="仿宋" w:cs="仿宋"/>
          <w:sz w:val="24"/>
          <w:szCs w:val="24"/>
        </w:rPr>
      </w:pPr>
    </w:p>
    <w:p w14:paraId="2D22E76E">
      <w:pPr>
        <w:outlineLvl w:val="9"/>
        <w:rPr>
          <w:rFonts w:hint="eastAsia" w:ascii="仿宋" w:hAnsi="仿宋" w:eastAsia="仿宋" w:cs="仿宋"/>
          <w:sz w:val="24"/>
          <w:szCs w:val="24"/>
        </w:rPr>
      </w:pPr>
      <w:r>
        <w:rPr>
          <w:rFonts w:hint="eastAsia" w:ascii="仿宋" w:hAnsi="仿宋" w:eastAsia="仿宋" w:cs="仿宋"/>
          <w:sz w:val="24"/>
          <w:szCs w:val="24"/>
        </w:rPr>
        <w:br w:type="page"/>
      </w:r>
    </w:p>
    <w:p w14:paraId="6B2D929D">
      <w:pPr>
        <w:pStyle w:val="34"/>
        <w:outlineLvl w:val="9"/>
        <w:rPr>
          <w:rFonts w:hint="eastAsia" w:ascii="仿宋" w:hAnsi="仿宋" w:eastAsia="仿宋" w:cs="仿宋"/>
          <w:b/>
          <w:bCs/>
          <w:sz w:val="24"/>
          <w:szCs w:val="24"/>
        </w:rPr>
      </w:pPr>
      <w:r>
        <w:rPr>
          <w:rFonts w:hint="eastAsia" w:ascii="仿宋" w:hAnsi="仿宋" w:eastAsia="仿宋" w:cs="仿宋"/>
          <w:b/>
          <w:bCs/>
          <w:sz w:val="24"/>
          <w:szCs w:val="24"/>
        </w:rPr>
        <w:t>附件资料：</w:t>
      </w:r>
    </w:p>
    <w:p w14:paraId="0B2B7C33">
      <w:pPr>
        <w:bidi w:val="0"/>
        <w:jc w:val="center"/>
        <w:outlineLvl w:val="9"/>
        <w:rPr>
          <w:rFonts w:hint="eastAsia" w:ascii="仿宋" w:hAnsi="仿宋" w:eastAsia="仿宋" w:cs="仿宋"/>
          <w:sz w:val="24"/>
          <w:szCs w:val="24"/>
        </w:rPr>
      </w:pPr>
      <w:r>
        <w:rPr>
          <w:rFonts w:hint="eastAsia" w:ascii="仿宋" w:hAnsi="仿宋" w:eastAsia="仿宋" w:cs="仿宋"/>
          <w:sz w:val="24"/>
          <w:szCs w:val="24"/>
        </w:rPr>
        <w:t>关于印发中小企业划型标准规定的通知</w:t>
      </w:r>
    </w:p>
    <w:p w14:paraId="41591454">
      <w:pPr>
        <w:pStyle w:val="34"/>
        <w:jc w:val="center"/>
        <w:outlineLvl w:val="9"/>
        <w:rPr>
          <w:rFonts w:hint="eastAsia" w:ascii="仿宋" w:hAnsi="仿宋" w:eastAsia="仿宋" w:cs="仿宋"/>
          <w:sz w:val="24"/>
          <w:szCs w:val="24"/>
        </w:rPr>
      </w:pPr>
      <w:r>
        <w:rPr>
          <w:rFonts w:hint="eastAsia" w:ascii="仿宋" w:hAnsi="仿宋" w:eastAsia="仿宋" w:cs="仿宋"/>
          <w:sz w:val="24"/>
          <w:szCs w:val="24"/>
        </w:rPr>
        <w:t>工信部联企业〔2011〕300号</w:t>
      </w:r>
    </w:p>
    <w:p w14:paraId="4F6E2BB6">
      <w:pPr>
        <w:pStyle w:val="34"/>
        <w:outlineLvl w:val="9"/>
        <w:rPr>
          <w:rFonts w:hint="eastAsia" w:ascii="仿宋" w:hAnsi="仿宋" w:eastAsia="仿宋" w:cs="仿宋"/>
          <w:sz w:val="24"/>
          <w:szCs w:val="24"/>
        </w:rPr>
      </w:pPr>
      <w:r>
        <w:rPr>
          <w:rFonts w:hint="eastAsia" w:ascii="仿宋" w:hAnsi="仿宋" w:eastAsia="仿宋" w:cs="仿宋"/>
          <w:sz w:val="24"/>
          <w:szCs w:val="24"/>
        </w:rPr>
        <w:t>各省、 自治区、直辖市人民政府，国务院各部委、各直属机构及有关单位：</w:t>
      </w:r>
    </w:p>
    <w:p w14:paraId="72CC0B94">
      <w:pPr>
        <w:pStyle w:val="34"/>
        <w:outlineLvl w:val="9"/>
        <w:rPr>
          <w:rFonts w:hint="eastAsia" w:ascii="仿宋" w:hAnsi="仿宋" w:eastAsia="仿宋" w:cs="仿宋"/>
          <w:sz w:val="24"/>
          <w:szCs w:val="24"/>
        </w:rPr>
      </w:pPr>
      <w:r>
        <w:rPr>
          <w:rFonts w:hint="eastAsia" w:ascii="仿宋" w:hAnsi="仿宋" w:eastAsia="仿宋" w:cs="仿宋"/>
          <w:sz w:val="24"/>
          <w:szCs w:val="24"/>
        </w:rPr>
        <w:t>为贯彻落实《中华人民共和国中小企业促进法》和《国务院关于进一步促进中小企业发展的若干意见》 （国发〔2009〕36号），工业和信息化部、国家统计局、发展改革委、财政部研究制定了《中小企业划型标准规定》。经国务院同意，现印发给你们，请遵照执行。</w:t>
      </w:r>
    </w:p>
    <w:p w14:paraId="5669F6AC">
      <w:pPr>
        <w:pStyle w:val="34"/>
        <w:ind w:firstLine="4677" w:firstLineChars="0"/>
        <w:jc w:val="both"/>
        <w:outlineLvl w:val="9"/>
        <w:rPr>
          <w:rFonts w:hint="eastAsia" w:ascii="仿宋" w:hAnsi="仿宋" w:eastAsia="仿宋" w:cs="仿宋"/>
          <w:sz w:val="24"/>
          <w:szCs w:val="24"/>
        </w:rPr>
      </w:pPr>
      <w:r>
        <w:rPr>
          <w:rFonts w:hint="eastAsia" w:ascii="仿宋" w:hAnsi="仿宋" w:eastAsia="仿宋" w:cs="仿宋"/>
          <w:sz w:val="24"/>
          <w:szCs w:val="24"/>
        </w:rPr>
        <w:t>工业和信息化部  国家统计局</w:t>
      </w:r>
    </w:p>
    <w:p w14:paraId="665FF72E">
      <w:pPr>
        <w:pStyle w:val="34"/>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国家发展和改革委员会  财政部</w:t>
      </w:r>
    </w:p>
    <w:p w14:paraId="0CAC144B">
      <w:pPr>
        <w:pStyle w:val="34"/>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二○一一年六月十八日</w:t>
      </w:r>
    </w:p>
    <w:p w14:paraId="46DF8822">
      <w:pPr>
        <w:bidi w:val="0"/>
        <w:jc w:val="center"/>
        <w:outlineLvl w:val="9"/>
        <w:rPr>
          <w:rFonts w:hint="eastAsia" w:ascii="仿宋" w:hAnsi="仿宋" w:eastAsia="仿宋" w:cs="仿宋"/>
          <w:sz w:val="24"/>
          <w:szCs w:val="24"/>
        </w:rPr>
      </w:pPr>
      <w:r>
        <w:rPr>
          <w:rFonts w:hint="eastAsia" w:ascii="仿宋" w:hAnsi="仿宋" w:eastAsia="仿宋" w:cs="仿宋"/>
          <w:sz w:val="24"/>
          <w:szCs w:val="24"/>
        </w:rPr>
        <w:t>中小企业划型标准规定</w:t>
      </w:r>
    </w:p>
    <w:p w14:paraId="0EEF22DB">
      <w:pPr>
        <w:pStyle w:val="34"/>
        <w:outlineLvl w:val="9"/>
        <w:rPr>
          <w:rFonts w:hint="eastAsia" w:ascii="仿宋" w:hAnsi="仿宋" w:eastAsia="仿宋" w:cs="仿宋"/>
          <w:sz w:val="24"/>
          <w:szCs w:val="24"/>
        </w:rPr>
      </w:pPr>
      <w:r>
        <w:rPr>
          <w:rFonts w:hint="eastAsia" w:ascii="仿宋" w:hAnsi="仿宋" w:eastAsia="仿宋" w:cs="仿宋"/>
          <w:sz w:val="24"/>
          <w:szCs w:val="24"/>
        </w:rPr>
        <w:t>一、根据《中华人民共和国中小企业促进法》和《国务院关于进一步促进中小企业发展的若干意见》(国发〔2009〕36号)，制定本规定。</w:t>
      </w:r>
    </w:p>
    <w:p w14:paraId="64FDE863">
      <w:pPr>
        <w:pStyle w:val="34"/>
        <w:outlineLvl w:val="9"/>
        <w:rPr>
          <w:rFonts w:hint="eastAsia" w:ascii="仿宋" w:hAnsi="仿宋" w:eastAsia="仿宋" w:cs="仿宋"/>
          <w:sz w:val="24"/>
          <w:szCs w:val="24"/>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14:paraId="100EB4B8">
      <w:pPr>
        <w:pStyle w:val="34"/>
        <w:outlineLvl w:val="9"/>
        <w:rPr>
          <w:rFonts w:hint="eastAsia" w:ascii="仿宋" w:hAnsi="仿宋" w:eastAsia="仿宋" w:cs="仿宋"/>
          <w:sz w:val="24"/>
          <w:szCs w:val="24"/>
        </w:rPr>
      </w:pPr>
      <w:r>
        <w:rPr>
          <w:rFonts w:hint="eastAsia" w:ascii="仿宋" w:hAnsi="仿宋" w:eastAsia="仿宋" w:cs="仿宋"/>
          <w:sz w:val="24"/>
          <w:szCs w:val="24"/>
        </w:rPr>
        <w:t>三、本规定适用的行业包括：农、林、牧、渔业，工业（包括采矿业，制造业，电力、热力、燃气及水 生产和供应业），建筑业，批发业，零售业，交通运输业（不含铁路运输业），仓储业，邮政业，住宿业， 餐饮业，信息传输业（包括电信、互联网和相关服务），软件和信息技术服务业，房地产开发经营，物业 管理，租赁和商务服务业，其他未列明行业（包括科学研究和技术服务业，水利、环境和公共设施管理业，居民服务、修理和其他服务业，社会工作，文化、体育和娱乐业等）。</w:t>
      </w:r>
    </w:p>
    <w:p w14:paraId="61EE817C">
      <w:pPr>
        <w:pStyle w:val="34"/>
        <w:outlineLvl w:val="9"/>
        <w:rPr>
          <w:rFonts w:hint="eastAsia" w:ascii="仿宋" w:hAnsi="仿宋" w:eastAsia="仿宋" w:cs="仿宋"/>
          <w:sz w:val="24"/>
          <w:szCs w:val="24"/>
        </w:rPr>
      </w:pPr>
      <w:r>
        <w:rPr>
          <w:rFonts w:hint="eastAsia" w:ascii="仿宋" w:hAnsi="仿宋" w:eastAsia="仿宋" w:cs="仿宋"/>
          <w:sz w:val="24"/>
          <w:szCs w:val="24"/>
        </w:rPr>
        <w:t>四、各行业划型标准为：</w:t>
      </w:r>
    </w:p>
    <w:p w14:paraId="07BC2CDB">
      <w:pPr>
        <w:pStyle w:val="34"/>
        <w:outlineLvl w:val="9"/>
        <w:rPr>
          <w:rFonts w:hint="eastAsia" w:ascii="仿宋" w:hAnsi="仿宋" w:eastAsia="仿宋" w:cs="仿宋"/>
          <w:sz w:val="24"/>
          <w:szCs w:val="24"/>
        </w:rPr>
      </w:pPr>
      <w:r>
        <w:rPr>
          <w:rFonts w:hint="eastAsia" w:ascii="仿宋" w:hAnsi="仿宋" w:eastAsia="仿宋" w:cs="仿宋"/>
          <w:sz w:val="24"/>
          <w:szCs w:val="24"/>
        </w:rPr>
        <w:t>（一）农、林、牧、渔业。营业收入20000万元以下的为中小微型企业。其中，营业收入500万元及以上的为中型企业，营业收入50万元及以上的为小型企业，营业收入50万元以下的为微型企业。</w:t>
      </w:r>
    </w:p>
    <w:p w14:paraId="14763797">
      <w:pPr>
        <w:pStyle w:val="34"/>
        <w:outlineLvl w:val="9"/>
        <w:rPr>
          <w:rFonts w:hint="eastAsia" w:ascii="仿宋" w:hAnsi="仿宋" w:eastAsia="仿宋" w:cs="仿宋"/>
          <w:sz w:val="24"/>
          <w:szCs w:val="24"/>
        </w:rPr>
      </w:pPr>
      <w:r>
        <w:rPr>
          <w:rFonts w:hint="eastAsia" w:ascii="仿宋" w:hAnsi="仿宋" w:eastAsia="仿宋" w:cs="仿宋"/>
          <w:sz w:val="24"/>
          <w:szCs w:val="24"/>
        </w:rPr>
        <w:t>（二）工业。从业人员1000人以下或营业收入40000万元以下的为中小微型企业。其中，从业人员300 人及以上，且营业收入2000万元及以上的为中型企业；从业人员20人及以上，且营业收入300万元及以上的为小型企业；从业人员20人以下或营业收入300万元以下的为微型企业。</w:t>
      </w:r>
    </w:p>
    <w:p w14:paraId="364E0E54">
      <w:pPr>
        <w:pStyle w:val="34"/>
        <w:outlineLvl w:val="9"/>
        <w:rPr>
          <w:rFonts w:hint="eastAsia" w:ascii="仿宋" w:hAnsi="仿宋" w:eastAsia="仿宋" w:cs="仿宋"/>
          <w:sz w:val="24"/>
          <w:szCs w:val="24"/>
        </w:rPr>
      </w:pPr>
      <w:r>
        <w:rPr>
          <w:rFonts w:hint="eastAsia" w:ascii="仿宋" w:hAnsi="仿宋" w:eastAsia="仿宋" w:cs="仿宋"/>
          <w:sz w:val="24"/>
          <w:szCs w:val="24"/>
        </w:rPr>
        <w:t>（三）建筑业。营业收入80000万元以下或资产总额80000万元以下的为中小微型企业。其中，营业收入 6000万元及以上，且资产总额5000万元及以上的为中型企业；营业收入300万元及以上，且资产总额300万元及以上的为小型企业；营业收入300万元以下或资产总额300万元以下的为微型企业。</w:t>
      </w:r>
    </w:p>
    <w:p w14:paraId="69125D69">
      <w:pPr>
        <w:pStyle w:val="34"/>
        <w:outlineLvl w:val="9"/>
        <w:rPr>
          <w:rFonts w:hint="eastAsia" w:ascii="仿宋" w:hAnsi="仿宋" w:eastAsia="仿宋" w:cs="仿宋"/>
          <w:sz w:val="24"/>
          <w:szCs w:val="24"/>
        </w:rPr>
      </w:pPr>
      <w:r>
        <w:rPr>
          <w:rFonts w:hint="eastAsia" w:ascii="仿宋" w:hAnsi="仿宋" w:eastAsia="仿宋" w:cs="仿宋"/>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E3C2B3">
      <w:pPr>
        <w:pStyle w:val="34"/>
        <w:outlineLvl w:val="9"/>
        <w:rPr>
          <w:rFonts w:hint="eastAsia" w:ascii="仿宋" w:hAnsi="仿宋" w:eastAsia="仿宋" w:cs="仿宋"/>
          <w:sz w:val="24"/>
          <w:szCs w:val="24"/>
        </w:rPr>
      </w:pPr>
      <w:r>
        <w:rPr>
          <w:rFonts w:hint="eastAsia" w:ascii="仿宋" w:hAnsi="仿宋" w:eastAsia="仿宋" w:cs="仿宋"/>
          <w:sz w:val="24"/>
          <w:szCs w:val="24"/>
        </w:rPr>
        <w:t>（五）零售业。从业人员300人以下或营业收入20000万元以下的为中小微型企业。其中，从业人员50 人及以上，且营业收入500万元及以上的为中型企业；从业人员10人及以上，且营业收入100万元及以上的为小型企业；从业人员10人以下或营业收入100万元以下的为微型企业。</w:t>
      </w:r>
    </w:p>
    <w:p w14:paraId="657B9CE9">
      <w:pPr>
        <w:pStyle w:val="34"/>
        <w:outlineLvl w:val="9"/>
        <w:rPr>
          <w:rFonts w:hint="eastAsia" w:ascii="仿宋" w:hAnsi="仿宋" w:eastAsia="仿宋" w:cs="仿宋"/>
          <w:sz w:val="24"/>
          <w:szCs w:val="24"/>
        </w:rPr>
      </w:pPr>
      <w:r>
        <w:rPr>
          <w:rFonts w:hint="eastAsia" w:ascii="仿宋" w:hAnsi="仿宋" w:eastAsia="仿宋" w:cs="仿宋"/>
          <w:sz w:val="24"/>
          <w:szCs w:val="24"/>
        </w:rPr>
        <w:t>（六）交通运输业。从业人员1000人以下或营业收入30000万元以下的为中小微型企业。其中，从业人 员300人及以上，且营业收入3000万元及以上的为中型企业；从业人员20人及以上，且营业收入200万元及以上的为小型企业；从业人员20人以下或营业收入200万元以下的为微型企业。</w:t>
      </w:r>
    </w:p>
    <w:p w14:paraId="5CA58C44">
      <w:pPr>
        <w:pStyle w:val="34"/>
        <w:outlineLvl w:val="9"/>
        <w:rPr>
          <w:rFonts w:hint="eastAsia" w:ascii="仿宋" w:hAnsi="仿宋" w:eastAsia="仿宋" w:cs="仿宋"/>
          <w:sz w:val="24"/>
          <w:szCs w:val="24"/>
        </w:rPr>
      </w:pPr>
      <w:r>
        <w:rPr>
          <w:rFonts w:hint="eastAsia" w:ascii="仿宋" w:hAnsi="仿宋" w:eastAsia="仿宋" w:cs="仿宋"/>
          <w:sz w:val="24"/>
          <w:szCs w:val="24"/>
        </w:rPr>
        <w:t>（七）仓储业。从业人员200人以下或营业收入30000万元以下的为中小微型企业。其中，从业人员100 人及以上，且营业收入1000万元及以上的为中型企业；从业人员20人及以上，且营业收入100万元及以上的为小型企业；从业人员20人以下或营业收入100万元以下的为微型企业。</w:t>
      </w:r>
    </w:p>
    <w:p w14:paraId="1F48A8C5">
      <w:pPr>
        <w:pStyle w:val="34"/>
        <w:outlineLvl w:val="9"/>
        <w:rPr>
          <w:rFonts w:hint="eastAsia" w:ascii="仿宋" w:hAnsi="仿宋" w:eastAsia="仿宋" w:cs="仿宋"/>
          <w:sz w:val="24"/>
          <w:szCs w:val="24"/>
        </w:rPr>
      </w:pPr>
      <w:r>
        <w:rPr>
          <w:rFonts w:hint="eastAsia" w:ascii="仿宋" w:hAnsi="仿宋" w:eastAsia="仿宋" w:cs="仿宋"/>
          <w:sz w:val="24"/>
          <w:szCs w:val="24"/>
        </w:rPr>
        <w:t>（八）邮政业。从业人员1000人以下或营业收入30000万元以下的为中小微型企业。其中，从业人员300 人及以上，且营业收入2000万元及以上的为中型企业；从业人员20人及以上，且营业收入100万元及以上的为小型企业；从业人员20人以下或营业收入100万元以下的为微型企业。</w:t>
      </w:r>
    </w:p>
    <w:p w14:paraId="7E8DA54F">
      <w:pPr>
        <w:pStyle w:val="34"/>
        <w:outlineLvl w:val="9"/>
        <w:rPr>
          <w:rFonts w:hint="eastAsia" w:ascii="仿宋" w:hAnsi="仿宋" w:eastAsia="仿宋" w:cs="仿宋"/>
          <w:sz w:val="24"/>
          <w:szCs w:val="24"/>
        </w:rPr>
      </w:pPr>
      <w:r>
        <w:rPr>
          <w:rFonts w:hint="eastAsia" w:ascii="仿宋" w:hAnsi="仿宋" w:eastAsia="仿宋" w:cs="仿宋"/>
          <w:sz w:val="24"/>
          <w:szCs w:val="24"/>
        </w:rPr>
        <w:t>（九）住宿业。从业人员300人以下或营业收入10000万元以下的为中小微型企业。其中，从业人员100 人及以上，且营业收入2000万元及以上的为中型企业；从业人员10人及以上，且营业收入100万元及以上的为小型企业；从业人员10人以下或营业收入100万元以下的为微型企业。</w:t>
      </w:r>
    </w:p>
    <w:p w14:paraId="1353A604">
      <w:pPr>
        <w:pStyle w:val="34"/>
        <w:outlineLvl w:val="9"/>
        <w:rPr>
          <w:rFonts w:hint="eastAsia" w:ascii="仿宋" w:hAnsi="仿宋" w:eastAsia="仿宋" w:cs="仿宋"/>
          <w:sz w:val="24"/>
          <w:szCs w:val="24"/>
        </w:rPr>
      </w:pPr>
      <w:r>
        <w:rPr>
          <w:rFonts w:hint="eastAsia" w:ascii="仿宋" w:hAnsi="仿宋" w:eastAsia="仿宋" w:cs="仿宋"/>
          <w:sz w:val="24"/>
          <w:szCs w:val="24"/>
        </w:rPr>
        <w:t>（十）餐饮业。从业人员300人以下或营业收入10000万元以下的为中小微型企业。其中，从业人员100 人及以上，且营业收入2000万元及以上的为中型企业；从业人员10人及以上，且营业收入100万元及以上的为小型企业；从业人员10人以下或营业收入100万元以下的为微型企业。</w:t>
      </w:r>
    </w:p>
    <w:p w14:paraId="3EF64B97">
      <w:pPr>
        <w:pStyle w:val="34"/>
        <w:outlineLvl w:val="9"/>
        <w:rPr>
          <w:rFonts w:hint="eastAsia" w:ascii="仿宋" w:hAnsi="仿宋" w:eastAsia="仿宋" w:cs="仿宋"/>
          <w:sz w:val="24"/>
          <w:szCs w:val="24"/>
        </w:rPr>
      </w:pPr>
      <w:r>
        <w:rPr>
          <w:rFonts w:hint="eastAsia" w:ascii="仿宋" w:hAnsi="仿宋" w:eastAsia="仿宋" w:cs="仿宋"/>
          <w:sz w:val="24"/>
          <w:szCs w:val="24"/>
        </w:rPr>
        <w:t>（十一）信息传输业。从业人员2000人以下或营业收入100000万元以下的为中小微型企业。其中，从业 人员100人及以上，且营业收入1000万元及以上的为中型企业；从业人员10人及以上，且营业收入100万元</w:t>
      </w:r>
    </w:p>
    <w:p w14:paraId="4AB40EFA">
      <w:pPr>
        <w:pStyle w:val="34"/>
        <w:outlineLvl w:val="9"/>
        <w:rPr>
          <w:rFonts w:hint="eastAsia" w:ascii="仿宋" w:hAnsi="仿宋" w:eastAsia="仿宋" w:cs="仿宋"/>
          <w:sz w:val="24"/>
          <w:szCs w:val="24"/>
        </w:rPr>
      </w:pPr>
      <w:r>
        <w:rPr>
          <w:rFonts w:hint="eastAsia" w:ascii="仿宋" w:hAnsi="仿宋" w:eastAsia="仿宋" w:cs="仿宋"/>
          <w:sz w:val="24"/>
          <w:szCs w:val="24"/>
        </w:rPr>
        <w:t>及以上的为小型企业；从业人员10人以下或营业收入100万元以下的为微型企业。</w:t>
      </w:r>
    </w:p>
    <w:p w14:paraId="10028AB3">
      <w:pPr>
        <w:pStyle w:val="34"/>
        <w:outlineLvl w:val="9"/>
        <w:rPr>
          <w:rFonts w:hint="eastAsia" w:ascii="仿宋" w:hAnsi="仿宋" w:eastAsia="仿宋" w:cs="仿宋"/>
          <w:sz w:val="24"/>
          <w:szCs w:val="24"/>
        </w:rPr>
      </w:pPr>
      <w:r>
        <w:rPr>
          <w:rFonts w:hint="eastAsia" w:ascii="仿宋" w:hAnsi="仿宋" w:eastAsia="仿宋" w:cs="仿宋"/>
          <w:sz w:val="24"/>
          <w:szCs w:val="24"/>
        </w:rPr>
        <w:t>（十二）软件和信息技术服务业。从业人员300人以下或营业收入10000万元以下的为中小微型企业。其 中，从业人员100人及以上，且营业收入1000万元及以上的为中型企业；从业人员10人及以上，且营业收入50万元及以上的为小型企业；从业人员10人以下或营业收入50万元以下的为微型企业。</w:t>
      </w:r>
    </w:p>
    <w:p w14:paraId="7F0CBE8E">
      <w:pPr>
        <w:pStyle w:val="34"/>
        <w:outlineLvl w:val="9"/>
        <w:rPr>
          <w:rFonts w:hint="eastAsia" w:ascii="仿宋" w:hAnsi="仿宋" w:eastAsia="仿宋" w:cs="仿宋"/>
          <w:sz w:val="24"/>
          <w:szCs w:val="24"/>
        </w:rPr>
      </w:pPr>
      <w:r>
        <w:rPr>
          <w:rFonts w:hint="eastAsia" w:ascii="仿宋" w:hAnsi="仿宋" w:eastAsia="仿宋" w:cs="仿宋"/>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BF8EC6">
      <w:pPr>
        <w:pStyle w:val="34"/>
        <w:outlineLvl w:val="9"/>
        <w:rPr>
          <w:rFonts w:hint="eastAsia" w:ascii="仿宋" w:hAnsi="仿宋" w:eastAsia="仿宋" w:cs="仿宋"/>
          <w:sz w:val="24"/>
          <w:szCs w:val="24"/>
        </w:rPr>
      </w:pPr>
      <w:r>
        <w:rPr>
          <w:rFonts w:hint="eastAsia" w:ascii="仿宋" w:hAnsi="仿宋" w:eastAsia="仿宋" w:cs="仿宋"/>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F6B241">
      <w:pPr>
        <w:pStyle w:val="34"/>
        <w:outlineLvl w:val="9"/>
        <w:rPr>
          <w:rFonts w:hint="eastAsia" w:ascii="仿宋" w:hAnsi="仿宋" w:eastAsia="仿宋" w:cs="仿宋"/>
          <w:sz w:val="24"/>
          <w:szCs w:val="24"/>
        </w:rPr>
      </w:pPr>
      <w:r>
        <w:rPr>
          <w:rFonts w:hint="eastAsia" w:ascii="仿宋" w:hAnsi="仿宋" w:eastAsia="仿宋" w:cs="仿宋"/>
          <w:sz w:val="24"/>
          <w:szCs w:val="24"/>
        </w:rPr>
        <w:t>（十五）租赁和商务服务业。从业人员300人以下或资产总额120000万元以下的为中小微型企业。其中， 从业人员100人及以上，且资产总额8000万元及以上的为中型企业；从业人员10人及以上，且资产总额100万元及以上的为小型企业；从业人员10人以下或资产总额100万元以下的为微型企业。</w:t>
      </w:r>
    </w:p>
    <w:p w14:paraId="5678230C">
      <w:pPr>
        <w:pStyle w:val="34"/>
        <w:outlineLvl w:val="9"/>
        <w:rPr>
          <w:rFonts w:hint="eastAsia" w:ascii="仿宋" w:hAnsi="仿宋" w:eastAsia="仿宋" w:cs="仿宋"/>
          <w:sz w:val="24"/>
          <w:szCs w:val="24"/>
        </w:rPr>
      </w:pPr>
      <w:r>
        <w:rPr>
          <w:rFonts w:hint="eastAsia" w:ascii="仿宋" w:hAnsi="仿宋" w:eastAsia="仿宋" w:cs="仿宋"/>
          <w:sz w:val="24"/>
          <w:szCs w:val="24"/>
        </w:rPr>
        <w:t>（十六）其他未列明行业。从业人员300人以下的为中小微型企业。其中，从业人员100人及以上的为中型企业；从业人员10人及以上的为小型企业；从业人员10人以下的为微型企业。</w:t>
      </w:r>
    </w:p>
    <w:p w14:paraId="674EEF13">
      <w:pPr>
        <w:pStyle w:val="34"/>
        <w:outlineLvl w:val="9"/>
        <w:rPr>
          <w:rFonts w:hint="eastAsia" w:ascii="仿宋" w:hAnsi="仿宋" w:eastAsia="仿宋" w:cs="仿宋"/>
          <w:sz w:val="24"/>
          <w:szCs w:val="24"/>
        </w:rPr>
      </w:pPr>
      <w:r>
        <w:rPr>
          <w:rFonts w:hint="eastAsia" w:ascii="仿宋" w:hAnsi="仿宋" w:eastAsia="仿宋" w:cs="仿宋"/>
          <w:sz w:val="24"/>
          <w:szCs w:val="24"/>
        </w:rPr>
        <w:t>五、企业类型的划分以统计部门的统计数据为依据。</w:t>
      </w:r>
    </w:p>
    <w:p w14:paraId="78499DEF">
      <w:pPr>
        <w:pStyle w:val="34"/>
        <w:outlineLvl w:val="9"/>
        <w:rPr>
          <w:rFonts w:hint="eastAsia" w:ascii="仿宋" w:hAnsi="仿宋" w:eastAsia="仿宋" w:cs="仿宋"/>
          <w:sz w:val="24"/>
          <w:szCs w:val="24"/>
        </w:rPr>
      </w:pPr>
      <w:r>
        <w:rPr>
          <w:rFonts w:hint="eastAsia" w:ascii="仿宋" w:hAnsi="仿宋" w:eastAsia="仿宋" w:cs="仿宋"/>
          <w:sz w:val="24"/>
          <w:szCs w:val="24"/>
        </w:rPr>
        <w:t>六、本规定适用于在中华人民共和国境内依法设立的各类所有制和各种组织形式的企业。个体工商户和本规定以外的行业，参照本规定进行划型。</w:t>
      </w:r>
    </w:p>
    <w:p w14:paraId="209414F0">
      <w:pPr>
        <w:pStyle w:val="34"/>
        <w:outlineLvl w:val="9"/>
        <w:rPr>
          <w:rFonts w:hint="eastAsia" w:ascii="仿宋" w:hAnsi="仿宋" w:eastAsia="仿宋" w:cs="仿宋"/>
          <w:sz w:val="24"/>
          <w:szCs w:val="24"/>
        </w:rPr>
      </w:pPr>
      <w:r>
        <w:rPr>
          <w:rFonts w:hint="eastAsia" w:ascii="仿宋" w:hAnsi="仿宋" w:eastAsia="仿宋" w:cs="仿宋"/>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26AAB775">
      <w:pPr>
        <w:pStyle w:val="34"/>
        <w:outlineLvl w:val="9"/>
        <w:rPr>
          <w:rFonts w:hint="eastAsia" w:ascii="仿宋" w:hAnsi="仿宋" w:eastAsia="仿宋" w:cs="仿宋"/>
          <w:sz w:val="24"/>
          <w:szCs w:val="24"/>
        </w:rPr>
      </w:pPr>
      <w:r>
        <w:rPr>
          <w:rFonts w:hint="eastAsia" w:ascii="仿宋" w:hAnsi="仿宋" w:eastAsia="仿宋" w:cs="仿宋"/>
          <w:sz w:val="24"/>
          <w:szCs w:val="24"/>
        </w:rPr>
        <w:t>八、本规定由工业和信息化部、国家统计局会同有关部门根据《国民经济行业分类》修订情况和企业发展变化情况适时修订。</w:t>
      </w:r>
    </w:p>
    <w:p w14:paraId="1DAD4C5F">
      <w:pPr>
        <w:pStyle w:val="34"/>
        <w:outlineLvl w:val="9"/>
        <w:rPr>
          <w:rFonts w:hint="eastAsia" w:ascii="仿宋" w:hAnsi="仿宋" w:eastAsia="仿宋" w:cs="仿宋"/>
          <w:sz w:val="24"/>
          <w:szCs w:val="24"/>
        </w:rPr>
      </w:pPr>
      <w:r>
        <w:rPr>
          <w:rFonts w:hint="eastAsia" w:ascii="仿宋" w:hAnsi="仿宋" w:eastAsia="仿宋" w:cs="仿宋"/>
          <w:sz w:val="24"/>
          <w:szCs w:val="24"/>
        </w:rPr>
        <w:t>九、本规定由工业和信息化部、国家统计局会同有关部门负责解释。</w:t>
      </w:r>
    </w:p>
    <w:p w14:paraId="55257687">
      <w:pPr>
        <w:pStyle w:val="34"/>
        <w:outlineLvl w:val="9"/>
        <w:rPr>
          <w:rFonts w:hint="eastAsia" w:ascii="仿宋" w:hAnsi="仿宋" w:eastAsia="仿宋" w:cs="仿宋"/>
          <w:sz w:val="24"/>
          <w:szCs w:val="24"/>
        </w:rPr>
      </w:pPr>
      <w:r>
        <w:rPr>
          <w:rFonts w:hint="eastAsia" w:ascii="仿宋" w:hAnsi="仿宋" w:eastAsia="仿宋" w:cs="仿宋"/>
          <w:sz w:val="24"/>
          <w:szCs w:val="24"/>
        </w:rPr>
        <w:t>十、本规定自发布之日起执行，原国家经贸委、原国家计委、财政部和国家统计局2003年颁布的《中小企业标准暂行规定》同时废止。</w:t>
      </w:r>
    </w:p>
    <w:p w14:paraId="3565F3AB">
      <w:pPr>
        <w:pStyle w:val="34"/>
        <w:outlineLvl w:val="9"/>
        <w:rPr>
          <w:rFonts w:hint="eastAsia" w:ascii="仿宋" w:hAnsi="仿宋" w:eastAsia="仿宋" w:cs="仿宋"/>
          <w:sz w:val="24"/>
          <w:szCs w:val="24"/>
        </w:rPr>
      </w:pPr>
    </w:p>
    <w:p w14:paraId="2DBD0C81">
      <w:pPr>
        <w:pStyle w:val="34"/>
        <w:outlineLvl w:val="9"/>
        <w:rPr>
          <w:rFonts w:hint="eastAsia" w:ascii="仿宋" w:hAnsi="仿宋" w:eastAsia="仿宋" w:cs="仿宋"/>
          <w:sz w:val="24"/>
          <w:szCs w:val="24"/>
        </w:rPr>
      </w:pPr>
    </w:p>
    <w:p w14:paraId="2C17958F">
      <w:pPr>
        <w:pStyle w:val="34"/>
        <w:outlineLvl w:val="9"/>
        <w:rPr>
          <w:rFonts w:hint="eastAsia" w:ascii="仿宋" w:hAnsi="仿宋" w:eastAsia="仿宋" w:cs="仿宋"/>
          <w:sz w:val="24"/>
          <w:szCs w:val="24"/>
        </w:rPr>
      </w:pPr>
    </w:p>
    <w:p w14:paraId="3A006534">
      <w:pPr>
        <w:pStyle w:val="34"/>
        <w:outlineLvl w:val="9"/>
        <w:rPr>
          <w:rFonts w:hint="eastAsia" w:ascii="仿宋" w:hAnsi="仿宋" w:eastAsia="仿宋" w:cs="仿宋"/>
          <w:sz w:val="24"/>
          <w:szCs w:val="24"/>
        </w:rPr>
      </w:pPr>
    </w:p>
    <w:p w14:paraId="36C6A0D3">
      <w:pPr>
        <w:pStyle w:val="34"/>
        <w:outlineLvl w:val="9"/>
        <w:rPr>
          <w:rFonts w:hint="eastAsia" w:ascii="仿宋" w:hAnsi="仿宋" w:eastAsia="仿宋" w:cs="仿宋"/>
          <w:sz w:val="24"/>
          <w:szCs w:val="24"/>
        </w:rPr>
      </w:pPr>
    </w:p>
    <w:sectPr>
      <w:pgSz w:w="11905" w:h="16838"/>
      <w:pgMar w:top="1440" w:right="1134" w:bottom="1440" w:left="1134" w:header="850"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68C1D53-DB32-4257-995F-62B7DEF1D07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2" w:fontKey="{A21BDF6F-20A7-48D3-B26E-9268BFD6068C}"/>
  </w:font>
  <w:font w:name="Cambria">
    <w:panose1 w:val="02040503050406030204"/>
    <w:charset w:val="00"/>
    <w:family w:val="roman"/>
    <w:pitch w:val="default"/>
    <w:sig w:usb0="E00002FF" w:usb1="400004FF" w:usb2="00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3" w:fontKey="{D9C08789-423C-4863-863C-F3560F240E35}"/>
  </w:font>
  <w:font w:name="微软雅黑">
    <w:panose1 w:val="020B0503020204020204"/>
    <w:charset w:val="86"/>
    <w:family w:val="auto"/>
    <w:pitch w:val="default"/>
    <w:sig w:usb0="80000287" w:usb1="280F3C52" w:usb2="00000016" w:usb3="00000000" w:csb0="0004001F" w:csb1="00000000"/>
    <w:embedRegular r:id="rId4" w:fontKey="{EE8A55FB-8A08-4CB1-9396-8A4FDBF017FA}"/>
  </w:font>
  <w:font w:name="方正仿宋_GB2312">
    <w:panose1 w:val="02000000000000000000"/>
    <w:charset w:val="86"/>
    <w:family w:val="auto"/>
    <w:pitch w:val="default"/>
    <w:sig w:usb0="A00002BF" w:usb1="184F6CFA" w:usb2="00000012" w:usb3="00000000" w:csb0="00040001" w:csb1="00000000"/>
    <w:embedRegular r:id="rId5" w:fontKey="{423BD928-D790-4CFE-A413-F6BBE99E0EE9}"/>
  </w:font>
  <w:font w:name="浠垮畫">
    <w:altName w:val="Segoe Print"/>
    <w:panose1 w:val="00000000000000000000"/>
    <w:charset w:val="00"/>
    <w:family w:val="auto"/>
    <w:pitch w:val="default"/>
    <w:sig w:usb0="00000000" w:usb1="00000000" w:usb2="00000000" w:usb3="00000000" w:csb0="00000000" w:csb1="00000000"/>
    <w:embedRegular r:id="rId6" w:fontKey="{6B192EFE-637D-4A5C-A378-DBBAB3093E35}"/>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8322">
    <w:pPr>
      <w:pStyle w:val="18"/>
      <w:rPr>
        <w:rFonts w:hint="default" w:eastAsia="仿宋"/>
        <w:lang w:val="en-US" w:eastAsia="zh-CN"/>
      </w:rPr>
    </w:pPr>
    <w:r>
      <w:rPr>
        <w:rFonts w:hint="eastAsia" w:ascii="仿宋" w:hAnsi="仿宋" w:eastAsia="仿宋" w:cs="仿宋"/>
        <w:sz w:val="18"/>
        <w:szCs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7A7A">
    <w:pPr>
      <w:pStyle w:val="18"/>
      <w:rPr>
        <w:rFonts w:hint="eastAsia"/>
        <w:lang w:eastAsia="zh-CN"/>
      </w:rPr>
    </w:pPr>
    <w:r>
      <w:rPr>
        <w:rFonts w:hint="eastAsia" w:ascii="仿宋" w:hAnsi="仿宋" w:eastAsia="仿宋" w:cs="仿宋"/>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6676">
    <w:pPr>
      <w:pStyle w:val="18"/>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B5A19">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CB5A19">
                    <w:pPr>
                      <w:pStyle w:val="1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 w:hAnsi="仿宋" w:eastAsia="仿宋" w:cs="仿宋"/>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7024">
    <w:pPr>
      <w:pStyle w:val="18"/>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FEA0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AFEA0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B9CB">
    <w:pPr>
      <w:pStyle w:val="19"/>
      <w:pBdr>
        <w:bottom w:val="none" w:color="auto" w:sz="0" w:space="0"/>
      </w:pBdr>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185C">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F80D6"/>
    <w:multiLevelType w:val="singleLevel"/>
    <w:tmpl w:val="BD8F80D6"/>
    <w:lvl w:ilvl="0" w:tentative="0">
      <w:start w:val="1"/>
      <w:numFmt w:val="decimal"/>
      <w:lvlText w:val="%1."/>
      <w:lvlJc w:val="left"/>
      <w:pPr>
        <w:tabs>
          <w:tab w:val="left" w:pos="312"/>
        </w:tabs>
      </w:pPr>
    </w:lvl>
  </w:abstractNum>
  <w:abstractNum w:abstractNumId="1">
    <w:nsid w:val="C4B50850"/>
    <w:multiLevelType w:val="singleLevel"/>
    <w:tmpl w:val="C4B50850"/>
    <w:lvl w:ilvl="0" w:tentative="0">
      <w:start w:val="1"/>
      <w:numFmt w:val="chineseCounting"/>
      <w:suff w:val="nothing"/>
      <w:lvlText w:val="%1、"/>
      <w:lvlJc w:val="left"/>
      <w:rPr>
        <w:rFonts w:hint="eastAsia"/>
      </w:rPr>
    </w:lvl>
  </w:abstractNum>
  <w:abstractNum w:abstractNumId="2">
    <w:nsid w:val="DDE750F9"/>
    <w:multiLevelType w:val="singleLevel"/>
    <w:tmpl w:val="DDE750F9"/>
    <w:lvl w:ilvl="0" w:tentative="0">
      <w:start w:val="2"/>
      <w:numFmt w:val="decimal"/>
      <w:suff w:val="nothing"/>
      <w:lvlText w:val="%1、"/>
      <w:lvlJc w:val="left"/>
    </w:lvl>
  </w:abstractNum>
  <w:abstractNum w:abstractNumId="3">
    <w:nsid w:val="E3E0D5AD"/>
    <w:multiLevelType w:val="singleLevel"/>
    <w:tmpl w:val="E3E0D5AD"/>
    <w:lvl w:ilvl="0" w:tentative="0">
      <w:start w:val="1"/>
      <w:numFmt w:val="decimal"/>
      <w:suff w:val="nothing"/>
      <w:lvlText w:val="%1、"/>
      <w:lvlJc w:val="left"/>
    </w:lvl>
  </w:abstractNum>
  <w:abstractNum w:abstractNumId="4">
    <w:nsid w:val="FA10A2BA"/>
    <w:multiLevelType w:val="singleLevel"/>
    <w:tmpl w:val="FA10A2BA"/>
    <w:lvl w:ilvl="0" w:tentative="0">
      <w:start w:val="8"/>
      <w:numFmt w:val="decimal"/>
      <w:suff w:val="nothing"/>
      <w:lvlText w:val="（%1）"/>
      <w:lvlJc w:val="left"/>
    </w:lvl>
  </w:abstractNum>
  <w:abstractNum w:abstractNumId="5">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05C09B39"/>
    <w:multiLevelType w:val="singleLevel"/>
    <w:tmpl w:val="05C09B39"/>
    <w:lvl w:ilvl="0" w:tentative="0">
      <w:start w:val="1"/>
      <w:numFmt w:val="decimal"/>
      <w:lvlText w:val="%1."/>
      <w:lvlJc w:val="left"/>
      <w:pPr>
        <w:tabs>
          <w:tab w:val="left" w:pos="312"/>
        </w:tabs>
      </w:pPr>
    </w:lvl>
  </w:abstractNum>
  <w:abstractNum w:abstractNumId="7">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1F881F30"/>
    <w:multiLevelType w:val="singleLevel"/>
    <w:tmpl w:val="1F881F30"/>
    <w:lvl w:ilvl="0" w:tentative="0">
      <w:start w:val="1"/>
      <w:numFmt w:val="chineseCounting"/>
      <w:suff w:val="nothing"/>
      <w:lvlText w:val="%1、"/>
      <w:lvlJc w:val="left"/>
      <w:rPr>
        <w:rFonts w:hint="eastAsia"/>
      </w:rPr>
    </w:lvl>
  </w:abstractNum>
  <w:abstractNum w:abstractNumId="9">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10">
    <w:nsid w:val="2D141879"/>
    <w:multiLevelType w:val="multilevel"/>
    <w:tmpl w:val="2D141879"/>
    <w:lvl w:ilvl="0" w:tentative="0">
      <w:start w:val="1"/>
      <w:numFmt w:val="japaneseCounting"/>
      <w:lvlText w:val="第%1章"/>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55CD4C99"/>
    <w:multiLevelType w:val="singleLevel"/>
    <w:tmpl w:val="55CD4C99"/>
    <w:lvl w:ilvl="0" w:tentative="0">
      <w:start w:val="1"/>
      <w:numFmt w:val="chineseCounting"/>
      <w:suff w:val="nothing"/>
      <w:lvlText w:val="%1、"/>
      <w:lvlJc w:val="left"/>
    </w:lvl>
  </w:abstractNum>
  <w:abstractNum w:abstractNumId="13">
    <w:nsid w:val="59F62843"/>
    <w:multiLevelType w:val="singleLevel"/>
    <w:tmpl w:val="59F62843"/>
    <w:lvl w:ilvl="0" w:tentative="0">
      <w:start w:val="1"/>
      <w:numFmt w:val="chineseCounting"/>
      <w:suff w:val="nothing"/>
      <w:lvlText w:val="%1、"/>
      <w:lvlJc w:val="left"/>
      <w:rPr>
        <w:rFonts w:hint="eastAsia"/>
      </w:rPr>
    </w:lvl>
  </w:abstractNum>
  <w:abstractNum w:abstractNumId="14">
    <w:nsid w:val="6CBB172B"/>
    <w:multiLevelType w:val="singleLevel"/>
    <w:tmpl w:val="6CBB172B"/>
    <w:lvl w:ilvl="0" w:tentative="0">
      <w:start w:val="2"/>
      <w:numFmt w:val="decimal"/>
      <w:suff w:val="nothing"/>
      <w:lvlText w:val="%1、"/>
      <w:lvlJc w:val="left"/>
    </w:lvl>
  </w:abstractNum>
  <w:abstractNum w:abstractNumId="15">
    <w:nsid w:val="6CEBB6B7"/>
    <w:multiLevelType w:val="singleLevel"/>
    <w:tmpl w:val="6CEBB6B7"/>
    <w:lvl w:ilvl="0" w:tentative="0">
      <w:start w:val="1"/>
      <w:numFmt w:val="decimal"/>
      <w:suff w:val="nothing"/>
      <w:lvlText w:val="（%1）"/>
      <w:lvlJc w:val="left"/>
    </w:lvl>
  </w:abstractNum>
  <w:abstractNum w:abstractNumId="1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7">
    <w:nsid w:val="79BA9CB9"/>
    <w:multiLevelType w:val="singleLevel"/>
    <w:tmpl w:val="79BA9CB9"/>
    <w:lvl w:ilvl="0" w:tentative="0">
      <w:start w:val="2"/>
      <w:numFmt w:val="decimal"/>
      <w:lvlText w:val="%1."/>
      <w:lvlJc w:val="left"/>
      <w:pPr>
        <w:tabs>
          <w:tab w:val="left" w:pos="312"/>
        </w:tabs>
      </w:pPr>
    </w:lvl>
  </w:abstractNum>
  <w:num w:numId="1">
    <w:abstractNumId w:val="9"/>
  </w:num>
  <w:num w:numId="2">
    <w:abstractNumId w:val="11"/>
  </w:num>
  <w:num w:numId="3">
    <w:abstractNumId w:val="10"/>
  </w:num>
  <w:num w:numId="4">
    <w:abstractNumId w:val="3"/>
  </w:num>
  <w:num w:numId="5">
    <w:abstractNumId w:val="12"/>
  </w:num>
  <w:num w:numId="6">
    <w:abstractNumId w:val="7"/>
  </w:num>
  <w:num w:numId="7">
    <w:abstractNumId w:val="16"/>
  </w:num>
  <w:num w:numId="8">
    <w:abstractNumId w:val="14"/>
  </w:num>
  <w:num w:numId="9">
    <w:abstractNumId w:val="4"/>
  </w:num>
  <w:num w:numId="10">
    <w:abstractNumId w:val="6"/>
  </w:num>
  <w:num w:numId="11">
    <w:abstractNumId w:val="2"/>
  </w:num>
  <w:num w:numId="12">
    <w:abstractNumId w:val="1"/>
  </w:num>
  <w:num w:numId="13">
    <w:abstractNumId w:val="0"/>
  </w:num>
  <w:num w:numId="14">
    <w:abstractNumId w:val="8"/>
  </w:num>
  <w:num w:numId="15">
    <w:abstractNumId w:val="13"/>
  </w:num>
  <w:num w:numId="16">
    <w:abstractNumId w:val="15"/>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DQxMTZlZGQyMGI1NzY0NmI5MTVkYTBiMTEwZjgifQ=="/>
    <w:docVar w:name="KSO_WPS_MARK_KEY" w:val="03747186-a302-49b2-a261-a14b54d0569f"/>
  </w:docVars>
  <w:rsids>
    <w:rsidRoot w:val="00172A27"/>
    <w:rsid w:val="010158D6"/>
    <w:rsid w:val="01327B99"/>
    <w:rsid w:val="01C354F2"/>
    <w:rsid w:val="02D45050"/>
    <w:rsid w:val="02EE59E6"/>
    <w:rsid w:val="03EC4962"/>
    <w:rsid w:val="04032E6E"/>
    <w:rsid w:val="040E11C5"/>
    <w:rsid w:val="044F0E9E"/>
    <w:rsid w:val="04F010A0"/>
    <w:rsid w:val="04F226EC"/>
    <w:rsid w:val="05253855"/>
    <w:rsid w:val="05490FE9"/>
    <w:rsid w:val="056D353A"/>
    <w:rsid w:val="0572069E"/>
    <w:rsid w:val="05867917"/>
    <w:rsid w:val="05917228"/>
    <w:rsid w:val="05E83530"/>
    <w:rsid w:val="06064832"/>
    <w:rsid w:val="060C1C50"/>
    <w:rsid w:val="063A352E"/>
    <w:rsid w:val="06693D01"/>
    <w:rsid w:val="06AC5687"/>
    <w:rsid w:val="0725531D"/>
    <w:rsid w:val="07801CD6"/>
    <w:rsid w:val="079B0C4E"/>
    <w:rsid w:val="079C288F"/>
    <w:rsid w:val="07B3647C"/>
    <w:rsid w:val="07C8440D"/>
    <w:rsid w:val="07D826C8"/>
    <w:rsid w:val="08DD0890"/>
    <w:rsid w:val="09093F69"/>
    <w:rsid w:val="0A2A3A2B"/>
    <w:rsid w:val="0AC361F0"/>
    <w:rsid w:val="0B107647"/>
    <w:rsid w:val="0BCB69C4"/>
    <w:rsid w:val="0BD51E39"/>
    <w:rsid w:val="0C0A3890"/>
    <w:rsid w:val="0D006A41"/>
    <w:rsid w:val="0D24268D"/>
    <w:rsid w:val="0E1719BA"/>
    <w:rsid w:val="0E375095"/>
    <w:rsid w:val="0E6D6D4A"/>
    <w:rsid w:val="0ECA07E3"/>
    <w:rsid w:val="0ED836E9"/>
    <w:rsid w:val="101244CA"/>
    <w:rsid w:val="10151D00"/>
    <w:rsid w:val="1044217D"/>
    <w:rsid w:val="10BD5436"/>
    <w:rsid w:val="10C97166"/>
    <w:rsid w:val="112B115F"/>
    <w:rsid w:val="119C4F6A"/>
    <w:rsid w:val="11A8125C"/>
    <w:rsid w:val="11C61128"/>
    <w:rsid w:val="12AC54E8"/>
    <w:rsid w:val="12CD1ABC"/>
    <w:rsid w:val="12F11306"/>
    <w:rsid w:val="138058C5"/>
    <w:rsid w:val="13A23A73"/>
    <w:rsid w:val="13AA7707"/>
    <w:rsid w:val="13FF2AD2"/>
    <w:rsid w:val="144325A1"/>
    <w:rsid w:val="14912EE7"/>
    <w:rsid w:val="14D338F2"/>
    <w:rsid w:val="15684AD3"/>
    <w:rsid w:val="16170BB6"/>
    <w:rsid w:val="164B504B"/>
    <w:rsid w:val="172F664A"/>
    <w:rsid w:val="175645CF"/>
    <w:rsid w:val="177C3D8C"/>
    <w:rsid w:val="17A55830"/>
    <w:rsid w:val="17BC6C1B"/>
    <w:rsid w:val="17E440FF"/>
    <w:rsid w:val="18407B66"/>
    <w:rsid w:val="186407CC"/>
    <w:rsid w:val="18A84B5D"/>
    <w:rsid w:val="18DB277B"/>
    <w:rsid w:val="19523C79"/>
    <w:rsid w:val="19C079FD"/>
    <w:rsid w:val="19C15ED8"/>
    <w:rsid w:val="19C374C4"/>
    <w:rsid w:val="19E16500"/>
    <w:rsid w:val="1A376230"/>
    <w:rsid w:val="1A520256"/>
    <w:rsid w:val="1AE80F94"/>
    <w:rsid w:val="1B2A4CA2"/>
    <w:rsid w:val="1B7332A8"/>
    <w:rsid w:val="1B805FB7"/>
    <w:rsid w:val="1BD40560"/>
    <w:rsid w:val="1BFA34D7"/>
    <w:rsid w:val="1C5E346D"/>
    <w:rsid w:val="1DF20628"/>
    <w:rsid w:val="1E165182"/>
    <w:rsid w:val="1E545C24"/>
    <w:rsid w:val="1F5F584A"/>
    <w:rsid w:val="1F7F7C9A"/>
    <w:rsid w:val="1FD004F5"/>
    <w:rsid w:val="1FD41F09"/>
    <w:rsid w:val="207307E2"/>
    <w:rsid w:val="208539D6"/>
    <w:rsid w:val="20CB545F"/>
    <w:rsid w:val="20DB5A47"/>
    <w:rsid w:val="220432DD"/>
    <w:rsid w:val="222554A2"/>
    <w:rsid w:val="22C6230F"/>
    <w:rsid w:val="231017D9"/>
    <w:rsid w:val="23732D21"/>
    <w:rsid w:val="23D1730F"/>
    <w:rsid w:val="23D74548"/>
    <w:rsid w:val="23F7134F"/>
    <w:rsid w:val="24390D5F"/>
    <w:rsid w:val="24430B37"/>
    <w:rsid w:val="2458678B"/>
    <w:rsid w:val="24831FDA"/>
    <w:rsid w:val="24A30B90"/>
    <w:rsid w:val="24BC2AEF"/>
    <w:rsid w:val="25254322"/>
    <w:rsid w:val="25691D8E"/>
    <w:rsid w:val="25D55C6F"/>
    <w:rsid w:val="26546994"/>
    <w:rsid w:val="2655519A"/>
    <w:rsid w:val="267C3185"/>
    <w:rsid w:val="27171432"/>
    <w:rsid w:val="27320D0E"/>
    <w:rsid w:val="274912B9"/>
    <w:rsid w:val="27C109B3"/>
    <w:rsid w:val="27DA4607"/>
    <w:rsid w:val="27E62FAC"/>
    <w:rsid w:val="27F267C0"/>
    <w:rsid w:val="28035854"/>
    <w:rsid w:val="283D53C4"/>
    <w:rsid w:val="28675FB2"/>
    <w:rsid w:val="2868232A"/>
    <w:rsid w:val="288F180D"/>
    <w:rsid w:val="29AC5AE1"/>
    <w:rsid w:val="29C02826"/>
    <w:rsid w:val="29FF0355"/>
    <w:rsid w:val="2A483F71"/>
    <w:rsid w:val="2A81612B"/>
    <w:rsid w:val="2AAF3B29"/>
    <w:rsid w:val="2AE13A38"/>
    <w:rsid w:val="2AE46DF1"/>
    <w:rsid w:val="2B65068C"/>
    <w:rsid w:val="2B6B4498"/>
    <w:rsid w:val="2B9436C5"/>
    <w:rsid w:val="2BD3015A"/>
    <w:rsid w:val="2BD915B6"/>
    <w:rsid w:val="2C64029F"/>
    <w:rsid w:val="2CBF201D"/>
    <w:rsid w:val="2D0C5751"/>
    <w:rsid w:val="2D324036"/>
    <w:rsid w:val="2D4800E9"/>
    <w:rsid w:val="2D77229D"/>
    <w:rsid w:val="2DB11C3F"/>
    <w:rsid w:val="2DD9645D"/>
    <w:rsid w:val="2E586286"/>
    <w:rsid w:val="2E741B8E"/>
    <w:rsid w:val="2EA15D7F"/>
    <w:rsid w:val="2EFB43DC"/>
    <w:rsid w:val="2F030B1A"/>
    <w:rsid w:val="2F484480"/>
    <w:rsid w:val="2F5C7D72"/>
    <w:rsid w:val="2F7A5E33"/>
    <w:rsid w:val="2FA06136"/>
    <w:rsid w:val="308D4B1B"/>
    <w:rsid w:val="309D2676"/>
    <w:rsid w:val="309F1F4A"/>
    <w:rsid w:val="310D76A6"/>
    <w:rsid w:val="310F5713"/>
    <w:rsid w:val="313D4203"/>
    <w:rsid w:val="31822544"/>
    <w:rsid w:val="3198766B"/>
    <w:rsid w:val="31A517E2"/>
    <w:rsid w:val="31BA392E"/>
    <w:rsid w:val="32725375"/>
    <w:rsid w:val="32954484"/>
    <w:rsid w:val="32AB14CA"/>
    <w:rsid w:val="3328091C"/>
    <w:rsid w:val="3348146A"/>
    <w:rsid w:val="337B4962"/>
    <w:rsid w:val="34157E83"/>
    <w:rsid w:val="347831DE"/>
    <w:rsid w:val="34784F8C"/>
    <w:rsid w:val="34B33581"/>
    <w:rsid w:val="34D025FE"/>
    <w:rsid w:val="35C83CF1"/>
    <w:rsid w:val="35D733CF"/>
    <w:rsid w:val="35EA7AEE"/>
    <w:rsid w:val="35F31AC7"/>
    <w:rsid w:val="36900ECC"/>
    <w:rsid w:val="36DB4F13"/>
    <w:rsid w:val="379B6B5B"/>
    <w:rsid w:val="37E1553E"/>
    <w:rsid w:val="38726E23"/>
    <w:rsid w:val="388B4E57"/>
    <w:rsid w:val="38945AA5"/>
    <w:rsid w:val="38D770AB"/>
    <w:rsid w:val="399A59A4"/>
    <w:rsid w:val="3A286AC5"/>
    <w:rsid w:val="3ADB6274"/>
    <w:rsid w:val="3B173B1A"/>
    <w:rsid w:val="3B3C00E8"/>
    <w:rsid w:val="3B81080D"/>
    <w:rsid w:val="3B822AFA"/>
    <w:rsid w:val="3BF70E8C"/>
    <w:rsid w:val="3C1919F7"/>
    <w:rsid w:val="3C4C12C3"/>
    <w:rsid w:val="3C610C93"/>
    <w:rsid w:val="3C99108F"/>
    <w:rsid w:val="3CA86A1E"/>
    <w:rsid w:val="3CA9418F"/>
    <w:rsid w:val="3DA84130"/>
    <w:rsid w:val="3DB65DB6"/>
    <w:rsid w:val="3E946E66"/>
    <w:rsid w:val="3F2D10BA"/>
    <w:rsid w:val="3F9A095C"/>
    <w:rsid w:val="40627819"/>
    <w:rsid w:val="409B6CE3"/>
    <w:rsid w:val="40D95004"/>
    <w:rsid w:val="417137CD"/>
    <w:rsid w:val="41BE49B6"/>
    <w:rsid w:val="421F738E"/>
    <w:rsid w:val="423A41C8"/>
    <w:rsid w:val="42406D71"/>
    <w:rsid w:val="43071864"/>
    <w:rsid w:val="43D23F8D"/>
    <w:rsid w:val="43D9531B"/>
    <w:rsid w:val="44550B09"/>
    <w:rsid w:val="45D41901"/>
    <w:rsid w:val="45F47D4A"/>
    <w:rsid w:val="46FE2F4F"/>
    <w:rsid w:val="477E7882"/>
    <w:rsid w:val="48052B82"/>
    <w:rsid w:val="48F0367F"/>
    <w:rsid w:val="48F0738F"/>
    <w:rsid w:val="49E028D5"/>
    <w:rsid w:val="4ACB1AFE"/>
    <w:rsid w:val="4ADF4DE7"/>
    <w:rsid w:val="4B432DC8"/>
    <w:rsid w:val="4B672EA8"/>
    <w:rsid w:val="4B92472D"/>
    <w:rsid w:val="4B9D69B1"/>
    <w:rsid w:val="4BA707F0"/>
    <w:rsid w:val="4BEE549A"/>
    <w:rsid w:val="4C5E03C8"/>
    <w:rsid w:val="4C6C10FB"/>
    <w:rsid w:val="4C747BF3"/>
    <w:rsid w:val="4D97595C"/>
    <w:rsid w:val="4E26582F"/>
    <w:rsid w:val="4E647011"/>
    <w:rsid w:val="4EB3158A"/>
    <w:rsid w:val="4F487502"/>
    <w:rsid w:val="4FBB47C0"/>
    <w:rsid w:val="50222910"/>
    <w:rsid w:val="50265A4C"/>
    <w:rsid w:val="50680152"/>
    <w:rsid w:val="518E51FF"/>
    <w:rsid w:val="51C64316"/>
    <w:rsid w:val="51CD5A0C"/>
    <w:rsid w:val="51D64F27"/>
    <w:rsid w:val="51E25CEA"/>
    <w:rsid w:val="52CB6777"/>
    <w:rsid w:val="534E7AD3"/>
    <w:rsid w:val="536C692D"/>
    <w:rsid w:val="53BB1F92"/>
    <w:rsid w:val="53DC54DD"/>
    <w:rsid w:val="542A6AD6"/>
    <w:rsid w:val="543D28DC"/>
    <w:rsid w:val="546B25F3"/>
    <w:rsid w:val="54951E7E"/>
    <w:rsid w:val="54990FED"/>
    <w:rsid w:val="54B43F17"/>
    <w:rsid w:val="55683319"/>
    <w:rsid w:val="55F72D4A"/>
    <w:rsid w:val="565F71E3"/>
    <w:rsid w:val="56FF51E9"/>
    <w:rsid w:val="570D51C0"/>
    <w:rsid w:val="571C57F3"/>
    <w:rsid w:val="572D5140"/>
    <w:rsid w:val="57442480"/>
    <w:rsid w:val="5747605C"/>
    <w:rsid w:val="57630E03"/>
    <w:rsid w:val="57920D10"/>
    <w:rsid w:val="57A03DE3"/>
    <w:rsid w:val="588B0268"/>
    <w:rsid w:val="58B24661"/>
    <w:rsid w:val="5975412E"/>
    <w:rsid w:val="59906EE9"/>
    <w:rsid w:val="59AD2BAD"/>
    <w:rsid w:val="59FB66A9"/>
    <w:rsid w:val="5A554DDA"/>
    <w:rsid w:val="5A6000EC"/>
    <w:rsid w:val="5B0F5966"/>
    <w:rsid w:val="5B2F2E53"/>
    <w:rsid w:val="5B7E1FEB"/>
    <w:rsid w:val="5BAB5601"/>
    <w:rsid w:val="5BB756FD"/>
    <w:rsid w:val="5BC361AC"/>
    <w:rsid w:val="5CB32755"/>
    <w:rsid w:val="5CE14522"/>
    <w:rsid w:val="5CE729A6"/>
    <w:rsid w:val="5CE86C24"/>
    <w:rsid w:val="5DDA4DDD"/>
    <w:rsid w:val="5DF4016E"/>
    <w:rsid w:val="5E7C004B"/>
    <w:rsid w:val="5EB26634"/>
    <w:rsid w:val="5ECB4020"/>
    <w:rsid w:val="5F864A2F"/>
    <w:rsid w:val="5FBF40EC"/>
    <w:rsid w:val="602049B3"/>
    <w:rsid w:val="6085193D"/>
    <w:rsid w:val="60AB70E3"/>
    <w:rsid w:val="60AE3960"/>
    <w:rsid w:val="60C45483"/>
    <w:rsid w:val="60E87497"/>
    <w:rsid w:val="619A26C7"/>
    <w:rsid w:val="61BB7070"/>
    <w:rsid w:val="62173643"/>
    <w:rsid w:val="621845B9"/>
    <w:rsid w:val="629B37A0"/>
    <w:rsid w:val="62F37D50"/>
    <w:rsid w:val="639B7F4D"/>
    <w:rsid w:val="63B21C06"/>
    <w:rsid w:val="643D5A4D"/>
    <w:rsid w:val="643E42DC"/>
    <w:rsid w:val="64BD32BE"/>
    <w:rsid w:val="650E208B"/>
    <w:rsid w:val="65177DE9"/>
    <w:rsid w:val="65202952"/>
    <w:rsid w:val="652D5987"/>
    <w:rsid w:val="657D6542"/>
    <w:rsid w:val="66340443"/>
    <w:rsid w:val="668A0942"/>
    <w:rsid w:val="66995C09"/>
    <w:rsid w:val="67123D11"/>
    <w:rsid w:val="6786252D"/>
    <w:rsid w:val="678B17D2"/>
    <w:rsid w:val="682E6542"/>
    <w:rsid w:val="68EF3960"/>
    <w:rsid w:val="69340DD7"/>
    <w:rsid w:val="6988387B"/>
    <w:rsid w:val="69B13D56"/>
    <w:rsid w:val="6A3C1FDC"/>
    <w:rsid w:val="6AD70024"/>
    <w:rsid w:val="6B125F02"/>
    <w:rsid w:val="6BB35AC5"/>
    <w:rsid w:val="6BBE46B8"/>
    <w:rsid w:val="6BD12BF8"/>
    <w:rsid w:val="6C236997"/>
    <w:rsid w:val="6C867BD4"/>
    <w:rsid w:val="6CB34146"/>
    <w:rsid w:val="6D423B36"/>
    <w:rsid w:val="6E3841A6"/>
    <w:rsid w:val="6E550B20"/>
    <w:rsid w:val="6ECB392F"/>
    <w:rsid w:val="6ED76777"/>
    <w:rsid w:val="6F4656AB"/>
    <w:rsid w:val="6F711419"/>
    <w:rsid w:val="6F8F32B1"/>
    <w:rsid w:val="705E2D5A"/>
    <w:rsid w:val="71505BAD"/>
    <w:rsid w:val="7169742F"/>
    <w:rsid w:val="718129CA"/>
    <w:rsid w:val="71D4382A"/>
    <w:rsid w:val="7204157B"/>
    <w:rsid w:val="72682B35"/>
    <w:rsid w:val="729E25B1"/>
    <w:rsid w:val="72B131D8"/>
    <w:rsid w:val="738467A2"/>
    <w:rsid w:val="73AC7AA8"/>
    <w:rsid w:val="73D03E43"/>
    <w:rsid w:val="74462307"/>
    <w:rsid w:val="749C7959"/>
    <w:rsid w:val="74E7348C"/>
    <w:rsid w:val="755E3A4D"/>
    <w:rsid w:val="757C5983"/>
    <w:rsid w:val="75A3275B"/>
    <w:rsid w:val="75B1647F"/>
    <w:rsid w:val="75BA46FD"/>
    <w:rsid w:val="764F0D34"/>
    <w:rsid w:val="765A64A9"/>
    <w:rsid w:val="768A19E6"/>
    <w:rsid w:val="76A12BF1"/>
    <w:rsid w:val="76B16BF0"/>
    <w:rsid w:val="76F74037"/>
    <w:rsid w:val="76FF4ABD"/>
    <w:rsid w:val="770A4E23"/>
    <w:rsid w:val="775128C5"/>
    <w:rsid w:val="7783749C"/>
    <w:rsid w:val="77AE21D8"/>
    <w:rsid w:val="77E02406"/>
    <w:rsid w:val="77F35E45"/>
    <w:rsid w:val="783A5645"/>
    <w:rsid w:val="783E31D8"/>
    <w:rsid w:val="78500B8A"/>
    <w:rsid w:val="791365FE"/>
    <w:rsid w:val="79BC25FE"/>
    <w:rsid w:val="7AC00E3C"/>
    <w:rsid w:val="7AD04711"/>
    <w:rsid w:val="7AEA338E"/>
    <w:rsid w:val="7AFD57B8"/>
    <w:rsid w:val="7B101C3B"/>
    <w:rsid w:val="7C0D12FC"/>
    <w:rsid w:val="7C66738C"/>
    <w:rsid w:val="7D760FAA"/>
    <w:rsid w:val="7D9D0B8C"/>
    <w:rsid w:val="7E7F0292"/>
    <w:rsid w:val="7EA128FE"/>
    <w:rsid w:val="7F1C410C"/>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autoRedefine/>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customStyle="1" w:styleId="4">
    <w:name w:val="报告正文"/>
    <w:basedOn w:val="1"/>
    <w:autoRedefine/>
    <w:qFormat/>
    <w:uiPriority w:val="0"/>
    <w:pPr>
      <w:spacing w:line="560" w:lineRule="exact"/>
      <w:ind w:firstLine="200" w:firstLineChars="200"/>
    </w:pPr>
    <w:rPr>
      <w:rFonts w:eastAsia="仿宋_GB2312" w:cs="宋体"/>
      <w:sz w:val="28"/>
    </w:rPr>
  </w:style>
  <w:style w:type="paragraph" w:styleId="8">
    <w:name w:val="Normal Indent"/>
    <w:basedOn w:val="1"/>
    <w:next w:val="9"/>
    <w:autoRedefine/>
    <w:qFormat/>
    <w:uiPriority w:val="0"/>
    <w:pPr>
      <w:adjustRightInd w:val="0"/>
      <w:spacing w:line="360" w:lineRule="atLeast"/>
      <w:ind w:firstLine="482"/>
      <w:textAlignment w:val="baseline"/>
    </w:pPr>
    <w:rPr>
      <w:kern w:val="0"/>
      <w:sz w:val="24"/>
      <w:szCs w:val="20"/>
    </w:rPr>
  </w:style>
  <w:style w:type="paragraph" w:styleId="9">
    <w:name w:val="toa heading"/>
    <w:basedOn w:val="1"/>
    <w:next w:val="1"/>
    <w:qFormat/>
    <w:uiPriority w:val="0"/>
    <w:pPr>
      <w:spacing w:before="120"/>
    </w:pPr>
    <w:rPr>
      <w:rFonts w:ascii="Cambria" w:hAnsi="Cambria"/>
      <w:szCs w:val="20"/>
    </w:rPr>
  </w:style>
  <w:style w:type="paragraph" w:styleId="10">
    <w:name w:val="Body Text"/>
    <w:basedOn w:val="1"/>
    <w:next w:val="11"/>
    <w:autoRedefine/>
    <w:qFormat/>
    <w:uiPriority w:val="0"/>
    <w:pPr>
      <w:spacing w:after="120"/>
    </w:pPr>
  </w:style>
  <w:style w:type="paragraph" w:customStyle="1" w:styleId="11">
    <w:name w:val="_Style 2"/>
    <w:basedOn w:val="1"/>
    <w:next w:val="1"/>
    <w:autoRedefine/>
    <w:qFormat/>
    <w:uiPriority w:val="0"/>
    <w:pPr>
      <w:ind w:firstLine="200" w:firstLineChars="200"/>
    </w:pPr>
    <w:rPr>
      <w:rFonts w:ascii="Calibri" w:hAnsi="Calibri"/>
      <w:sz w:val="28"/>
      <w:szCs w:val="22"/>
    </w:rPr>
  </w:style>
  <w:style w:type="paragraph" w:styleId="12">
    <w:name w:val="Body Text Indent"/>
    <w:basedOn w:val="1"/>
    <w:next w:val="13"/>
    <w:autoRedefine/>
    <w:qFormat/>
    <w:uiPriority w:val="0"/>
    <w:pPr>
      <w:spacing w:after="120"/>
      <w:ind w:left="200" w:leftChars="200"/>
    </w:pPr>
  </w:style>
  <w:style w:type="paragraph" w:styleId="13">
    <w:name w:val="Body Text First Indent 2"/>
    <w:basedOn w:val="12"/>
    <w:next w:val="1"/>
    <w:qFormat/>
    <w:uiPriority w:val="0"/>
    <w:pPr>
      <w:ind w:firstLine="420" w:firstLineChars="200"/>
    </w:pPr>
  </w:style>
  <w:style w:type="paragraph" w:styleId="14">
    <w:name w:val="toc 5"/>
    <w:basedOn w:val="1"/>
    <w:next w:val="1"/>
    <w:autoRedefine/>
    <w:qFormat/>
    <w:uiPriority w:val="0"/>
    <w:pPr>
      <w:ind w:left="1680" w:leftChars="800"/>
    </w:pPr>
  </w:style>
  <w:style w:type="paragraph" w:styleId="15">
    <w:name w:val="toc 3"/>
    <w:basedOn w:val="1"/>
    <w:next w:val="1"/>
    <w:qFormat/>
    <w:uiPriority w:val="0"/>
    <w:pPr>
      <w:ind w:left="840" w:leftChars="400"/>
    </w:pPr>
  </w:style>
  <w:style w:type="paragraph" w:styleId="16">
    <w:name w:val="Plain Text"/>
    <w:basedOn w:val="1"/>
    <w:next w:val="17"/>
    <w:autoRedefine/>
    <w:qFormat/>
    <w:uiPriority w:val="0"/>
    <w:rPr>
      <w:rFonts w:ascii="宋体"/>
      <w:color w:val="000000"/>
      <w:szCs w:val="20"/>
      <w:u w:val="none" w:color="000000"/>
    </w:rPr>
  </w:style>
  <w:style w:type="paragraph" w:styleId="17">
    <w:name w:val="index 7"/>
    <w:basedOn w:val="1"/>
    <w:next w:val="1"/>
    <w:autoRedefine/>
    <w:qFormat/>
    <w:uiPriority w:val="0"/>
    <w:pPr>
      <w:autoSpaceDE/>
      <w:autoSpaceDN/>
      <w:adjustRightInd/>
      <w:ind w:left="1200" w:leftChars="1200"/>
    </w:pPr>
    <w:rPr>
      <w:color w:val="auto"/>
      <w:kern w:val="2"/>
      <w:szCs w:val="24"/>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footnote text"/>
    <w:basedOn w:val="1"/>
    <w:autoRedefine/>
    <w:semiHidden/>
    <w:unhideWhenUsed/>
    <w:qFormat/>
    <w:uiPriority w:val="99"/>
    <w:pPr>
      <w:snapToGrid w:val="0"/>
    </w:pPr>
    <w:rPr>
      <w:sz w:val="18"/>
      <w:szCs w:val="18"/>
    </w:rPr>
  </w:style>
  <w:style w:type="paragraph" w:styleId="22">
    <w:name w:val="toc 2"/>
    <w:basedOn w:val="1"/>
    <w:next w:val="1"/>
    <w:autoRedefine/>
    <w:qFormat/>
    <w:uiPriority w:val="39"/>
    <w:pPr>
      <w:ind w:left="200" w:leftChars="200"/>
    </w:pPr>
  </w:style>
  <w:style w:type="paragraph" w:styleId="23">
    <w:name w:val="Body Text 2"/>
    <w:basedOn w:val="1"/>
    <w:autoRedefine/>
    <w:qFormat/>
    <w:uiPriority w:val="0"/>
    <w:pPr>
      <w:tabs>
        <w:tab w:val="left" w:pos="0"/>
      </w:tabs>
      <w:spacing w:line="400" w:lineRule="atLeast"/>
    </w:pPr>
    <w:rPr>
      <w:rFonts w:ascii="Arial" w:hAnsi="Arial"/>
      <w:color w:val="000000"/>
    </w:rPr>
  </w:style>
  <w:style w:type="paragraph" w:styleId="24">
    <w:name w:val="Normal (Web)"/>
    <w:basedOn w:val="1"/>
    <w:next w:val="25"/>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Hyperlink"/>
    <w:basedOn w:val="28"/>
    <w:autoRedefine/>
    <w:qFormat/>
    <w:uiPriority w:val="99"/>
    <w:rPr>
      <w:color w:val="0000FF"/>
      <w:u w:val="single"/>
    </w:rPr>
  </w:style>
  <w:style w:type="character" w:styleId="32">
    <w:name w:val="HTML Sample"/>
    <w:basedOn w:val="28"/>
    <w:autoRedefine/>
    <w:qFormat/>
    <w:uiPriority w:val="0"/>
    <w:rPr>
      <w:rFonts w:ascii="Courier New" w:hAnsi="Courier New"/>
    </w:rPr>
  </w:style>
  <w:style w:type="paragraph" w:customStyle="1" w:styleId="33">
    <w:name w:val="正文缩进1"/>
    <w:basedOn w:val="1"/>
    <w:autoRedefine/>
    <w:unhideWhenUsed/>
    <w:qFormat/>
    <w:uiPriority w:val="0"/>
    <w:pPr>
      <w:ind w:firstLine="420"/>
    </w:pPr>
    <w:rPr>
      <w:rFonts w:ascii="Calibri" w:hAnsi="Calibri" w:eastAsia="宋体" w:cs="Times New Roman"/>
    </w:rPr>
  </w:style>
  <w:style w:type="paragraph" w:customStyle="1" w:styleId="34">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5">
    <w:name w:val="标题 5（有编号）（绿盟科技）"/>
    <w:basedOn w:val="1"/>
    <w:next w:val="36"/>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7">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9">
    <w:name w:val="图例"/>
    <w:basedOn w:val="1"/>
    <w:autoRedefine/>
    <w:qFormat/>
    <w:uiPriority w:val="0"/>
    <w:pPr>
      <w:spacing w:before="120" w:beforeLines="0" w:after="120" w:afterLines="0" w:line="360" w:lineRule="auto"/>
      <w:jc w:val="center"/>
    </w:pPr>
    <w:rPr>
      <w:rFonts w:eastAsia="仿宋_GB2312"/>
      <w:b/>
      <w:sz w:val="24"/>
    </w:rPr>
  </w:style>
  <w:style w:type="paragraph" w:customStyle="1" w:styleId="40">
    <w:name w:val="样式 左侧:  0 厘米 悬挂缩进: 2.5 字符"/>
    <w:basedOn w:val="1"/>
    <w:autoRedefine/>
    <w:qFormat/>
    <w:uiPriority w:val="0"/>
    <w:pPr>
      <w:ind w:left="525" w:hanging="525" w:hangingChars="250"/>
    </w:pPr>
    <w:rPr>
      <w:szCs w:val="20"/>
    </w:rPr>
  </w:style>
  <w:style w:type="paragraph" w:styleId="41">
    <w:name w:val="List Paragraph"/>
    <w:basedOn w:val="1"/>
    <w:autoRedefine/>
    <w:qFormat/>
    <w:uiPriority w:val="0"/>
    <w:pPr>
      <w:spacing w:line="360" w:lineRule="auto"/>
      <w:ind w:firstLine="420" w:firstLineChars="200"/>
    </w:pPr>
    <w:rPr>
      <w:rFonts w:ascii="宋体" w:hAnsi="宋体" w:cs="宋体"/>
      <w:sz w:val="24"/>
    </w:rPr>
  </w:style>
  <w:style w:type="paragraph" w:customStyle="1" w:styleId="42">
    <w:name w:val="WPS Plain"/>
    <w:autoRedefine/>
    <w:qFormat/>
    <w:uiPriority w:val="0"/>
    <w:rPr>
      <w:rFonts w:ascii="Times New Roman" w:hAnsi="Times New Roman" w:eastAsia="宋体" w:cs="Times New Roman"/>
      <w:lang w:val="en-US" w:eastAsia="zh-CN" w:bidi="ar-SA"/>
    </w:rPr>
  </w:style>
  <w:style w:type="paragraph" w:customStyle="1" w:styleId="43">
    <w:name w:val="列表段落1"/>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44">
    <w:name w:val="列出段落2"/>
    <w:basedOn w:val="1"/>
    <w:autoRedefine/>
    <w:qFormat/>
    <w:uiPriority w:val="0"/>
    <w:pPr>
      <w:widowControl/>
      <w:spacing w:after="200" w:line="276" w:lineRule="auto"/>
      <w:ind w:left="720"/>
      <w:contextualSpacing/>
      <w:jc w:val="left"/>
    </w:pPr>
    <w:rPr>
      <w:rFonts w:ascii="Calibri" w:hAnsi="Calibri"/>
      <w:kern w:val="0"/>
      <w:sz w:val="22"/>
      <w:szCs w:val="22"/>
    </w:rPr>
  </w:style>
  <w:style w:type="paragraph" w:customStyle="1" w:styleId="45">
    <w:name w:val="Table Text"/>
    <w:basedOn w:val="1"/>
    <w:autoRedefine/>
    <w:semiHidden/>
    <w:qFormat/>
    <w:uiPriority w:val="0"/>
    <w:rPr>
      <w:rFonts w:ascii="宋体" w:hAnsi="宋体" w:eastAsia="宋体" w:cs="宋体"/>
      <w:sz w:val="24"/>
      <w:szCs w:val="24"/>
      <w:lang w:val="en-US" w:eastAsia="en-US" w:bidi="ar-SA"/>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character" w:customStyle="1" w:styleId="47">
    <w:name w:val="NormalCharacter"/>
    <w:autoRedefine/>
    <w:semiHidden/>
    <w:qFormat/>
    <w:uiPriority w:val="0"/>
  </w:style>
  <w:style w:type="character" w:customStyle="1" w:styleId="48">
    <w:name w:val="文档结构图 字符1"/>
    <w:basedOn w:val="28"/>
    <w:autoRedefine/>
    <w:qFormat/>
    <w:uiPriority w:val="0"/>
    <w:rPr>
      <w:rFonts w:ascii="Microsoft YaHei UI" w:eastAsia="Microsoft YaHei UI"/>
      <w:kern w:val="2"/>
      <w:sz w:val="18"/>
      <w:szCs w:val="18"/>
    </w:rPr>
  </w:style>
  <w:style w:type="paragraph" w:customStyle="1" w:styleId="49">
    <w:name w:val="Table Paragraph"/>
    <w:basedOn w:val="1"/>
    <w:autoRedefine/>
    <w:qFormat/>
    <w:uiPriority w:val="1"/>
    <w:pPr>
      <w:autoSpaceDE w:val="0"/>
      <w:autoSpaceDN w:val="0"/>
      <w:adjustRightInd w:val="0"/>
    </w:pPr>
    <w:rPr>
      <w:rFonts w:eastAsia="宋体"/>
    </w:rPr>
  </w:style>
  <w:style w:type="character" w:customStyle="1" w:styleId="50">
    <w:name w:val="引用 字符1"/>
    <w:basedOn w:val="28"/>
    <w:autoRedefine/>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paragraph" w:customStyle="1" w:styleId="51">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52">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53">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54">
    <w:name w:val="Table caption|1"/>
    <w:basedOn w:val="1"/>
    <w:autoRedefine/>
    <w:qFormat/>
    <w:uiPriority w:val="0"/>
    <w:rPr>
      <w:rFonts w:ascii="宋体" w:hAnsi="宋体" w:eastAsia="宋体" w:cs="宋体"/>
      <w:sz w:val="22"/>
      <w:szCs w:val="22"/>
      <w:lang w:val="zh-TW" w:eastAsia="zh-TW" w:bidi="zh-TW"/>
    </w:rPr>
  </w:style>
  <w:style w:type="paragraph" w:customStyle="1" w:styleId="55">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56">
    <w:name w:val="正文首行缩进 21"/>
    <w:basedOn w:val="57"/>
    <w:next w:val="1"/>
    <w:autoRedefine/>
    <w:qFormat/>
    <w:uiPriority w:val="0"/>
    <w:pPr>
      <w:ind w:firstLine="420"/>
    </w:pPr>
  </w:style>
  <w:style w:type="paragraph" w:customStyle="1" w:styleId="57">
    <w:name w:val="正文文本缩进1"/>
    <w:basedOn w:val="1"/>
    <w:next w:val="1"/>
    <w:autoRedefine/>
    <w:unhideWhenUsed/>
    <w:qFormat/>
    <w:uiPriority w:val="99"/>
    <w:pPr>
      <w:spacing w:line="400" w:lineRule="exact"/>
      <w:ind w:firstLine="540"/>
    </w:pPr>
    <w:rPr>
      <w:sz w:val="24"/>
    </w:rPr>
  </w:style>
  <w:style w:type="paragraph" w:customStyle="1" w:styleId="58">
    <w:name w:val="Other|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59">
    <w:name w:val="纯文本1"/>
    <w:basedOn w:val="1"/>
    <w:qFormat/>
    <w:uiPriority w:val="0"/>
    <w:rPr>
      <w:rFonts w:ascii="宋体" w:hAnsi="Courier New"/>
      <w:kern w:val="0"/>
      <w:sz w:val="20"/>
      <w:szCs w:val="20"/>
    </w:rPr>
  </w:style>
  <w:style w:type="character" w:customStyle="1" w:styleId="60">
    <w:name w:val="font51"/>
    <w:basedOn w:val="28"/>
    <w:qFormat/>
    <w:uiPriority w:val="0"/>
    <w:rPr>
      <w:rFonts w:hint="eastAsia" w:ascii="宋体" w:hAnsi="宋体" w:eastAsia="宋体" w:cs="宋体"/>
      <w:color w:val="FF0000"/>
      <w:sz w:val="22"/>
      <w:szCs w:val="22"/>
      <w:u w:val="none"/>
    </w:rPr>
  </w:style>
  <w:style w:type="character" w:customStyle="1" w:styleId="61">
    <w:name w:val="font01"/>
    <w:basedOn w:val="2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173</Pages>
  <Words>26202</Words>
  <Characters>28053</Characters>
  <Lines>0</Lines>
  <Paragraphs>0</Paragraphs>
  <TotalTime>9</TotalTime>
  <ScaleCrop>false</ScaleCrop>
  <LinksUpToDate>false</LinksUpToDate>
  <CharactersWithSpaces>28718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2021-10-20T04:45:00Z</dcterms:created>
  <dc:creator>WPS_1619369771</dc:creator>
  <cp:lastModifiedBy>尘埃里点、开不出爱情的花</cp:lastModifiedBy>
  <cp:lastPrinted>2025-06-16T09:08:00Z</cp:lastPrinted>
  <dcterms:modified xsi:type="dcterms:W3CDTF">2025-06-19T12:36:50Z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E8D88E6438444DEF933C50AE09824F65_13</vt:lpwstr>
  </property>
  <property fmtid="{D5CDD505-2E9C-101B-9397-08002B2CF9AE}" pid="4" name="KSOTemplateDocerSaveRecord">
    <vt:lpwstr>eyJoZGlkIjoiNDI5MDQxMTZlZGQyMGI1NzY0NmI5MTVkYTBiMTEwZjgiLCJ1c2VySWQiOiIzOTQ3NjQxMjgifQ==</vt:lpwstr>
  </property>
</Properties>
</file>