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14A61">
      <w:pPr>
        <w:numPr>
          <w:ilvl w:val="0"/>
          <w:numId w:val="0"/>
        </w:numPr>
        <w:spacing w:before="208" w:line="225" w:lineRule="auto"/>
        <w:jc w:val="center"/>
        <w:rPr>
          <w:rFonts w:hint="default" w:ascii="宋体" w:hAnsi="宋体" w:eastAsia="宋体" w:cs="宋体"/>
          <w:b/>
          <w:bCs/>
          <w:spacing w:val="9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lang w:val="en-US" w:eastAsia="zh-CN"/>
        </w:rPr>
        <w:t>采购需求</w:t>
      </w:r>
    </w:p>
    <w:p w14:paraId="2C3C7914">
      <w:pPr>
        <w:numPr>
          <w:ilvl w:val="0"/>
          <w:numId w:val="0"/>
        </w:numPr>
        <w:spacing w:before="208" w:line="225" w:lineRule="auto"/>
        <w:ind w:firstLine="259" w:firstLineChars="100"/>
        <w:rPr>
          <w:rFonts w:hint="eastAsia" w:ascii="宋体" w:hAnsi="宋体" w:eastAsia="宋体" w:cs="宋体"/>
          <w:b/>
          <w:bCs/>
          <w:spacing w:val="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4"/>
          <w:szCs w:val="24"/>
          <w:lang w:val="en-US" w:eastAsia="zh-CN"/>
        </w:rPr>
        <w:t xml:space="preserve">工程概况 </w:t>
      </w:r>
    </w:p>
    <w:p w14:paraId="043FF17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after="0" w:afterLines="23" w:afterAutospacing="0" w:line="340" w:lineRule="exact"/>
        <w:ind w:firstLine="492" w:firstLineChars="200"/>
        <w:textAlignment w:val="baseline"/>
        <w:rPr>
          <w:rFonts w:hint="default" w:ascii="Arial" w:hAnsi="Arial" w:eastAsia="Arial" w:cs="Arial"/>
          <w:snapToGrid w:val="0"/>
          <w:color w:val="000000"/>
          <w:spacing w:val="8"/>
          <w:kern w:val="0"/>
          <w:sz w:val="23"/>
          <w:szCs w:val="23"/>
          <w:lang w:val="en-US" w:eastAsia="zh-CN" w:bidi="ar-SA"/>
        </w:rPr>
      </w:pPr>
      <w:r>
        <w:rPr>
          <w:rFonts w:hint="eastAsia" w:ascii="Arial" w:hAnsi="Arial" w:eastAsia="Arial" w:cs="Arial"/>
          <w:snapToGrid w:val="0"/>
          <w:color w:val="000000"/>
          <w:spacing w:val="8"/>
          <w:kern w:val="0"/>
          <w:sz w:val="23"/>
          <w:szCs w:val="23"/>
          <w:lang w:val="en-US" w:eastAsia="zh-CN" w:bidi="ar-SA"/>
        </w:rPr>
        <w:t>康波公路是连接G314线和G581线的重要通道，该项目途经的膘尔托阔依乡、波斯坦铁列克乡是乌恰县人口分布最密集的几个乡镇，项目建设可促进沿线矿产资源利用及旅游开发，带动沿线经济发展，助力乡村振兴，对构建完整的公路网络，打造丝绸之路经济带核心区建设具有重要的意义。该道路路线长度47.472km，公路等级按照三级公路等级，路线、路基路面及防护工程(路基宽度7.5m、路面宽度6.5m)，交通安全及沿线设施项目；</w:t>
      </w:r>
    </w:p>
    <w:p w14:paraId="694AA17E">
      <w:pPr>
        <w:pStyle w:val="3"/>
        <w:numPr>
          <w:ilvl w:val="0"/>
          <w:numId w:val="1"/>
        </w:numPr>
        <w:spacing w:before="42" w:line="374" w:lineRule="auto"/>
        <w:ind w:left="14" w:right="88" w:firstLine="481"/>
        <w:rPr>
          <w:rFonts w:hint="eastAsia"/>
          <w:spacing w:val="8"/>
          <w:sz w:val="23"/>
          <w:szCs w:val="23"/>
          <w:lang w:val="en-US" w:eastAsia="zh-CN"/>
        </w:rPr>
      </w:pPr>
      <w:r>
        <w:rPr>
          <w:spacing w:val="8"/>
          <w:sz w:val="23"/>
          <w:szCs w:val="23"/>
        </w:rPr>
        <w:t>服务内容：</w:t>
      </w:r>
      <w:r>
        <w:rPr>
          <w:rFonts w:hint="eastAsia"/>
          <w:spacing w:val="8"/>
          <w:sz w:val="23"/>
          <w:szCs w:val="23"/>
          <w:lang w:val="en-US" w:eastAsia="zh-CN"/>
        </w:rPr>
        <w:t>该道路路线长度47.472km，公路等级按照三级公路等级，路线、路基路面及防护工程(路基宽度7.5m、路面宽度6.5m)，交通安全及沿线设施项目的勘界、用地预审、用地报批、项目用地预审与选址意见书、项目永久使用草地手续、项目地质灾害危险性评估报告、项目压覆重要矿产资源评估、建设项目占用湿地生态影响评估报告、占补平衡方案(永久占用湿地)、湿地保护修复方案(临时占用湿地)、建设用地征地及资料、图件编制、报批服务。</w:t>
      </w:r>
    </w:p>
    <w:p w14:paraId="1B5AEAC5">
      <w:pPr>
        <w:pStyle w:val="3"/>
        <w:numPr>
          <w:ilvl w:val="0"/>
          <w:numId w:val="0"/>
        </w:numPr>
        <w:spacing w:before="42" w:line="374" w:lineRule="auto"/>
        <w:ind w:right="88" w:rightChars="0" w:firstLine="246" w:firstLineChars="100"/>
        <w:rPr>
          <w:rFonts w:hint="eastAsia"/>
          <w:spacing w:val="8"/>
          <w:sz w:val="23"/>
          <w:szCs w:val="23"/>
          <w:lang w:val="en-US" w:eastAsia="zh-CN"/>
        </w:rPr>
      </w:pPr>
      <w:r>
        <w:rPr>
          <w:spacing w:val="8"/>
          <w:sz w:val="23"/>
          <w:szCs w:val="23"/>
        </w:rPr>
        <w:t>2.项目地点：</w:t>
      </w:r>
      <w:r>
        <w:rPr>
          <w:rFonts w:hint="eastAsia"/>
          <w:spacing w:val="8"/>
          <w:sz w:val="23"/>
          <w:szCs w:val="23"/>
          <w:lang w:val="en-US" w:eastAsia="zh-CN"/>
        </w:rPr>
        <w:t>乌恰县（按照甲方指定的地点服务）</w:t>
      </w:r>
    </w:p>
    <w:p w14:paraId="5F950543">
      <w:pPr>
        <w:pStyle w:val="3"/>
        <w:spacing w:before="42" w:line="374" w:lineRule="auto"/>
        <w:ind w:right="88" w:firstLine="246" w:firstLineChars="100"/>
        <w:rPr>
          <w:color w:val="FF0000"/>
          <w:spacing w:val="10"/>
          <w:sz w:val="23"/>
          <w:szCs w:val="23"/>
        </w:rPr>
      </w:pPr>
      <w:r>
        <w:rPr>
          <w:color w:val="FF0000"/>
          <w:spacing w:val="8"/>
          <w:sz w:val="23"/>
          <w:szCs w:val="23"/>
        </w:rPr>
        <w:t>3.服务期限： 中标人在</w:t>
      </w:r>
      <w:r>
        <w:rPr>
          <w:color w:val="FF0000"/>
          <w:spacing w:val="5"/>
          <w:sz w:val="23"/>
          <w:szCs w:val="23"/>
        </w:rPr>
        <w:t>合同签订后</w:t>
      </w:r>
      <w:r>
        <w:rPr>
          <w:rFonts w:hint="eastAsia" w:eastAsia="宋体"/>
          <w:color w:val="FF0000"/>
          <w:spacing w:val="5"/>
          <w:sz w:val="23"/>
          <w:szCs w:val="23"/>
          <w:lang w:val="en-US" w:eastAsia="zh-CN"/>
        </w:rPr>
        <w:t>400</w:t>
      </w:r>
      <w:r>
        <w:rPr>
          <w:color w:val="FF0000"/>
          <w:spacing w:val="5"/>
          <w:sz w:val="23"/>
          <w:szCs w:val="23"/>
        </w:rPr>
        <w:t>天（ 日历日）内完成项目，提交</w:t>
      </w:r>
      <w:r>
        <w:rPr>
          <w:color w:val="FF0000"/>
          <w:spacing w:val="10"/>
          <w:sz w:val="23"/>
          <w:szCs w:val="23"/>
        </w:rPr>
        <w:t>相关成果文件，并通过审查。</w:t>
      </w:r>
    </w:p>
    <w:p w14:paraId="34A51BE6">
      <w:pPr>
        <w:pStyle w:val="3"/>
        <w:spacing w:before="42" w:line="374" w:lineRule="auto"/>
        <w:ind w:right="88" w:firstLine="250" w:firstLineChars="100"/>
        <w:rPr>
          <w:rFonts w:hint="eastAsia" w:eastAsia="宋体"/>
          <w:color w:val="FF0000"/>
          <w:spacing w:val="10"/>
          <w:sz w:val="23"/>
          <w:szCs w:val="23"/>
          <w:lang w:val="en-US" w:eastAsia="zh-CN"/>
        </w:rPr>
      </w:pPr>
      <w:r>
        <w:rPr>
          <w:rFonts w:hint="eastAsia" w:eastAsia="宋体"/>
          <w:color w:val="FF0000"/>
          <w:spacing w:val="10"/>
          <w:sz w:val="23"/>
          <w:szCs w:val="23"/>
          <w:lang w:val="en-US" w:eastAsia="zh-CN"/>
        </w:rPr>
        <w:t>4.付款方式：按服务进度付款，后续待服务成果验收后付清。（具体以甲乙双方签订合同为准）</w:t>
      </w:r>
    </w:p>
    <w:p w14:paraId="3CD7CB42">
      <w:pPr>
        <w:keepNext w:val="0"/>
        <w:keepLines w:val="0"/>
        <w:widowControl/>
        <w:suppressLineNumbers w:val="0"/>
        <w:jc w:val="left"/>
        <w:rPr>
          <w:color w:val="auto"/>
          <w:spacing w:val="8"/>
          <w:sz w:val="23"/>
          <w:szCs w:val="23"/>
        </w:rPr>
      </w:pPr>
      <w:r>
        <w:rPr>
          <w:rFonts w:hint="eastAsia" w:eastAsia="宋体"/>
          <w:color w:val="auto"/>
          <w:spacing w:val="8"/>
          <w:sz w:val="23"/>
          <w:szCs w:val="23"/>
          <w:lang w:val="en-US" w:eastAsia="zh-CN"/>
        </w:rPr>
        <w:t>5</w:t>
      </w:r>
      <w:r>
        <w:rPr>
          <w:color w:val="auto"/>
          <w:spacing w:val="8"/>
          <w:sz w:val="23"/>
          <w:szCs w:val="23"/>
        </w:rPr>
        <w:t>.服务要求：</w:t>
      </w:r>
    </w:p>
    <w:p w14:paraId="33A9AD9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主要服务任务及工作要求 </w:t>
      </w:r>
    </w:p>
    <w:p w14:paraId="711550BA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参与项目前期选址选线工作，为项目用地单位提供用地政策指导与服务，确保项目用地符合国家和地方政策要求；</w:t>
      </w:r>
    </w:p>
    <w:p w14:paraId="2343E153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按照国家及地方要求，编制《节约集约用地专章》，逐级审核后上报自治区评审，根据评审意见修改完善《节约集约用地专章》，并取得节约集约用地专章审查意见； </w:t>
      </w:r>
    </w:p>
    <w:p w14:paraId="47332E0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（3）因项目涉及永久使用草地，编制项目永久使用草地手续；</w:t>
      </w:r>
    </w:p>
    <w:p w14:paraId="50AFBAA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（4）编制填写项目用地预审与选址意见书申请表、申请报告及相关资料； </w:t>
      </w:r>
    </w:p>
    <w:p w14:paraId="00C5743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（5）制作项目用地面积分类表（土地分类面积汇总表、回退地类面积表）； </w:t>
      </w:r>
    </w:p>
    <w:p w14:paraId="30555B1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（6）绘制项目用地预审所需图件（县域国土空间用地用海规划分区图、国土空间规划用地用海分区套合图、县域国土空间用地用海规划图、用地用海数据库落位截图、项目地理位置示意图、用地界限图等）； </w:t>
      </w:r>
    </w:p>
    <w:p w14:paraId="5FD5C1C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474" w:right="1814" w:bottom="1474" w:left="1814" w:header="851" w:footer="851" w:gutter="0"/>
          <w:pgNumType w:fmt="decimal"/>
          <w:cols w:space="720" w:num="1"/>
          <w:docGrid w:linePitch="462" w:charSpace="0"/>
        </w:sectPr>
      </w:pPr>
    </w:p>
    <w:p w14:paraId="56A8036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（7）整理汇总相关数据，上报自治区审核，跟进用地预审进度并根据上级部门补正要求完善预审材料，直至取得建设项目用地预审与选址意见书； </w:t>
      </w:r>
    </w:p>
    <w:p w14:paraId="63E197AC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(8)项目压覆重要矿产资源评估;</w:t>
      </w:r>
    </w:p>
    <w:p w14:paraId="3E2D0C0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（9）占补平衡方案(永久占用湿地);</w:t>
      </w:r>
    </w:p>
    <w:p w14:paraId="1B5BBDB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(10)湿地保护修复方案(临时占用湿地)</w:t>
      </w:r>
    </w:p>
    <w:p w14:paraId="567796E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（11）根据项目最终用地坐标，编制勘界报告，制作项目用地坐标文件（项目用地范围电子坐标、项目用地回退地类坐标）； </w:t>
      </w:r>
    </w:p>
    <w:p w14:paraId="208F3C5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（12）项目地质灾害危险性评估报告； </w:t>
      </w:r>
    </w:p>
    <w:p w14:paraId="5DEFC7C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（13）组织项目建设用地报件，逐级审核，取得相关审查报告等文件； </w:t>
      </w:r>
    </w:p>
    <w:p w14:paraId="1C1A86D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（14）建设用地征地及资料、图件编制、报批；</w:t>
      </w:r>
    </w:p>
    <w:p w14:paraId="1C9547A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（15）配合甲方完成勘测定界验收等工作； </w:t>
      </w:r>
    </w:p>
    <w:p w14:paraId="3BFBB0F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（16）如工程设计变更，由甲方提供变更资料，乙方仍需负责办理相关土地手续。 </w:t>
      </w:r>
    </w:p>
    <w:p w14:paraId="7AF803DA">
      <w:pPr>
        <w:pStyle w:val="3"/>
        <w:spacing w:before="42" w:line="374" w:lineRule="auto"/>
        <w:ind w:right="88" w:firstLine="254" w:firstLineChars="100"/>
        <w:rPr>
          <w:color w:val="auto"/>
          <w:spacing w:val="12"/>
          <w:sz w:val="23"/>
          <w:szCs w:val="23"/>
        </w:rPr>
      </w:pPr>
    </w:p>
    <w:p w14:paraId="4CD6DCA3">
      <w:pPr>
        <w:pStyle w:val="3"/>
        <w:spacing w:before="44" w:line="381" w:lineRule="auto"/>
        <w:ind w:right="210" w:firstLine="252" w:firstLineChars="100"/>
        <w:rPr>
          <w:sz w:val="23"/>
          <w:szCs w:val="23"/>
        </w:rPr>
      </w:pPr>
      <w:r>
        <w:rPr>
          <w:rFonts w:hint="eastAsia" w:eastAsia="宋体"/>
          <w:spacing w:val="11"/>
          <w:sz w:val="23"/>
          <w:szCs w:val="23"/>
          <w:lang w:val="en-US" w:eastAsia="zh-CN"/>
        </w:rPr>
        <w:t>6</w:t>
      </w:r>
      <w:r>
        <w:rPr>
          <w:spacing w:val="11"/>
          <w:sz w:val="23"/>
          <w:szCs w:val="23"/>
        </w:rPr>
        <w:t>.报价要求：本项目为服务类采购，投标报价应根据项目的实际情况报价</w:t>
      </w:r>
      <w:r>
        <w:rPr>
          <w:spacing w:val="10"/>
          <w:sz w:val="23"/>
          <w:szCs w:val="23"/>
        </w:rPr>
        <w:t>，报价</w:t>
      </w:r>
      <w:r>
        <w:rPr>
          <w:spacing w:val="11"/>
          <w:sz w:val="23"/>
          <w:szCs w:val="23"/>
        </w:rPr>
        <w:t>应包含合同期限内服务及其他相关工作的所有费用。如报价超出预算价，投标文件视</w:t>
      </w:r>
      <w:r>
        <w:rPr>
          <w:spacing w:val="5"/>
          <w:sz w:val="23"/>
          <w:szCs w:val="23"/>
        </w:rPr>
        <w:t>为无效。</w:t>
      </w:r>
    </w:p>
    <w:p w14:paraId="3BC73F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A1A26"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FCD0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JGY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yNJG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2FCD0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EEDF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DA24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575D4">
    <w:pPr>
      <w:pStyle w:val="6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E3158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7522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18E74"/>
    <w:multiLevelType w:val="singleLevel"/>
    <w:tmpl w:val="69E18E7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126EF10"/>
    <w:multiLevelType w:val="singleLevel"/>
    <w:tmpl w:val="7126EF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353D4"/>
    <w:rsid w:val="1BD54DB6"/>
    <w:rsid w:val="5BC20700"/>
    <w:rsid w:val="6903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First Indent"/>
    <w:basedOn w:val="3"/>
    <w:next w:val="1"/>
    <w:unhideWhenUsed/>
    <w:qFormat/>
    <w:uiPriority w:val="99"/>
    <w:pPr>
      <w:tabs>
        <w:tab w:val="left" w:pos="567"/>
      </w:tabs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1436</Words>
  <Characters>1489</Characters>
  <Lines>0</Lines>
  <Paragraphs>0</Paragraphs>
  <TotalTime>0</TotalTime>
  <ScaleCrop>false</ScaleCrop>
  <LinksUpToDate>false</LinksUpToDate>
  <CharactersWithSpaces>1504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2024-12-13T03:54:00Z</dcterms:created>
  <dc:creator>張勤-香爵科技护肤</dc:creator>
  <cp:lastModifiedBy>張勤-香爵科技护肤</cp:lastModifiedBy>
  <dcterms:modified xsi:type="dcterms:W3CDTF">2025-01-08T09:05:26Z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BA7383111F614860B38AC3F78649503E_13</vt:lpwstr>
  </property>
  <property fmtid="{D5CDD505-2E9C-101B-9397-08002B2CF9AE}" pid="4" name="KSOTemplateDocerSaveRecord">
    <vt:lpwstr>eyJoZGlkIjoiZTU3ODI3YWM4OGU2MDg5OTBjMDRkNzg3MjNhYWI5ZDIiLCJ1c2VySWQiOiIxMTU3NTY1Njk2In0=</vt:lpwstr>
  </property>
</Properties>
</file>