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A8A6C">
      <w:pPr>
        <w:spacing w:line="582" w:lineRule="exact"/>
        <w:jc w:val="center"/>
        <w:rPr>
          <w:rFonts w:hint="eastAsia"/>
          <w:color w:val="000000"/>
        </w:rPr>
      </w:pPr>
      <w:bookmarkStart w:id="0" w:name="_GoBack"/>
      <w:r>
        <w:rPr>
          <w:rFonts w:hint="eastAsia"/>
          <w:b/>
          <w:bCs/>
          <w:color w:val="000000"/>
          <w:sz w:val="28"/>
          <w:szCs w:val="20"/>
          <w:lang w:val="en-US" w:eastAsia="zh-CN"/>
        </w:rPr>
        <w:t>乌恰县GAJFZ中心建设项目(三次）-系统建设（一包）</w:t>
      </w:r>
      <w:r>
        <w:rPr>
          <w:b/>
          <w:bCs/>
          <w:color w:val="000000"/>
          <w:sz w:val="28"/>
          <w:szCs w:val="20"/>
        </w:rPr>
        <w:t>采购清单</w:t>
      </w:r>
      <w:bookmarkEnd w:id="0"/>
    </w:p>
    <w:tbl>
      <w:tblPr>
        <w:tblStyle w:val="5"/>
        <w:tblW w:w="8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811"/>
        <w:gridCol w:w="5139"/>
        <w:gridCol w:w="529"/>
        <w:gridCol w:w="517"/>
        <w:gridCol w:w="872"/>
      </w:tblGrid>
      <w:tr w14:paraId="7BD2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BF99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00D6C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646ED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参数</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03ED90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5D3B2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C352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4B86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357" w:type="dxa"/>
            <w:gridSpan w:val="6"/>
            <w:tcBorders>
              <w:top w:val="single" w:color="000000" w:sz="4" w:space="0"/>
              <w:left w:val="single" w:color="000000" w:sz="4" w:space="0"/>
              <w:bottom w:val="single" w:color="000000" w:sz="4" w:space="0"/>
              <w:right w:val="single" w:color="000000" w:sz="4" w:space="0"/>
            </w:tcBorders>
            <w:noWrap/>
            <w:vAlign w:val="center"/>
          </w:tcPr>
          <w:p w14:paraId="753BF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一、反诈中心系统</w:t>
            </w:r>
          </w:p>
        </w:tc>
      </w:tr>
      <w:tr w14:paraId="6CC9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17BE4E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3095E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涉诈网络侦查平台</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185907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线索研判：快速有效的分析和识别出网站的涉诈类型并获取其嫌疑人和受害人相关的信息；用户可以通过该功能对未识别的网站和与之有线索串并的网站进行数据挖掘，进一步得到详情信息。</w:t>
            </w:r>
          </w:p>
          <w:p w14:paraId="316C13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站线索报告：可详细的提供站点的截图、鉴定结果、基础信息、嫌疑人和受害人信息。并且对目标网站进行线索跟踪，及时更新最新数据信息。将帮助用户对嫌疑人群体的地域扩展力和繁殖力进行有效的追踪；帮助用户对受害人群体的发展趋势和扩散速度进行有效的监控。</w:t>
            </w:r>
          </w:p>
          <w:p w14:paraId="23AA8A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网诈关联图谱：能够通过案件内的涉诈网站对其嫌疑人信息分析，可以发现团伙窝点。再通过团伙窝点可以发现其它串联的案件线索。同时对团伙窝点聚类,可以分析出线下窝点位置及规模大小和活动时间。</w:t>
            </w:r>
          </w:p>
          <w:p w14:paraId="15436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样本嗅察：用专业能力辅助研判新型的涉诈样本类型，提高涉诈样本丰富度并进行自研AI模型的在线学习。通过涉诈图片聚类模型和自研的图片查找模型对新型的涉诈样本类型进行快速统计和快速处理，将提高用户对新型涉诈类型的预判能力；并且使用户方便快捷地查看涉诈样本识别情况和新型涉诈样本的频发情况。</w:t>
            </w:r>
          </w:p>
          <w:p w14:paraId="374E1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真机操作台：主要用于云端模拟安装、运行和操作风险APK，抓取应用网络请求并实时分析涉诈风险，发现涉案侦查线索；该功能提取的网络请求将与涉诈模型联动，实现数据的同步处理、提取和识别。这一功能极大地解决了某些涉诈APK无法在模拟器安装运行、无法及时获取APK动态请求信息、风险APP为真机带来安全风险的难题。</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72E0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6ECD8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872" w:type="dxa"/>
            <w:vMerge w:val="restart"/>
            <w:tcBorders>
              <w:left w:val="single" w:color="000000" w:sz="4" w:space="0"/>
              <w:right w:val="single" w:color="000000" w:sz="4" w:space="0"/>
            </w:tcBorders>
            <w:noWrap w:val="0"/>
            <w:vAlign w:val="center"/>
          </w:tcPr>
          <w:p w14:paraId="15F81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包含系统安装、三年运维质保及其后续升级费用</w:t>
            </w:r>
          </w:p>
        </w:tc>
      </w:tr>
      <w:tr w14:paraId="4C49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D622BD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83E74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96110反诈专线电话系统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664FB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提供实时96110平台中继线服务、96110来电显示业务，以便于具备接听、外呼以及身份显示进行防诈骗预防和打击支撑服务工作，实现乌恰县辖区的受骗群众反诈中心接警劝阻服务。</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2DA9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5015F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872" w:type="dxa"/>
            <w:vMerge w:val="continue"/>
            <w:tcBorders>
              <w:left w:val="single" w:color="000000" w:sz="4" w:space="0"/>
              <w:right w:val="single" w:color="000000" w:sz="4" w:space="0"/>
            </w:tcBorders>
            <w:noWrap w:val="0"/>
            <w:vAlign w:val="center"/>
          </w:tcPr>
          <w:p w14:paraId="5E14C29E">
            <w:pPr>
              <w:jc w:val="center"/>
              <w:rPr>
                <w:rFonts w:hint="eastAsia" w:ascii="宋体" w:hAnsi="宋体" w:eastAsia="宋体" w:cs="宋体"/>
                <w:i w:val="0"/>
                <w:iCs w:val="0"/>
                <w:color w:val="000000"/>
                <w:kern w:val="0"/>
                <w:sz w:val="22"/>
                <w:szCs w:val="22"/>
                <w:u w:val="none"/>
                <w:lang w:val="en-US" w:eastAsia="zh-CN" w:bidi="ar"/>
              </w:rPr>
            </w:pPr>
          </w:p>
        </w:tc>
      </w:tr>
      <w:tr w14:paraId="353E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0A62C0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5F1AC3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资金查控平台</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0CB20C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1、信息录入</w:t>
            </w:r>
          </w:p>
          <w:p w14:paraId="293734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（1）案件信息</w:t>
            </w:r>
          </w:p>
          <w:p w14:paraId="413D6C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案件信息的录入功能，包括受害人信息（银行卡号、持卡人、身份证、转账时间、转账金额、支付宝、财付通、微信帐号、电话号码、交易单号、QQ号），嫌疑人信息（银行卡号、持卡人、身份证、转账方式、转账时间、转账金额、支付宝、财付通、微信帐号、电话号码、交易单号、QQ号）等，商户信息（商户名称、联系方式、商户号、交易单号）、其他信息（涉案网址）、案件信息（简要案情、备注）等。</w:t>
            </w:r>
          </w:p>
          <w:p w14:paraId="259A7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支持对案件信息的增删改查和受害人、嫌疑人账/卡号提交查询等操作。</w:t>
            </w:r>
          </w:p>
          <w:p w14:paraId="1616DE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（2）经办人</w:t>
            </w:r>
          </w:p>
          <w:p w14:paraId="5F022C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设置银行/三方请求时所需的经办人、协查人信息及警官证附件。</w:t>
            </w:r>
          </w:p>
          <w:p w14:paraId="075365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2、自动分析</w:t>
            </w:r>
          </w:p>
          <w:p w14:paraId="2624CF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（1）受害人信息分析</w:t>
            </w:r>
          </w:p>
          <w:p w14:paraId="0C24F9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提供针对受害人信息进行分析的功能，包括明细和主体查询、主体查询、第三方全账号查询、流水号查询等。</w:t>
            </w:r>
          </w:p>
          <w:p w14:paraId="2035FD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（2）嫌疑人信息分析</w:t>
            </w:r>
          </w:p>
          <w:p w14:paraId="1C8AB5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提供针对嫌疑人信息进行分析的功能，包括明细和主体查询、主体查询、第三方全账号查询、流水号查询等。</w:t>
            </w:r>
          </w:p>
          <w:p w14:paraId="0DB3F4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（3）自动分析</w:t>
            </w:r>
          </w:p>
          <w:p w14:paraId="6D769A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按照分析模型，对案件进行自动分析，并将分析结果展示在“一案一库”中。</w:t>
            </w:r>
          </w:p>
          <w:p w14:paraId="3369F6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3、一案一库</w:t>
            </w:r>
          </w:p>
          <w:p w14:paraId="5CEAC5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案件信息进行相关账/卡号请求后，可检索并显示分析到最大等级。</w:t>
            </w:r>
          </w:p>
          <w:p w14:paraId="42D822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详情界面展示相关案件信息，涉案账/卡号查询信息，自动分析的资金流各等级信息及卡主信息，案件、MAC串并情况。</w:t>
            </w:r>
          </w:p>
          <w:p w14:paraId="0744C8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在涉案资金分析结果展示列表中，可以按照一级账户、二级账户、三级账户、四级账户等等进行展示，每个账户上显示序号、所属机构、姓名、账号、上级账号、详细、处置、标记等内容。</w:t>
            </w:r>
          </w:p>
          <w:p w14:paraId="3F6A1C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4、侦查员工作室</w:t>
            </w:r>
          </w:p>
          <w:p w14:paraId="16B92F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侦查员工作室包含研判思路、资金分析、金流图、各类线下数据等。在侦查员工作室中，可以人工重新发起对各类资金的再分析，即设置侦查思路，对金流图进行分析编辑及线下数据的上传等。</w:t>
            </w:r>
          </w:p>
          <w:p w14:paraId="70BA31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5、串并案</w:t>
            </w:r>
          </w:p>
          <w:p w14:paraId="5F36DE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根据案件信息中一级以上（包含）账/卡号和明细结果中MAC做串并。</w:t>
            </w:r>
          </w:p>
          <w:p w14:paraId="58CBFF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6、研判报告</w:t>
            </w:r>
          </w:p>
          <w:p w14:paraId="5E1A5E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根据案件的串案信息等自动生成研判报告。</w:t>
            </w:r>
          </w:p>
          <w:p w14:paraId="7C7B99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7、我的关注</w:t>
            </w:r>
          </w:p>
          <w:p w14:paraId="0445E2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支持设置个人关注的一案一库信息。</w:t>
            </w:r>
          </w:p>
          <w:p w14:paraId="2FB672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8、MAC查询</w:t>
            </w:r>
          </w:p>
          <w:p w14:paraId="354CF5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支持对请求反馈的MAC地址进行查询。</w:t>
            </w:r>
          </w:p>
          <w:p w14:paraId="46D30A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9、常用工具</w:t>
            </w:r>
          </w:p>
          <w:p w14:paraId="6F384A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（1）收单机构</w:t>
            </w:r>
          </w:p>
          <w:p w14:paraId="5A647A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支持查询各收单机构机构号。</w:t>
            </w:r>
          </w:p>
          <w:p w14:paraId="1DDCF2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（2）警企通讯录</w:t>
            </w:r>
          </w:p>
          <w:p w14:paraId="1AE186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支持查询各企业通讯录。</w:t>
            </w:r>
          </w:p>
          <w:p w14:paraId="1F3C0C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（3）手机归属地</w:t>
            </w:r>
          </w:p>
          <w:p w14:paraId="2EADA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支持查询手机号码归属地、运营商等。</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72E30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14ACE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0AC9C931">
            <w:pPr>
              <w:jc w:val="center"/>
              <w:rPr>
                <w:rFonts w:hint="eastAsia" w:ascii="宋体" w:hAnsi="宋体" w:eastAsia="宋体" w:cs="宋体"/>
                <w:i w:val="0"/>
                <w:iCs w:val="0"/>
                <w:color w:val="000000"/>
                <w:kern w:val="0"/>
                <w:sz w:val="22"/>
                <w:szCs w:val="22"/>
                <w:u w:val="none"/>
                <w:lang w:val="en-US" w:eastAsia="zh-CN" w:bidi="ar"/>
              </w:rPr>
            </w:pPr>
          </w:p>
        </w:tc>
      </w:tr>
      <w:tr w14:paraId="2510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0A7E1A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AD317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手机数据定向采集系统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3F4961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1.搭载多功能高拍仪，具备身份证读取模块，触控屏不小于10.1英寸，显示分辨率不低于720P，主摄像头不小于800万像素，环境摄像头不小于500万像素；</w:t>
            </w:r>
          </w:p>
          <w:p w14:paraId="74A64A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2.非接触式电子数据提取，无需连接数据线即可提取指定的短信、通话记录、QQ、微信、TIM、如流以及涉案APK安装包文件；</w:t>
            </w:r>
          </w:p>
          <w:p w14:paraId="320C21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3.支持警员密码注册登录机制；</w:t>
            </w:r>
          </w:p>
          <w:p w14:paraId="7AE2A2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4.支持手工添加和扫描公安现勘平台二维码两种方式创建案件，支持导入导出案件功能；</w:t>
            </w:r>
          </w:p>
          <w:p w14:paraId="4381B9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5.支持获取机身信息，包括型号、系统版本、IMEI号、MAC地址、本机手机号码等，可支持智能OCR识别IMEI、MEID号；</w:t>
            </w:r>
          </w:p>
          <w:p w14:paraId="5AC4F0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6.支持iOS、Android 全版本系统微信数据定向采集，极速获取特定好友聊天记录，包括语音图片、转账等消息，保留原始文件，支持微信聊天记录中的网址IP分析；</w:t>
            </w:r>
          </w:p>
          <w:p w14:paraId="54031B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7.支持iOS、Android 全版本系统QQ数据定向采集，获取特定好友聊天记录，包括语音图片、转账等消息，保留原始文件，支持QQ聊天记录中的网址IP分析；</w:t>
            </w:r>
          </w:p>
          <w:p w14:paraId="607B8F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8.支持iOS、Android 全版本系统Tim数据定向采集，获取特定好友聊天记录，包括语音图片、转账等消息，保留原始文件，支持Tim聊天记录中的网址IP分析；</w:t>
            </w:r>
          </w:p>
          <w:p w14:paraId="6A411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9.支持公众号、小程序数据采集，获取公众号、小程序名称，类型，包括绑定的账号信息以及邀请码等补充信息；</w:t>
            </w:r>
          </w:p>
          <w:p w14:paraId="7B8534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10.支持iOS、Android 全版本系统如流数据定向采集，获取特定好友聊天记录，保留原始文件，支持如流聊天记录中的网址IP分析；</w:t>
            </w:r>
          </w:p>
          <w:p w14:paraId="2F4C95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11.支持iOS、Android 全版本系统支付宝账单云提取，可选择提取特定时间段的账单数据；</w:t>
            </w:r>
          </w:p>
          <w:p w14:paraId="23FBA1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12.支持iOS、Android 全版本系统微信账单云提取，可选择提取特定时间段的账单数据；</w:t>
            </w:r>
          </w:p>
          <w:p w14:paraId="40D717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13.支持资金流信息采集，提取固定网银转账记录，截屏后智能识别交易金额、交易时间、收款人、收款账号、收款人开户行、付款人、付款账号、付款人开户行等信息；</w:t>
            </w:r>
          </w:p>
          <w:p w14:paraId="72D234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14.设备支持银行卡芯片读取，获取最近交易记录：银行卡号、交易日期、交易金额；</w:t>
            </w:r>
          </w:p>
          <w:p w14:paraId="75C354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15.支持Android 设备应用安装包提取，可选择一个或多个指定应用，支持包括账号、密码、邀请码等信息录入，自动屏蔽常规应用，提取安装包文件，支持导入应用安装包作静态分析，支持导出应用安装包；</w:t>
            </w:r>
          </w:p>
          <w:p w14:paraId="694BA5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16.支持安卓手机短信、通话记录、通话录音选择目标对象定向快速提取；</w:t>
            </w:r>
          </w:p>
          <w:p w14:paraId="50A09A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17.支持短信通道归属地自动识别，提供短信所属的主体公司；</w:t>
            </w:r>
          </w:p>
          <w:p w14:paraId="36938A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18.支持安卓、iOS手机获取屏幕截图，可对各个应用界面进行截屏，支持导入图片；</w:t>
            </w:r>
          </w:p>
          <w:p w14:paraId="5B4FD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19.支持安卓手机屏幕录像功能，支持同步录制声音，支持外部导入视频；</w:t>
            </w:r>
          </w:p>
          <w:p w14:paraId="6D1986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支持Android、iOS应用安装包（APK、IPA）的静态逆向分析，解析应用名称、版本、包名、权限、签名等，提取应用内IP地址、网址、加固信息等数据，同时智能分析打包工具信息及身份ID，智能分析客服系统信息，智能分析第三方服务信息及身份ID</w:t>
            </w:r>
          </w:p>
          <w:p w14:paraId="669877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21.支持Android 应用安装包（APK）、iOS 应用安装包（IPA）批量静态分析；</w:t>
            </w:r>
          </w:p>
          <w:p w14:paraId="214F94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22.支持Android 应用安装包（APK）的Androidmanifest.xml配置文件查看；</w:t>
            </w:r>
          </w:p>
          <w:p w14:paraId="0406CD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23.支持Android 应用安装包（APK）的静态源码逆向分析，查看源码；</w:t>
            </w:r>
          </w:p>
          <w:p w14:paraId="3DC981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24.支持Android 应用安装包（APK）的静态分析获取源码中的手机号码、邮箱等联系方式信息；</w:t>
            </w:r>
          </w:p>
          <w:p w14:paraId="4F3EC7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25.支持iOS应用安装包（IPA）的Info.plist配置文件查看；</w:t>
            </w:r>
          </w:p>
          <w:p w14:paraId="60150D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26.支持Android应用安装包动态分析，支持获取APP工作时所产生的网络数据，自动解密域名/IP地址等网络交互数据，得到发送的和接收的网址IP等信息；</w:t>
            </w:r>
          </w:p>
          <w:p w14:paraId="0D7039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27.可对iOS应用安装包的真机动态分析，获取APP运行时的网络数据包，得到发送的和接收的网址IP等信息，并可导出动态分析报告；</w:t>
            </w:r>
          </w:p>
          <w:p w14:paraId="0BFC58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可对APK、IPA文件使用其他主流模拟器（雷电、夜神、MUMU）联动动态分析,获取实时网络数据包（包括请求数据包和响应数据包），可获取数据包交互的网址，可对获取的数据包内容进行解析，进而获取域名统计数量、域名注册信息和IP信息；</w:t>
            </w:r>
          </w:p>
          <w:p w14:paraId="1A28BB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29.支持对获取的实时网络数据包自动分析及统计，解析APP应用服务器的IP、域名，IP归属地、域名注册商等信息；</w:t>
            </w:r>
          </w:p>
          <w:p w14:paraId="02F968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30.支持自动智能标记域名识别线索标签，标记域名的所属公司；也可手动添加域名标签；</w:t>
            </w:r>
          </w:p>
          <w:p w14:paraId="7FDB4E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31.支持智能动态分析，获取打包工具信息、客服系统、第三方服务信息及身份；</w:t>
            </w:r>
          </w:p>
          <w:p w14:paraId="3D22BA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32.支持动态抓包过程获得文件监测系统、外部进程通讯、数据库动态信息（支持动态抓包过程APP的应用行为记录监测）；支持动态抓包数据包请求数据包和响应数据包内容的解析与查看；</w:t>
            </w:r>
          </w:p>
          <w:p w14:paraId="2580C8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33.支持一键导出Android 应用安装包综合分析报告；</w:t>
            </w:r>
          </w:p>
          <w:p w14:paraId="232C7D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34.支持网址解析，分析注册商信息、DNS信息、IP地址，并可获取通过Whois注册信息email和电话关联反查URL信息，反查结果支持导出；</w:t>
            </w:r>
          </w:p>
          <w:p w14:paraId="5DDDF9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35.支持IP解析，分析IP运营商、物理位置；</w:t>
            </w:r>
          </w:p>
          <w:p w14:paraId="477A3C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36.支持域名备案分析，获取备案许可证号、相关公司信息等；</w:t>
            </w:r>
          </w:p>
          <w:p w14:paraId="4E021F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37.支持网站的Web指纹信息分析，获取如网站前端脚本语言、Web服务器种类、网站CMS框架识别、数据库类型等信息；</w:t>
            </w:r>
          </w:p>
          <w:p w14:paraId="3BAC30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38.支持网站的IP端口扫描信息分析，获取对应开放端口号及服务版本信息；</w:t>
            </w:r>
          </w:p>
          <w:p w14:paraId="335C3C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39.支持对涉案网页固定成图片格式（分析过程可截屏）、PDF格式或HTML格式；</w:t>
            </w:r>
          </w:p>
          <w:p w14:paraId="3C9649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40.支持对涉案网站的动态抓包，支持苹果系统共享书签Web Clip网址动态解析，对请求数据包和响应数据包内容的解析与查看；</w:t>
            </w:r>
          </w:p>
          <w:p w14:paraId="4B23CC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41.支持对涉案网站的网络数据动态抓包，得到发送的和接收的网址IP等信息，支持对涉案网站的第三方公司自动标注，支持获取涉案网站的打包公司、客服公司、第三方服务公司相关信息；</w:t>
            </w:r>
          </w:p>
          <w:p w14:paraId="29C08C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42.支持网络勘查要素智能分析，可自动解析提取的聊天记录中包含的二维码和网址；支持自动提取二维码中的URL地址，支持自动将短链接转成原始链接，可自动下载URL的APK文件；</w:t>
            </w:r>
          </w:p>
          <w:p w14:paraId="0E9626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43.支持双屏展示，受害人可在第二屏幕实时浏览取证操作过程；</w:t>
            </w:r>
          </w:p>
          <w:p w14:paraId="692917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44.支持浏览、搜索数据提取结果，直接播放音视频文件，支持音视频文件另存为；</w:t>
            </w:r>
          </w:p>
          <w:p w14:paraId="0AA001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45.支持报案人、受害人身份信息录入，支持外接设备一键获取证件信息；</w:t>
            </w:r>
          </w:p>
          <w:p w14:paraId="1ACC74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46.支持对嫌疑人相关信息进行录入，包括人员姓名、支付宝账号、银行账号、手机号码、QQ账号、其它自定义账号信息进行录入；支持添加多个嫌疑人员；</w:t>
            </w:r>
          </w:p>
          <w:p w14:paraId="4DC6D3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47.支持按发送对象的微信ID、QQ号分类导出语音、视频、图片文件；</w:t>
            </w:r>
          </w:p>
          <w:p w14:paraId="2A8091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48.支持简要案情智能分析功能，根据采集内容智能生成简要案情范本；</w:t>
            </w:r>
          </w:p>
          <w:p w14:paraId="5BA5D6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49.支持录制软件操作过程，生成取证视频，支持取证视频数据过滤范围标记添加到书签，支持拖动播放进度条上的书签标记、设置播放区间的循环播放；</w:t>
            </w:r>
          </w:p>
          <w:p w14:paraId="445DCF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50.支持网络勘查要素结果指定路径上传至互联网线索分析平台，深层次分析网址IP、APK信息；</w:t>
            </w:r>
          </w:p>
          <w:p w14:paraId="33C12C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51.支持导出BCP部标格式数据包文件，并上传至公安网数据实战应用平台；</w:t>
            </w:r>
          </w:p>
          <w:p w14:paraId="62FFD1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52.支持受害人、民警电子签名对笔录内容进行确认，签名自动填入勘验笔录。</w:t>
            </w:r>
          </w:p>
          <w:p w14:paraId="1A1A53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支持导出五种类型报告和笔录，包括勘验HTML报告、PDF报告，截图报告（图片记录表，含原始图片及完整性校验值，可通过内置笔录助手插件，可支持生成新型案件受害人报案笔录和取证笔录要素，同时可支持导出电子数据现场提取笔录和电子数据固定清单，自动打包数据、计算哈希值、填写提取信息；</w:t>
            </w:r>
          </w:p>
          <w:p w14:paraId="74B95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54.具有公安部检测报告；</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4CB85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3F6DC0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0CDA2284">
            <w:pPr>
              <w:jc w:val="center"/>
              <w:rPr>
                <w:rFonts w:hint="eastAsia" w:ascii="宋体" w:hAnsi="宋体" w:eastAsia="宋体" w:cs="宋体"/>
                <w:i w:val="0"/>
                <w:iCs w:val="0"/>
                <w:color w:val="000000"/>
                <w:kern w:val="0"/>
                <w:sz w:val="22"/>
                <w:szCs w:val="22"/>
                <w:u w:val="none"/>
                <w:lang w:val="en-US" w:eastAsia="zh-CN" w:bidi="ar"/>
              </w:rPr>
            </w:pPr>
          </w:p>
        </w:tc>
      </w:tr>
      <w:tr w14:paraId="3DFC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65ED63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5E9F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虚拟货币犯罪预警追踪系统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273766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依托海量地址标签、精准的算法模型，通过一个涉案地址即可分析出完整的资金流向，为执法机关打击各类涉及虚拟币的犯罪行为提供全流程服务。</w:t>
            </w:r>
          </w:p>
          <w:p w14:paraId="1B8148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1、虚拟币犯罪预警追踪系统服务功能要求（服务功能标项需要提供截图）：</w:t>
            </w:r>
          </w:p>
          <w:p w14:paraId="42A67D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过SaaS服务授权账号形式提供虚拟币数据追溯分析研判服务。虚拟币类型需包括基于比特币、以太坊、波场、币安智能链等公链支持的虚拟币。支持地址标签信息展示，标识显示地址来源。可自助查询、研判、调证等操作，在溯源、追踪时能够以可视化形式进行操作。服务功能需求如下：</w:t>
            </w:r>
          </w:p>
          <w:p w14:paraId="7459EA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（1）案件管理。以案件为维度，对案件相关地址研判、交易流水、地址标注、地址监控等研判工作进行汇总管理。</w:t>
            </w:r>
          </w:p>
          <w:p w14:paraId="59F69A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（2）模型库。支持虚拟币传销、涉毒等案件类型，可通过涉案区块链地址查看金额、涉案人数、流向、关键地址、交易所、可调证地址等信息。</w:t>
            </w:r>
          </w:p>
          <w:p w14:paraId="148B79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（3）地址研判。支持主流虚拟币的“地址研判”，提供区块链地址交易层级追踪、溯源，可展示相关交易信息，支持标注功能。</w:t>
            </w:r>
          </w:p>
          <w:p w14:paraId="4EA897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（4）地址标签服务。根据地址特征提供地址特征提供标签服务能力，包括展示地址所属交易所、钱包、黑灰产、交易特征等。</w:t>
            </w:r>
          </w:p>
          <w:p w14:paraId="49C8D8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（5）区块浏览器。支持比特币区块链网络、以太坊区块链网络、波场区块链网络、币安智能链网络的浏览器展现，通过区块链地址或交易哈希，提供地址主流币种的余额、交易明细等关键信息。</w:t>
            </w:r>
          </w:p>
          <w:p w14:paraId="1B8B69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（6）反洗钱交易匹配。提供人民币与USDT虚拟币转换，支持设定时间和金额条件提取虚拟币交易记录。</w:t>
            </w:r>
          </w:p>
          <w:p w14:paraId="4DA959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（7）调证协助。提供各主流交易所、钱包的调证方式及调证要求，内置调证模板，可实现线上“一键调证”。</w:t>
            </w:r>
          </w:p>
          <w:p w14:paraId="42253E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聚合搜索。输入搜索关键词即可快速查询并集中展示各类平台公有信息和用户自有数据，包括“研判存档”数据、“地址标注”信息、“调证协助”函件、“地址监控”目标、公链代币信息、地址信息、起诉/判决书等。</w:t>
            </w:r>
          </w:p>
          <w:p w14:paraId="7916C9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（9）跨链及币币追踪。支持多种跨链桥服务数据解析及单一公链任意代币间的币币兑换全量交易数据解析，支持在资金流向布局中展示跨链交易或币币兑换过程，并能够以兑换后的币种继续拓展分析。</w:t>
            </w:r>
          </w:p>
          <w:p w14:paraId="29D645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（10）地址智能联想。面对虚拟币地址不全或地址过长易导致输入错误等场景，通过“地址补齐”功能，最少仅需输入6个字符即可获得完整虚拟币地址信息。</w:t>
            </w:r>
          </w:p>
          <w:p w14:paraId="3F6EB4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（11）实时地址监控。对于任意一个地址，“无匿”均可以按交易流向、交易金额等条件进行监控，一旦被监控的地址发生符合条件的交易，即可触发报警。</w:t>
            </w:r>
          </w:p>
          <w:p w14:paraId="7E4047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（12）多维度交易流水导出。对于任意一个地址，“无匿”均可从时间维度、交易流向维度、金额维度进行条件组合，导出该地址的交易流水。</w:t>
            </w:r>
          </w:p>
          <w:p w14:paraId="5BCAE5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（13）代币信息。区块链上可以以极低的成本发行代币，大量涉案虚拟币均为嫌疑人发行的代币，“无匿”支持对所有主流区块链上的代币进行研判分析。</w:t>
            </w:r>
          </w:p>
          <w:p w14:paraId="1817BC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（14）历史币价查询。支持BTC、ETH、USDT三个币种历史汇率（兑人民币）查询，支持筛选时间范围，方便办案单位在司法会计鉴定环节进行涉虚拟币案件的案值评估。</w:t>
            </w:r>
          </w:p>
          <w:p w14:paraId="1AE06D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（15）比特币交易分析。鉴于比特币的交易基于UTXO模型，“无匿”从交易维度对比特币的资金流进行分析，输入一个交易哈希即可实现任意层级的追踪、溯源。</w:t>
            </w:r>
          </w:p>
          <w:p w14:paraId="3F02E4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（16）资料库。集成国内关于虚拟币案件的起诉书、司法判例和政策法规，并在办案速查手册中总结并展示各类涉虚拟币案件受理、调证、研判及收网等阶段常见问题及注意事项，可供办案单位借鉴参考。</w:t>
            </w:r>
          </w:p>
          <w:p w14:paraId="31C5E8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（17）一键调证模型。提供地址涉及调证点分析，提供一键调证分析模型。</w:t>
            </w:r>
          </w:p>
          <w:p w14:paraId="29DE32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（18）地址关联分析。提供多个地址间关联关系分析功能。</w:t>
            </w:r>
          </w:p>
          <w:p w14:paraId="6B8C4A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（19）地址全息档案。提供地址关联信息的多维度档案化展示。</w:t>
            </w:r>
          </w:p>
          <w:p w14:paraId="10B931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（20）地址研判PRO。提供关系图形式对主流区块链进行溯源、追踪研判。</w:t>
            </w:r>
          </w:p>
          <w:p w14:paraId="22F073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（21）关系图谱。提供地址间交易资金流关系可视化展现。</w:t>
            </w:r>
          </w:p>
          <w:p w14:paraId="279B7D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（22）安装包信息提取。提供安卓apk安装包文件关键信息提取。</w:t>
            </w:r>
          </w:p>
          <w:p w14:paraId="7D5F6E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（23）地址标注。提供地址自定义信息标注，支持标注信息修改。</w:t>
            </w:r>
          </w:p>
          <w:p w14:paraId="09F970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（24）交易标注。提供交易哈希自定义交易标注，支持标注信息修改。</w:t>
            </w:r>
          </w:p>
          <w:p w14:paraId="4E2349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（25）波场/EVM地址转换。提供波场/EVM地址转换功能。</w:t>
            </w:r>
          </w:p>
          <w:p w14:paraId="491CA3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（26）公钥转地址。提供公钥转地址功能。</w:t>
            </w:r>
          </w:p>
          <w:p w14:paraId="4CD113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（27）私钥转公钥和地址。提供私钥转公钥和地址转换功能。</w:t>
            </w:r>
          </w:p>
          <w:p w14:paraId="0C559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（28）链上交易态势。支持全球Top10交易所虚拟币交易统计，展示大额转账时间及金额；支持各公链交易地址及交易笔数统计，并以统计图展示主要币种交易趋势。</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BC17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76136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0C6135D1">
            <w:pPr>
              <w:jc w:val="center"/>
              <w:rPr>
                <w:rFonts w:hint="eastAsia" w:ascii="宋体" w:hAnsi="宋体" w:eastAsia="宋体" w:cs="宋体"/>
                <w:i w:val="0"/>
                <w:iCs w:val="0"/>
                <w:color w:val="000000"/>
                <w:kern w:val="0"/>
                <w:sz w:val="22"/>
                <w:szCs w:val="22"/>
                <w:u w:val="none"/>
                <w:lang w:val="en-US" w:eastAsia="zh-CN" w:bidi="ar"/>
              </w:rPr>
            </w:pPr>
          </w:p>
        </w:tc>
      </w:tr>
      <w:tr w14:paraId="3EBD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31EC27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1E47D8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止付拦截系统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29FC35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资金止付机器人（简称：止付通）是一款帮助公安反诈部门实现快速自动化止付的产品，无需人工干预，节省人效。具有部署快、止付全流程自动执行等特点，包含全自动止付、全自动审批、自动扩卡等功能.</w:t>
            </w:r>
          </w:p>
          <w:p w14:paraId="66885C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护性止付：为打击电信网络诈骗，保护人民的钱袋子，系统可根据止付台账相关信息，自动启动保护性止付流程。无需人工介入，即可实现对受害账户的自动止付申请，并将持续此状态长达15天，有效阻止不法分子进一步转移资金，为追赃挽损争取宝贵时间。</w:t>
            </w:r>
          </w:p>
          <w:p w14:paraId="715D2F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嫌疑人止付：系统支持针对涉诈嫌疑人的银行卡止付，当发现具有嫌疑的账户可能存在非法资金流动风险时 ，及时对嫌疑人的银行账户实施自动止付，切断潜在的非法资金转移路径，为维护社会公平正义提供了强有力的科技保障。</w:t>
            </w:r>
          </w:p>
          <w:p w14:paraId="6E1C63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扩卡功能：针对目前反诈“全量止付”的需求，当发现受害人可能遭受诈骗风险时，系统能够协助联动各大银行，自动发送扩卡请求，挖掘并锁定受害人在其他银行开设的所有关联账户，最大程度地减少受害人的经济损失。</w:t>
            </w:r>
          </w:p>
          <w:p w14:paraId="5F73D9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审批流程：高效处理各类紧急止付申请及扩卡操作请求。在接收到相关单位或受害人的申请后，机器人能基于预设规则，实现对止付、扩卡等重要行动的自动化审核与执行。</w:t>
            </w:r>
          </w:p>
          <w:p w14:paraId="3BBA3D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定时任务: 通过定时任务功能的设置，智能机器人实现了24小时不间断的安全防护，无论何时何地，都能为公安部门提供及时有效的技术支持，提供稳定可靠的自动化服务。</w:t>
            </w:r>
          </w:p>
          <w:p w14:paraId="1AB806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云战系统的止付通服务可帮助公安反诈部门实现快速自动化止付，具有全自动止付、全自动审批、支持1次录入止付30天等功能，具备部署快、全自动等特点，效率倍增。</w:t>
            </w:r>
          </w:p>
          <w:p w14:paraId="5A1ECD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核心能力包括 ：</w:t>
            </w:r>
          </w:p>
          <w:p w14:paraId="31C6D2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全自动止付：系统根据止付台账中的止付信息自动生成待止付人员列表，全流程自动执行（自动状态同步、自动生成待止付列表、自动填写止付信息、自动选择经办人、自动生成止付函、自动识别验证码、自动补齐银行信息），对于不同银行也可连续自动运行，录入1次，止付30天，无需人工干预，并自动同步止付状态。</w:t>
            </w:r>
          </w:p>
          <w:p w14:paraId="246BB0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全自动审批：实时自动审批已经提交的止付信息，高效自动审批，并支持信息校验比对。</w:t>
            </w:r>
          </w:p>
          <w:p w14:paraId="1B3EB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3.系统部署方便快捷，仅需要有办公电脑和内网用户数字证书即可，自动化的同时更安全。</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2032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73ECA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39EF2B58">
            <w:pPr>
              <w:jc w:val="center"/>
              <w:rPr>
                <w:rFonts w:hint="eastAsia" w:ascii="宋体" w:hAnsi="宋体" w:eastAsia="宋体" w:cs="宋体"/>
                <w:i w:val="0"/>
                <w:iCs w:val="0"/>
                <w:color w:val="000000"/>
                <w:kern w:val="0"/>
                <w:sz w:val="22"/>
                <w:szCs w:val="22"/>
                <w:u w:val="none"/>
                <w:lang w:val="en-US" w:eastAsia="zh-CN" w:bidi="ar"/>
              </w:rPr>
            </w:pPr>
          </w:p>
        </w:tc>
      </w:tr>
      <w:tr w14:paraId="5E67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3CF752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2B990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462740AB">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1.案件分析室：会议桌 3*1.4m，免漆颗粒板1张、会议椅广东产12把、茶吧机1台、档案柜3台。                                                                                                                              2.作战指挥中心：底座2组、档案柜3台、茶吧机1台、沙发茶几五人座1套。                                                                                                                                              3.会议室：会议桌5*1.4m，免漆颗粒板1张、会议椅广东产12把、电子大屏100寸1台、会议系统1套。                                                                                                                        4.大办公室：办公桌 1.6m，带副柜3张、办公椅3把、茶吧机1台、档案柜3台。                                                                                                                                         5.GB办公室：办公桌 1.6m，带副柜1张、办公椅1把、档案柜1台、保密柜1 台、沙发茶几五人座1套。                                                                                                                          6.四大行办公室：办公桌1.6m，带副柜4张、办公椅4把、茶吧机1台、档案柜4台。                                                                                                                                           7.三大运营商办公室：办公桌1.6m，带副柜3张、办公椅3把、台式终端3台、打印机3台、茶吧机1台、档案柜3台、沙发茶几五人座1套。                                                                                                    8.主任办公室：办公桌 1.6m，带副柜1张1550、办公椅1把、档案柜2台、保密柜2台、沙发茶几五人座1套。                                                                                                                                9.图控室：军用单人床2张、茶吧机1台、更衣柜双门1台、办公桌 1.6m，带副柜1张。</w:t>
            </w:r>
          </w:p>
          <w:p w14:paraId="41E0EBA9">
            <w:pPr>
              <w:pStyle w:val="4"/>
              <w:rPr>
                <w:rFonts w:hint="eastAsia"/>
                <w:lang w:val="en-US" w:eastAsia="zh-CN"/>
              </w:rPr>
            </w:pPr>
          </w:p>
          <w:p w14:paraId="6C08149A">
            <w:pPr>
              <w:pStyle w:val="4"/>
              <w:rPr>
                <w:rFonts w:hint="eastAsia"/>
                <w:lang w:val="en-US" w:eastAsia="zh-CN"/>
              </w:rPr>
            </w:pPr>
          </w:p>
          <w:p w14:paraId="3DD50C71">
            <w:pPr>
              <w:pStyle w:val="4"/>
              <w:rPr>
                <w:rFonts w:hint="eastAsia"/>
                <w:lang w:val="en-US" w:eastAsia="zh-CN"/>
              </w:rPr>
            </w:pPr>
          </w:p>
          <w:p w14:paraId="7D6F8741">
            <w:pPr>
              <w:pStyle w:val="4"/>
              <w:rPr>
                <w:rFonts w:hint="eastAsia"/>
                <w:lang w:val="en-US" w:eastAsia="zh-CN"/>
              </w:rPr>
            </w:pPr>
          </w:p>
          <w:p w14:paraId="3A9C5191">
            <w:pPr>
              <w:pStyle w:val="4"/>
              <w:rPr>
                <w:rFonts w:hint="eastAsia"/>
                <w:lang w:val="en-US" w:eastAsia="zh-CN"/>
              </w:rPr>
            </w:pPr>
          </w:p>
          <w:p w14:paraId="5A646859">
            <w:pPr>
              <w:pStyle w:val="4"/>
              <w:rPr>
                <w:rFonts w:hint="eastAsia"/>
                <w:lang w:val="en-US" w:eastAsia="zh-CN"/>
              </w:rPr>
            </w:pPr>
          </w:p>
          <w:p w14:paraId="7D31FB6B">
            <w:pPr>
              <w:pStyle w:val="4"/>
              <w:rPr>
                <w:rFonts w:hint="eastAsia"/>
                <w:lang w:val="en-US" w:eastAsia="zh-CN"/>
              </w:rPr>
            </w:pPr>
          </w:p>
          <w:p w14:paraId="6B5EE264">
            <w:pPr>
              <w:pStyle w:val="4"/>
              <w:rPr>
                <w:rFonts w:hint="eastAsia"/>
                <w:lang w:val="en-US" w:eastAsia="zh-CN"/>
              </w:rPr>
            </w:pPr>
          </w:p>
          <w:p w14:paraId="4EAF8EF0">
            <w:pPr>
              <w:pStyle w:val="4"/>
              <w:rPr>
                <w:rFonts w:hint="eastAsia"/>
                <w:lang w:val="en-US" w:eastAsia="zh-CN"/>
              </w:rPr>
            </w:pPr>
          </w:p>
          <w:p w14:paraId="030ACBBB">
            <w:pPr>
              <w:pStyle w:val="4"/>
              <w:rPr>
                <w:rFonts w:hint="eastAsia"/>
                <w:lang w:val="en-US" w:eastAsia="zh-CN"/>
              </w:rPr>
            </w:pPr>
          </w:p>
          <w:p w14:paraId="57829059">
            <w:pPr>
              <w:pStyle w:val="4"/>
              <w:rPr>
                <w:rFonts w:hint="eastAsia"/>
              </w:rPr>
            </w:pP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5B38D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71CCE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c>
          <w:tcPr>
            <w:tcW w:w="872" w:type="dxa"/>
            <w:vMerge w:val="continue"/>
            <w:tcBorders>
              <w:left w:val="single" w:color="000000" w:sz="4" w:space="0"/>
              <w:right w:val="single" w:color="000000" w:sz="4" w:space="0"/>
            </w:tcBorders>
            <w:noWrap w:val="0"/>
            <w:vAlign w:val="center"/>
          </w:tcPr>
          <w:p w14:paraId="3966FC09">
            <w:pPr>
              <w:jc w:val="center"/>
              <w:rPr>
                <w:rFonts w:hint="eastAsia" w:ascii="宋体" w:hAnsi="宋体" w:eastAsia="宋体" w:cs="宋体"/>
                <w:i w:val="0"/>
                <w:iCs w:val="0"/>
                <w:color w:val="000000"/>
                <w:kern w:val="0"/>
                <w:sz w:val="22"/>
                <w:szCs w:val="22"/>
                <w:u w:val="none"/>
                <w:lang w:val="en-US" w:eastAsia="zh-CN" w:bidi="ar"/>
              </w:rPr>
            </w:pPr>
          </w:p>
        </w:tc>
      </w:tr>
      <w:tr w14:paraId="1848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BE2BB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09F65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视频在线离线分析系统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17350F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1、案件管理</w:t>
            </w:r>
          </w:p>
          <w:p w14:paraId="771D78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案件管理：具有案件管理功能，能够对案件进行新建、编辑和删除等操作。显示和修改案件的基本信息，包括案件编号、案件名称、案发地点、时间、办案人员等；显示当前案件的侦破状况，包括案件当前侦破状态、获得线索数量等信息</w:t>
            </w:r>
          </w:p>
          <w:p w14:paraId="35E765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线在线采集：支持离线、在线方式采集视频图像及数据资源；支持视频文件、图片文件及数据的导入；支持多个视频图像并行导入，在线方式采集视频图像时能够对导入操作实施暂停、取消、恢复功能；离线方式采集视频图像能够对导入操作实施取消功能，两种采集方式都具有导入进度和导入成功/失败提示功能；支持视频图像导入任务和视频图像分析任务同时进行；具有实时在线采集功能，支持接入符合GB/T 28181协议的DVR视频图像的功能。</w:t>
            </w:r>
          </w:p>
          <w:p w14:paraId="7944FB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2、视频播放</w:t>
            </w:r>
          </w:p>
          <w:p w14:paraId="69A29F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即播即转：支持在视频导入系统时，无需等待转码，侦查员即可直接浏览分析各厂商原始视频，浏览视频的同时系统后台进行批量转码；</w:t>
            </w:r>
          </w:p>
          <w:p w14:paraId="7A945B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比对播放：支持多视频比对播放，满足跨视频对比查看嫌疑目标、多人同时排查查看的需求；支持多窗口的同步操作，包括：同时播放、同时暂停、同时快进、同时慢放和同时跳转到相同的北京时间等</w:t>
            </w:r>
          </w:p>
          <w:p w14:paraId="6938E3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智能播放：在视频播放器进度条下方高亮显示目标出现的时间位置及目标密度，方便用户有选择的跳跃浏览；</w:t>
            </w:r>
          </w:p>
          <w:p w14:paraId="66463B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播放控制：系统播放摘要视频时能进行正常播放、快进、慢进、逐帧进退、循环播放（AB循环）、物标显示等控制；播放原视频时能够进行正常播放、快进、慢进、逐帧进退、循环播放（AB循环）、画面放大等控制；画面显示参数实时调节：对比度亮度、直方图均衡化、均值降噪、图像锐化、图像去雾、夜晚增强、逆光处理等）</w:t>
            </w:r>
          </w:p>
          <w:p w14:paraId="0BB161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视频增强：播放时可对视频区域内容进行实时增强，增强功能包含：场景适应性增强、亮度对比度调整、色调均化、锐化、放大、逆光增强、低照度增强、去雾、自动白平衡等；可支持多种功能叠加</w:t>
            </w:r>
          </w:p>
          <w:p w14:paraId="7F38FD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视频线索导出：支持单一视频增强效果导出，支持多种视频增强叠加效果导出，支持局部放大导出，支持局部放大与多种增强叠加导出；支持直接拖动进度条导出；</w:t>
            </w:r>
          </w:p>
          <w:p w14:paraId="1429BC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图片线索导出：支持导出单帧图像作为线索进入线索库；截取时单独弹出窗口，不影响原始视频播放；</w:t>
            </w:r>
          </w:p>
          <w:p w14:paraId="1B9F9D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播放：支持正常向后播放，播放速度包含并不限于1/32倍速、1/16倍速、1/8倍速、1/4倍速、1/2倍速、正常速度、2倍速、4倍速、8倍速、16倍速、32倍速等；支持向前播放；支持暂停、停止、快进、慢进、单帧前进、单帧后退、片段循环播放；支持在进度条上需要的位置打标签，以标记再次播放位置；</w:t>
            </w:r>
          </w:p>
          <w:p w14:paraId="15A7F5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视频格式：需能兼容市场上大多数DVR和IP摄像机、编码器(海康、大华、宇视(原华三)、华为、汉邦、天地伟业、中兴力维、科达、恒忆、英飞拓、东方网力、金鹏、立元、烽火、皓维等)，支持 h264、264、mp4、mpg、asf、avi、flv、wmv、 mpeg、3gp、rm、rmvb、hik、dav、dvr、ts、h3crd、h3cv3、sdv、zv、znv、kdm4、ifv、mbf、jwr、avx、nsf、dat、mkv、avd、ps、KSJF、HE4、sv4、sv5、rec、 m4v、hav、zmp5、600、692、801、ifv、lvf、vas、hdvr、dav、jav、eye、mov、 dh、snv等视频格式</w:t>
            </w:r>
          </w:p>
          <w:p w14:paraId="76E13F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视频局部放大：播放视频时能够选择画面区域进行局部画面放大，区域大小可以任意调整，放大区域也可任意移动；可以放大原始视频，也可以放大增强后的视频；</w:t>
            </w:r>
          </w:p>
          <w:p w14:paraId="071A13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3、智能分析及检索</w:t>
            </w:r>
          </w:p>
          <w:p w14:paraId="466EC8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视频检索：支持绊线规则、区域规则，时间段，颜色，目标类型（人、人骑车、车）等；颜色搜索支持红、绿、黄、蓝、紫等主要颜色；</w:t>
            </w:r>
          </w:p>
          <w:p w14:paraId="121425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搜索范围检索：搜索范围分为当前视频、当前案件、当前地点；</w:t>
            </w:r>
          </w:p>
          <w:p w14:paraId="22E68F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目标运动距离检索：支持使用目标的运动距离长度进行搜索，目标的大小和目标的运动距离长度可以在播放器上通过鼠标框定选取，也可以通过下拉框选择预设值；</w:t>
            </w:r>
          </w:p>
          <w:p w14:paraId="5D7009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人脸检测:支持识别视频中出现的正面人脸,以目标快照呈现</w:t>
            </w:r>
          </w:p>
          <w:p w14:paraId="44D8B4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任务优先级设置：支持对视频分析任务进行至少 64 个级别的优先级设置，高优先级任务由系统自动优先分析。即有多个分析任务在排队时，提交一个高优先级分析任务，此分析任务能自动得到优先处理</w:t>
            </w:r>
          </w:p>
          <w:p w14:paraId="4E6052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4、电子地图</w:t>
            </w:r>
          </w:p>
          <w:p w14:paraId="6FAA2A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空分析：支持地图查看、移动、缩放、视野记录、比例尺等基本功能。提供多种标注方式，包括：折线、文本框、关键地点（包括：案发地点、上车地点、下车地点、消失地点、徘徊地点和目击地点等）。可在GIS上展现获取的线索，包括位置、详情、视频、图像等，并可进行预览，便于侦查员结合时空位置对线索间联系进行推断，并可通过点击快速查看线索进行分析</w:t>
            </w:r>
          </w:p>
          <w:p w14:paraId="6BB3D4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时空碰撞：根据用户绘制的路径、预定义速度模板及视频中时间段，获得对视频的快速定位、嫌疑人活动范围、运动速度的估计</w:t>
            </w:r>
          </w:p>
          <w:p w14:paraId="4FFDAD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地图研判打印：可以在地图上标注各种案件信息之后，直接打印案件地图研判信息，方便案情交流和汇报。</w:t>
            </w:r>
          </w:p>
          <w:p w14:paraId="643885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5、案件汇编</w:t>
            </w:r>
          </w:p>
          <w:p w14:paraId="0B2323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视频线索导出：导出支持局部放大导出，支持多种视频增强叠加效果导出，支持局部放大与多种增强叠加导出</w:t>
            </w:r>
          </w:p>
          <w:p w14:paraId="60BDB4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报告导出：可将案件的主要情况直接导出成Word格式案件报告。案件报告内容包括案件基本情况信息，案件调阅的监控点情况、调阅的视频时间段和地理位置图像，案件重要线索的内容等</w:t>
            </w:r>
          </w:p>
          <w:p w14:paraId="1032D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数据导出：导出案件报告，并将报告涉及的线索资料同步导出，方便动态演示汇报</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0847C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1A85D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4383E6F4">
            <w:pPr>
              <w:jc w:val="center"/>
              <w:rPr>
                <w:rFonts w:hint="eastAsia" w:ascii="宋体" w:hAnsi="宋体" w:eastAsia="宋体" w:cs="宋体"/>
                <w:i w:val="0"/>
                <w:iCs w:val="0"/>
                <w:color w:val="000000"/>
                <w:kern w:val="0"/>
                <w:sz w:val="22"/>
                <w:szCs w:val="22"/>
                <w:u w:val="none"/>
                <w:lang w:val="en-US" w:eastAsia="zh-CN" w:bidi="ar"/>
              </w:rPr>
            </w:pPr>
          </w:p>
        </w:tc>
      </w:tr>
      <w:tr w14:paraId="4FAA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2F6EA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F42ED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预警平台系统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01BB6D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诈骗数据类型服务包括：冒充电商物流客服类，冒充公检法及政府机关类，刷单返利类，贷款、代办信用卡类，冒充军警购物类，虚假网络投资理财类，虚假购物、服务类，网络婚恋、交友类，虚假征信类，冒充领导、熟人等特定身份类，网络游戏产品虚假交易类，其他类型诈骗。</w:t>
            </w:r>
          </w:p>
          <w:p w14:paraId="1BD59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诈骗手段类型服务包括：网络电话、网址网站、app，三类诈骗手段的预警</w:t>
            </w:r>
          </w:p>
          <w:p w14:paraId="01A0A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平台端服务</w:t>
            </w:r>
          </w:p>
          <w:p w14:paraId="54BAF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展示：市级和区县级的数据指标（累计预警、反诈宣传教育、累计注册等数据）内容还包括推广、宣传、反诈力量、诈骗类型分布等。</w:t>
            </w:r>
          </w:p>
          <w:p w14:paraId="6FB7C5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实现：平台管理员微信关联验证登录，确保平台、账户安全性。包括：添加子单位、编辑单位、删除单位，批量导入新增单位。</w:t>
            </w:r>
          </w:p>
          <w:p w14:paraId="262FA8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实现：创建单位时可以通过地图进行单位经纬度标记，便于居民选择。</w:t>
            </w:r>
          </w:p>
          <w:p w14:paraId="12576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实现：账号支持微信绑定验证登录，管理账号支持对添加的账号进行解绑和解除关联操作。</w:t>
            </w:r>
          </w:p>
          <w:p w14:paraId="025EC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展示：预警详情展示居民的微信昵称、电话、预警时间、家人信息、劝阻记录及历史预警。</w:t>
            </w:r>
          </w:p>
          <w:p w14:paraId="666C1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预警列表中诈骗类型包括冒充公检法及政府机关类、贷款、代办信用卡类、网络婚恋、交友类（非虚假网络投资理财类）、刷单返利类、冒充电商物流客服类、冒充领导、熟人等特定身份类、网络游戏产品虚假交易类。</w:t>
            </w:r>
          </w:p>
          <w:p w14:paraId="40DDE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实现：预警导入导出功能，导入预警下沉三端推送，导入预警劝阻后支持预警结果导出。</w:t>
            </w:r>
          </w:p>
          <w:p w14:paraId="3E1D8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实现：对辖区内关注用户推送消息、进行通知和宣传。</w:t>
            </w:r>
          </w:p>
          <w:p w14:paraId="0F43D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实现：根据反诈答题情况生成防骗码。</w:t>
            </w:r>
          </w:p>
          <w:p w14:paraId="25B17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实现：平台依据群众自己选择的年龄、性别、兴趣、区域及职业进行标签化分类管理。</w:t>
            </w:r>
          </w:p>
          <w:p w14:paraId="34396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实现：可检测虚假宣传推广以及刷单注册的宣传人员。</w:t>
            </w:r>
          </w:p>
          <w:p w14:paraId="54955B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实现：用于常态化宣传工作的开展，便于宣传员使用该工具进企业、进社区、进农村、进家庭宣传反诈知识，加强民众防骗意识，反诈教育防范，提供面对面宣传辅助工具实现常态化宣传的量化及统计。</w:t>
            </w:r>
          </w:p>
          <w:p w14:paraId="79CA5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实现：辅助国家反诈APP下载量的统计，量化标准为个人和单位。</w:t>
            </w:r>
          </w:p>
          <w:p w14:paraId="2B9B3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实现：公安提供的辖区号码内未注册手机号码的检测</w:t>
            </w:r>
          </w:p>
          <w:p w14:paraId="76237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平台端其他功能服务详见“服务功能清单”包括：基础功能服务：安全登录/区域切换/到期提醒；组织架构管理：单位删除/单位权限/角色管理员/多管理员/管理员绑定；宣传员管理：添加宣传员/宣传员展示/宣传码生成/宣传码下载/解除关联/预警权限管理；居民管理：用户详情/居民列表；预警中心：预警程度/预警列表/劝阻战果/回访话术/预警提醒；统计中心：推广趋势/推广统计/居民统计/宣传统计/预警统计/个人统计/单位统计/导出功能；应用中心：删除操作日志/添加管理员账号/关键字自动回复/关注欢迎语配置/视频操作教程/警情推送管理/居民举报管理/居民报案管理/民警单位转移/居民单位转移/宣传素材/宣传活动中心。</w:t>
            </w:r>
          </w:p>
          <w:p w14:paraId="513867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民警端服务</w:t>
            </w:r>
          </w:p>
          <w:p w14:paraId="77B67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实现：公安自己或指定的服务号和小程序作为居民关注、注册和民警登录入口。</w:t>
            </w:r>
          </w:p>
          <w:p w14:paraId="0A434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实现：多民警账号可以关联，且进行登录提醒。</w:t>
            </w:r>
          </w:p>
          <w:p w14:paraId="7C240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实现：一警一码进行宣传推广。</w:t>
            </w:r>
          </w:p>
          <w:p w14:paraId="0395A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实现：与大数据反诈平台进行预警关联，回访情况及任务共享，避免重复工作。</w:t>
            </w:r>
          </w:p>
          <w:p w14:paraId="5F7EB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民警通过手机端微信服务号登录自己的账号密码且绑定个人微信后可以通过民警端实现领取自己辖区内下发的预警任务，针对已领取的预警任务可以选择释放预警任务进行重新下发或者根据自己预警处理情况对预警进行自定义或快捷标记，同时可以对预警继续处理处置，结果自动同步到电脑管理端。</w:t>
            </w:r>
          </w:p>
          <w:p w14:paraId="7C3D0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实现：居民报案时进行案件录入。</w:t>
            </w:r>
          </w:p>
          <w:p w14:paraId="0FBD5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警端其他功能服务详见“服务功能清单”包括：登录管理：扫码登录/关联登录推广管理：单位推广/个人推广/排行榜/涉诈举报;预警提醒：预警推送/预警信息/预警优先级/预警情况;预警劝阻：预警领取/劝阻记录。</w:t>
            </w:r>
          </w:p>
          <w:p w14:paraId="7D57A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居民端服务</w:t>
            </w:r>
          </w:p>
          <w:p w14:paraId="3DEF9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实现：为居民提供风险查询的功能。</w:t>
            </w:r>
          </w:p>
          <w:p w14:paraId="31FBF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实现：以图文的形式对近期风险提醒，支持居民查看、评论和分享。</w:t>
            </w:r>
          </w:p>
          <w:p w14:paraId="118BF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实现：居民注册后可以添加家人同时保护。</w:t>
            </w:r>
          </w:p>
          <w:p w14:paraId="6F2E5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实现：为注册居民提供国家反诈app下载的入口。</w:t>
            </w:r>
          </w:p>
          <w:p w14:paraId="509069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实现：居民可以进行诈骗举报。</w:t>
            </w:r>
          </w:p>
          <w:p w14:paraId="003C8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实现：居民报案时的案件录入。</w:t>
            </w:r>
          </w:p>
          <w:p w14:paraId="7E47C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实现：居民自行更改守护单位。</w:t>
            </w:r>
          </w:p>
          <w:p w14:paraId="778EC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端其他功能服务详见“服务功能清单”包括：登录注册：授权登录/手机号登录/扫码注册/守护单位/标签分类；首页：全国电信诈骗提醒次数/全国累计恶意信息拦截/最新拦截/诈骗解密/曝光；工具：防骗码；我的：守护天数/预警提醒/家人预警/附近预警/举报分享。</w:t>
            </w:r>
          </w:p>
          <w:p w14:paraId="5992B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反诈宣传推广服务</w:t>
            </w:r>
          </w:p>
          <w:p w14:paraId="44D21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实现：私有化公众号平台端管理员可在辖区内对按标签分类的注册用户或粉丝进行消息推送2篇/月。</w:t>
            </w:r>
          </w:p>
          <w:p w14:paraId="43117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实现：公众号和小程序反诈文章以及诈骗揭秘等宣传教育文章的发布。</w:t>
            </w:r>
          </w:p>
          <w:p w14:paraId="6E44F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使用操作培训服务包括：针对管理员进行平台端培训，民警进行民警端使用操作培训。</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654DC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6D3D0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w:t>
            </w:r>
          </w:p>
        </w:tc>
        <w:tc>
          <w:tcPr>
            <w:tcW w:w="872" w:type="dxa"/>
            <w:vMerge w:val="continue"/>
            <w:tcBorders>
              <w:left w:val="single" w:color="000000" w:sz="4" w:space="0"/>
              <w:right w:val="single" w:color="000000" w:sz="4" w:space="0"/>
            </w:tcBorders>
            <w:noWrap w:val="0"/>
            <w:vAlign w:val="center"/>
          </w:tcPr>
          <w:p w14:paraId="444A778A">
            <w:pPr>
              <w:jc w:val="center"/>
              <w:rPr>
                <w:rFonts w:hint="eastAsia" w:ascii="宋体" w:hAnsi="宋体" w:eastAsia="宋体" w:cs="宋体"/>
                <w:i w:val="0"/>
                <w:iCs w:val="0"/>
                <w:color w:val="000000"/>
                <w:kern w:val="0"/>
                <w:sz w:val="22"/>
                <w:szCs w:val="22"/>
                <w:u w:val="none"/>
                <w:lang w:val="en-US" w:eastAsia="zh-CN" w:bidi="ar"/>
              </w:rPr>
            </w:pPr>
          </w:p>
        </w:tc>
      </w:tr>
      <w:tr w14:paraId="2966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89" w:type="dxa"/>
            <w:tcBorders>
              <w:top w:val="single" w:color="000000" w:sz="4" w:space="0"/>
              <w:left w:val="single" w:color="000000" w:sz="4" w:space="0"/>
              <w:bottom w:val="single" w:color="000000" w:sz="4" w:space="0"/>
              <w:right w:val="single" w:color="000000" w:sz="4" w:space="0"/>
            </w:tcBorders>
            <w:noWrap/>
            <w:vAlign w:val="center"/>
          </w:tcPr>
          <w:p w14:paraId="05A58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3D9A46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网上XWSC与数据分析系统</w:t>
            </w:r>
          </w:p>
        </w:tc>
        <w:tc>
          <w:tcPr>
            <w:tcW w:w="5139" w:type="dxa"/>
            <w:tcBorders>
              <w:top w:val="single" w:color="000000" w:sz="4" w:space="0"/>
              <w:left w:val="single" w:color="000000" w:sz="4" w:space="0"/>
              <w:bottom w:val="single" w:color="000000" w:sz="4" w:space="0"/>
              <w:right w:val="single" w:color="000000" w:sz="4" w:space="0"/>
            </w:tcBorders>
            <w:noWrap w:val="0"/>
            <w:vAlign w:val="center"/>
          </w:tcPr>
          <w:p w14:paraId="4BAA69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1、支持通过系统筛查涉及网赌、网贷、不健康信息、直播、网游、婚恋交友、翻墙等网站或者APP的注册信息，筛查出有安全风险的人员，并生成个人或群体的安全分析报告。</w:t>
            </w:r>
          </w:p>
          <w:p w14:paraId="54626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2、支持同时满足超过10万人次以上目标手机号码查询、按危险网站或APP分类查询等功能，能根据涉赌、涉贷、涉黄、涉游戏、涉网络直播、涉婚恋交友等内容设置危险等级预警。</w:t>
            </w:r>
          </w:p>
          <w:p w14:paraId="338BC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3、支持通过手机号码、IMEI、MAC、QQ号、微信号、身份证号、银行卡号、电子邮箱等已知数据信息，实现网络虚拟身份之间的关联碰撞，形成人员的虚拟身份数据库。</w:t>
            </w:r>
          </w:p>
          <w:p w14:paraId="211F7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4、支持展示目标人员的设备型号、厂商、设备语言、系统版本等信息。支持用户根据手机特征码查询目标人员的用户画像标签，如性别、年龄等人员身份标签。</w:t>
            </w:r>
          </w:p>
          <w:p w14:paraId="5CD22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5、支持分析目标设备top20常连WiFi，top20常连IP。支持根据设备与WiFi/IP的关系，分析目标设备的WiFi/IP同网关系人。</w:t>
            </w:r>
          </w:p>
          <w:p w14:paraId="1AEBD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6、支持对最近关联设备上的MG应用进行分析，并支持对指定WiFi/IP下的设备进行分析、筛选、查询、提数。</w:t>
            </w:r>
          </w:p>
          <w:p w14:paraId="723E8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7、支持通过上传APK文件，分析其风险URL、APP信息、SDK、调证键值、指纹证书、获取权限等内容。</w:t>
            </w:r>
          </w:p>
          <w:p w14:paraId="7D5274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通过手机号码JC手机APP安装痕迹检测及分析网络行为，能分析该号码是否有网赌、网贷、涉黄、翻墙、乱交友、境外注册等违规违法APP的安装痕迹，包括当前是否正在使用、安装时间、是否已卸载、卸载次数，以及账外机关联信息。</w:t>
            </w:r>
          </w:p>
          <w:p w14:paraId="30EE5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9、支持输出同时安装2款以上敏感APP的设备群体，发现并预警用户是否存在“翻墙”上网行为，以及发现是否使用国外媒体但不限于YouTube、Twitter、Facebook、BBC等；</w:t>
            </w:r>
          </w:p>
          <w:p w14:paraId="74A1D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10、支持通过在地图上选择指定区域对其进行布控，从而获得布控时间范围内出现在此区域内的终端设备和WiFi设备信息。</w:t>
            </w:r>
          </w:p>
          <w:p w14:paraId="51193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11、支持针对布点区域内带有WZ功能的APP进行实时JC，从而发现可疑人员。</w:t>
            </w:r>
          </w:p>
          <w:p w14:paraId="1C6976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12、支持在不需要配备前端硬件设备的基础上能实现对指定区域内的企业、园区、机构等数据进行采集分析。</w:t>
            </w:r>
          </w:p>
          <w:p w14:paraId="12478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14、支持人员全息档案：能构建形成以手机号为唯一标识的数据中心，通过系统筛查或上传的历史数据统一形成个人档案; </w:t>
            </w:r>
          </w:p>
          <w:p w14:paraId="16B8C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15、支持模糊搜索、文档分类、数据导出、查阅下载档案、生成报告等功能。</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2B56C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5E3E7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72" w:type="dxa"/>
            <w:vMerge w:val="continue"/>
            <w:tcBorders>
              <w:left w:val="single" w:color="000000" w:sz="4" w:space="0"/>
              <w:right w:val="single" w:color="000000" w:sz="4" w:space="0"/>
            </w:tcBorders>
            <w:noWrap w:val="0"/>
            <w:vAlign w:val="center"/>
          </w:tcPr>
          <w:p w14:paraId="68AA1B59">
            <w:pPr>
              <w:jc w:val="center"/>
              <w:rPr>
                <w:rFonts w:hint="eastAsia" w:ascii="宋体" w:hAnsi="宋体" w:eastAsia="宋体" w:cs="宋体"/>
                <w:i w:val="0"/>
                <w:iCs w:val="0"/>
                <w:color w:val="000000"/>
                <w:kern w:val="0"/>
                <w:sz w:val="22"/>
                <w:szCs w:val="22"/>
                <w:u w:val="none"/>
                <w:lang w:val="en-US" w:eastAsia="zh-CN" w:bidi="ar"/>
              </w:rPr>
            </w:pPr>
          </w:p>
        </w:tc>
      </w:tr>
      <w:tr w14:paraId="72A1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485" w:type="dxa"/>
            <w:gridSpan w:val="5"/>
            <w:tcBorders>
              <w:top w:val="single" w:color="000000" w:sz="4" w:space="0"/>
              <w:left w:val="single" w:color="000000" w:sz="4" w:space="0"/>
              <w:bottom w:val="single" w:color="000000" w:sz="4" w:space="0"/>
              <w:right w:val="single" w:color="000000" w:sz="4" w:space="0"/>
            </w:tcBorders>
            <w:noWrap/>
            <w:vAlign w:val="center"/>
          </w:tcPr>
          <w:p w14:paraId="5AC51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872" w:type="dxa"/>
            <w:tcBorders>
              <w:left w:val="single" w:color="000000" w:sz="4" w:space="0"/>
              <w:right w:val="single" w:color="000000" w:sz="4" w:space="0"/>
            </w:tcBorders>
            <w:noWrap w:val="0"/>
            <w:vAlign w:val="center"/>
          </w:tcPr>
          <w:p w14:paraId="68426642">
            <w:pPr>
              <w:rPr>
                <w:rFonts w:hint="eastAsia" w:ascii="宋体" w:hAnsi="宋体" w:eastAsia="宋体" w:cs="宋体"/>
                <w:i w:val="0"/>
                <w:iCs w:val="0"/>
                <w:color w:val="000000"/>
                <w:kern w:val="0"/>
                <w:sz w:val="22"/>
                <w:szCs w:val="22"/>
                <w:u w:val="none"/>
                <w:lang w:val="en-US" w:eastAsia="zh-CN" w:bidi="ar"/>
              </w:rPr>
            </w:pPr>
          </w:p>
        </w:tc>
      </w:tr>
    </w:tbl>
    <w:p w14:paraId="2DF7A5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N2JjMGY3NGU5YzEyZTE1MWE3ODU4NTYwMTc1NjEifQ=="/>
  </w:docVars>
  <w:rsids>
    <w:rsidRoot w:val="5F0036B0"/>
    <w:rsid w:val="5F00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next w:val="3"/>
    <w:qFormat/>
    <w:uiPriority w:val="0"/>
    <w:pPr>
      <w:adjustRightInd/>
      <w:snapToGrid/>
      <w:spacing w:after="0"/>
      <w:ind w:left="200" w:hanging="200" w:hangingChars="200"/>
      <w:contextualSpacing/>
    </w:pPr>
    <w:rPr>
      <w:rFonts w:ascii="Times New Roman" w:hAnsi="Times New Roman" w:eastAsia="宋体"/>
      <w:sz w:val="20"/>
      <w:szCs w:val="20"/>
    </w:rPr>
  </w:style>
  <w:style w:type="paragraph" w:customStyle="1" w:styleId="3">
    <w:name w:val="正文缩进4"/>
    <w:basedOn w:val="1"/>
    <w:next w:val="1"/>
    <w:qFormat/>
    <w:uiPriority w:val="0"/>
    <w:pPr>
      <w:widowControl w:val="0"/>
      <w:autoSpaceDE/>
      <w:autoSpaceDN/>
      <w:spacing w:before="0" w:after="0" w:line="240" w:lineRule="auto"/>
      <w:ind w:left="0" w:firstLine="420"/>
      <w:jc w:val="both"/>
    </w:pPr>
    <w:rPr>
      <w:rFonts w:ascii="Times New Roman" w:eastAsia="宋体"/>
      <w:sz w:val="21"/>
    </w:rPr>
  </w:style>
  <w:style w:type="paragraph" w:styleId="4">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2024-09-18T07:52:00Z</dcterms:created>
  <dc:creator>小马哥</dc:creator>
  <cp:lastModifiedBy>小马哥</cp:lastModifiedBy>
  <cp:lastPrinted>2024-09-18T07:52:13Z</cp:lastPrinted>
  <dcterms:modified xsi:type="dcterms:W3CDTF">2024-09-18T07:54:05Z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897B4AE962E94B9285D24A18B81AC6A9_11</vt:lpwstr>
  </property>
</Properties>
</file>